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85DD5">
      <w:pPr>
        <w:pStyle w:val="51"/>
        <w:shd w:val="clear" w:color="auto" w:fill="auto"/>
        <w:wordWrap w:val="0"/>
        <w:adjustRightInd w:val="0"/>
        <w:snapToGrid w:val="0"/>
        <w:spacing w:line="360" w:lineRule="auto"/>
        <w:jc w:val="center"/>
        <w:rPr>
          <w:rFonts w:hint="eastAsia" w:eastAsia="宋体"/>
          <w:b/>
          <w:bCs/>
          <w:snapToGrid w:val="0"/>
          <w:color w:val="auto"/>
          <w:kern w:val="0"/>
          <w:sz w:val="48"/>
          <w:szCs w:val="24"/>
          <w:highlight w:val="none"/>
          <w:u w:val="none"/>
        </w:rPr>
      </w:pPr>
      <w:bookmarkStart w:id="274" w:name="_GoBack"/>
      <w:bookmarkEnd w:id="274"/>
    </w:p>
    <w:p w14:paraId="4CF0A575">
      <w:pPr>
        <w:pStyle w:val="51"/>
        <w:shd w:val="clear" w:color="auto" w:fill="auto"/>
        <w:wordWrap w:val="0"/>
        <w:adjustRightInd w:val="0"/>
        <w:snapToGrid w:val="0"/>
        <w:spacing w:line="360" w:lineRule="auto"/>
        <w:jc w:val="center"/>
        <w:rPr>
          <w:rFonts w:hint="eastAsia" w:eastAsia="宋体"/>
          <w:b/>
          <w:bCs/>
          <w:snapToGrid w:val="0"/>
          <w:color w:val="auto"/>
          <w:kern w:val="0"/>
          <w:sz w:val="48"/>
          <w:szCs w:val="24"/>
          <w:highlight w:val="none"/>
          <w:u w:val="none"/>
        </w:rPr>
      </w:pPr>
      <w:r>
        <w:rPr>
          <w:rFonts w:hint="eastAsia" w:eastAsia="宋体"/>
          <w:b/>
          <w:bCs/>
          <w:snapToGrid w:val="0"/>
          <w:color w:val="auto"/>
          <w:kern w:val="0"/>
          <w:sz w:val="48"/>
          <w:szCs w:val="24"/>
          <w:highlight w:val="none"/>
          <w:u w:val="none"/>
        </w:rPr>
        <w:t>翁源县翁城镇至官渡镇管道天然气项目</w:t>
      </w:r>
    </w:p>
    <w:p w14:paraId="696E6FCA">
      <w:pPr>
        <w:pStyle w:val="51"/>
        <w:shd w:val="clear" w:color="auto" w:fill="auto"/>
        <w:wordWrap w:val="0"/>
        <w:adjustRightInd w:val="0"/>
        <w:snapToGrid w:val="0"/>
        <w:spacing w:line="360" w:lineRule="auto"/>
        <w:jc w:val="center"/>
        <w:rPr>
          <w:rFonts w:hint="eastAsia" w:eastAsia="宋体"/>
          <w:snapToGrid w:val="0"/>
          <w:color w:val="auto"/>
          <w:kern w:val="0"/>
          <w:sz w:val="48"/>
          <w:szCs w:val="24"/>
          <w:highlight w:val="none"/>
          <w:u w:val="none"/>
        </w:rPr>
      </w:pPr>
      <w:r>
        <w:rPr>
          <w:rFonts w:hint="eastAsia" w:eastAsia="宋体"/>
          <w:b/>
          <w:bCs/>
          <w:snapToGrid w:val="0"/>
          <w:color w:val="auto"/>
          <w:kern w:val="0"/>
          <w:sz w:val="48"/>
          <w:szCs w:val="24"/>
          <w:highlight w:val="none"/>
          <w:u w:val="none"/>
        </w:rPr>
        <w:t>（第一标段）工程施工</w:t>
      </w:r>
    </w:p>
    <w:p w14:paraId="772983CC">
      <w:pPr>
        <w:pStyle w:val="51"/>
        <w:shd w:val="clear" w:color="auto" w:fill="auto"/>
        <w:wordWrap w:val="0"/>
        <w:adjustRightInd w:val="0"/>
        <w:snapToGrid w:val="0"/>
        <w:spacing w:line="360" w:lineRule="auto"/>
        <w:jc w:val="center"/>
        <w:rPr>
          <w:rFonts w:hint="eastAsia" w:eastAsia="宋体"/>
          <w:b/>
          <w:bCs/>
          <w:snapToGrid w:val="0"/>
          <w:color w:val="auto"/>
          <w:kern w:val="0"/>
          <w:sz w:val="72"/>
          <w:szCs w:val="72"/>
          <w:highlight w:val="none"/>
          <w14:shadow w14:blurRad="50800" w14:dist="38100" w14:dir="2700000" w14:sx="100000" w14:sy="100000" w14:kx="0" w14:ky="0" w14:algn="tl">
            <w14:srgbClr w14:val="000000">
              <w14:alpha w14:val="60000"/>
            </w14:srgbClr>
          </w14:shadow>
        </w:rPr>
      </w:pPr>
    </w:p>
    <w:p w14:paraId="19FE8D26">
      <w:pPr>
        <w:pStyle w:val="51"/>
        <w:shd w:val="clear" w:color="auto" w:fill="auto"/>
        <w:wordWrap w:val="0"/>
        <w:adjustRightInd w:val="0"/>
        <w:snapToGrid w:val="0"/>
        <w:spacing w:line="360" w:lineRule="auto"/>
        <w:jc w:val="center"/>
        <w:rPr>
          <w:rFonts w:hint="eastAsia" w:eastAsia="宋体"/>
          <w:b/>
          <w:bCs/>
          <w:snapToGrid w:val="0"/>
          <w:color w:val="auto"/>
          <w:kern w:val="0"/>
          <w:sz w:val="72"/>
          <w:szCs w:val="72"/>
          <w:highlight w:val="none"/>
          <w14:shadow w14:blurRad="50800" w14:dist="38100" w14:dir="2700000" w14:sx="100000" w14:sy="100000" w14:kx="0" w14:ky="0" w14:algn="tl">
            <w14:srgbClr w14:val="000000">
              <w14:alpha w14:val="60000"/>
            </w14:srgbClr>
          </w14:shadow>
        </w:rPr>
      </w:pPr>
      <w:r>
        <w:rPr>
          <w:rFonts w:hint="eastAsia" w:eastAsia="宋体"/>
          <w:b/>
          <w:bCs/>
          <w:snapToGrid w:val="0"/>
          <w:color w:val="auto"/>
          <w:kern w:val="0"/>
          <w:sz w:val="72"/>
          <w:szCs w:val="72"/>
          <w:highlight w:val="none"/>
          <w14:shadow w14:blurRad="50800" w14:dist="38100" w14:dir="2700000" w14:sx="100000" w14:sy="100000" w14:kx="0" w14:ky="0" w14:algn="tl">
            <w14:srgbClr w14:val="000000">
              <w14:alpha w14:val="60000"/>
            </w14:srgbClr>
          </w14:shadow>
        </w:rPr>
        <w:t>招标文件</w:t>
      </w:r>
    </w:p>
    <w:p w14:paraId="30AF3F15">
      <w:pPr>
        <w:shd w:val="clear" w:color="auto" w:fill="auto"/>
        <w:rPr>
          <w:rFonts w:hint="eastAsia"/>
          <w:color w:val="auto"/>
          <w:highlight w:val="none"/>
        </w:rPr>
      </w:pPr>
    </w:p>
    <w:p w14:paraId="50A1C299">
      <w:pPr>
        <w:shd w:val="clear" w:color="auto" w:fill="auto"/>
        <w:rPr>
          <w:rFonts w:hint="eastAsia"/>
          <w:color w:val="auto"/>
          <w:highlight w:val="none"/>
        </w:rPr>
      </w:pPr>
    </w:p>
    <w:tbl>
      <w:tblPr>
        <w:tblStyle w:val="17"/>
        <w:tblW w:w="0" w:type="auto"/>
        <w:tblInd w:w="-100" w:type="dxa"/>
        <w:tblLayout w:type="fixed"/>
        <w:tblCellMar>
          <w:top w:w="0" w:type="dxa"/>
          <w:left w:w="0" w:type="dxa"/>
          <w:bottom w:w="0" w:type="dxa"/>
          <w:right w:w="0" w:type="dxa"/>
        </w:tblCellMar>
      </w:tblPr>
      <w:tblGrid>
        <w:gridCol w:w="4708"/>
        <w:gridCol w:w="5020"/>
      </w:tblGrid>
      <w:tr w14:paraId="4460F39F">
        <w:tblPrEx>
          <w:tblCellMar>
            <w:top w:w="0" w:type="dxa"/>
            <w:left w:w="0" w:type="dxa"/>
            <w:bottom w:w="0" w:type="dxa"/>
            <w:right w:w="0" w:type="dxa"/>
          </w:tblCellMar>
        </w:tblPrEx>
        <w:trPr>
          <w:trHeight w:val="1205" w:hRule="atLeast"/>
        </w:trPr>
        <w:tc>
          <w:tcPr>
            <w:tcW w:w="4708" w:type="dxa"/>
            <w:noWrap w:val="0"/>
            <w:vAlign w:val="center"/>
          </w:tcPr>
          <w:p w14:paraId="4BFC6128">
            <w:pPr>
              <w:pStyle w:val="52"/>
              <w:shd w:val="clear" w:color="auto" w:fill="auto"/>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w:t>
            </w:r>
            <w:r>
              <w:rPr>
                <w:rFonts w:ascii="Times New Roman"/>
                <w:snapToGrid w:val="0"/>
                <w:color w:val="auto"/>
                <w:kern w:val="0"/>
                <w:sz w:val="28"/>
                <w:highlight w:val="none"/>
              </w:rPr>
              <w:t xml:space="preserve"> </w:t>
            </w:r>
            <w:r>
              <w:rPr>
                <w:rFonts w:hint="eastAsia" w:ascii="Times New Roman"/>
                <w:snapToGrid w:val="0"/>
                <w:color w:val="auto"/>
                <w:kern w:val="0"/>
                <w:sz w:val="28"/>
                <w:highlight w:val="none"/>
              </w:rPr>
              <w:t xml:space="preserve">    标</w:t>
            </w:r>
            <w:r>
              <w:rPr>
                <w:rFonts w:ascii="Times New Roman"/>
                <w:snapToGrid w:val="0"/>
                <w:color w:val="auto"/>
                <w:kern w:val="0"/>
                <w:sz w:val="28"/>
                <w:highlight w:val="none"/>
              </w:rPr>
              <w:t xml:space="preserve"> </w:t>
            </w:r>
            <w:r>
              <w:rPr>
                <w:rFonts w:hint="eastAsia" w:ascii="Times New Roman"/>
                <w:snapToGrid w:val="0"/>
                <w:color w:val="auto"/>
                <w:kern w:val="0"/>
                <w:sz w:val="28"/>
                <w:highlight w:val="none"/>
              </w:rPr>
              <w:t xml:space="preserve">    人（盖单位章）：</w:t>
            </w:r>
          </w:p>
        </w:tc>
        <w:tc>
          <w:tcPr>
            <w:tcW w:w="5020" w:type="dxa"/>
            <w:noWrap w:val="0"/>
            <w:vAlign w:val="center"/>
          </w:tcPr>
          <w:p w14:paraId="74A8E5C9">
            <w:pPr>
              <w:pStyle w:val="52"/>
              <w:wordWrap w:val="0"/>
              <w:adjustRightInd w:val="0"/>
              <w:snapToGrid w:val="0"/>
              <w:spacing w:line="240" w:lineRule="auto"/>
              <w:rPr>
                <w:rFonts w:hint="eastAsia" w:ascii="Times New Roman" w:eastAsia="宋体"/>
                <w:snapToGrid w:val="0"/>
                <w:color w:val="auto"/>
                <w:kern w:val="0"/>
                <w:sz w:val="28"/>
                <w:szCs w:val="28"/>
                <w:highlight w:val="none"/>
                <w:lang w:eastAsia="zh-CN"/>
              </w:rPr>
            </w:pPr>
            <w:r>
              <w:rPr>
                <w:rFonts w:hint="eastAsia" w:ascii="Times New Roman"/>
                <w:snapToGrid w:val="0"/>
                <w:color w:val="auto"/>
                <w:kern w:val="0"/>
                <w:sz w:val="28"/>
                <w:szCs w:val="28"/>
                <w:highlight w:val="none"/>
                <w:lang w:eastAsia="zh-CN"/>
              </w:rPr>
              <w:t>粤北城市燃气（</w:t>
            </w:r>
            <w:r>
              <w:rPr>
                <w:rFonts w:hint="eastAsia" w:ascii="Times New Roman"/>
                <w:snapToGrid w:val="0"/>
                <w:color w:val="auto"/>
                <w:kern w:val="0"/>
                <w:sz w:val="28"/>
                <w:szCs w:val="28"/>
                <w:highlight w:val="none"/>
                <w:lang w:val="en-US" w:eastAsia="zh-CN"/>
              </w:rPr>
              <w:t>翁源</w:t>
            </w:r>
            <w:r>
              <w:rPr>
                <w:rFonts w:hint="eastAsia" w:ascii="Times New Roman"/>
                <w:snapToGrid w:val="0"/>
                <w:color w:val="auto"/>
                <w:kern w:val="0"/>
                <w:sz w:val="28"/>
                <w:szCs w:val="28"/>
                <w:highlight w:val="none"/>
                <w:lang w:eastAsia="zh-CN"/>
              </w:rPr>
              <w:t>）有限公司</w:t>
            </w:r>
          </w:p>
        </w:tc>
      </w:tr>
      <w:tr w14:paraId="31745E46">
        <w:tblPrEx>
          <w:tblCellMar>
            <w:top w:w="0" w:type="dxa"/>
            <w:left w:w="0" w:type="dxa"/>
            <w:bottom w:w="0" w:type="dxa"/>
            <w:right w:w="0" w:type="dxa"/>
          </w:tblCellMar>
        </w:tblPrEx>
        <w:trPr>
          <w:trHeight w:val="1130" w:hRule="atLeast"/>
        </w:trPr>
        <w:tc>
          <w:tcPr>
            <w:tcW w:w="4708" w:type="dxa"/>
            <w:noWrap w:val="0"/>
            <w:vAlign w:val="center"/>
          </w:tcPr>
          <w:p w14:paraId="12920EAA">
            <w:pPr>
              <w:pStyle w:val="52"/>
              <w:shd w:val="clear" w:color="auto" w:fill="auto"/>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招标人工作领导小组负责人（签字）：</w:t>
            </w:r>
          </w:p>
        </w:tc>
        <w:tc>
          <w:tcPr>
            <w:tcW w:w="5020" w:type="dxa"/>
            <w:noWrap w:val="0"/>
            <w:vAlign w:val="center"/>
          </w:tcPr>
          <w:p w14:paraId="2BB1F708">
            <w:pPr>
              <w:pStyle w:val="52"/>
              <w:wordWrap w:val="0"/>
              <w:adjustRightInd w:val="0"/>
              <w:snapToGrid w:val="0"/>
              <w:spacing w:line="240" w:lineRule="auto"/>
              <w:rPr>
                <w:rFonts w:hint="eastAsia" w:ascii="Times New Roman"/>
                <w:snapToGrid w:val="0"/>
                <w:color w:val="auto"/>
                <w:kern w:val="0"/>
                <w:sz w:val="28"/>
                <w:szCs w:val="28"/>
                <w:highlight w:val="none"/>
              </w:rPr>
            </w:pPr>
          </w:p>
        </w:tc>
      </w:tr>
      <w:tr w14:paraId="0D6242EE">
        <w:tblPrEx>
          <w:tblCellMar>
            <w:top w:w="0" w:type="dxa"/>
            <w:left w:w="0" w:type="dxa"/>
            <w:bottom w:w="0" w:type="dxa"/>
            <w:right w:w="0" w:type="dxa"/>
          </w:tblCellMar>
        </w:tblPrEx>
        <w:trPr>
          <w:trHeight w:val="1190" w:hRule="atLeast"/>
        </w:trPr>
        <w:tc>
          <w:tcPr>
            <w:tcW w:w="4708" w:type="dxa"/>
            <w:noWrap w:val="0"/>
            <w:vAlign w:val="center"/>
          </w:tcPr>
          <w:p w14:paraId="587E4EB8">
            <w:pPr>
              <w:pStyle w:val="52"/>
              <w:shd w:val="clear" w:color="auto" w:fill="auto"/>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 标 代 理 机 构 （盖单位章）：</w:t>
            </w:r>
          </w:p>
        </w:tc>
        <w:tc>
          <w:tcPr>
            <w:tcW w:w="5020" w:type="dxa"/>
            <w:noWrap w:val="0"/>
            <w:vAlign w:val="center"/>
          </w:tcPr>
          <w:p w14:paraId="3DF5A6C1">
            <w:pPr>
              <w:pStyle w:val="52"/>
              <w:wordWrap w:val="0"/>
              <w:adjustRightInd w:val="0"/>
              <w:snapToGrid w:val="0"/>
              <w:spacing w:line="240" w:lineRule="auto"/>
              <w:rPr>
                <w:rFonts w:hint="eastAsia" w:ascii="Times New Roman" w:eastAsia="宋体"/>
                <w:snapToGrid w:val="0"/>
                <w:color w:val="auto"/>
                <w:kern w:val="0"/>
                <w:sz w:val="28"/>
                <w:szCs w:val="28"/>
                <w:highlight w:val="none"/>
                <w:lang w:eastAsia="zh-CN"/>
              </w:rPr>
            </w:pPr>
            <w:r>
              <w:rPr>
                <w:rFonts w:hint="eastAsia" w:ascii="Times New Roman" w:eastAsia="宋体"/>
                <w:snapToGrid w:val="0"/>
                <w:color w:val="auto"/>
                <w:kern w:val="0"/>
                <w:sz w:val="28"/>
                <w:szCs w:val="28"/>
                <w:highlight w:val="none"/>
                <w:lang w:val="en-US" w:eastAsia="zh-CN"/>
              </w:rPr>
              <w:t>韶关市中利工程咨询有限公司</w:t>
            </w:r>
          </w:p>
        </w:tc>
      </w:tr>
      <w:tr w14:paraId="23F21352">
        <w:tblPrEx>
          <w:tblCellMar>
            <w:top w:w="0" w:type="dxa"/>
            <w:left w:w="0" w:type="dxa"/>
            <w:bottom w:w="0" w:type="dxa"/>
            <w:right w:w="0" w:type="dxa"/>
          </w:tblCellMar>
        </w:tblPrEx>
        <w:trPr>
          <w:trHeight w:val="1185" w:hRule="atLeast"/>
        </w:trPr>
        <w:tc>
          <w:tcPr>
            <w:tcW w:w="4708" w:type="dxa"/>
            <w:noWrap w:val="0"/>
            <w:vAlign w:val="center"/>
          </w:tcPr>
          <w:p w14:paraId="53B68F6A">
            <w:pPr>
              <w:pStyle w:val="52"/>
              <w:shd w:val="clear" w:color="auto" w:fill="auto"/>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招标文件编制人（签字）：</w:t>
            </w:r>
          </w:p>
        </w:tc>
        <w:tc>
          <w:tcPr>
            <w:tcW w:w="5020" w:type="dxa"/>
            <w:noWrap w:val="0"/>
            <w:vAlign w:val="center"/>
          </w:tcPr>
          <w:p w14:paraId="165822AE">
            <w:pPr>
              <w:pStyle w:val="52"/>
              <w:wordWrap w:val="0"/>
              <w:adjustRightInd w:val="0"/>
              <w:snapToGrid w:val="0"/>
              <w:spacing w:line="240" w:lineRule="auto"/>
              <w:rPr>
                <w:rFonts w:hint="eastAsia" w:ascii="Times New Roman"/>
                <w:snapToGrid w:val="0"/>
                <w:color w:val="auto"/>
                <w:kern w:val="0"/>
                <w:sz w:val="28"/>
                <w:szCs w:val="28"/>
                <w:highlight w:val="none"/>
              </w:rPr>
            </w:pPr>
          </w:p>
        </w:tc>
      </w:tr>
      <w:tr w14:paraId="385F4E6B">
        <w:tblPrEx>
          <w:tblCellMar>
            <w:top w:w="0" w:type="dxa"/>
            <w:left w:w="0" w:type="dxa"/>
            <w:bottom w:w="0" w:type="dxa"/>
            <w:right w:w="0" w:type="dxa"/>
          </w:tblCellMar>
        </w:tblPrEx>
        <w:trPr>
          <w:trHeight w:val="1185" w:hRule="atLeast"/>
        </w:trPr>
        <w:tc>
          <w:tcPr>
            <w:tcW w:w="4708" w:type="dxa"/>
            <w:noWrap w:val="0"/>
            <w:vAlign w:val="center"/>
          </w:tcPr>
          <w:p w14:paraId="2AEC54B2">
            <w:pPr>
              <w:pStyle w:val="52"/>
              <w:shd w:val="clear" w:color="auto" w:fill="auto"/>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招标代理机构项目负责人（签字）：</w:t>
            </w:r>
          </w:p>
        </w:tc>
        <w:tc>
          <w:tcPr>
            <w:tcW w:w="5020" w:type="dxa"/>
            <w:noWrap w:val="0"/>
            <w:vAlign w:val="center"/>
          </w:tcPr>
          <w:p w14:paraId="3FAC2612">
            <w:pPr>
              <w:pStyle w:val="52"/>
              <w:wordWrap w:val="0"/>
              <w:adjustRightInd w:val="0"/>
              <w:snapToGrid w:val="0"/>
              <w:spacing w:line="240" w:lineRule="auto"/>
              <w:rPr>
                <w:rFonts w:hint="eastAsia" w:ascii="Times New Roman"/>
                <w:snapToGrid w:val="0"/>
                <w:color w:val="auto"/>
                <w:kern w:val="0"/>
                <w:sz w:val="28"/>
                <w:szCs w:val="28"/>
                <w:highlight w:val="none"/>
              </w:rPr>
            </w:pPr>
          </w:p>
        </w:tc>
      </w:tr>
      <w:tr w14:paraId="1BF45B69">
        <w:tblPrEx>
          <w:tblCellMar>
            <w:top w:w="0" w:type="dxa"/>
            <w:left w:w="0" w:type="dxa"/>
            <w:bottom w:w="0" w:type="dxa"/>
            <w:right w:w="0" w:type="dxa"/>
          </w:tblCellMar>
        </w:tblPrEx>
        <w:trPr>
          <w:trHeight w:val="892" w:hRule="atLeast"/>
        </w:trPr>
        <w:tc>
          <w:tcPr>
            <w:tcW w:w="4708" w:type="dxa"/>
            <w:noWrap w:val="0"/>
            <w:vAlign w:val="center"/>
          </w:tcPr>
          <w:p w14:paraId="0AF753F8">
            <w:pPr>
              <w:pStyle w:val="52"/>
              <w:shd w:val="clear" w:color="auto" w:fill="auto"/>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招标文件编制日期：</w:t>
            </w:r>
          </w:p>
        </w:tc>
        <w:tc>
          <w:tcPr>
            <w:tcW w:w="5020" w:type="dxa"/>
            <w:noWrap w:val="0"/>
            <w:vAlign w:val="center"/>
          </w:tcPr>
          <w:p w14:paraId="67AEBBE6">
            <w:pPr>
              <w:pStyle w:val="52"/>
              <w:wordWrap w:val="0"/>
              <w:adjustRightInd w:val="0"/>
              <w:snapToGrid w:val="0"/>
              <w:spacing w:line="240" w:lineRule="auto"/>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202</w:t>
            </w:r>
            <w:r>
              <w:rPr>
                <w:rFonts w:hint="eastAsia" w:ascii="Times New Roman"/>
                <w:snapToGrid w:val="0"/>
                <w:color w:val="auto"/>
                <w:kern w:val="0"/>
                <w:sz w:val="28"/>
                <w:highlight w:val="none"/>
                <w:lang w:val="en-US" w:eastAsia="zh-CN"/>
              </w:rPr>
              <w:t>6</w:t>
            </w:r>
            <w:r>
              <w:rPr>
                <w:rFonts w:hint="eastAsia" w:ascii="Times New Roman"/>
                <w:snapToGrid w:val="0"/>
                <w:color w:val="auto"/>
                <w:kern w:val="0"/>
                <w:sz w:val="28"/>
                <w:highlight w:val="none"/>
              </w:rPr>
              <w:t>年</w:t>
            </w:r>
            <w:r>
              <w:rPr>
                <w:rFonts w:hint="eastAsia" w:ascii="Times New Roman"/>
                <w:snapToGrid w:val="0"/>
                <w:color w:val="auto"/>
                <w:kern w:val="0"/>
                <w:sz w:val="28"/>
                <w:highlight w:val="none"/>
                <w:lang w:val="en-US" w:eastAsia="zh-CN"/>
              </w:rPr>
              <w:t>8</w:t>
            </w:r>
            <w:r>
              <w:rPr>
                <w:rFonts w:hint="eastAsia" w:ascii="Times New Roman"/>
                <w:snapToGrid w:val="0"/>
                <w:color w:val="auto"/>
                <w:kern w:val="0"/>
                <w:sz w:val="28"/>
                <w:highlight w:val="none"/>
              </w:rPr>
              <w:t>月</w:t>
            </w:r>
          </w:p>
        </w:tc>
      </w:tr>
    </w:tbl>
    <w:p w14:paraId="06400B0C">
      <w:pPr>
        <w:pStyle w:val="4"/>
        <w:rPr>
          <w:rFonts w:hint="eastAsia" w:ascii="宋体" w:hAnsi="宋体" w:eastAsia="宋体" w:cs="宋体"/>
          <w:color w:val="auto"/>
          <w:highlight w:val="none"/>
        </w:rPr>
      </w:pPr>
    </w:p>
    <w:p w14:paraId="016AE2D3">
      <w:pPr>
        <w:rPr>
          <w:rFonts w:hint="eastAsia" w:ascii="宋体" w:hAnsi="宋体" w:eastAsia="宋体" w:cs="宋体"/>
          <w:color w:val="auto"/>
          <w:highlight w:val="none"/>
        </w:rPr>
      </w:pPr>
    </w:p>
    <w:p w14:paraId="58C6CBA6">
      <w:pPr>
        <w:pStyle w:val="4"/>
        <w:rPr>
          <w:rFonts w:hint="eastAsia" w:ascii="宋体" w:hAnsi="宋体" w:eastAsia="宋体" w:cs="宋体"/>
          <w:color w:val="auto"/>
          <w:highlight w:val="none"/>
        </w:rPr>
      </w:pPr>
    </w:p>
    <w:p w14:paraId="0437F369">
      <w:pPr>
        <w:rPr>
          <w:rFonts w:hint="eastAsia" w:ascii="宋体" w:hAnsi="宋体" w:eastAsia="宋体" w:cs="宋体"/>
          <w:color w:val="auto"/>
          <w:highlight w:val="none"/>
        </w:rPr>
      </w:pPr>
    </w:p>
    <w:p w14:paraId="1D144B65">
      <w:pPr>
        <w:pStyle w:val="4"/>
        <w:rPr>
          <w:rFonts w:hint="eastAsia" w:ascii="宋体" w:hAnsi="宋体" w:eastAsia="宋体" w:cs="宋体"/>
          <w:color w:val="auto"/>
          <w:highlight w:val="none"/>
        </w:rPr>
      </w:pPr>
    </w:p>
    <w:p w14:paraId="152CE3DA">
      <w:pPr>
        <w:rPr>
          <w:rFonts w:hint="eastAsia" w:ascii="宋体" w:hAnsi="宋体" w:eastAsia="宋体" w:cs="宋体"/>
          <w:color w:val="auto"/>
          <w:highlight w:val="none"/>
        </w:rPr>
      </w:pPr>
    </w:p>
    <w:p w14:paraId="1DA39165">
      <w:pPr>
        <w:pStyle w:val="4"/>
        <w:rPr>
          <w:rFonts w:hint="eastAsia" w:ascii="宋体" w:hAnsi="宋体" w:eastAsia="宋体" w:cs="宋体"/>
          <w:color w:val="auto"/>
          <w:highlight w:val="none"/>
        </w:rPr>
      </w:pPr>
    </w:p>
    <w:p w14:paraId="507EDEAD">
      <w:pPr>
        <w:rPr>
          <w:rFonts w:hint="eastAsia" w:ascii="宋体" w:hAnsi="宋体" w:eastAsia="宋体" w:cs="宋体"/>
          <w:color w:val="auto"/>
          <w:highlight w:val="none"/>
        </w:rPr>
      </w:pPr>
    </w:p>
    <w:p w14:paraId="2E9C4E86">
      <w:pPr>
        <w:pStyle w:val="4"/>
        <w:rPr>
          <w:rFonts w:hint="eastAsia" w:ascii="宋体" w:hAnsi="宋体" w:eastAsia="宋体" w:cs="宋体"/>
          <w:color w:val="auto"/>
          <w:highlight w:val="none"/>
        </w:rPr>
      </w:pPr>
    </w:p>
    <w:p w14:paraId="1E4DB4F4">
      <w:pPr>
        <w:rPr>
          <w:rFonts w:hint="eastAsia" w:ascii="宋体" w:hAnsi="宋体" w:eastAsia="宋体" w:cs="宋体"/>
          <w:color w:val="auto"/>
          <w:highlight w:val="none"/>
        </w:rPr>
      </w:pPr>
    </w:p>
    <w:p w14:paraId="460CD78C">
      <w:pPr>
        <w:pStyle w:val="4"/>
        <w:rPr>
          <w:rFonts w:hint="eastAsia" w:ascii="宋体" w:hAnsi="宋体" w:eastAsia="宋体" w:cs="宋体"/>
          <w:color w:val="auto"/>
          <w:highlight w:val="none"/>
        </w:rPr>
      </w:pPr>
    </w:p>
    <w:p w14:paraId="517E42DE">
      <w:pPr>
        <w:rPr>
          <w:rFonts w:hint="eastAsia" w:ascii="宋体" w:hAnsi="宋体" w:eastAsia="宋体" w:cs="宋体"/>
          <w:color w:val="auto"/>
          <w:highlight w:val="none"/>
        </w:rPr>
      </w:pPr>
    </w:p>
    <w:p w14:paraId="4F122E4C">
      <w:pPr>
        <w:pStyle w:val="4"/>
        <w:rPr>
          <w:rFonts w:hint="eastAsia" w:ascii="宋体" w:hAnsi="宋体" w:eastAsia="宋体" w:cs="宋体"/>
          <w:color w:val="auto"/>
          <w:highlight w:val="none"/>
        </w:rPr>
      </w:pPr>
    </w:p>
    <w:p w14:paraId="1F9EBCBB">
      <w:pPr>
        <w:rPr>
          <w:rFonts w:hint="eastAsia" w:ascii="宋体" w:hAnsi="宋体" w:eastAsia="宋体" w:cs="宋体"/>
          <w:color w:val="auto"/>
          <w:highlight w:val="none"/>
        </w:rPr>
      </w:pPr>
    </w:p>
    <w:p w14:paraId="07290AB6">
      <w:pPr>
        <w:pStyle w:val="4"/>
        <w:rPr>
          <w:rFonts w:hint="eastAsia" w:ascii="宋体" w:hAnsi="宋体" w:eastAsia="宋体" w:cs="宋体"/>
          <w:color w:val="auto"/>
          <w:highlight w:val="none"/>
        </w:rPr>
      </w:pPr>
    </w:p>
    <w:p w14:paraId="4DBFB2FB">
      <w:pPr>
        <w:rPr>
          <w:rFonts w:hint="eastAsia" w:ascii="宋体" w:hAnsi="宋体" w:eastAsia="宋体" w:cs="宋体"/>
          <w:color w:val="auto"/>
          <w:highlight w:val="none"/>
        </w:rPr>
      </w:pPr>
    </w:p>
    <w:p w14:paraId="5B7EEA2D">
      <w:pPr>
        <w:pStyle w:val="4"/>
        <w:rPr>
          <w:rFonts w:hint="eastAsia" w:ascii="宋体" w:hAnsi="宋体" w:eastAsia="宋体" w:cs="宋体"/>
          <w:color w:val="auto"/>
          <w:highlight w:val="none"/>
        </w:rPr>
      </w:pPr>
    </w:p>
    <w:p w14:paraId="555D59F5">
      <w:pPr>
        <w:rPr>
          <w:rFonts w:hint="eastAsia" w:ascii="宋体" w:hAnsi="宋体" w:eastAsia="宋体" w:cs="宋体"/>
          <w:color w:val="auto"/>
          <w:highlight w:val="none"/>
        </w:rPr>
      </w:pPr>
    </w:p>
    <w:p w14:paraId="209826F2">
      <w:pPr>
        <w:pStyle w:val="4"/>
        <w:rPr>
          <w:rFonts w:hint="eastAsia" w:ascii="宋体" w:hAnsi="宋体" w:eastAsia="宋体" w:cs="宋体"/>
          <w:color w:val="auto"/>
          <w:highlight w:val="none"/>
        </w:rPr>
      </w:pPr>
    </w:p>
    <w:p w14:paraId="6D7691F7">
      <w:pPr>
        <w:rPr>
          <w:rFonts w:hint="eastAsia" w:ascii="宋体" w:hAnsi="宋体" w:eastAsia="宋体" w:cs="宋体"/>
          <w:color w:val="auto"/>
          <w:highlight w:val="none"/>
        </w:rPr>
      </w:pPr>
    </w:p>
    <w:p w14:paraId="5C7D8132">
      <w:pPr>
        <w:pStyle w:val="4"/>
        <w:rPr>
          <w:rFonts w:hint="eastAsia" w:ascii="宋体" w:hAnsi="宋体" w:eastAsia="宋体" w:cs="宋体"/>
          <w:color w:val="auto"/>
          <w:highlight w:val="none"/>
        </w:rPr>
      </w:pPr>
    </w:p>
    <w:p w14:paraId="30AF8E81">
      <w:pPr>
        <w:rPr>
          <w:rFonts w:hint="eastAsia" w:ascii="宋体" w:hAnsi="宋体" w:eastAsia="宋体" w:cs="宋体"/>
          <w:color w:val="auto"/>
          <w:highlight w:val="none"/>
        </w:rPr>
      </w:pPr>
    </w:p>
    <w:p w14:paraId="4EF15235">
      <w:pPr>
        <w:pStyle w:val="4"/>
        <w:rPr>
          <w:rFonts w:hint="eastAsia" w:ascii="宋体" w:hAnsi="宋体" w:eastAsia="宋体" w:cs="宋体"/>
          <w:color w:val="auto"/>
          <w:highlight w:val="none"/>
        </w:rPr>
      </w:pPr>
    </w:p>
    <w:p w14:paraId="3C812420">
      <w:pPr>
        <w:rPr>
          <w:rFonts w:hint="eastAsia" w:ascii="宋体" w:hAnsi="宋体" w:eastAsia="宋体" w:cs="宋体"/>
          <w:color w:val="auto"/>
          <w:highlight w:val="none"/>
        </w:rPr>
      </w:pPr>
    </w:p>
    <w:p w14:paraId="693910ED">
      <w:pPr>
        <w:pStyle w:val="4"/>
        <w:rPr>
          <w:rFonts w:hint="eastAsia" w:ascii="宋体" w:hAnsi="宋体" w:eastAsia="宋体" w:cs="宋体"/>
          <w:color w:val="auto"/>
          <w:highlight w:val="none"/>
        </w:rPr>
      </w:pPr>
    </w:p>
    <w:p w14:paraId="5A1CCC6F">
      <w:pPr>
        <w:rPr>
          <w:rFonts w:hint="eastAsia" w:ascii="宋体" w:hAnsi="宋体" w:eastAsia="宋体" w:cs="宋体"/>
          <w:color w:val="auto"/>
          <w:highlight w:val="none"/>
        </w:rPr>
      </w:pPr>
    </w:p>
    <w:p w14:paraId="1E3A47DB">
      <w:pPr>
        <w:pStyle w:val="4"/>
        <w:rPr>
          <w:rFonts w:hint="eastAsia" w:ascii="宋体" w:hAnsi="宋体" w:eastAsia="宋体" w:cs="宋体"/>
          <w:color w:val="auto"/>
          <w:highlight w:val="none"/>
        </w:rPr>
      </w:pPr>
    </w:p>
    <w:p w14:paraId="47A31D47">
      <w:pPr>
        <w:rPr>
          <w:rFonts w:hint="eastAsia" w:ascii="宋体" w:hAnsi="宋体" w:eastAsia="宋体" w:cs="宋体"/>
          <w:color w:val="auto"/>
          <w:highlight w:val="none"/>
        </w:rPr>
      </w:pPr>
    </w:p>
    <w:p w14:paraId="5CD331B2">
      <w:pPr>
        <w:pStyle w:val="4"/>
        <w:rPr>
          <w:rFonts w:hint="eastAsia" w:ascii="宋体" w:hAnsi="宋体" w:eastAsia="宋体" w:cs="宋体"/>
          <w:color w:val="auto"/>
          <w:highlight w:val="none"/>
        </w:rPr>
      </w:pPr>
    </w:p>
    <w:p w14:paraId="4DECD5B5">
      <w:pPr>
        <w:rPr>
          <w:rFonts w:hint="eastAsia" w:ascii="宋体" w:hAnsi="宋体" w:eastAsia="宋体" w:cs="宋体"/>
          <w:color w:val="auto"/>
          <w:highlight w:val="none"/>
        </w:rPr>
      </w:pPr>
    </w:p>
    <w:p w14:paraId="272CBF4C">
      <w:pPr>
        <w:pStyle w:val="4"/>
        <w:rPr>
          <w:rFonts w:hint="eastAsia" w:ascii="宋体" w:hAnsi="宋体" w:eastAsia="宋体" w:cs="宋体"/>
          <w:color w:val="auto"/>
          <w:highlight w:val="none"/>
        </w:rPr>
      </w:pPr>
    </w:p>
    <w:p w14:paraId="5C0E220F">
      <w:pPr>
        <w:rPr>
          <w:rFonts w:hint="eastAsia" w:ascii="宋体" w:hAnsi="宋体" w:eastAsia="宋体" w:cs="宋体"/>
          <w:color w:val="auto"/>
          <w:highlight w:val="none"/>
        </w:rPr>
      </w:pPr>
    </w:p>
    <w:p w14:paraId="3BADE11E">
      <w:pPr>
        <w:pStyle w:val="4"/>
        <w:rPr>
          <w:rFonts w:hint="eastAsia" w:ascii="宋体" w:hAnsi="宋体" w:eastAsia="宋体" w:cs="宋体"/>
          <w:color w:val="auto"/>
          <w:highlight w:val="none"/>
        </w:rPr>
      </w:pPr>
    </w:p>
    <w:p w14:paraId="74910C0E">
      <w:pPr>
        <w:rPr>
          <w:rFonts w:hint="eastAsia" w:ascii="宋体" w:hAnsi="宋体" w:eastAsia="宋体" w:cs="宋体"/>
          <w:color w:val="auto"/>
          <w:highlight w:val="none"/>
        </w:rPr>
      </w:pPr>
    </w:p>
    <w:p w14:paraId="0A2173D0">
      <w:pPr>
        <w:pStyle w:val="4"/>
        <w:rPr>
          <w:rFonts w:hint="eastAsia" w:ascii="宋体" w:hAnsi="宋体" w:eastAsia="宋体" w:cs="宋体"/>
          <w:color w:val="auto"/>
          <w:highlight w:val="none"/>
        </w:rPr>
      </w:pPr>
    </w:p>
    <w:p w14:paraId="237E1CCF">
      <w:pPr>
        <w:rPr>
          <w:rFonts w:hint="eastAsia" w:ascii="宋体" w:hAnsi="宋体" w:eastAsia="宋体" w:cs="宋体"/>
          <w:color w:val="auto"/>
          <w:highlight w:val="none"/>
        </w:rPr>
      </w:pPr>
    </w:p>
    <w:p w14:paraId="08A7E6B6">
      <w:pPr>
        <w:pStyle w:val="4"/>
        <w:rPr>
          <w:rFonts w:hint="eastAsia" w:ascii="宋体" w:hAnsi="宋体" w:eastAsia="宋体" w:cs="宋体"/>
          <w:color w:val="auto"/>
          <w:highlight w:val="none"/>
        </w:rPr>
      </w:pPr>
    </w:p>
    <w:p w14:paraId="2CD96D50">
      <w:pPr>
        <w:rPr>
          <w:rFonts w:hint="eastAsia" w:ascii="宋体" w:hAnsi="宋体" w:eastAsia="宋体" w:cs="宋体"/>
          <w:color w:val="auto"/>
          <w:highlight w:val="none"/>
        </w:rPr>
      </w:pPr>
    </w:p>
    <w:p w14:paraId="55A6A3F8">
      <w:pPr>
        <w:pStyle w:val="4"/>
        <w:rPr>
          <w:rFonts w:hint="eastAsia"/>
          <w:color w:val="auto"/>
          <w:highlight w:val="none"/>
        </w:rPr>
        <w:sectPr>
          <w:headerReference r:id="rId3"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6EF33911">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目录</w:t>
      </w:r>
    </w:p>
    <w:p w14:paraId="5D46C2C5">
      <w:pPr>
        <w:pStyle w:val="11"/>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"1-3"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_Toc19929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第一章</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投标人须知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_Toc19929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12271B52">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_Toc6684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第一节</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投标人须知前附表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_Toc6684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25D94F48">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_Toc3868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第二节 重要事项时间地点一览表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_Toc3868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49AF058C">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_Toc26480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第三节</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投标人须知正文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_Toc26480 \h </w:instrText>
      </w:r>
      <w:r>
        <w:rPr>
          <w:rFonts w:hint="eastAsia" w:ascii="宋体" w:hAnsi="宋体" w:eastAsia="宋体" w:cs="宋体"/>
          <w:sz w:val="24"/>
          <w:szCs w:val="24"/>
        </w:rPr>
        <w:fldChar w:fldCharType="separate"/>
      </w:r>
      <w:r>
        <w:rPr>
          <w:rFonts w:hint="eastAsia" w:ascii="宋体" w:hAnsi="宋体" w:eastAsia="宋体" w:cs="宋体"/>
          <w:sz w:val="24"/>
          <w:szCs w:val="24"/>
        </w:rPr>
        <w:t>12</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47B2D98F">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_Toc10857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1</w:t>
      </w:r>
      <w:r>
        <w:rPr>
          <w:rFonts w:hint="eastAsia" w:ascii="宋体" w:hAnsi="宋体" w:eastAsia="宋体" w:cs="宋体"/>
          <w:bCs/>
          <w:spacing w:val="-23"/>
          <w:sz w:val="24"/>
          <w:szCs w:val="24"/>
          <w:highlight w:val="none"/>
        </w:rPr>
        <w:t xml:space="preserve"> </w:t>
      </w:r>
      <w:r>
        <w:rPr>
          <w:rFonts w:hint="eastAsia" w:ascii="宋体" w:hAnsi="宋体" w:eastAsia="宋体" w:cs="宋体"/>
          <w:bCs/>
          <w:spacing w:val="-4"/>
          <w:sz w:val="24"/>
          <w:szCs w:val="24"/>
          <w:highlight w:val="none"/>
        </w:rPr>
        <w:t>．项目概况、招标范围和标段划分、投标费用等</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_Toc10857 \h </w:instrText>
      </w:r>
      <w:r>
        <w:rPr>
          <w:rFonts w:hint="eastAsia" w:ascii="宋体" w:hAnsi="宋体" w:eastAsia="宋体" w:cs="宋体"/>
          <w:sz w:val="24"/>
          <w:szCs w:val="24"/>
        </w:rPr>
        <w:fldChar w:fldCharType="separate"/>
      </w:r>
      <w:r>
        <w:rPr>
          <w:rFonts w:hint="eastAsia" w:ascii="宋体" w:hAnsi="宋体" w:eastAsia="宋体" w:cs="宋体"/>
          <w:sz w:val="24"/>
          <w:szCs w:val="24"/>
        </w:rPr>
        <w:t>12</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2FD6E76C">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_Toc26576 </w:instrText>
      </w:r>
      <w:r>
        <w:rPr>
          <w:rFonts w:hint="eastAsia" w:ascii="宋体" w:hAnsi="宋体" w:eastAsia="宋体" w:cs="宋体"/>
          <w:sz w:val="24"/>
          <w:szCs w:val="24"/>
          <w:highlight w:val="none"/>
        </w:rPr>
        <w:fldChar w:fldCharType="separate"/>
      </w:r>
      <w:r>
        <w:rPr>
          <w:rFonts w:hint="eastAsia" w:ascii="宋体" w:hAnsi="宋体" w:eastAsia="宋体" w:cs="宋体"/>
          <w:bCs/>
          <w:sz w:val="24"/>
          <w:szCs w:val="24"/>
          <w:highlight w:val="none"/>
        </w:rPr>
        <w:t>2．</w:t>
      </w:r>
      <w:r>
        <w:rPr>
          <w:rFonts w:hint="eastAsia" w:ascii="宋体" w:hAnsi="宋体" w:eastAsia="宋体" w:cs="宋体"/>
          <w:bCs w:val="0"/>
          <w:sz w:val="24"/>
          <w:szCs w:val="24"/>
          <w:highlight w:val="none"/>
          <w:lang w:eastAsia="zh-CN"/>
        </w:rPr>
        <w:t>投标人</w:t>
      </w:r>
      <w:r>
        <w:rPr>
          <w:rFonts w:hint="eastAsia" w:ascii="宋体" w:hAnsi="宋体" w:eastAsia="宋体" w:cs="宋体"/>
          <w:bCs w:val="0"/>
          <w:sz w:val="24"/>
          <w:szCs w:val="24"/>
          <w:highlight w:val="none"/>
        </w:rPr>
        <w:t>资质要求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_Toc26576 \h </w:instrText>
      </w:r>
      <w:r>
        <w:rPr>
          <w:rFonts w:hint="eastAsia" w:ascii="宋体" w:hAnsi="宋体" w:eastAsia="宋体" w:cs="宋体"/>
          <w:sz w:val="24"/>
          <w:szCs w:val="24"/>
        </w:rPr>
        <w:fldChar w:fldCharType="separate"/>
      </w:r>
      <w:r>
        <w:rPr>
          <w:rFonts w:hint="eastAsia" w:ascii="宋体" w:hAnsi="宋体" w:eastAsia="宋体" w:cs="宋体"/>
          <w:sz w:val="24"/>
          <w:szCs w:val="24"/>
        </w:rPr>
        <w:t>12</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0B4FA607">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_Toc7702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3．招标文件的获取</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_Toc7702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7B07F0A0">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_Toc27523 </w:instrText>
      </w:r>
      <w:r>
        <w:rPr>
          <w:rFonts w:hint="eastAsia" w:ascii="宋体" w:hAnsi="宋体" w:eastAsia="宋体" w:cs="宋体"/>
          <w:sz w:val="24"/>
          <w:szCs w:val="24"/>
          <w:highlight w:val="none"/>
        </w:rPr>
        <w:fldChar w:fldCharType="separate"/>
      </w:r>
      <w:r>
        <w:rPr>
          <w:rFonts w:hint="eastAsia" w:ascii="宋体" w:hAnsi="宋体" w:eastAsia="宋体" w:cs="宋体"/>
          <w:bCs/>
          <w:spacing w:val="-8"/>
          <w:sz w:val="24"/>
          <w:szCs w:val="24"/>
          <w:highlight w:val="none"/>
        </w:rPr>
        <w:t>4</w:t>
      </w:r>
      <w:r>
        <w:rPr>
          <w:rFonts w:hint="eastAsia" w:ascii="宋体" w:hAnsi="宋体" w:eastAsia="宋体" w:cs="宋体"/>
          <w:bCs/>
          <w:spacing w:val="-8"/>
          <w:sz w:val="24"/>
          <w:szCs w:val="24"/>
          <w:highlight w:val="none"/>
          <w:lang w:val="en-US" w:eastAsia="zh-CN"/>
        </w:rPr>
        <w:t xml:space="preserve"> </w:t>
      </w:r>
      <w:r>
        <w:rPr>
          <w:rFonts w:hint="eastAsia" w:ascii="宋体" w:hAnsi="宋体" w:eastAsia="宋体" w:cs="宋体"/>
          <w:bCs/>
          <w:spacing w:val="-8"/>
          <w:sz w:val="24"/>
          <w:szCs w:val="24"/>
          <w:highlight w:val="none"/>
        </w:rPr>
        <w:t>．工期要求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_Toc27523 \h </w:instrText>
      </w:r>
      <w:r>
        <w:rPr>
          <w:rFonts w:hint="eastAsia" w:ascii="宋体" w:hAnsi="宋体" w:eastAsia="宋体" w:cs="宋体"/>
          <w:sz w:val="24"/>
          <w:szCs w:val="24"/>
        </w:rPr>
        <w:fldChar w:fldCharType="separate"/>
      </w:r>
      <w:r>
        <w:rPr>
          <w:rFonts w:hint="eastAsia" w:ascii="宋体" w:hAnsi="宋体" w:eastAsia="宋体" w:cs="宋体"/>
          <w:sz w:val="24"/>
          <w:szCs w:val="24"/>
        </w:rPr>
        <w:t>16</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1BD836DD">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_Toc16239 </w:instrText>
      </w:r>
      <w:r>
        <w:rPr>
          <w:rFonts w:hint="eastAsia" w:ascii="宋体" w:hAnsi="宋体" w:eastAsia="宋体" w:cs="宋体"/>
          <w:sz w:val="24"/>
          <w:szCs w:val="24"/>
          <w:highlight w:val="none"/>
        </w:rPr>
        <w:fldChar w:fldCharType="separate"/>
      </w:r>
      <w:r>
        <w:rPr>
          <w:rFonts w:hint="eastAsia" w:ascii="宋体" w:hAnsi="宋体" w:eastAsia="宋体" w:cs="宋体"/>
          <w:bCs/>
          <w:spacing w:val="-5"/>
          <w:sz w:val="24"/>
          <w:szCs w:val="24"/>
          <w:highlight w:val="none"/>
        </w:rPr>
        <w:t>5</w:t>
      </w:r>
      <w:r>
        <w:rPr>
          <w:rFonts w:hint="eastAsia" w:ascii="宋体" w:hAnsi="宋体" w:eastAsia="宋体" w:cs="宋体"/>
          <w:bCs/>
          <w:spacing w:val="-5"/>
          <w:sz w:val="24"/>
          <w:szCs w:val="24"/>
          <w:highlight w:val="none"/>
          <w:lang w:val="en-US" w:eastAsia="zh-CN"/>
        </w:rPr>
        <w:t xml:space="preserve"> </w:t>
      </w:r>
      <w:r>
        <w:rPr>
          <w:rFonts w:hint="eastAsia" w:ascii="宋体" w:hAnsi="宋体" w:eastAsia="宋体" w:cs="宋体"/>
          <w:bCs/>
          <w:spacing w:val="-5"/>
          <w:sz w:val="24"/>
          <w:szCs w:val="24"/>
          <w:highlight w:val="none"/>
        </w:rPr>
        <w:t>．质量标准和材料、机械要求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_Toc16239 \h </w:instrText>
      </w:r>
      <w:r>
        <w:rPr>
          <w:rFonts w:hint="eastAsia" w:ascii="宋体" w:hAnsi="宋体" w:eastAsia="宋体" w:cs="宋体"/>
          <w:sz w:val="24"/>
          <w:szCs w:val="24"/>
        </w:rPr>
        <w:fldChar w:fldCharType="separate"/>
      </w:r>
      <w:r>
        <w:rPr>
          <w:rFonts w:hint="eastAsia" w:ascii="宋体" w:hAnsi="宋体" w:eastAsia="宋体" w:cs="宋体"/>
          <w:sz w:val="24"/>
          <w:szCs w:val="24"/>
        </w:rPr>
        <w:t>16</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495689BF">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_Toc10302 </w:instrText>
      </w:r>
      <w:r>
        <w:rPr>
          <w:rFonts w:hint="eastAsia" w:ascii="宋体" w:hAnsi="宋体" w:eastAsia="宋体" w:cs="宋体"/>
          <w:sz w:val="24"/>
          <w:szCs w:val="24"/>
          <w:highlight w:val="none"/>
        </w:rPr>
        <w:fldChar w:fldCharType="separate"/>
      </w:r>
      <w:r>
        <w:rPr>
          <w:rFonts w:hint="eastAsia" w:ascii="宋体" w:hAnsi="宋体" w:eastAsia="宋体" w:cs="宋体"/>
          <w:bCs/>
          <w:spacing w:val="-6"/>
          <w:sz w:val="24"/>
          <w:szCs w:val="24"/>
          <w:highlight w:val="none"/>
        </w:rPr>
        <w:t>6</w:t>
      </w:r>
      <w:r>
        <w:rPr>
          <w:rFonts w:hint="eastAsia" w:ascii="宋体" w:hAnsi="宋体" w:eastAsia="宋体" w:cs="宋体"/>
          <w:bCs/>
          <w:spacing w:val="-20"/>
          <w:sz w:val="24"/>
          <w:szCs w:val="24"/>
          <w:highlight w:val="none"/>
        </w:rPr>
        <w:t xml:space="preserve"> </w:t>
      </w:r>
      <w:r>
        <w:rPr>
          <w:rFonts w:hint="eastAsia" w:ascii="宋体" w:hAnsi="宋体" w:eastAsia="宋体" w:cs="宋体"/>
          <w:bCs/>
          <w:spacing w:val="-6"/>
          <w:sz w:val="24"/>
          <w:szCs w:val="24"/>
          <w:highlight w:val="none"/>
        </w:rPr>
        <w:t>．施工条件及现场踏勘</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_Toc10302 \h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3CBC59A3">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_Toc13451 </w:instrText>
      </w:r>
      <w:r>
        <w:rPr>
          <w:rFonts w:hint="eastAsia" w:ascii="宋体" w:hAnsi="宋体" w:eastAsia="宋体" w:cs="宋体"/>
          <w:sz w:val="24"/>
          <w:szCs w:val="24"/>
          <w:highlight w:val="none"/>
        </w:rPr>
        <w:fldChar w:fldCharType="separate"/>
      </w:r>
      <w:r>
        <w:rPr>
          <w:rFonts w:hint="eastAsia" w:ascii="宋体" w:hAnsi="宋体" w:eastAsia="宋体" w:cs="宋体"/>
          <w:bCs/>
          <w:spacing w:val="-5"/>
          <w:sz w:val="24"/>
          <w:szCs w:val="24"/>
          <w:highlight w:val="none"/>
        </w:rPr>
        <w:t>7</w:t>
      </w:r>
      <w:r>
        <w:rPr>
          <w:rFonts w:hint="eastAsia" w:ascii="宋体" w:hAnsi="宋体" w:eastAsia="宋体" w:cs="宋体"/>
          <w:bCs/>
          <w:spacing w:val="-28"/>
          <w:sz w:val="24"/>
          <w:szCs w:val="24"/>
          <w:highlight w:val="none"/>
        </w:rPr>
        <w:t xml:space="preserve"> </w:t>
      </w:r>
      <w:r>
        <w:rPr>
          <w:rFonts w:hint="eastAsia" w:ascii="宋体" w:hAnsi="宋体" w:eastAsia="宋体" w:cs="宋体"/>
          <w:bCs/>
          <w:spacing w:val="-5"/>
          <w:sz w:val="24"/>
          <w:szCs w:val="24"/>
          <w:highlight w:val="none"/>
        </w:rPr>
        <w:t>．招标文件的提问和答疑</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_Toc13451 \h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25CDA428">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_Toc7721 </w:instrText>
      </w:r>
      <w:r>
        <w:rPr>
          <w:rFonts w:hint="eastAsia" w:ascii="宋体" w:hAnsi="宋体" w:eastAsia="宋体" w:cs="宋体"/>
          <w:sz w:val="24"/>
          <w:szCs w:val="24"/>
          <w:highlight w:val="none"/>
        </w:rPr>
        <w:fldChar w:fldCharType="separate"/>
      </w:r>
      <w:r>
        <w:rPr>
          <w:rFonts w:hint="eastAsia" w:ascii="宋体" w:hAnsi="宋体" w:eastAsia="宋体" w:cs="宋体"/>
          <w:bCs/>
          <w:spacing w:val="-5"/>
          <w:sz w:val="24"/>
          <w:szCs w:val="24"/>
          <w:highlight w:val="none"/>
        </w:rPr>
        <w:t>8</w:t>
      </w:r>
      <w:r>
        <w:rPr>
          <w:rFonts w:hint="eastAsia" w:ascii="宋体" w:hAnsi="宋体" w:eastAsia="宋体" w:cs="宋体"/>
          <w:bCs/>
          <w:spacing w:val="-23"/>
          <w:sz w:val="24"/>
          <w:szCs w:val="24"/>
          <w:highlight w:val="none"/>
        </w:rPr>
        <w:t xml:space="preserve"> </w:t>
      </w:r>
      <w:r>
        <w:rPr>
          <w:rFonts w:hint="eastAsia" w:ascii="宋体" w:hAnsi="宋体" w:eastAsia="宋体" w:cs="宋体"/>
          <w:bCs/>
          <w:spacing w:val="-5"/>
          <w:sz w:val="24"/>
          <w:szCs w:val="24"/>
          <w:highlight w:val="none"/>
        </w:rPr>
        <w:t>．</w:t>
      </w:r>
      <w:r>
        <w:rPr>
          <w:rFonts w:hint="eastAsia" w:ascii="宋体" w:hAnsi="宋体" w:eastAsia="宋体" w:cs="宋体"/>
          <w:bCs/>
          <w:spacing w:val="-1"/>
          <w:sz w:val="24"/>
          <w:szCs w:val="24"/>
          <w:highlight w:val="none"/>
          <w:lang w:eastAsia="zh-CN"/>
        </w:rPr>
        <w:t>最高投标限价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_Toc7721 \h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41FDD0D5">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_Toc19887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8"/>
          <w:sz w:val="24"/>
          <w:szCs w:val="24"/>
          <w:highlight w:val="none"/>
        </w:rPr>
        <w:t>9</w:t>
      </w:r>
      <w:r>
        <w:rPr>
          <w:rFonts w:hint="eastAsia" w:ascii="宋体" w:hAnsi="宋体" w:eastAsia="宋体" w:cs="宋体"/>
          <w:bCs/>
          <w:spacing w:val="-29"/>
          <w:sz w:val="24"/>
          <w:szCs w:val="24"/>
          <w:highlight w:val="none"/>
        </w:rPr>
        <w:t xml:space="preserve"> </w:t>
      </w:r>
      <w:r>
        <w:rPr>
          <w:rFonts w:hint="eastAsia" w:ascii="宋体" w:hAnsi="宋体" w:eastAsia="宋体" w:cs="宋体"/>
          <w:bCs/>
          <w:spacing w:val="-8"/>
          <w:sz w:val="24"/>
          <w:szCs w:val="24"/>
          <w:highlight w:val="none"/>
        </w:rPr>
        <w:t>．投标报价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_Toc19887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275DC0FC">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_Toc29228 </w:instrText>
      </w:r>
      <w:r>
        <w:rPr>
          <w:rFonts w:hint="eastAsia" w:ascii="宋体" w:hAnsi="宋体" w:eastAsia="宋体" w:cs="宋体"/>
          <w:sz w:val="24"/>
          <w:szCs w:val="24"/>
          <w:highlight w:val="none"/>
        </w:rPr>
        <w:fldChar w:fldCharType="separate"/>
      </w:r>
      <w:r>
        <w:rPr>
          <w:rFonts w:hint="eastAsia" w:ascii="宋体" w:hAnsi="宋体" w:eastAsia="宋体" w:cs="宋体"/>
          <w:bCs/>
          <w:spacing w:val="-6"/>
          <w:sz w:val="24"/>
          <w:szCs w:val="24"/>
          <w:highlight w:val="none"/>
        </w:rPr>
        <w:t>10</w:t>
      </w:r>
      <w:r>
        <w:rPr>
          <w:rFonts w:hint="eastAsia" w:ascii="宋体" w:hAnsi="宋体" w:eastAsia="宋体" w:cs="宋体"/>
          <w:bCs/>
          <w:spacing w:val="-21"/>
          <w:sz w:val="24"/>
          <w:szCs w:val="24"/>
          <w:highlight w:val="none"/>
        </w:rPr>
        <w:t xml:space="preserve"> </w:t>
      </w:r>
      <w:r>
        <w:rPr>
          <w:rFonts w:hint="eastAsia" w:ascii="宋体" w:hAnsi="宋体" w:eastAsia="宋体" w:cs="宋体"/>
          <w:bCs/>
          <w:spacing w:val="-6"/>
          <w:sz w:val="24"/>
          <w:szCs w:val="24"/>
          <w:highlight w:val="none"/>
        </w:rPr>
        <w:t>．投标文件的编制要求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_Toc29228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05D89A00">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_Toc17143 </w:instrText>
      </w:r>
      <w:r>
        <w:rPr>
          <w:rFonts w:hint="eastAsia" w:ascii="宋体" w:hAnsi="宋体" w:eastAsia="宋体" w:cs="宋体"/>
          <w:sz w:val="24"/>
          <w:szCs w:val="24"/>
          <w:highlight w:val="none"/>
        </w:rPr>
        <w:fldChar w:fldCharType="separate"/>
      </w:r>
      <w:r>
        <w:rPr>
          <w:rFonts w:hint="eastAsia" w:ascii="宋体" w:hAnsi="宋体" w:eastAsia="宋体" w:cs="宋体"/>
          <w:bCs/>
          <w:spacing w:val="-9"/>
          <w:sz w:val="24"/>
          <w:szCs w:val="24"/>
          <w:highlight w:val="none"/>
        </w:rPr>
        <w:t>11.</w:t>
      </w:r>
      <w:r>
        <w:rPr>
          <w:rFonts w:hint="eastAsia" w:ascii="宋体" w:hAnsi="宋体" w:eastAsia="宋体" w:cs="宋体"/>
          <w:bCs/>
          <w:spacing w:val="20"/>
          <w:sz w:val="24"/>
          <w:szCs w:val="24"/>
          <w:highlight w:val="none"/>
        </w:rPr>
        <w:t xml:space="preserve"> </w:t>
      </w:r>
      <w:r>
        <w:rPr>
          <w:rFonts w:hint="eastAsia" w:ascii="宋体" w:hAnsi="宋体" w:eastAsia="宋体" w:cs="宋体"/>
          <w:spacing w:val="-9"/>
          <w:sz w:val="24"/>
          <w:szCs w:val="24"/>
          <w:highlight w:val="none"/>
        </w:rPr>
        <w:t>电子投标：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_Toc17143 \h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36934389">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_Toc20352 </w:instrText>
      </w:r>
      <w:r>
        <w:rPr>
          <w:rFonts w:hint="eastAsia" w:ascii="宋体" w:hAnsi="宋体" w:eastAsia="宋体" w:cs="宋体"/>
          <w:sz w:val="24"/>
          <w:szCs w:val="24"/>
          <w:highlight w:val="none"/>
        </w:rPr>
        <w:fldChar w:fldCharType="separate"/>
      </w:r>
      <w:r>
        <w:rPr>
          <w:rFonts w:hint="eastAsia" w:ascii="宋体" w:hAnsi="宋体" w:eastAsia="宋体" w:cs="宋体"/>
          <w:bCs/>
          <w:spacing w:val="-9"/>
          <w:sz w:val="24"/>
          <w:szCs w:val="24"/>
          <w:highlight w:val="none"/>
          <w:lang w:val="en-US" w:eastAsia="zh-CN"/>
        </w:rPr>
        <w:t>12.</w:t>
      </w:r>
      <w:r>
        <w:rPr>
          <w:rFonts w:hint="eastAsia" w:ascii="宋体" w:hAnsi="宋体" w:eastAsia="宋体" w:cs="宋体"/>
          <w:bCs/>
          <w:spacing w:val="22"/>
          <w:w w:val="101"/>
          <w:sz w:val="24"/>
          <w:szCs w:val="24"/>
          <w:highlight w:val="none"/>
        </w:rPr>
        <w:t xml:space="preserve"> </w:t>
      </w:r>
      <w:r>
        <w:rPr>
          <w:rFonts w:hint="eastAsia" w:ascii="宋体" w:hAnsi="宋体" w:eastAsia="宋体" w:cs="宋体"/>
          <w:bCs/>
          <w:spacing w:val="-4"/>
          <w:sz w:val="24"/>
          <w:szCs w:val="24"/>
          <w:highlight w:val="none"/>
        </w:rPr>
        <w:t>电子投标及投标解密失败及突发情况的补救方案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_Toc20352 \h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778B30B5">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_Toc16412 </w:instrText>
      </w:r>
      <w:r>
        <w:rPr>
          <w:rFonts w:hint="eastAsia" w:ascii="宋体" w:hAnsi="宋体" w:eastAsia="宋体" w:cs="宋体"/>
          <w:sz w:val="24"/>
          <w:szCs w:val="24"/>
          <w:highlight w:val="none"/>
        </w:rPr>
        <w:fldChar w:fldCharType="separate"/>
      </w:r>
      <w:r>
        <w:rPr>
          <w:rFonts w:hint="eastAsia" w:ascii="宋体" w:hAnsi="宋体" w:eastAsia="宋体" w:cs="宋体"/>
          <w:bCs/>
          <w:spacing w:val="-7"/>
          <w:sz w:val="24"/>
          <w:szCs w:val="24"/>
          <w:highlight w:val="none"/>
        </w:rPr>
        <w:t>13</w:t>
      </w:r>
      <w:r>
        <w:rPr>
          <w:rFonts w:hint="eastAsia" w:ascii="宋体" w:hAnsi="宋体" w:eastAsia="宋体" w:cs="宋体"/>
          <w:bCs/>
          <w:spacing w:val="-23"/>
          <w:sz w:val="24"/>
          <w:szCs w:val="24"/>
          <w:highlight w:val="none"/>
        </w:rPr>
        <w:t xml:space="preserve"> </w:t>
      </w:r>
      <w:r>
        <w:rPr>
          <w:rFonts w:hint="eastAsia" w:ascii="宋体" w:hAnsi="宋体" w:eastAsia="宋体" w:cs="宋体"/>
          <w:bCs/>
          <w:spacing w:val="-7"/>
          <w:sz w:val="24"/>
          <w:szCs w:val="24"/>
          <w:highlight w:val="none"/>
        </w:rPr>
        <w:t>．投标文件的提交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_Toc16412 \h </w:instrText>
      </w:r>
      <w:r>
        <w:rPr>
          <w:rFonts w:hint="eastAsia" w:ascii="宋体" w:hAnsi="宋体" w:eastAsia="宋体" w:cs="宋体"/>
          <w:sz w:val="24"/>
          <w:szCs w:val="24"/>
        </w:rPr>
        <w:fldChar w:fldCharType="separate"/>
      </w:r>
      <w:r>
        <w:rPr>
          <w:rFonts w:hint="eastAsia" w:ascii="宋体" w:hAnsi="宋体" w:eastAsia="宋体" w:cs="宋体"/>
          <w:sz w:val="24"/>
          <w:szCs w:val="24"/>
        </w:rPr>
        <w:t>25</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5965B96D">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_Toc13007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11"/>
          <w:sz w:val="24"/>
          <w:szCs w:val="24"/>
          <w:highlight w:val="none"/>
        </w:rPr>
        <w:t>14</w:t>
      </w:r>
      <w:r>
        <w:rPr>
          <w:rFonts w:hint="eastAsia" w:ascii="宋体" w:hAnsi="宋体" w:eastAsia="宋体" w:cs="宋体"/>
          <w:bCs/>
          <w:spacing w:val="-28"/>
          <w:sz w:val="24"/>
          <w:szCs w:val="24"/>
          <w:highlight w:val="none"/>
        </w:rPr>
        <w:t xml:space="preserve"> </w:t>
      </w:r>
      <w:r>
        <w:rPr>
          <w:rFonts w:hint="eastAsia" w:ascii="宋体" w:hAnsi="宋体" w:eastAsia="宋体" w:cs="宋体"/>
          <w:bCs/>
          <w:spacing w:val="-11"/>
          <w:sz w:val="24"/>
          <w:szCs w:val="24"/>
          <w:highlight w:val="none"/>
        </w:rPr>
        <w:t>．开标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_Toc13007 \h </w:instrText>
      </w:r>
      <w:r>
        <w:rPr>
          <w:rFonts w:hint="eastAsia" w:ascii="宋体" w:hAnsi="宋体" w:eastAsia="宋体" w:cs="宋体"/>
          <w:sz w:val="24"/>
          <w:szCs w:val="24"/>
        </w:rPr>
        <w:fldChar w:fldCharType="separate"/>
      </w:r>
      <w:r>
        <w:rPr>
          <w:rFonts w:hint="eastAsia" w:ascii="宋体" w:hAnsi="宋体" w:eastAsia="宋体" w:cs="宋体"/>
          <w:sz w:val="24"/>
          <w:szCs w:val="24"/>
        </w:rPr>
        <w:t>25</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699F1895">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_Toc14223 </w:instrText>
      </w:r>
      <w:r>
        <w:rPr>
          <w:rFonts w:hint="eastAsia" w:ascii="宋体" w:hAnsi="宋体" w:eastAsia="宋体" w:cs="宋体"/>
          <w:sz w:val="24"/>
          <w:szCs w:val="24"/>
          <w:highlight w:val="none"/>
        </w:rPr>
        <w:fldChar w:fldCharType="separate"/>
      </w:r>
      <w:r>
        <w:rPr>
          <w:rFonts w:hint="eastAsia" w:ascii="宋体" w:hAnsi="宋体" w:eastAsia="宋体" w:cs="宋体"/>
          <w:bCs/>
          <w:spacing w:val="-11"/>
          <w:sz w:val="24"/>
          <w:szCs w:val="24"/>
          <w:highlight w:val="none"/>
        </w:rPr>
        <w:t>15</w:t>
      </w:r>
      <w:r>
        <w:rPr>
          <w:rFonts w:hint="eastAsia" w:ascii="宋体" w:hAnsi="宋体" w:eastAsia="宋体" w:cs="宋体"/>
          <w:bCs/>
          <w:spacing w:val="-28"/>
          <w:sz w:val="24"/>
          <w:szCs w:val="24"/>
          <w:highlight w:val="none"/>
        </w:rPr>
        <w:t xml:space="preserve"> </w:t>
      </w:r>
      <w:r>
        <w:rPr>
          <w:rFonts w:hint="eastAsia" w:ascii="宋体" w:hAnsi="宋体" w:eastAsia="宋体" w:cs="宋体"/>
          <w:bCs/>
          <w:spacing w:val="-11"/>
          <w:sz w:val="24"/>
          <w:szCs w:val="24"/>
          <w:highlight w:val="none"/>
        </w:rPr>
        <w:t>．评标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_Toc14223 \h </w:instrText>
      </w:r>
      <w:r>
        <w:rPr>
          <w:rFonts w:hint="eastAsia" w:ascii="宋体" w:hAnsi="宋体" w:eastAsia="宋体" w:cs="宋体"/>
          <w:sz w:val="24"/>
          <w:szCs w:val="24"/>
        </w:rPr>
        <w:fldChar w:fldCharType="separate"/>
      </w:r>
      <w:r>
        <w:rPr>
          <w:rFonts w:hint="eastAsia" w:ascii="宋体" w:hAnsi="宋体" w:eastAsia="宋体" w:cs="宋体"/>
          <w:sz w:val="24"/>
          <w:szCs w:val="24"/>
        </w:rPr>
        <w:t>26</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3B3259EC">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_Toc21365 </w:instrText>
      </w:r>
      <w:r>
        <w:rPr>
          <w:rFonts w:hint="eastAsia" w:ascii="宋体" w:hAnsi="宋体" w:eastAsia="宋体" w:cs="宋体"/>
          <w:sz w:val="24"/>
          <w:szCs w:val="24"/>
          <w:highlight w:val="none"/>
        </w:rPr>
        <w:fldChar w:fldCharType="separate"/>
      </w:r>
      <w:r>
        <w:rPr>
          <w:rFonts w:hint="eastAsia" w:ascii="宋体" w:hAnsi="宋体" w:eastAsia="宋体" w:cs="宋体"/>
          <w:snapToGrid w:val="0"/>
          <w:sz w:val="24"/>
          <w:szCs w:val="24"/>
          <w:highlight w:val="none"/>
        </w:rPr>
        <w:t>16．</w:t>
      </w:r>
      <w:r>
        <w:rPr>
          <w:rFonts w:hint="eastAsia" w:ascii="宋体" w:hAnsi="宋体" w:eastAsia="宋体" w:cs="宋体"/>
          <w:snapToGrid w:val="0"/>
          <w:sz w:val="24"/>
          <w:szCs w:val="24"/>
          <w:highlight w:val="none"/>
          <w:lang w:eastAsia="zh-CN"/>
        </w:rPr>
        <w:t>评标结果公示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_Toc21365 \h </w:instrText>
      </w:r>
      <w:r>
        <w:rPr>
          <w:rFonts w:hint="eastAsia" w:ascii="宋体" w:hAnsi="宋体" w:eastAsia="宋体" w:cs="宋体"/>
          <w:sz w:val="24"/>
          <w:szCs w:val="24"/>
        </w:rPr>
        <w:fldChar w:fldCharType="separate"/>
      </w:r>
      <w:r>
        <w:rPr>
          <w:rFonts w:hint="eastAsia" w:ascii="宋体" w:hAnsi="宋体" w:eastAsia="宋体" w:cs="宋体"/>
          <w:sz w:val="24"/>
          <w:szCs w:val="24"/>
        </w:rPr>
        <w:t>38</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25D4270F">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_Toc32577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第四节</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否决投标条件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_Toc32577 \h </w:instrText>
      </w:r>
      <w:r>
        <w:rPr>
          <w:rFonts w:hint="eastAsia" w:ascii="宋体" w:hAnsi="宋体" w:eastAsia="宋体" w:cs="宋体"/>
          <w:sz w:val="24"/>
          <w:szCs w:val="24"/>
        </w:rPr>
        <w:fldChar w:fldCharType="separate"/>
      </w:r>
      <w:r>
        <w:rPr>
          <w:rFonts w:hint="eastAsia" w:ascii="宋体" w:hAnsi="宋体" w:eastAsia="宋体" w:cs="宋体"/>
          <w:sz w:val="24"/>
          <w:szCs w:val="24"/>
        </w:rPr>
        <w:t>39</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1114163D">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_Toc17305 </w:instrText>
      </w:r>
      <w:r>
        <w:rPr>
          <w:rFonts w:hint="eastAsia" w:ascii="宋体" w:hAnsi="宋体" w:eastAsia="宋体" w:cs="宋体"/>
          <w:sz w:val="24"/>
          <w:szCs w:val="24"/>
          <w:highlight w:val="none"/>
        </w:rPr>
        <w:fldChar w:fldCharType="separate"/>
      </w:r>
      <w:r>
        <w:rPr>
          <w:rFonts w:hint="eastAsia" w:ascii="宋体" w:hAnsi="宋体" w:eastAsia="宋体" w:cs="宋体"/>
          <w:bCs/>
          <w:spacing w:val="-8"/>
          <w:sz w:val="24"/>
          <w:szCs w:val="24"/>
          <w:highlight w:val="none"/>
        </w:rPr>
        <w:t>1</w:t>
      </w:r>
      <w:r>
        <w:rPr>
          <w:rFonts w:hint="eastAsia" w:ascii="宋体" w:hAnsi="宋体" w:eastAsia="宋体" w:cs="宋体"/>
          <w:bCs/>
          <w:spacing w:val="-26"/>
          <w:sz w:val="24"/>
          <w:szCs w:val="24"/>
          <w:highlight w:val="none"/>
        </w:rPr>
        <w:t xml:space="preserve"> </w:t>
      </w:r>
      <w:r>
        <w:rPr>
          <w:rFonts w:hint="eastAsia" w:ascii="宋体" w:hAnsi="宋体" w:eastAsia="宋体" w:cs="宋体"/>
          <w:bCs/>
          <w:spacing w:val="-8"/>
          <w:sz w:val="24"/>
          <w:szCs w:val="24"/>
          <w:highlight w:val="none"/>
        </w:rPr>
        <w:t>．资格评审环节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_Toc17305 \h </w:instrText>
      </w:r>
      <w:r>
        <w:rPr>
          <w:rFonts w:hint="eastAsia" w:ascii="宋体" w:hAnsi="宋体" w:eastAsia="宋体" w:cs="宋体"/>
          <w:sz w:val="24"/>
          <w:szCs w:val="24"/>
        </w:rPr>
        <w:fldChar w:fldCharType="separate"/>
      </w:r>
      <w:r>
        <w:rPr>
          <w:rFonts w:hint="eastAsia" w:ascii="宋体" w:hAnsi="宋体" w:eastAsia="宋体" w:cs="宋体"/>
          <w:sz w:val="24"/>
          <w:szCs w:val="24"/>
        </w:rPr>
        <w:t>39</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650E0BC9">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_Toc3275 </w:instrText>
      </w:r>
      <w:r>
        <w:rPr>
          <w:rFonts w:hint="eastAsia" w:ascii="宋体" w:hAnsi="宋体" w:eastAsia="宋体" w:cs="宋体"/>
          <w:sz w:val="24"/>
          <w:szCs w:val="24"/>
          <w:highlight w:val="none"/>
        </w:rPr>
        <w:fldChar w:fldCharType="separate"/>
      </w:r>
      <w:r>
        <w:rPr>
          <w:rFonts w:hint="eastAsia" w:ascii="宋体" w:hAnsi="宋体" w:eastAsia="宋体" w:cs="宋体"/>
          <w:bCs/>
          <w:spacing w:val="-7"/>
          <w:sz w:val="24"/>
          <w:szCs w:val="24"/>
          <w:highlight w:val="none"/>
        </w:rPr>
        <w:t>2</w:t>
      </w:r>
      <w:r>
        <w:rPr>
          <w:rFonts w:hint="eastAsia" w:ascii="宋体" w:hAnsi="宋体" w:eastAsia="宋体" w:cs="宋体"/>
          <w:bCs/>
          <w:spacing w:val="-24"/>
          <w:sz w:val="24"/>
          <w:szCs w:val="24"/>
          <w:highlight w:val="none"/>
        </w:rPr>
        <w:t xml:space="preserve"> </w:t>
      </w:r>
      <w:r>
        <w:rPr>
          <w:rFonts w:hint="eastAsia" w:ascii="宋体" w:hAnsi="宋体" w:eastAsia="宋体" w:cs="宋体"/>
          <w:bCs/>
          <w:spacing w:val="-7"/>
          <w:sz w:val="24"/>
          <w:szCs w:val="24"/>
          <w:highlight w:val="none"/>
        </w:rPr>
        <w:t>．形式评审环节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_Toc3275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761DFDB9">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_Toc26166 </w:instrText>
      </w:r>
      <w:r>
        <w:rPr>
          <w:rFonts w:hint="eastAsia" w:ascii="宋体" w:hAnsi="宋体" w:eastAsia="宋体" w:cs="宋体"/>
          <w:sz w:val="24"/>
          <w:szCs w:val="24"/>
          <w:highlight w:val="none"/>
        </w:rPr>
        <w:fldChar w:fldCharType="separate"/>
      </w:r>
      <w:r>
        <w:rPr>
          <w:rFonts w:hint="eastAsia" w:ascii="宋体" w:hAnsi="宋体" w:eastAsia="宋体" w:cs="宋体"/>
          <w:bCs/>
          <w:spacing w:val="-6"/>
          <w:sz w:val="24"/>
          <w:szCs w:val="24"/>
          <w:highlight w:val="none"/>
        </w:rPr>
        <w:t>3</w:t>
      </w:r>
      <w:r>
        <w:rPr>
          <w:rFonts w:hint="eastAsia" w:ascii="宋体" w:hAnsi="宋体" w:eastAsia="宋体" w:cs="宋体"/>
          <w:bCs/>
          <w:spacing w:val="-24"/>
          <w:sz w:val="24"/>
          <w:szCs w:val="24"/>
          <w:highlight w:val="none"/>
        </w:rPr>
        <w:t xml:space="preserve"> </w:t>
      </w:r>
      <w:r>
        <w:rPr>
          <w:rFonts w:hint="eastAsia" w:ascii="宋体" w:hAnsi="宋体" w:eastAsia="宋体" w:cs="宋体"/>
          <w:bCs/>
          <w:spacing w:val="-6"/>
          <w:sz w:val="24"/>
          <w:szCs w:val="24"/>
          <w:highlight w:val="none"/>
        </w:rPr>
        <w:t>．响应性评审环节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_Toc26166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734CCC42">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_Toc5087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11"/>
          <w:sz w:val="24"/>
          <w:szCs w:val="24"/>
          <w:highlight w:val="none"/>
        </w:rPr>
        <w:t>4</w:t>
      </w:r>
      <w:r>
        <w:rPr>
          <w:rFonts w:hint="eastAsia" w:ascii="宋体" w:hAnsi="宋体" w:eastAsia="宋体" w:cs="宋体"/>
          <w:bCs/>
          <w:spacing w:val="-29"/>
          <w:sz w:val="24"/>
          <w:szCs w:val="24"/>
          <w:highlight w:val="none"/>
        </w:rPr>
        <w:t xml:space="preserve"> </w:t>
      </w:r>
      <w:r>
        <w:rPr>
          <w:rFonts w:hint="eastAsia" w:ascii="宋体" w:hAnsi="宋体" w:eastAsia="宋体" w:cs="宋体"/>
          <w:bCs/>
          <w:spacing w:val="-11"/>
          <w:sz w:val="24"/>
          <w:szCs w:val="24"/>
          <w:highlight w:val="none"/>
        </w:rPr>
        <w:t>．其他</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_Toc5087 \h </w:instrText>
      </w:r>
      <w:r>
        <w:rPr>
          <w:rFonts w:hint="eastAsia" w:ascii="宋体" w:hAnsi="宋体" w:eastAsia="宋体" w:cs="宋体"/>
          <w:sz w:val="24"/>
          <w:szCs w:val="24"/>
        </w:rPr>
        <w:fldChar w:fldCharType="separate"/>
      </w:r>
      <w:r>
        <w:rPr>
          <w:rFonts w:hint="eastAsia" w:ascii="宋体" w:hAnsi="宋体" w:eastAsia="宋体" w:cs="宋体"/>
          <w:sz w:val="24"/>
          <w:szCs w:val="24"/>
        </w:rPr>
        <w:t>41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00FDA683">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_Toc4690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w:t>
      </w:r>
      <w:r>
        <w:rPr>
          <w:rFonts w:hint="eastAsia" w:ascii="宋体" w:hAnsi="宋体" w:eastAsia="宋体" w:cs="宋体"/>
          <w:bCs/>
          <w:spacing w:val="-3"/>
          <w:sz w:val="24"/>
          <w:szCs w:val="24"/>
          <w:highlight w:val="none"/>
          <w:lang w:val="en-US" w:eastAsia="zh-CN"/>
        </w:rPr>
        <w:t>五</w:t>
      </w:r>
      <w:r>
        <w:rPr>
          <w:rFonts w:hint="eastAsia" w:ascii="宋体" w:hAnsi="宋体" w:eastAsia="宋体" w:cs="宋体"/>
          <w:bCs/>
          <w:spacing w:val="-3"/>
          <w:sz w:val="24"/>
          <w:szCs w:val="24"/>
          <w:highlight w:val="none"/>
        </w:rPr>
        <w:t>节</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定标规定及细则（本项目采用票决数量法定标）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_Toc4690 \h </w:instrText>
      </w:r>
      <w:r>
        <w:rPr>
          <w:rFonts w:hint="eastAsia" w:ascii="宋体" w:hAnsi="宋体" w:eastAsia="宋体" w:cs="宋体"/>
          <w:sz w:val="24"/>
          <w:szCs w:val="24"/>
        </w:rPr>
        <w:fldChar w:fldCharType="separate"/>
      </w:r>
      <w:r>
        <w:rPr>
          <w:rFonts w:hint="eastAsia" w:ascii="宋体" w:hAnsi="宋体" w:eastAsia="宋体" w:cs="宋体"/>
          <w:sz w:val="24"/>
          <w:szCs w:val="24"/>
        </w:rPr>
        <w:t>42</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4D3D2F0F">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_Toc8482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w:t>
      </w:r>
      <w:r>
        <w:rPr>
          <w:rFonts w:hint="eastAsia" w:ascii="宋体" w:hAnsi="宋体" w:eastAsia="宋体" w:cs="宋体"/>
          <w:bCs/>
          <w:spacing w:val="-3"/>
          <w:sz w:val="24"/>
          <w:szCs w:val="24"/>
          <w:highlight w:val="none"/>
          <w:lang w:val="en-US" w:eastAsia="zh-CN"/>
        </w:rPr>
        <w:t>六</w:t>
      </w:r>
      <w:r>
        <w:rPr>
          <w:rFonts w:hint="eastAsia" w:ascii="宋体" w:hAnsi="宋体" w:eastAsia="宋体" w:cs="宋体"/>
          <w:bCs/>
          <w:spacing w:val="-3"/>
          <w:sz w:val="24"/>
          <w:szCs w:val="24"/>
          <w:highlight w:val="none"/>
        </w:rPr>
        <w:t>节 中标确认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_Toc8482 \h </w:instrText>
      </w:r>
      <w:r>
        <w:rPr>
          <w:rFonts w:hint="eastAsia" w:ascii="宋体" w:hAnsi="宋体" w:eastAsia="宋体" w:cs="宋体"/>
          <w:sz w:val="24"/>
          <w:szCs w:val="24"/>
        </w:rPr>
        <w:fldChar w:fldCharType="separate"/>
      </w:r>
      <w:r>
        <w:rPr>
          <w:rFonts w:hint="eastAsia" w:ascii="宋体" w:hAnsi="宋体" w:eastAsia="宋体" w:cs="宋体"/>
          <w:sz w:val="24"/>
          <w:szCs w:val="24"/>
        </w:rPr>
        <w:t>45</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1A85709C">
      <w:pPr>
        <w:pStyle w:val="11"/>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_Toc13547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7"/>
          <w:sz w:val="24"/>
          <w:szCs w:val="24"/>
          <w:highlight w:val="none"/>
        </w:rPr>
        <w:t>第二章</w:t>
      </w:r>
      <w:r>
        <w:rPr>
          <w:rFonts w:hint="eastAsia" w:ascii="宋体" w:hAnsi="宋体" w:eastAsia="宋体" w:cs="宋体"/>
          <w:spacing w:val="32"/>
          <w:sz w:val="24"/>
          <w:szCs w:val="24"/>
          <w:highlight w:val="none"/>
        </w:rPr>
        <w:t xml:space="preserve"> </w:t>
      </w:r>
      <w:r>
        <w:rPr>
          <w:rFonts w:hint="eastAsia" w:ascii="宋体" w:hAnsi="宋体" w:eastAsia="宋体" w:cs="宋体"/>
          <w:bCs/>
          <w:spacing w:val="-7"/>
          <w:sz w:val="24"/>
          <w:szCs w:val="24"/>
          <w:highlight w:val="none"/>
        </w:rPr>
        <w:t>中标人须知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_Toc13547 \h </w:instrText>
      </w:r>
      <w:r>
        <w:rPr>
          <w:rFonts w:hint="eastAsia" w:ascii="宋体" w:hAnsi="宋体" w:eastAsia="宋体" w:cs="宋体"/>
          <w:sz w:val="24"/>
          <w:szCs w:val="24"/>
        </w:rPr>
        <w:fldChar w:fldCharType="separate"/>
      </w:r>
      <w:r>
        <w:rPr>
          <w:rFonts w:hint="eastAsia" w:ascii="宋体" w:hAnsi="宋体" w:eastAsia="宋体" w:cs="宋体"/>
          <w:sz w:val="24"/>
          <w:szCs w:val="24"/>
        </w:rPr>
        <w:t>47</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43D5684E">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_Toc23768 </w:instrText>
      </w:r>
      <w:r>
        <w:rPr>
          <w:rFonts w:hint="eastAsia" w:ascii="宋体" w:hAnsi="宋体" w:eastAsia="宋体" w:cs="宋体"/>
          <w:sz w:val="24"/>
          <w:szCs w:val="24"/>
          <w:highlight w:val="none"/>
        </w:rPr>
        <w:fldChar w:fldCharType="separate"/>
      </w:r>
      <w:r>
        <w:rPr>
          <w:rFonts w:hint="eastAsia" w:ascii="宋体" w:hAnsi="宋体" w:eastAsia="宋体" w:cs="宋体"/>
          <w:snapToGrid w:val="0"/>
          <w:sz w:val="24"/>
          <w:szCs w:val="24"/>
          <w:highlight w:val="none"/>
          <w:lang w:eastAsia="zh-CN"/>
        </w:rPr>
        <w:t>1.</w:t>
      </w:r>
      <w:r>
        <w:rPr>
          <w:rFonts w:hint="eastAsia" w:ascii="宋体" w:hAnsi="宋体" w:eastAsia="宋体" w:cs="宋体"/>
          <w:snapToGrid w:val="0"/>
          <w:sz w:val="24"/>
          <w:szCs w:val="24"/>
          <w:highlight w:val="none"/>
        </w:rPr>
        <w:t>中标通知书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_Toc23768 \h </w:instrText>
      </w:r>
      <w:r>
        <w:rPr>
          <w:rFonts w:hint="eastAsia" w:ascii="宋体" w:hAnsi="宋体" w:eastAsia="宋体" w:cs="宋体"/>
          <w:sz w:val="24"/>
          <w:szCs w:val="24"/>
        </w:rPr>
        <w:fldChar w:fldCharType="separate"/>
      </w:r>
      <w:r>
        <w:rPr>
          <w:rFonts w:hint="eastAsia" w:ascii="宋体" w:hAnsi="宋体" w:eastAsia="宋体" w:cs="宋体"/>
          <w:sz w:val="24"/>
          <w:szCs w:val="24"/>
        </w:rPr>
        <w:t>47</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42282358">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_Toc3946 </w:instrText>
      </w:r>
      <w:r>
        <w:rPr>
          <w:rFonts w:hint="eastAsia" w:ascii="宋体" w:hAnsi="宋体" w:eastAsia="宋体" w:cs="宋体"/>
          <w:sz w:val="24"/>
          <w:szCs w:val="24"/>
          <w:highlight w:val="none"/>
        </w:rPr>
        <w:fldChar w:fldCharType="separate"/>
      </w:r>
      <w:r>
        <w:rPr>
          <w:rFonts w:hint="eastAsia" w:ascii="宋体" w:hAnsi="宋体" w:eastAsia="宋体" w:cs="宋体"/>
          <w:snapToGrid w:val="0"/>
          <w:sz w:val="24"/>
          <w:szCs w:val="24"/>
          <w:highlight w:val="none"/>
          <w:lang w:eastAsia="zh-CN"/>
        </w:rPr>
        <w:t>2.</w:t>
      </w:r>
      <w:r>
        <w:rPr>
          <w:rFonts w:hint="eastAsia" w:ascii="宋体" w:hAnsi="宋体" w:eastAsia="宋体" w:cs="宋体"/>
          <w:snapToGrid w:val="0"/>
          <w:sz w:val="24"/>
          <w:szCs w:val="24"/>
          <w:highlight w:val="none"/>
        </w:rPr>
        <w:t>中标结果公示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_Toc3946 \h </w:instrText>
      </w:r>
      <w:r>
        <w:rPr>
          <w:rFonts w:hint="eastAsia" w:ascii="宋体" w:hAnsi="宋体" w:eastAsia="宋体" w:cs="宋体"/>
          <w:sz w:val="24"/>
          <w:szCs w:val="24"/>
        </w:rPr>
        <w:fldChar w:fldCharType="separate"/>
      </w:r>
      <w:r>
        <w:rPr>
          <w:rFonts w:hint="eastAsia" w:ascii="宋体" w:hAnsi="宋体" w:eastAsia="宋体" w:cs="宋体"/>
          <w:sz w:val="24"/>
          <w:szCs w:val="24"/>
        </w:rPr>
        <w:t>47</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646EB6EA">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_Toc15380 </w:instrText>
      </w:r>
      <w:r>
        <w:rPr>
          <w:rFonts w:hint="eastAsia" w:ascii="宋体" w:hAnsi="宋体" w:eastAsia="宋体" w:cs="宋体"/>
          <w:sz w:val="24"/>
          <w:szCs w:val="24"/>
          <w:highlight w:val="none"/>
        </w:rPr>
        <w:fldChar w:fldCharType="separate"/>
      </w:r>
      <w:r>
        <w:rPr>
          <w:rFonts w:hint="eastAsia" w:ascii="宋体" w:hAnsi="宋体" w:eastAsia="宋体" w:cs="宋体"/>
          <w:snapToGrid w:val="0"/>
          <w:sz w:val="24"/>
          <w:szCs w:val="24"/>
          <w:highlight w:val="none"/>
          <w:lang w:eastAsia="zh-CN"/>
        </w:rPr>
        <w:t>3.</w:t>
      </w:r>
      <w:r>
        <w:rPr>
          <w:rFonts w:hint="eastAsia" w:ascii="宋体" w:hAnsi="宋体" w:eastAsia="宋体" w:cs="宋体"/>
          <w:snapToGrid w:val="0"/>
          <w:sz w:val="24"/>
          <w:szCs w:val="24"/>
          <w:highlight w:val="none"/>
        </w:rPr>
        <w:t>履约保证</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_Toc15380 \h </w:instrText>
      </w:r>
      <w:r>
        <w:rPr>
          <w:rFonts w:hint="eastAsia" w:ascii="宋体" w:hAnsi="宋体" w:eastAsia="宋体" w:cs="宋体"/>
          <w:sz w:val="24"/>
          <w:szCs w:val="24"/>
        </w:rPr>
        <w:fldChar w:fldCharType="separate"/>
      </w:r>
      <w:r>
        <w:rPr>
          <w:rFonts w:hint="eastAsia" w:ascii="宋体" w:hAnsi="宋体" w:eastAsia="宋体" w:cs="宋体"/>
          <w:sz w:val="24"/>
          <w:szCs w:val="24"/>
        </w:rPr>
        <w:t>47</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03AB280A">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_Toc24225 </w:instrText>
      </w:r>
      <w:r>
        <w:rPr>
          <w:rFonts w:hint="eastAsia" w:ascii="宋体" w:hAnsi="宋体" w:eastAsia="宋体" w:cs="宋体"/>
          <w:sz w:val="24"/>
          <w:szCs w:val="24"/>
          <w:highlight w:val="none"/>
        </w:rPr>
        <w:fldChar w:fldCharType="separate"/>
      </w:r>
      <w:r>
        <w:rPr>
          <w:rFonts w:hint="eastAsia" w:ascii="宋体" w:hAnsi="宋体" w:eastAsia="宋体" w:cs="宋体"/>
          <w:snapToGrid w:val="0"/>
          <w:sz w:val="24"/>
          <w:szCs w:val="24"/>
          <w:highlight w:val="none"/>
          <w:lang w:eastAsia="zh-CN"/>
        </w:rPr>
        <w:t>4.</w:t>
      </w:r>
      <w:r>
        <w:rPr>
          <w:rFonts w:hint="eastAsia" w:ascii="宋体" w:hAnsi="宋体" w:eastAsia="宋体" w:cs="宋体"/>
          <w:snapToGrid w:val="0"/>
          <w:sz w:val="24"/>
          <w:szCs w:val="24"/>
          <w:highlight w:val="none"/>
        </w:rPr>
        <w:t>合同订立</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_Toc24225 \h </w:instrText>
      </w:r>
      <w:r>
        <w:rPr>
          <w:rFonts w:hint="eastAsia" w:ascii="宋体" w:hAnsi="宋体" w:eastAsia="宋体" w:cs="宋体"/>
          <w:sz w:val="24"/>
          <w:szCs w:val="24"/>
        </w:rPr>
        <w:fldChar w:fldCharType="separate"/>
      </w:r>
      <w:r>
        <w:rPr>
          <w:rFonts w:hint="eastAsia" w:ascii="宋体" w:hAnsi="宋体" w:eastAsia="宋体" w:cs="宋体"/>
          <w:sz w:val="24"/>
          <w:szCs w:val="24"/>
        </w:rPr>
        <w:t>48</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24D89AAC">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_Toc23627 </w:instrText>
      </w:r>
      <w:r>
        <w:rPr>
          <w:rFonts w:hint="eastAsia" w:ascii="宋体" w:hAnsi="宋体" w:eastAsia="宋体" w:cs="宋体"/>
          <w:sz w:val="24"/>
          <w:szCs w:val="24"/>
          <w:highlight w:val="none"/>
        </w:rPr>
        <w:fldChar w:fldCharType="separate"/>
      </w:r>
      <w:r>
        <w:rPr>
          <w:rFonts w:hint="eastAsia" w:ascii="宋体" w:hAnsi="宋体" w:eastAsia="宋体" w:cs="宋体"/>
          <w:snapToGrid w:val="0"/>
          <w:sz w:val="24"/>
          <w:szCs w:val="24"/>
          <w:highlight w:val="none"/>
          <w:lang w:eastAsia="zh-CN"/>
        </w:rPr>
        <w:t>5.</w:t>
      </w:r>
      <w:r>
        <w:rPr>
          <w:rFonts w:hint="eastAsia" w:ascii="宋体" w:hAnsi="宋体" w:eastAsia="宋体" w:cs="宋体"/>
          <w:snapToGrid w:val="0"/>
          <w:sz w:val="24"/>
          <w:szCs w:val="24"/>
          <w:highlight w:val="none"/>
        </w:rPr>
        <w:t>放弃中标的处理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_Toc23627 \h </w:instrText>
      </w:r>
      <w:r>
        <w:rPr>
          <w:rFonts w:hint="eastAsia" w:ascii="宋体" w:hAnsi="宋体" w:eastAsia="宋体" w:cs="宋体"/>
          <w:sz w:val="24"/>
          <w:szCs w:val="24"/>
        </w:rPr>
        <w:fldChar w:fldCharType="separate"/>
      </w:r>
      <w:r>
        <w:rPr>
          <w:rFonts w:hint="eastAsia" w:ascii="宋体" w:hAnsi="宋体" w:eastAsia="宋体" w:cs="宋体"/>
          <w:sz w:val="24"/>
          <w:szCs w:val="24"/>
        </w:rPr>
        <w:t>49</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43C7B407">
      <w:pPr>
        <w:pStyle w:val="11"/>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_Toc18594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第三章</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拟签订合同的主要条款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_Toc18594 \h </w:instrText>
      </w:r>
      <w:r>
        <w:rPr>
          <w:rFonts w:hint="eastAsia" w:ascii="宋体" w:hAnsi="宋体" w:eastAsia="宋体" w:cs="宋体"/>
          <w:sz w:val="24"/>
          <w:szCs w:val="24"/>
        </w:rPr>
        <w:fldChar w:fldCharType="separate"/>
      </w:r>
      <w:r>
        <w:rPr>
          <w:rFonts w:hint="eastAsia" w:ascii="宋体" w:hAnsi="宋体" w:eastAsia="宋体" w:cs="宋体"/>
          <w:sz w:val="24"/>
          <w:szCs w:val="24"/>
        </w:rPr>
        <w:t>51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78979D99">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_Toc28117 </w:instrText>
      </w:r>
      <w:r>
        <w:rPr>
          <w:rFonts w:hint="eastAsia" w:ascii="宋体" w:hAnsi="宋体" w:eastAsia="宋体" w:cs="宋体"/>
          <w:sz w:val="24"/>
          <w:szCs w:val="24"/>
          <w:highlight w:val="none"/>
        </w:rPr>
        <w:fldChar w:fldCharType="separate"/>
      </w:r>
      <w:r>
        <w:rPr>
          <w:rFonts w:hint="eastAsia" w:ascii="宋体" w:hAnsi="宋体" w:eastAsia="宋体" w:cs="宋体"/>
          <w:snapToGrid w:val="0"/>
          <w:sz w:val="24"/>
          <w:szCs w:val="24"/>
          <w:highlight w:val="none"/>
        </w:rPr>
        <w:t>4．专用合同条款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_Toc28117 \h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305A5D82">
      <w:pPr>
        <w:pStyle w:val="11"/>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_Toc24106 </w:instrText>
      </w:r>
      <w:r>
        <w:rPr>
          <w:rFonts w:hint="eastAsia" w:ascii="宋体" w:hAnsi="宋体" w:eastAsia="宋体" w:cs="宋体"/>
          <w:sz w:val="24"/>
          <w:szCs w:val="24"/>
          <w:highlight w:val="none"/>
        </w:rPr>
        <w:fldChar w:fldCharType="separate"/>
      </w:r>
      <w:r>
        <w:rPr>
          <w:rFonts w:hint="eastAsia" w:ascii="宋体" w:hAnsi="宋体" w:eastAsia="宋体" w:cs="宋体"/>
          <w:snapToGrid w:val="0"/>
          <w:sz w:val="24"/>
          <w:szCs w:val="24"/>
          <w:highlight w:val="none"/>
        </w:rPr>
        <w:t>第四章 技术要求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_Toc24106 \h </w:instrText>
      </w:r>
      <w:r>
        <w:rPr>
          <w:rFonts w:hint="eastAsia" w:ascii="宋体" w:hAnsi="宋体" w:eastAsia="宋体" w:cs="宋体"/>
          <w:sz w:val="24"/>
          <w:szCs w:val="24"/>
        </w:rPr>
        <w:fldChar w:fldCharType="separate"/>
      </w:r>
      <w:r>
        <w:rPr>
          <w:rFonts w:hint="eastAsia" w:ascii="宋体" w:hAnsi="宋体" w:eastAsia="宋体" w:cs="宋体"/>
          <w:sz w:val="24"/>
          <w:szCs w:val="24"/>
        </w:rPr>
        <w:t>68</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48429933">
      <w:pPr>
        <w:pStyle w:val="11"/>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_Toc6224 </w:instrText>
      </w:r>
      <w:r>
        <w:rPr>
          <w:rFonts w:hint="eastAsia" w:ascii="宋体" w:hAnsi="宋体" w:eastAsia="宋体" w:cs="宋体"/>
          <w:sz w:val="24"/>
          <w:szCs w:val="24"/>
          <w:highlight w:val="none"/>
        </w:rPr>
        <w:fldChar w:fldCharType="separate"/>
      </w:r>
      <w:r>
        <w:rPr>
          <w:rFonts w:hint="eastAsia" w:ascii="宋体" w:hAnsi="宋体" w:eastAsia="宋体" w:cs="宋体"/>
          <w:bCs/>
          <w:spacing w:val="-5"/>
          <w:sz w:val="24"/>
          <w:szCs w:val="24"/>
          <w:highlight w:val="none"/>
        </w:rPr>
        <w:t>第五章</w:t>
      </w:r>
      <w:r>
        <w:rPr>
          <w:rFonts w:hint="eastAsia" w:ascii="宋体" w:hAnsi="宋体" w:eastAsia="宋体" w:cs="宋体"/>
          <w:spacing w:val="33"/>
          <w:sz w:val="24"/>
          <w:szCs w:val="24"/>
          <w:highlight w:val="none"/>
        </w:rPr>
        <w:t xml:space="preserve"> </w:t>
      </w:r>
      <w:r>
        <w:rPr>
          <w:rFonts w:hint="eastAsia" w:ascii="宋体" w:hAnsi="宋体" w:eastAsia="宋体" w:cs="宋体"/>
          <w:bCs/>
          <w:spacing w:val="-5"/>
          <w:sz w:val="24"/>
          <w:szCs w:val="24"/>
          <w:highlight w:val="none"/>
        </w:rPr>
        <w:t>图纸和招标工程量清单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_Toc6224 \h </w:instrText>
      </w:r>
      <w:r>
        <w:rPr>
          <w:rFonts w:hint="eastAsia" w:ascii="宋体" w:hAnsi="宋体" w:eastAsia="宋体" w:cs="宋体"/>
          <w:sz w:val="24"/>
          <w:szCs w:val="24"/>
        </w:rPr>
        <w:fldChar w:fldCharType="separate"/>
      </w:r>
      <w:r>
        <w:rPr>
          <w:rFonts w:hint="eastAsia" w:ascii="宋体" w:hAnsi="宋体" w:eastAsia="宋体" w:cs="宋体"/>
          <w:sz w:val="24"/>
          <w:szCs w:val="24"/>
        </w:rPr>
        <w:t>69</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6A956341">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_Toc1950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14"/>
          <w:sz w:val="24"/>
          <w:szCs w:val="24"/>
          <w:highlight w:val="none"/>
        </w:rPr>
        <w:t>1</w:t>
      </w:r>
      <w:r>
        <w:rPr>
          <w:rFonts w:hint="eastAsia" w:ascii="宋体" w:hAnsi="宋体" w:eastAsia="宋体" w:cs="宋体"/>
          <w:bCs/>
          <w:spacing w:val="-27"/>
          <w:sz w:val="24"/>
          <w:szCs w:val="24"/>
          <w:highlight w:val="none"/>
        </w:rPr>
        <w:t xml:space="preserve"> </w:t>
      </w:r>
      <w:r>
        <w:rPr>
          <w:rFonts w:hint="eastAsia" w:ascii="宋体" w:hAnsi="宋体" w:eastAsia="宋体" w:cs="宋体"/>
          <w:bCs/>
          <w:spacing w:val="-14"/>
          <w:sz w:val="24"/>
          <w:szCs w:val="24"/>
          <w:highlight w:val="none"/>
        </w:rPr>
        <w:t>．图纸</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_Toc1950 \h </w:instrText>
      </w:r>
      <w:r>
        <w:rPr>
          <w:rFonts w:hint="eastAsia" w:ascii="宋体" w:hAnsi="宋体" w:eastAsia="宋体" w:cs="宋体"/>
          <w:sz w:val="24"/>
          <w:szCs w:val="24"/>
        </w:rPr>
        <w:fldChar w:fldCharType="separate"/>
      </w:r>
      <w:r>
        <w:rPr>
          <w:rFonts w:hint="eastAsia" w:ascii="宋体" w:hAnsi="宋体" w:eastAsia="宋体" w:cs="宋体"/>
          <w:sz w:val="24"/>
          <w:szCs w:val="24"/>
        </w:rPr>
        <w:t>69</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40407EB5">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_Toc25322 </w:instrText>
      </w:r>
      <w:r>
        <w:rPr>
          <w:rFonts w:hint="eastAsia" w:ascii="宋体" w:hAnsi="宋体" w:eastAsia="宋体" w:cs="宋体"/>
          <w:sz w:val="24"/>
          <w:szCs w:val="24"/>
          <w:highlight w:val="none"/>
        </w:rPr>
        <w:fldChar w:fldCharType="separate"/>
      </w:r>
      <w:r>
        <w:rPr>
          <w:rFonts w:hint="eastAsia" w:ascii="宋体" w:hAnsi="宋体" w:eastAsia="宋体" w:cs="宋体"/>
          <w:bCs/>
          <w:spacing w:val="-6"/>
          <w:sz w:val="24"/>
          <w:szCs w:val="24"/>
          <w:highlight w:val="none"/>
        </w:rPr>
        <w:t>2</w:t>
      </w:r>
      <w:r>
        <w:rPr>
          <w:rFonts w:hint="eastAsia" w:ascii="宋体" w:hAnsi="宋体" w:eastAsia="宋体" w:cs="宋体"/>
          <w:bCs/>
          <w:spacing w:val="-26"/>
          <w:sz w:val="24"/>
          <w:szCs w:val="24"/>
          <w:highlight w:val="none"/>
        </w:rPr>
        <w:t xml:space="preserve"> </w:t>
      </w:r>
      <w:r>
        <w:rPr>
          <w:rFonts w:hint="eastAsia" w:ascii="宋体" w:hAnsi="宋体" w:eastAsia="宋体" w:cs="宋体"/>
          <w:bCs/>
          <w:spacing w:val="-6"/>
          <w:sz w:val="24"/>
          <w:szCs w:val="24"/>
          <w:highlight w:val="none"/>
        </w:rPr>
        <w:t>．招标工程量清单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_Toc25322 \h </w:instrText>
      </w:r>
      <w:r>
        <w:rPr>
          <w:rFonts w:hint="eastAsia" w:ascii="宋体" w:hAnsi="宋体" w:eastAsia="宋体" w:cs="宋体"/>
          <w:sz w:val="24"/>
          <w:szCs w:val="24"/>
        </w:rPr>
        <w:fldChar w:fldCharType="separate"/>
      </w:r>
      <w:r>
        <w:rPr>
          <w:rFonts w:hint="eastAsia" w:ascii="宋体" w:hAnsi="宋体" w:eastAsia="宋体" w:cs="宋体"/>
          <w:sz w:val="24"/>
          <w:szCs w:val="24"/>
        </w:rPr>
        <w:t>69</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51CEDABC">
      <w:pPr>
        <w:pStyle w:val="11"/>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_Toc3602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第六章</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投标文件格式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_Toc3602 \h </w:instrText>
      </w:r>
      <w:r>
        <w:rPr>
          <w:rFonts w:hint="eastAsia" w:ascii="宋体" w:hAnsi="宋体" w:eastAsia="宋体" w:cs="宋体"/>
          <w:sz w:val="24"/>
          <w:szCs w:val="24"/>
        </w:rPr>
        <w:fldChar w:fldCharType="separate"/>
      </w:r>
      <w:r>
        <w:rPr>
          <w:rFonts w:hint="eastAsia" w:ascii="宋体" w:hAnsi="宋体" w:eastAsia="宋体" w:cs="宋体"/>
          <w:sz w:val="24"/>
          <w:szCs w:val="24"/>
        </w:rPr>
        <w:t>70</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370ACFE3">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_Toc27490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格式一</w:t>
      </w:r>
      <w:r>
        <w:rPr>
          <w:rFonts w:hint="eastAsia" w:ascii="宋体" w:hAnsi="宋体" w:eastAsia="宋体" w:cs="宋体"/>
          <w:spacing w:val="-4"/>
          <w:sz w:val="24"/>
          <w:szCs w:val="24"/>
          <w:highlight w:val="none"/>
        </w:rPr>
        <w:t xml:space="preserve"> </w:t>
      </w:r>
      <w:r>
        <w:rPr>
          <w:rFonts w:hint="eastAsia" w:ascii="宋体" w:hAnsi="宋体" w:eastAsia="宋体" w:cs="宋体"/>
          <w:bCs/>
          <w:spacing w:val="-4"/>
          <w:sz w:val="24"/>
          <w:szCs w:val="24"/>
          <w:highlight w:val="none"/>
        </w:rPr>
        <w:t>封面</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_Toc27490 \h </w:instrText>
      </w:r>
      <w:r>
        <w:rPr>
          <w:rFonts w:hint="eastAsia" w:ascii="宋体" w:hAnsi="宋体" w:eastAsia="宋体" w:cs="宋体"/>
          <w:sz w:val="24"/>
          <w:szCs w:val="24"/>
        </w:rPr>
        <w:fldChar w:fldCharType="separate"/>
      </w:r>
      <w:r>
        <w:rPr>
          <w:rFonts w:hint="eastAsia" w:ascii="宋体" w:hAnsi="宋体" w:eastAsia="宋体" w:cs="宋体"/>
          <w:sz w:val="24"/>
          <w:szCs w:val="24"/>
        </w:rPr>
        <w:t>70</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226380A4">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_Toc13637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格式二 投标函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_Toc13637 \h </w:instrText>
      </w:r>
      <w:r>
        <w:rPr>
          <w:rFonts w:hint="eastAsia" w:ascii="宋体" w:hAnsi="宋体" w:eastAsia="宋体" w:cs="宋体"/>
          <w:sz w:val="24"/>
          <w:szCs w:val="24"/>
        </w:rPr>
        <w:fldChar w:fldCharType="separate"/>
      </w:r>
      <w:r>
        <w:rPr>
          <w:rFonts w:hint="eastAsia" w:ascii="宋体" w:hAnsi="宋体" w:eastAsia="宋体" w:cs="宋体"/>
          <w:sz w:val="24"/>
          <w:szCs w:val="24"/>
        </w:rPr>
        <w:t>71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4B01EBEA">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_Toc30611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格式三 各项承诺一览表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_Toc30611 \h </w:instrText>
      </w:r>
      <w:r>
        <w:rPr>
          <w:rFonts w:hint="eastAsia" w:ascii="宋体" w:hAnsi="宋体" w:eastAsia="宋体" w:cs="宋体"/>
          <w:sz w:val="24"/>
          <w:szCs w:val="24"/>
        </w:rPr>
        <w:fldChar w:fldCharType="separate"/>
      </w:r>
      <w:r>
        <w:rPr>
          <w:rFonts w:hint="eastAsia" w:ascii="宋体" w:hAnsi="宋体" w:eastAsia="宋体" w:cs="宋体"/>
          <w:sz w:val="24"/>
          <w:szCs w:val="24"/>
        </w:rPr>
        <w:t>72</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3350687C">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_Toc16497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格式四 授权委托书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_Toc16497 \h </w:instrText>
      </w:r>
      <w:r>
        <w:rPr>
          <w:rFonts w:hint="eastAsia" w:ascii="宋体" w:hAnsi="宋体" w:eastAsia="宋体" w:cs="宋体"/>
          <w:sz w:val="24"/>
          <w:szCs w:val="24"/>
        </w:rPr>
        <w:fldChar w:fldCharType="separate"/>
      </w:r>
      <w:r>
        <w:rPr>
          <w:rFonts w:hint="eastAsia" w:ascii="宋体" w:hAnsi="宋体" w:eastAsia="宋体" w:cs="宋体"/>
          <w:sz w:val="24"/>
          <w:szCs w:val="24"/>
        </w:rPr>
        <w:t>74</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3A5366D6">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_Toc10098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格式五 法定代表人身份证明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_Toc10098 \h </w:instrText>
      </w:r>
      <w:r>
        <w:rPr>
          <w:rFonts w:hint="eastAsia" w:ascii="宋体" w:hAnsi="宋体" w:eastAsia="宋体" w:cs="宋体"/>
          <w:sz w:val="24"/>
          <w:szCs w:val="24"/>
        </w:rPr>
        <w:fldChar w:fldCharType="separate"/>
      </w:r>
      <w:r>
        <w:rPr>
          <w:rFonts w:hint="eastAsia" w:ascii="宋体" w:hAnsi="宋体" w:eastAsia="宋体" w:cs="宋体"/>
          <w:sz w:val="24"/>
          <w:szCs w:val="24"/>
        </w:rPr>
        <w:t>75</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352BEAFC">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_Toc6867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格式六 联合体协议书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_Toc6867 \h </w:instrText>
      </w:r>
      <w:r>
        <w:rPr>
          <w:rFonts w:hint="eastAsia" w:ascii="宋体" w:hAnsi="宋体" w:eastAsia="宋体" w:cs="宋体"/>
          <w:sz w:val="24"/>
          <w:szCs w:val="24"/>
        </w:rPr>
        <w:fldChar w:fldCharType="separate"/>
      </w:r>
      <w:r>
        <w:rPr>
          <w:rFonts w:hint="eastAsia" w:ascii="宋体" w:hAnsi="宋体" w:eastAsia="宋体" w:cs="宋体"/>
          <w:sz w:val="24"/>
          <w:szCs w:val="24"/>
        </w:rPr>
        <w:t>76</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4D933594">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_Toc16373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格式七 投标人基本情况表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_Toc16373 \h </w:instrText>
      </w:r>
      <w:r>
        <w:rPr>
          <w:rFonts w:hint="eastAsia" w:ascii="宋体" w:hAnsi="宋体" w:eastAsia="宋体" w:cs="宋体"/>
          <w:sz w:val="24"/>
          <w:szCs w:val="24"/>
        </w:rPr>
        <w:fldChar w:fldCharType="separate"/>
      </w:r>
      <w:r>
        <w:rPr>
          <w:rFonts w:hint="eastAsia" w:ascii="宋体" w:hAnsi="宋体" w:eastAsia="宋体" w:cs="宋体"/>
          <w:sz w:val="24"/>
          <w:szCs w:val="24"/>
        </w:rPr>
        <w:t>77</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18FA1A15">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_Toc10606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格式八 项目经理简历表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_Toc10606 \h </w:instrText>
      </w:r>
      <w:r>
        <w:rPr>
          <w:rFonts w:hint="eastAsia" w:ascii="宋体" w:hAnsi="宋体" w:eastAsia="宋体" w:cs="宋体"/>
          <w:sz w:val="24"/>
          <w:szCs w:val="24"/>
        </w:rPr>
        <w:fldChar w:fldCharType="separate"/>
      </w:r>
      <w:r>
        <w:rPr>
          <w:rFonts w:hint="eastAsia" w:ascii="宋体" w:hAnsi="宋体" w:eastAsia="宋体" w:cs="宋体"/>
          <w:sz w:val="24"/>
          <w:szCs w:val="24"/>
        </w:rPr>
        <w:t>78</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15241D6C">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_Toc7768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格式九 项目经理任职声明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_Toc7768 \h </w:instrText>
      </w:r>
      <w:r>
        <w:rPr>
          <w:rFonts w:hint="eastAsia" w:ascii="宋体" w:hAnsi="宋体" w:eastAsia="宋体" w:cs="宋体"/>
          <w:sz w:val="24"/>
          <w:szCs w:val="24"/>
        </w:rPr>
        <w:fldChar w:fldCharType="separate"/>
      </w:r>
      <w:r>
        <w:rPr>
          <w:rFonts w:hint="eastAsia" w:ascii="宋体" w:hAnsi="宋体" w:eastAsia="宋体" w:cs="宋体"/>
          <w:sz w:val="24"/>
          <w:szCs w:val="24"/>
        </w:rPr>
        <w:t>79</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55399725">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_Toc14280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格式十 项目技术负责人简历表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_Toc14280 \h </w:instrText>
      </w:r>
      <w:r>
        <w:rPr>
          <w:rFonts w:hint="eastAsia" w:ascii="宋体" w:hAnsi="宋体" w:eastAsia="宋体" w:cs="宋体"/>
          <w:sz w:val="24"/>
          <w:szCs w:val="24"/>
        </w:rPr>
        <w:fldChar w:fldCharType="separate"/>
      </w:r>
      <w:r>
        <w:rPr>
          <w:rFonts w:hint="eastAsia" w:ascii="宋体" w:hAnsi="宋体" w:eastAsia="宋体" w:cs="宋体"/>
          <w:sz w:val="24"/>
          <w:szCs w:val="24"/>
        </w:rPr>
        <w:t>80</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31AD09BB">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_Toc16314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格式十一 项目管理机构组成表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_Toc16314 \h </w:instrText>
      </w:r>
      <w:r>
        <w:rPr>
          <w:rFonts w:hint="eastAsia" w:ascii="宋体" w:hAnsi="宋体" w:eastAsia="宋体" w:cs="宋体"/>
          <w:sz w:val="24"/>
          <w:szCs w:val="24"/>
        </w:rPr>
        <w:fldChar w:fldCharType="separate"/>
      </w:r>
      <w:r>
        <w:rPr>
          <w:rFonts w:hint="eastAsia" w:ascii="宋体" w:hAnsi="宋体" w:eastAsia="宋体" w:cs="宋体"/>
          <w:sz w:val="24"/>
          <w:szCs w:val="24"/>
        </w:rPr>
        <w:t>81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391C415F">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_Toc21330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格式十二 建造师查询页（有效期+建造师签字）</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_Toc21330 \h </w:instrText>
      </w:r>
      <w:r>
        <w:rPr>
          <w:rFonts w:hint="eastAsia" w:ascii="宋体" w:hAnsi="宋体" w:eastAsia="宋体" w:cs="宋体"/>
          <w:sz w:val="24"/>
          <w:szCs w:val="24"/>
        </w:rPr>
        <w:fldChar w:fldCharType="separate"/>
      </w:r>
      <w:r>
        <w:rPr>
          <w:rFonts w:hint="eastAsia" w:ascii="宋体" w:hAnsi="宋体" w:eastAsia="宋体" w:cs="宋体"/>
          <w:sz w:val="24"/>
          <w:szCs w:val="24"/>
        </w:rPr>
        <w:t>82</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286A2F70">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_Toc3204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格式十三：</w:t>
      </w:r>
      <w:r>
        <w:rPr>
          <w:rFonts w:hint="eastAsia" w:ascii="宋体" w:hAnsi="宋体" w:eastAsia="宋体" w:cs="宋体"/>
          <w:bCs/>
          <w:spacing w:val="7"/>
          <w:sz w:val="24"/>
          <w:szCs w:val="24"/>
          <w:highlight w:val="none"/>
        </w:rPr>
        <w:t>危险性较大的分部分项工程清单及超过一定规模的危险性较大的</w:t>
      </w:r>
      <w:r>
        <w:rPr>
          <w:rFonts w:hint="eastAsia" w:ascii="宋体" w:hAnsi="宋体" w:eastAsia="宋体" w:cs="宋体"/>
          <w:bCs/>
          <w:spacing w:val="5"/>
          <w:sz w:val="24"/>
          <w:szCs w:val="24"/>
          <w:highlight w:val="none"/>
        </w:rPr>
        <w:t>分部分项工程清单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_Toc3204 \h </w:instrText>
      </w:r>
      <w:r>
        <w:rPr>
          <w:rFonts w:hint="eastAsia" w:ascii="宋体" w:hAnsi="宋体" w:eastAsia="宋体" w:cs="宋体"/>
          <w:sz w:val="24"/>
          <w:szCs w:val="24"/>
        </w:rPr>
        <w:fldChar w:fldCharType="separate"/>
      </w:r>
      <w:r>
        <w:rPr>
          <w:rFonts w:hint="eastAsia" w:ascii="宋体" w:hAnsi="宋体" w:eastAsia="宋体" w:cs="宋体"/>
          <w:sz w:val="24"/>
          <w:szCs w:val="24"/>
        </w:rPr>
        <w:t>84</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580C1DF4">
      <w:pPr>
        <w:pStyle w:val="8"/>
        <w:tabs>
          <w:tab w:val="right" w:leader="dot" w:pos="9746"/>
        </w:tabs>
        <w:spacing w:line="360" w:lineRule="auto"/>
        <w:rPr>
          <w:rFonts w:hint="eastAsia" w:ascii="宋体" w:hAnsi="宋体" w:eastAsia="宋体" w:cs="宋体"/>
          <w:sz w:val="24"/>
          <w:szCs w:val="24"/>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_Toc13171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格式十四</w:t>
      </w:r>
      <w:r>
        <w:rPr>
          <w:rFonts w:hint="eastAsia" w:ascii="宋体" w:hAnsi="宋体" w:eastAsia="宋体" w:cs="宋体"/>
          <w:bCs/>
          <w:spacing w:val="-4"/>
          <w:sz w:val="24"/>
          <w:szCs w:val="24"/>
          <w:highlight w:val="none"/>
          <w:lang w:val="en-US" w:eastAsia="zh-CN"/>
        </w:rPr>
        <w:t xml:space="preserve">  </w:t>
      </w:r>
      <w:r>
        <w:rPr>
          <w:rFonts w:hint="eastAsia" w:ascii="宋体" w:hAnsi="宋体" w:eastAsia="宋体" w:cs="宋体"/>
          <w:bCs/>
          <w:spacing w:val="4"/>
          <w:position w:val="3"/>
          <w:sz w:val="24"/>
          <w:szCs w:val="24"/>
          <w:highlight w:val="none"/>
        </w:rPr>
        <w:t>投标保证金信用承诺函</w:t>
      </w:r>
      <w:r>
        <w:rPr>
          <w:rFonts w:hint="eastAsia" w:ascii="宋体" w:hAnsi="宋体" w:eastAsia="宋体" w:cs="宋体"/>
          <w:sz w:val="24"/>
          <w:szCs w:val="24"/>
        </w:rPr>
        <w:tab/>
      </w:r>
      <w:r>
        <w:rPr>
          <w:rFonts w:hint="eastAsia" w:ascii="宋体" w:hAnsi="宋体" w:eastAsia="宋体" w:cs="宋体"/>
          <w:sz w:val="24"/>
          <w:szCs w:val="24"/>
          <w:lang w:val="en-US" w:eastAsia="zh-CN"/>
        </w:rPr>
        <w:t>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9</w:t>
      </w:r>
    </w:p>
    <w:p w14:paraId="0F55B129">
      <w:pPr>
        <w:pStyle w:val="8"/>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_Toc31686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格式十</w:t>
      </w:r>
      <w:r>
        <w:rPr>
          <w:rFonts w:hint="eastAsia" w:ascii="宋体" w:hAnsi="宋体" w:eastAsia="宋体" w:cs="宋体"/>
          <w:bCs/>
          <w:spacing w:val="-4"/>
          <w:sz w:val="24"/>
          <w:szCs w:val="24"/>
          <w:highlight w:val="none"/>
          <w:lang w:eastAsia="zh-CN"/>
        </w:rPr>
        <w:t>五</w:t>
      </w:r>
      <w:r>
        <w:rPr>
          <w:rFonts w:hint="eastAsia" w:ascii="宋体" w:hAnsi="宋体" w:eastAsia="宋体" w:cs="宋体"/>
          <w:bCs/>
          <w:spacing w:val="-4"/>
          <w:sz w:val="24"/>
          <w:szCs w:val="24"/>
          <w:highlight w:val="none"/>
        </w:rPr>
        <w:t xml:space="preserve">  原件一览表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_Toc31686 \h </w:instrText>
      </w:r>
      <w:r>
        <w:rPr>
          <w:rFonts w:hint="eastAsia" w:ascii="宋体" w:hAnsi="宋体" w:eastAsia="宋体" w:cs="宋体"/>
          <w:sz w:val="24"/>
          <w:szCs w:val="24"/>
        </w:rPr>
        <w:fldChar w:fldCharType="separate"/>
      </w:r>
      <w:r>
        <w:rPr>
          <w:rFonts w:hint="eastAsia" w:ascii="宋体" w:hAnsi="宋体" w:eastAsia="宋体" w:cs="宋体"/>
          <w:sz w:val="24"/>
          <w:szCs w:val="24"/>
        </w:rPr>
        <w:t>90</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1C915980">
      <w:pPr>
        <w:pStyle w:val="12"/>
        <w:tabs>
          <w:tab w:val="right" w:leader="dot" w:pos="9746"/>
        </w:tabs>
        <w:spacing w:line="360" w:lineRule="auto"/>
        <w:ind w:firstLine="480" w:firstLineChars="200"/>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_Toc3422 </w:instrText>
      </w:r>
      <w:r>
        <w:rPr>
          <w:rFonts w:hint="eastAsia" w:ascii="宋体" w:hAnsi="宋体" w:eastAsia="宋体" w:cs="宋体"/>
          <w:sz w:val="24"/>
          <w:szCs w:val="24"/>
          <w:highlight w:val="none"/>
        </w:rPr>
        <w:fldChar w:fldCharType="separate"/>
      </w:r>
      <w:r>
        <w:rPr>
          <w:rFonts w:hint="eastAsia" w:ascii="宋体" w:hAnsi="宋体" w:eastAsia="宋体" w:cs="宋体"/>
          <w:bCs/>
          <w:kern w:val="0"/>
          <w:sz w:val="24"/>
          <w:szCs w:val="24"/>
          <w:highlight w:val="none"/>
          <w:lang w:val="en-US" w:eastAsia="zh-CN" w:bidi="ar-SA"/>
        </w:rPr>
        <w:t>格式十六 主要材料选用与履约保障承诺函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_Toc3422 \h </w:instrText>
      </w:r>
      <w:r>
        <w:rPr>
          <w:rFonts w:hint="eastAsia" w:ascii="宋体" w:hAnsi="宋体" w:eastAsia="宋体" w:cs="宋体"/>
          <w:sz w:val="24"/>
          <w:szCs w:val="24"/>
        </w:rPr>
        <w:fldChar w:fldCharType="separate"/>
      </w:r>
      <w:r>
        <w:rPr>
          <w:rFonts w:hint="eastAsia" w:ascii="宋体" w:hAnsi="宋体" w:eastAsia="宋体" w:cs="宋体"/>
          <w:sz w:val="24"/>
          <w:szCs w:val="24"/>
        </w:rPr>
        <w:t>91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58470A5B">
      <w:pPr>
        <w:pStyle w:val="12"/>
        <w:tabs>
          <w:tab w:val="right" w:leader="dot" w:pos="9746"/>
        </w:tabs>
        <w:spacing w:line="360" w:lineRule="auto"/>
        <w:ind w:firstLine="480" w:firstLineChars="200"/>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_Toc29459 </w:instrText>
      </w:r>
      <w:r>
        <w:rPr>
          <w:rFonts w:hint="eastAsia" w:ascii="宋体" w:hAnsi="宋体" w:eastAsia="宋体" w:cs="宋体"/>
          <w:sz w:val="24"/>
          <w:szCs w:val="24"/>
          <w:highlight w:val="none"/>
        </w:rPr>
        <w:fldChar w:fldCharType="separate"/>
      </w:r>
      <w:r>
        <w:rPr>
          <w:rFonts w:hint="eastAsia" w:ascii="宋体" w:hAnsi="宋体" w:eastAsia="宋体" w:cs="宋体"/>
          <w:bCs/>
          <w:sz w:val="24"/>
          <w:szCs w:val="24"/>
          <w:highlight w:val="none"/>
          <w:lang w:eastAsia="zh-CN"/>
        </w:rPr>
        <w:t>格式十</w:t>
      </w:r>
      <w:r>
        <w:rPr>
          <w:rFonts w:hint="eastAsia" w:ascii="宋体" w:hAnsi="宋体" w:eastAsia="宋体" w:cs="宋体"/>
          <w:bCs/>
          <w:sz w:val="24"/>
          <w:szCs w:val="24"/>
          <w:highlight w:val="none"/>
          <w:lang w:val="en-US" w:eastAsia="zh-CN"/>
        </w:rPr>
        <w:t>七  定标因素评审资料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_Toc29459 \h </w:instrText>
      </w:r>
      <w:r>
        <w:rPr>
          <w:rFonts w:hint="eastAsia" w:ascii="宋体" w:hAnsi="宋体" w:eastAsia="宋体" w:cs="宋体"/>
          <w:sz w:val="24"/>
          <w:szCs w:val="24"/>
        </w:rPr>
        <w:fldChar w:fldCharType="separate"/>
      </w:r>
      <w:r>
        <w:rPr>
          <w:rFonts w:hint="eastAsia" w:ascii="宋体" w:hAnsi="宋体" w:eastAsia="宋体" w:cs="宋体"/>
          <w:sz w:val="24"/>
          <w:szCs w:val="24"/>
        </w:rPr>
        <w:t>92</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7BFC3FE0">
      <w:pPr>
        <w:pStyle w:val="12"/>
        <w:tabs>
          <w:tab w:val="right" w:leader="dot" w:pos="9746"/>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_Toc9193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第七章</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建设工程施工合同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_Toc9193 \h </w:instrText>
      </w:r>
      <w:r>
        <w:rPr>
          <w:rFonts w:hint="eastAsia" w:ascii="宋体" w:hAnsi="宋体" w:eastAsia="宋体" w:cs="宋体"/>
          <w:sz w:val="24"/>
          <w:szCs w:val="24"/>
        </w:rPr>
        <w:fldChar w:fldCharType="separate"/>
      </w:r>
      <w:r>
        <w:rPr>
          <w:rFonts w:hint="eastAsia" w:ascii="宋体" w:hAnsi="宋体" w:eastAsia="宋体" w:cs="宋体"/>
          <w:sz w:val="24"/>
          <w:szCs w:val="24"/>
        </w:rPr>
        <w:t>93</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07B91383">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color w:val="auto"/>
          <w:sz w:val="24"/>
          <w:szCs w:val="24"/>
          <w:highlight w:val="none"/>
        </w:rPr>
        <w:sectPr>
          <w:footerReference r:id="rId4"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r>
        <w:rPr>
          <w:rFonts w:hint="eastAsia" w:ascii="宋体" w:hAnsi="宋体" w:eastAsia="宋体" w:cs="宋体"/>
          <w:color w:val="auto"/>
          <w:sz w:val="24"/>
          <w:szCs w:val="24"/>
          <w:highlight w:val="none"/>
        </w:rPr>
        <w:fldChar w:fldCharType="end"/>
      </w:r>
    </w:p>
    <w:p w14:paraId="6FAD710A">
      <w:pPr>
        <w:pStyle w:val="6"/>
        <w:spacing w:line="272" w:lineRule="auto"/>
        <w:rPr>
          <w:rFonts w:hint="eastAsia" w:ascii="宋体" w:hAnsi="宋体" w:eastAsia="宋体" w:cs="宋体"/>
          <w:color w:val="auto"/>
          <w:highlight w:val="none"/>
        </w:rPr>
      </w:pPr>
    </w:p>
    <w:p w14:paraId="41787C92">
      <w:pPr>
        <w:spacing w:before="78" w:line="219" w:lineRule="auto"/>
        <w:ind w:left="3416"/>
        <w:outlineLvl w:val="0"/>
        <w:rPr>
          <w:rFonts w:hint="eastAsia" w:ascii="宋体" w:hAnsi="宋体" w:eastAsia="宋体" w:cs="宋体"/>
          <w:color w:val="auto"/>
          <w:sz w:val="24"/>
          <w:szCs w:val="24"/>
          <w:highlight w:val="none"/>
        </w:rPr>
      </w:pPr>
      <w:bookmarkStart w:id="0" w:name="bookmark1"/>
      <w:bookmarkEnd w:id="0"/>
      <w:bookmarkStart w:id="1" w:name="_Toc19929"/>
      <w:r>
        <w:rPr>
          <w:rFonts w:hint="eastAsia" w:ascii="宋体" w:hAnsi="宋体" w:eastAsia="宋体" w:cs="宋体"/>
          <w:b/>
          <w:bCs/>
          <w:color w:val="auto"/>
          <w:spacing w:val="-3"/>
          <w:sz w:val="24"/>
          <w:szCs w:val="24"/>
          <w:highlight w:val="none"/>
        </w:rPr>
        <w:t>第一章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w:t>
      </w:r>
      <w:bookmarkEnd w:id="1"/>
    </w:p>
    <w:p w14:paraId="225EA8A0">
      <w:pPr>
        <w:spacing w:before="156" w:line="219" w:lineRule="auto"/>
        <w:ind w:left="17"/>
        <w:outlineLvl w:val="1"/>
        <w:rPr>
          <w:rFonts w:hint="eastAsia" w:ascii="宋体" w:hAnsi="宋体" w:eastAsia="宋体" w:cs="宋体"/>
          <w:color w:val="auto"/>
          <w:sz w:val="24"/>
          <w:szCs w:val="24"/>
          <w:highlight w:val="none"/>
        </w:rPr>
      </w:pPr>
      <w:bookmarkStart w:id="2" w:name="bookmark3"/>
      <w:bookmarkEnd w:id="2"/>
      <w:bookmarkStart w:id="3" w:name="_Toc6684"/>
      <w:r>
        <w:rPr>
          <w:rFonts w:hint="eastAsia" w:ascii="宋体" w:hAnsi="宋体" w:eastAsia="宋体" w:cs="宋体"/>
          <w:b/>
          <w:bCs/>
          <w:color w:val="auto"/>
          <w:spacing w:val="-3"/>
          <w:sz w:val="24"/>
          <w:szCs w:val="24"/>
          <w:highlight w:val="none"/>
        </w:rPr>
        <w:t>第一节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投标人须知前附表</w:t>
      </w:r>
      <w:bookmarkEnd w:id="3"/>
    </w:p>
    <w:p w14:paraId="7D4C9041">
      <w:pPr>
        <w:spacing w:before="25"/>
        <w:rPr>
          <w:rFonts w:hint="eastAsia" w:ascii="宋体" w:hAnsi="宋体" w:eastAsia="宋体" w:cs="宋体"/>
          <w:color w:val="auto"/>
          <w:highlight w:val="none"/>
        </w:rPr>
      </w:pPr>
    </w:p>
    <w:tbl>
      <w:tblPr>
        <w:tblStyle w:val="17"/>
        <w:tblW w:w="998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860"/>
        <w:gridCol w:w="7544"/>
      </w:tblGrid>
      <w:tr w14:paraId="4538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center"/>
          </w:tcPr>
          <w:p w14:paraId="6E71DC3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序号</w:t>
            </w:r>
          </w:p>
        </w:tc>
        <w:tc>
          <w:tcPr>
            <w:tcW w:w="1860" w:type="dxa"/>
            <w:vAlign w:val="center"/>
          </w:tcPr>
          <w:p w14:paraId="4C2E1B8B">
            <w:pPr>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内容</w:t>
            </w:r>
          </w:p>
        </w:tc>
        <w:tc>
          <w:tcPr>
            <w:tcW w:w="7544" w:type="dxa"/>
            <w:vAlign w:val="center"/>
          </w:tcPr>
          <w:p w14:paraId="5AEE0820">
            <w:pPr>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说明与要求</w:t>
            </w:r>
          </w:p>
        </w:tc>
      </w:tr>
      <w:tr w14:paraId="33E3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3743D7C8">
            <w:pPr>
              <w:spacing w:before="223" w:line="195" w:lineRule="auto"/>
              <w:jc w:val="center"/>
              <w:rPr>
                <w:rFonts w:hint="eastAsia" w:asciiTheme="minorEastAsia" w:hAnsiTheme="minorEastAsia" w:eastAsiaTheme="minorEastAsia" w:cstheme="minorEastAsia"/>
                <w:color w:val="auto"/>
                <w:sz w:val="21"/>
                <w:szCs w:val="21"/>
                <w:highlight w:val="none"/>
              </w:rPr>
            </w:pPr>
            <w:bookmarkStart w:id="4" w:name="OLE_LINK2" w:colFirst="2" w:colLast="2"/>
            <w:r>
              <w:rPr>
                <w:rFonts w:hint="eastAsia" w:asciiTheme="minorEastAsia" w:hAnsiTheme="minorEastAsia" w:eastAsiaTheme="minorEastAsia" w:cstheme="minorEastAsia"/>
                <w:color w:val="auto"/>
                <w:sz w:val="21"/>
                <w:szCs w:val="21"/>
                <w:highlight w:val="none"/>
              </w:rPr>
              <w:t>1</w:t>
            </w:r>
          </w:p>
        </w:tc>
        <w:tc>
          <w:tcPr>
            <w:tcW w:w="1860" w:type="dxa"/>
            <w:vAlign w:val="center"/>
          </w:tcPr>
          <w:p w14:paraId="2DAD04F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项目名称</w:t>
            </w:r>
          </w:p>
        </w:tc>
        <w:tc>
          <w:tcPr>
            <w:tcW w:w="7544" w:type="dxa"/>
            <w:vAlign w:val="center"/>
          </w:tcPr>
          <w:p w14:paraId="495090BD">
            <w:pPr>
              <w:tabs>
                <w:tab w:val="left" w:pos="1180"/>
              </w:tabs>
              <w:adjustRightInd w:val="0"/>
              <w:snapToGrid w:val="0"/>
              <w:spacing w:line="400" w:lineRule="exact"/>
              <w:ind w:firstLine="210" w:firstLineChars="100"/>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翁源县翁城镇至官渡镇管道天然气项目（第一标段）工程施工</w:t>
            </w:r>
          </w:p>
        </w:tc>
      </w:tr>
      <w:tr w14:paraId="443D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82" w:type="dxa"/>
            <w:vAlign w:val="center"/>
          </w:tcPr>
          <w:p w14:paraId="6B02EA2B">
            <w:pPr>
              <w:spacing w:before="222"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1860" w:type="dxa"/>
            <w:vAlign w:val="center"/>
          </w:tcPr>
          <w:p w14:paraId="4498F62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项目业主</w:t>
            </w:r>
          </w:p>
        </w:tc>
        <w:tc>
          <w:tcPr>
            <w:tcW w:w="7544" w:type="dxa"/>
            <w:vAlign w:val="center"/>
          </w:tcPr>
          <w:p w14:paraId="0533DE12">
            <w:pPr>
              <w:wordWrap w:val="0"/>
              <w:adjustRightInd w:val="0"/>
              <w:snapToGrid w:val="0"/>
              <w:spacing w:line="400" w:lineRule="exact"/>
              <w:ind w:firstLine="210" w:firstLineChars="100"/>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rPr>
              <w:t>粤北城市燃气（翁源）有限公司</w:t>
            </w:r>
          </w:p>
        </w:tc>
      </w:tr>
      <w:tr w14:paraId="5E88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5" w:hRule="atLeast"/>
        </w:trPr>
        <w:tc>
          <w:tcPr>
            <w:tcW w:w="582" w:type="dxa"/>
            <w:vAlign w:val="center"/>
          </w:tcPr>
          <w:p w14:paraId="3A5F6D9F">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1860" w:type="dxa"/>
            <w:vAlign w:val="center"/>
          </w:tcPr>
          <w:p w14:paraId="157B504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项目批准部门及项目批准文号</w:t>
            </w:r>
          </w:p>
        </w:tc>
        <w:tc>
          <w:tcPr>
            <w:tcW w:w="7544" w:type="dxa"/>
            <w:vAlign w:val="center"/>
          </w:tcPr>
          <w:p w14:paraId="667F29C4">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翁源县发展和改革局</w:t>
            </w:r>
          </w:p>
        </w:tc>
      </w:tr>
      <w:tr w14:paraId="2C58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582" w:type="dxa"/>
            <w:vAlign w:val="center"/>
          </w:tcPr>
          <w:p w14:paraId="7E34B725">
            <w:pPr>
              <w:spacing w:before="225"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4</w:t>
            </w:r>
          </w:p>
        </w:tc>
        <w:tc>
          <w:tcPr>
            <w:tcW w:w="1860" w:type="dxa"/>
            <w:vAlign w:val="center"/>
          </w:tcPr>
          <w:p w14:paraId="1DD2D51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建设地点</w:t>
            </w:r>
          </w:p>
        </w:tc>
        <w:tc>
          <w:tcPr>
            <w:tcW w:w="7544" w:type="dxa"/>
            <w:tcMar>
              <w:top w:w="0" w:type="dxa"/>
              <w:left w:w="0" w:type="dxa"/>
              <w:bottom w:w="0" w:type="dxa"/>
              <w:right w:w="0" w:type="dxa"/>
            </w:tcMar>
            <w:vAlign w:val="center"/>
          </w:tcPr>
          <w:p w14:paraId="35204136">
            <w:pPr>
              <w:shd w:val="clear" w:color="auto" w:fill="auto"/>
              <w:wordWrap w:val="0"/>
              <w:adjustRightInd w:val="0"/>
              <w:snapToGrid w:val="0"/>
              <w:spacing w:line="400" w:lineRule="exact"/>
              <w:ind w:firstLine="210" w:firstLineChars="100"/>
              <w:rPr>
                <w:rFonts w:hint="default" w:asciiTheme="minorEastAsia" w:hAnsiTheme="minorEastAsia" w:eastAsiaTheme="minorEastAsia" w:cstheme="minorEastAsia"/>
                <w:snapToGrid w:val="0"/>
                <w:color w:val="auto"/>
                <w:kern w:val="0"/>
                <w:sz w:val="21"/>
                <w:szCs w:val="21"/>
                <w:highlight w:val="none"/>
                <w:lang w:val="en-US" w:eastAsia="zh-CN"/>
              </w:rPr>
            </w:pPr>
            <w:r>
              <w:rPr>
                <w:rFonts w:hint="default" w:asciiTheme="minorEastAsia" w:hAnsiTheme="minorEastAsia" w:eastAsiaTheme="minorEastAsia" w:cstheme="minorEastAsia"/>
                <w:snapToGrid w:val="0"/>
                <w:color w:val="auto"/>
                <w:kern w:val="0"/>
                <w:sz w:val="21"/>
                <w:szCs w:val="21"/>
                <w:highlight w:val="none"/>
                <w:lang w:val="en-US" w:eastAsia="zh-CN"/>
              </w:rPr>
              <w:t>韶关市翁源县翁城镇和官渡镇</w:t>
            </w:r>
          </w:p>
        </w:tc>
      </w:tr>
      <w:tr w14:paraId="565E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3" w:hRule="atLeast"/>
        </w:trPr>
        <w:tc>
          <w:tcPr>
            <w:tcW w:w="582" w:type="dxa"/>
            <w:vAlign w:val="center"/>
          </w:tcPr>
          <w:p w14:paraId="318E89F5">
            <w:pPr>
              <w:spacing w:before="226" w:line="192"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1860" w:type="dxa"/>
            <w:vAlign w:val="center"/>
          </w:tcPr>
          <w:p w14:paraId="66CCEB4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项目代码</w:t>
            </w:r>
          </w:p>
        </w:tc>
        <w:tc>
          <w:tcPr>
            <w:tcW w:w="7544" w:type="dxa"/>
            <w:vAlign w:val="center"/>
          </w:tcPr>
          <w:p w14:paraId="44492172">
            <w:pPr>
              <w:shd w:val="clear" w:color="auto" w:fill="auto"/>
              <w:wordWrap w:val="0"/>
              <w:adjustRightInd w:val="0"/>
              <w:snapToGrid w:val="0"/>
              <w:spacing w:line="400" w:lineRule="exact"/>
              <w:ind w:firstLine="210" w:firstLineChars="100"/>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2511-440229-04-01-562229</w:t>
            </w:r>
          </w:p>
        </w:tc>
      </w:tr>
      <w:tr w14:paraId="1E524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6D804121">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w:t>
            </w:r>
          </w:p>
        </w:tc>
        <w:tc>
          <w:tcPr>
            <w:tcW w:w="1860" w:type="dxa"/>
            <w:vAlign w:val="center"/>
          </w:tcPr>
          <w:p w14:paraId="5A6B568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资金来源及落实情况</w:t>
            </w:r>
          </w:p>
        </w:tc>
        <w:tc>
          <w:tcPr>
            <w:tcW w:w="7544" w:type="dxa"/>
            <w:vAlign w:val="center"/>
          </w:tcPr>
          <w:p w14:paraId="440E9E3D">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企业自筹（自有）资金及银行贷款 100%，资金已落实</w:t>
            </w:r>
          </w:p>
        </w:tc>
      </w:tr>
      <w:tr w14:paraId="5766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582" w:type="dxa"/>
            <w:vAlign w:val="center"/>
          </w:tcPr>
          <w:p w14:paraId="400528AE">
            <w:pPr>
              <w:spacing w:before="228" w:line="192"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p>
        </w:tc>
        <w:tc>
          <w:tcPr>
            <w:tcW w:w="1860" w:type="dxa"/>
            <w:vAlign w:val="center"/>
          </w:tcPr>
          <w:p w14:paraId="3CAF0EE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招标人</w:t>
            </w:r>
          </w:p>
        </w:tc>
        <w:tc>
          <w:tcPr>
            <w:tcW w:w="7544" w:type="dxa"/>
            <w:vAlign w:val="center"/>
          </w:tcPr>
          <w:p w14:paraId="5B71CC74">
            <w:pPr>
              <w:shd w:val="clear" w:color="auto" w:fill="auto"/>
              <w:wordWrap w:val="0"/>
              <w:adjustRightInd w:val="0"/>
              <w:snapToGrid w:val="0"/>
              <w:spacing w:line="400" w:lineRule="exact"/>
              <w:ind w:firstLine="210" w:firstLineChars="100"/>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粤北城市燃气（翁源）有限公司</w:t>
            </w:r>
          </w:p>
        </w:tc>
      </w:tr>
      <w:tr w14:paraId="6088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trPr>
        <w:tc>
          <w:tcPr>
            <w:tcW w:w="582" w:type="dxa"/>
            <w:vAlign w:val="center"/>
          </w:tcPr>
          <w:p w14:paraId="44304D14">
            <w:pPr>
              <w:spacing w:before="224"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w:t>
            </w:r>
          </w:p>
        </w:tc>
        <w:tc>
          <w:tcPr>
            <w:tcW w:w="1860" w:type="dxa"/>
            <w:vAlign w:val="center"/>
          </w:tcPr>
          <w:p w14:paraId="31C26FC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招标代理机构</w:t>
            </w:r>
          </w:p>
        </w:tc>
        <w:tc>
          <w:tcPr>
            <w:tcW w:w="7544" w:type="dxa"/>
            <w:vAlign w:val="center"/>
          </w:tcPr>
          <w:p w14:paraId="4E3C0A99">
            <w:pPr>
              <w:shd w:val="clear" w:color="auto" w:fill="auto"/>
              <w:wordWrap w:val="0"/>
              <w:adjustRightInd w:val="0"/>
              <w:snapToGrid w:val="0"/>
              <w:spacing w:line="400" w:lineRule="exact"/>
              <w:ind w:firstLine="210" w:firstLineChars="100"/>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韶关市中利工程咨询有限公司</w:t>
            </w:r>
          </w:p>
        </w:tc>
      </w:tr>
      <w:tr w14:paraId="0749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582" w:type="dxa"/>
            <w:vAlign w:val="center"/>
          </w:tcPr>
          <w:p w14:paraId="5A5AC857">
            <w:pPr>
              <w:spacing w:before="225"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w:t>
            </w:r>
          </w:p>
        </w:tc>
        <w:tc>
          <w:tcPr>
            <w:tcW w:w="1860" w:type="dxa"/>
            <w:vAlign w:val="center"/>
          </w:tcPr>
          <w:p w14:paraId="11B17F7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设计单位</w:t>
            </w:r>
          </w:p>
        </w:tc>
        <w:tc>
          <w:tcPr>
            <w:tcW w:w="7544" w:type="dxa"/>
            <w:vAlign w:val="center"/>
          </w:tcPr>
          <w:p w14:paraId="2E0AD384">
            <w:pPr>
              <w:keepNext w:val="0"/>
              <w:keepLines w:val="0"/>
              <w:pageBreakBefore w:val="0"/>
              <w:kinsoku/>
              <w:wordWrap w:val="0"/>
              <w:overflowPunct/>
              <w:topLinePunct w:val="0"/>
              <w:autoSpaceDE/>
              <w:autoSpaceDN/>
              <w:bidi w:val="0"/>
              <w:adjustRightInd w:val="0"/>
              <w:snapToGrid w:val="0"/>
              <w:spacing w:line="360" w:lineRule="exact"/>
              <w:ind w:firstLine="210" w:firstLineChars="100"/>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中国市政工程西南设计研究总院有限公司</w:t>
            </w:r>
          </w:p>
        </w:tc>
      </w:tr>
      <w:bookmarkEnd w:id="4"/>
      <w:tr w14:paraId="231F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6" w:hRule="atLeast"/>
        </w:trPr>
        <w:tc>
          <w:tcPr>
            <w:tcW w:w="582" w:type="dxa"/>
            <w:vAlign w:val="center"/>
          </w:tcPr>
          <w:p w14:paraId="1D58DA3A">
            <w:pPr>
              <w:spacing w:before="245"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10</w:t>
            </w:r>
          </w:p>
        </w:tc>
        <w:tc>
          <w:tcPr>
            <w:tcW w:w="1860" w:type="dxa"/>
            <w:vAlign w:val="center"/>
          </w:tcPr>
          <w:p w14:paraId="1DD07B7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造价咨询单位</w:t>
            </w:r>
          </w:p>
        </w:tc>
        <w:tc>
          <w:tcPr>
            <w:tcW w:w="7544" w:type="dxa"/>
            <w:vAlign w:val="center"/>
          </w:tcPr>
          <w:p w14:paraId="7A3C8AC4">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□非全过程造价咨询   ☑全过程造价咨询</w:t>
            </w:r>
          </w:p>
        </w:tc>
      </w:tr>
      <w:tr w14:paraId="1B42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8" w:hRule="atLeast"/>
        </w:trPr>
        <w:tc>
          <w:tcPr>
            <w:tcW w:w="582" w:type="dxa"/>
            <w:vAlign w:val="center"/>
          </w:tcPr>
          <w:p w14:paraId="5392F3A2">
            <w:pPr>
              <w:spacing w:before="242"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11</w:t>
            </w:r>
          </w:p>
        </w:tc>
        <w:tc>
          <w:tcPr>
            <w:tcW w:w="1860" w:type="dxa"/>
            <w:vAlign w:val="center"/>
          </w:tcPr>
          <w:p w14:paraId="12C094C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监理单位</w:t>
            </w:r>
          </w:p>
        </w:tc>
        <w:tc>
          <w:tcPr>
            <w:tcW w:w="7544" w:type="dxa"/>
            <w:vAlign w:val="center"/>
          </w:tcPr>
          <w:p w14:paraId="03F5A6DB">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bCs/>
                <w:snapToGrid w:val="0"/>
                <w:color w:val="auto"/>
                <w:kern w:val="0"/>
                <w:sz w:val="21"/>
                <w:szCs w:val="21"/>
                <w:highlight w:val="none"/>
                <w:lang w:val="en-US" w:eastAsia="zh-CN"/>
              </w:rPr>
              <w:t>□已确定监理单位☑未确定监理单位</w:t>
            </w:r>
          </w:p>
        </w:tc>
      </w:tr>
      <w:tr w14:paraId="2402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515EDE6">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lang w:eastAsia="zh-CN"/>
              </w:rPr>
              <w:t>1</w:t>
            </w:r>
            <w:r>
              <w:rPr>
                <w:rFonts w:hint="eastAsia" w:asciiTheme="minorEastAsia" w:hAnsiTheme="minorEastAsia" w:eastAsiaTheme="minorEastAsia" w:cstheme="minorEastAsia"/>
                <w:color w:val="auto"/>
                <w:spacing w:val="-8"/>
                <w:sz w:val="21"/>
                <w:szCs w:val="21"/>
                <w:highlight w:val="none"/>
              </w:rPr>
              <w:t>2</w:t>
            </w:r>
          </w:p>
        </w:tc>
        <w:tc>
          <w:tcPr>
            <w:tcW w:w="1860" w:type="dxa"/>
            <w:vAlign w:val="center"/>
          </w:tcPr>
          <w:p w14:paraId="3DF6750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建设内容和规模</w:t>
            </w:r>
          </w:p>
        </w:tc>
        <w:tc>
          <w:tcPr>
            <w:tcW w:w="7544" w:type="dxa"/>
            <w:vAlign w:val="center"/>
          </w:tcPr>
          <w:p w14:paraId="7BBA1B04">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□建设规模：</w:t>
            </w:r>
          </w:p>
          <w:p w14:paraId="1CAFA845">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bCs/>
                <w:snapToGrid w:val="0"/>
                <w:color w:val="auto"/>
                <w:kern w:val="0"/>
                <w:sz w:val="21"/>
                <w:szCs w:val="21"/>
                <w:highlight w:val="none"/>
                <w:lang w:val="en-US" w:eastAsia="zh-CN"/>
              </w:rPr>
              <w:t>☑建设内容：翁城镇至官渡镇管道天然气中压管道 7.5km，管径为 De250，设计压力为 0.4MPa。</w:t>
            </w:r>
          </w:p>
        </w:tc>
      </w:tr>
      <w:tr w14:paraId="304F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trPr>
        <w:tc>
          <w:tcPr>
            <w:tcW w:w="582" w:type="dxa"/>
            <w:vAlign w:val="center"/>
          </w:tcPr>
          <w:p w14:paraId="5D9D5ABA">
            <w:pPr>
              <w:spacing w:before="57"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13</w:t>
            </w:r>
          </w:p>
        </w:tc>
        <w:tc>
          <w:tcPr>
            <w:tcW w:w="1860" w:type="dxa"/>
            <w:vAlign w:val="center"/>
          </w:tcPr>
          <w:p w14:paraId="280E556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项目总投资</w:t>
            </w:r>
          </w:p>
        </w:tc>
        <w:tc>
          <w:tcPr>
            <w:tcW w:w="7544" w:type="dxa"/>
            <w:vAlign w:val="center"/>
          </w:tcPr>
          <w:p w14:paraId="0C56FDED">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default" w:asciiTheme="minorEastAsia" w:hAnsiTheme="minorEastAsia" w:eastAsiaTheme="minorEastAsia" w:cstheme="minorEastAsia"/>
                <w:snapToGrid w:val="0"/>
                <w:color w:val="auto"/>
                <w:kern w:val="0"/>
                <w:sz w:val="21"/>
                <w:szCs w:val="21"/>
                <w:highlight w:val="none"/>
                <w:lang w:val="en-US" w:eastAsia="zh-CN"/>
              </w:rPr>
              <w:t>项目投资估算建安工程费用约770.03万元。</w:t>
            </w:r>
          </w:p>
        </w:tc>
      </w:tr>
      <w:tr w14:paraId="6B2C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582" w:type="dxa"/>
            <w:vAlign w:val="center"/>
          </w:tcPr>
          <w:p w14:paraId="798375C9">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14</w:t>
            </w:r>
          </w:p>
        </w:tc>
        <w:tc>
          <w:tcPr>
            <w:tcW w:w="1860" w:type="dxa"/>
            <w:vAlign w:val="center"/>
          </w:tcPr>
          <w:p w14:paraId="2A6F4982">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招标范围</w:t>
            </w:r>
          </w:p>
        </w:tc>
        <w:tc>
          <w:tcPr>
            <w:tcW w:w="7544" w:type="dxa"/>
            <w:vAlign w:val="center"/>
          </w:tcPr>
          <w:p w14:paraId="3DE01C1F">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b w:val="0"/>
                <w:bCs w:val="0"/>
                <w:snapToGrid w:val="0"/>
                <w:color w:val="auto"/>
                <w:kern w:val="0"/>
                <w:sz w:val="21"/>
                <w:szCs w:val="21"/>
                <w:highlight w:val="none"/>
                <w:lang w:eastAsia="zh-CN"/>
              </w:rPr>
              <w:t>按审查合格的施工图纸及工程量清单内容施工</w:t>
            </w:r>
            <w:r>
              <w:rPr>
                <w:rFonts w:hint="eastAsia" w:ascii="宋体" w:hAnsi="宋体" w:eastAsia="宋体" w:cs="宋体"/>
                <w:b w:val="0"/>
                <w:bCs w:val="0"/>
                <w:snapToGrid w:val="0"/>
                <w:color w:val="auto"/>
                <w:kern w:val="0"/>
                <w:sz w:val="21"/>
                <w:szCs w:val="21"/>
                <w:highlight w:val="none"/>
              </w:rPr>
              <w:t>。</w:t>
            </w:r>
          </w:p>
        </w:tc>
      </w:tr>
      <w:tr w14:paraId="13F3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trPr>
        <w:tc>
          <w:tcPr>
            <w:tcW w:w="582" w:type="dxa"/>
            <w:vAlign w:val="center"/>
          </w:tcPr>
          <w:p w14:paraId="6EED9D8B">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15</w:t>
            </w:r>
          </w:p>
        </w:tc>
        <w:tc>
          <w:tcPr>
            <w:tcW w:w="1860" w:type="dxa"/>
            <w:vAlign w:val="center"/>
          </w:tcPr>
          <w:p w14:paraId="5CD69A5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标段划分</w:t>
            </w:r>
          </w:p>
        </w:tc>
        <w:tc>
          <w:tcPr>
            <w:tcW w:w="7544" w:type="dxa"/>
            <w:vAlign w:val="center"/>
          </w:tcPr>
          <w:p w14:paraId="71E5B427">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b w:val="0"/>
                <w:bCs w:val="0"/>
                <w:snapToGrid w:val="0"/>
                <w:color w:val="auto"/>
                <w:kern w:val="0"/>
                <w:sz w:val="21"/>
                <w:szCs w:val="21"/>
                <w:highlight w:val="none"/>
              </w:rPr>
              <w:t>本招标项目不划分标段。</w:t>
            </w:r>
          </w:p>
        </w:tc>
      </w:tr>
      <w:tr w14:paraId="2503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5" w:hRule="atLeast"/>
        </w:trPr>
        <w:tc>
          <w:tcPr>
            <w:tcW w:w="582" w:type="dxa"/>
            <w:vAlign w:val="center"/>
          </w:tcPr>
          <w:p w14:paraId="650937A5">
            <w:pPr>
              <w:spacing w:before="57" w:line="195"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8"/>
                <w:sz w:val="21"/>
                <w:szCs w:val="21"/>
                <w:highlight w:val="none"/>
              </w:rPr>
              <w:t>16</w:t>
            </w:r>
          </w:p>
        </w:tc>
        <w:tc>
          <w:tcPr>
            <w:tcW w:w="1860" w:type="dxa"/>
            <w:vAlign w:val="center"/>
          </w:tcPr>
          <w:p w14:paraId="00B1E99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工期</w:t>
            </w:r>
          </w:p>
        </w:tc>
        <w:tc>
          <w:tcPr>
            <w:tcW w:w="7544" w:type="dxa"/>
            <w:vAlign w:val="top"/>
          </w:tcPr>
          <w:p w14:paraId="2E25CB87">
            <w:pPr>
              <w:pStyle w:val="26"/>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b w:val="0"/>
                <w:bCs w:val="0"/>
                <w:snapToGrid w:val="0"/>
                <w:color w:val="auto"/>
                <w:kern w:val="0"/>
                <w:sz w:val="21"/>
                <w:szCs w:val="21"/>
                <w:highlight w:val="none"/>
                <w:lang w:val="en-US" w:eastAsia="zh-CN"/>
              </w:rPr>
            </w:pPr>
            <w:r>
              <w:rPr>
                <w:rFonts w:hint="eastAsia" w:ascii="宋体" w:hAnsi="宋体" w:eastAsia="宋体" w:cs="宋体"/>
                <w:b w:val="0"/>
                <w:bCs w:val="0"/>
                <w:snapToGrid w:val="0"/>
                <w:color w:val="auto"/>
                <w:kern w:val="0"/>
                <w:sz w:val="21"/>
                <w:szCs w:val="21"/>
                <w:highlight w:val="none"/>
                <w:lang w:val="en-US" w:eastAsia="zh-CN"/>
              </w:rPr>
              <w:t>本招标项目招标工期为</w:t>
            </w:r>
            <w:r>
              <w:rPr>
                <w:rFonts w:hint="eastAsia" w:ascii="宋体" w:hAnsi="宋体" w:cs="宋体"/>
                <w:b w:val="0"/>
                <w:bCs w:val="0"/>
                <w:snapToGrid w:val="0"/>
                <w:color w:val="auto"/>
                <w:kern w:val="0"/>
                <w:sz w:val="21"/>
                <w:szCs w:val="21"/>
                <w:highlight w:val="none"/>
                <w:lang w:val="en-US" w:eastAsia="zh-CN"/>
              </w:rPr>
              <w:t xml:space="preserve"> 200</w:t>
            </w:r>
            <w:r>
              <w:rPr>
                <w:rFonts w:hint="eastAsia" w:ascii="宋体" w:hAnsi="宋体" w:eastAsia="宋体" w:cs="宋体"/>
                <w:b w:val="0"/>
                <w:bCs w:val="0"/>
                <w:snapToGrid w:val="0"/>
                <w:color w:val="auto"/>
                <w:kern w:val="0"/>
                <w:sz w:val="21"/>
                <w:szCs w:val="21"/>
                <w:highlight w:val="none"/>
                <w:lang w:val="en-US" w:eastAsia="zh-CN"/>
              </w:rPr>
              <w:t>个日历天。具体如下：</w:t>
            </w:r>
          </w:p>
          <w:p w14:paraId="01C0C49D">
            <w:pPr>
              <w:pStyle w:val="26"/>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b w:val="0"/>
                <w:bCs w:val="0"/>
                <w:snapToGrid w:val="0"/>
                <w:color w:val="auto"/>
                <w:kern w:val="0"/>
                <w:sz w:val="21"/>
                <w:szCs w:val="21"/>
                <w:highlight w:val="none"/>
                <w:u w:val="single"/>
                <w:lang w:val="en-US" w:eastAsia="zh-CN"/>
              </w:rPr>
            </w:pPr>
            <w:r>
              <w:rPr>
                <w:rFonts w:hint="eastAsia" w:ascii="宋体" w:hAnsi="宋体" w:eastAsia="宋体" w:cs="宋体"/>
                <w:b w:val="0"/>
                <w:bCs w:val="0"/>
                <w:snapToGrid w:val="0"/>
                <w:color w:val="auto"/>
                <w:kern w:val="0"/>
                <w:sz w:val="21"/>
                <w:szCs w:val="21"/>
                <w:highlight w:val="none"/>
                <w:lang w:val="en-US" w:eastAsia="zh-CN"/>
              </w:rPr>
              <w:t>☑总工期：</w:t>
            </w:r>
            <w:r>
              <w:rPr>
                <w:rFonts w:hint="eastAsia" w:ascii="宋体" w:hAnsi="宋体" w:eastAsia="宋体" w:cs="宋体"/>
                <w:b w:val="0"/>
                <w:bCs w:val="0"/>
                <w:snapToGrid w:val="0"/>
                <w:color w:val="auto"/>
                <w:kern w:val="0"/>
                <w:sz w:val="21"/>
                <w:szCs w:val="21"/>
                <w:highlight w:val="none"/>
                <w:u w:val="single"/>
                <w:lang w:val="en-US" w:eastAsia="zh-CN"/>
              </w:rPr>
              <w:t xml:space="preserve"> </w:t>
            </w:r>
            <w:r>
              <w:rPr>
                <w:rFonts w:hint="eastAsia" w:ascii="宋体" w:hAnsi="宋体" w:cs="宋体"/>
                <w:b w:val="0"/>
                <w:bCs w:val="0"/>
                <w:snapToGrid w:val="0"/>
                <w:color w:val="auto"/>
                <w:kern w:val="0"/>
                <w:sz w:val="21"/>
                <w:szCs w:val="21"/>
                <w:highlight w:val="none"/>
                <w:u w:val="single"/>
                <w:lang w:val="en-US" w:eastAsia="zh-CN"/>
              </w:rPr>
              <w:t>200</w:t>
            </w:r>
            <w:r>
              <w:rPr>
                <w:rFonts w:hint="eastAsia" w:ascii="宋体" w:hAnsi="宋体" w:eastAsia="宋体" w:cs="宋体"/>
                <w:b w:val="0"/>
                <w:bCs w:val="0"/>
                <w:snapToGrid w:val="0"/>
                <w:color w:val="auto"/>
                <w:kern w:val="0"/>
                <w:sz w:val="21"/>
                <w:szCs w:val="21"/>
                <w:highlight w:val="none"/>
                <w:u w:val="single"/>
                <w:lang w:val="en-US" w:eastAsia="zh-CN"/>
              </w:rPr>
              <w:t xml:space="preserve"> </w:t>
            </w:r>
            <w:r>
              <w:rPr>
                <w:rFonts w:hint="eastAsia" w:ascii="宋体" w:hAnsi="宋体" w:eastAsia="宋体" w:cs="宋体"/>
                <w:b w:val="0"/>
                <w:bCs w:val="0"/>
                <w:snapToGrid w:val="0"/>
                <w:color w:val="auto"/>
                <w:kern w:val="0"/>
                <w:sz w:val="21"/>
                <w:szCs w:val="21"/>
                <w:highlight w:val="none"/>
                <w:lang w:val="en-US" w:eastAsia="zh-CN"/>
              </w:rPr>
              <w:t>天（日历天）（注：</w:t>
            </w:r>
            <w:r>
              <w:rPr>
                <w:rFonts w:hint="eastAsia" w:ascii="宋体" w:hAnsi="宋体" w:eastAsia="宋体" w:cs="宋体"/>
                <w:b w:val="0"/>
                <w:bCs w:val="0"/>
                <w:snapToGrid w:val="0"/>
                <w:color w:val="auto"/>
                <w:kern w:val="0"/>
                <w:sz w:val="21"/>
                <w:szCs w:val="21"/>
                <w:highlight w:val="none"/>
                <w:u w:val="single"/>
                <w:lang w:val="en-US" w:eastAsia="zh-CN"/>
              </w:rPr>
              <w:t>监理单位签发开工令之日起计，至竣工验收合格之日止。）</w:t>
            </w:r>
          </w:p>
          <w:p w14:paraId="6C47A418">
            <w:pPr>
              <w:pStyle w:val="26"/>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b w:val="0"/>
                <w:bCs w:val="0"/>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w:t>
            </w:r>
            <w:r>
              <w:rPr>
                <w:rFonts w:hint="eastAsia" w:ascii="宋体" w:hAnsi="宋体" w:eastAsia="宋体" w:cs="宋体"/>
                <w:b w:val="0"/>
                <w:bCs w:val="0"/>
                <w:snapToGrid w:val="0"/>
                <w:color w:val="auto"/>
                <w:kern w:val="0"/>
                <w:sz w:val="21"/>
                <w:szCs w:val="21"/>
                <w:highlight w:val="none"/>
                <w:u w:val="none"/>
                <w:lang w:val="en-US" w:eastAsia="zh-CN"/>
              </w:rPr>
              <w:t xml:space="preserve"> </w:t>
            </w:r>
            <w:r>
              <w:rPr>
                <w:rFonts w:hint="eastAsia" w:ascii="宋体" w:hAnsi="宋体" w:eastAsia="宋体" w:cs="宋体"/>
                <w:b w:val="0"/>
                <w:bCs w:val="0"/>
                <w:snapToGrid w:val="0"/>
                <w:color w:val="auto"/>
                <w:kern w:val="0"/>
                <w:sz w:val="21"/>
                <w:szCs w:val="21"/>
                <w:highlight w:val="none"/>
                <w:lang w:val="en-US" w:eastAsia="zh-CN"/>
              </w:rPr>
              <w:t xml:space="preserve">计划开工日期： </w:t>
            </w:r>
            <w:r>
              <w:rPr>
                <w:rFonts w:hint="eastAsia" w:ascii="宋体" w:hAnsi="宋体" w:eastAsia="宋体" w:cs="宋体"/>
                <w:b w:val="0"/>
                <w:bCs w:val="0"/>
                <w:snapToGrid w:val="0"/>
                <w:color w:val="auto"/>
                <w:kern w:val="0"/>
                <w:sz w:val="21"/>
                <w:szCs w:val="21"/>
                <w:highlight w:val="none"/>
                <w:u w:val="single"/>
                <w:lang w:val="en-US" w:eastAsia="zh-CN"/>
              </w:rPr>
              <w:t xml:space="preserve">   /</w:t>
            </w:r>
            <w:r>
              <w:rPr>
                <w:rFonts w:hint="eastAsia" w:ascii="宋体" w:hAnsi="宋体" w:eastAsia="宋体" w:cs="宋体"/>
                <w:b w:val="0"/>
                <w:bCs w:val="0"/>
                <w:snapToGrid w:val="0"/>
                <w:color w:val="auto"/>
                <w:kern w:val="0"/>
                <w:sz w:val="21"/>
                <w:szCs w:val="21"/>
                <w:highlight w:val="none"/>
                <w:lang w:val="en-US" w:eastAsia="zh-CN"/>
              </w:rPr>
              <w:t xml:space="preserve"> 年</w:t>
            </w:r>
            <w:r>
              <w:rPr>
                <w:rFonts w:hint="eastAsia" w:ascii="宋体" w:hAnsi="宋体" w:eastAsia="宋体" w:cs="宋体"/>
                <w:b w:val="0"/>
                <w:bCs w:val="0"/>
                <w:snapToGrid w:val="0"/>
                <w:color w:val="auto"/>
                <w:kern w:val="0"/>
                <w:sz w:val="21"/>
                <w:szCs w:val="21"/>
                <w:highlight w:val="none"/>
                <w:u w:val="single"/>
                <w:lang w:val="en-US" w:eastAsia="zh-CN"/>
              </w:rPr>
              <w:t xml:space="preserve"> /  </w:t>
            </w:r>
            <w:r>
              <w:rPr>
                <w:rFonts w:hint="eastAsia" w:ascii="宋体" w:hAnsi="宋体" w:eastAsia="宋体" w:cs="宋体"/>
                <w:b w:val="0"/>
                <w:bCs w:val="0"/>
                <w:snapToGrid w:val="0"/>
                <w:color w:val="auto"/>
                <w:kern w:val="0"/>
                <w:sz w:val="21"/>
                <w:szCs w:val="21"/>
                <w:highlight w:val="none"/>
                <w:lang w:val="en-US" w:eastAsia="zh-CN"/>
              </w:rPr>
              <w:t xml:space="preserve">  月</w:t>
            </w:r>
            <w:r>
              <w:rPr>
                <w:rFonts w:hint="eastAsia" w:ascii="宋体" w:hAnsi="宋体" w:eastAsia="宋体" w:cs="宋体"/>
                <w:b w:val="0"/>
                <w:bCs w:val="0"/>
                <w:snapToGrid w:val="0"/>
                <w:color w:val="auto"/>
                <w:kern w:val="0"/>
                <w:sz w:val="21"/>
                <w:szCs w:val="21"/>
                <w:highlight w:val="none"/>
                <w:u w:val="single"/>
                <w:lang w:val="en-US" w:eastAsia="zh-CN"/>
              </w:rPr>
              <w:t xml:space="preserve"> /  </w:t>
            </w:r>
            <w:r>
              <w:rPr>
                <w:rFonts w:hint="eastAsia" w:ascii="宋体" w:hAnsi="宋体" w:eastAsia="宋体" w:cs="宋体"/>
                <w:b w:val="0"/>
                <w:bCs w:val="0"/>
                <w:snapToGrid w:val="0"/>
                <w:color w:val="auto"/>
                <w:kern w:val="0"/>
                <w:sz w:val="21"/>
                <w:szCs w:val="21"/>
                <w:highlight w:val="none"/>
                <w:lang w:val="en-US" w:eastAsia="zh-CN"/>
              </w:rPr>
              <w:t xml:space="preserve">  日（具体开工日期以合同为准）</w:t>
            </w:r>
          </w:p>
          <w:p w14:paraId="7241627A">
            <w:pPr>
              <w:pStyle w:val="26"/>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b w:val="0"/>
                <w:bCs w:val="0"/>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w:t>
            </w:r>
            <w:r>
              <w:rPr>
                <w:rFonts w:hint="eastAsia" w:ascii="宋体" w:hAnsi="宋体" w:eastAsia="宋体" w:cs="宋体"/>
                <w:b w:val="0"/>
                <w:bCs w:val="0"/>
                <w:snapToGrid w:val="0"/>
                <w:color w:val="auto"/>
                <w:kern w:val="0"/>
                <w:sz w:val="21"/>
                <w:szCs w:val="21"/>
                <w:highlight w:val="none"/>
                <w:u w:val="none"/>
                <w:lang w:val="en-US" w:eastAsia="zh-CN"/>
              </w:rPr>
              <w:t xml:space="preserve"> </w:t>
            </w:r>
            <w:r>
              <w:rPr>
                <w:rFonts w:hint="eastAsia" w:ascii="宋体" w:hAnsi="宋体" w:eastAsia="宋体" w:cs="宋体"/>
                <w:b w:val="0"/>
                <w:bCs w:val="0"/>
                <w:snapToGrid w:val="0"/>
                <w:color w:val="auto"/>
                <w:kern w:val="0"/>
                <w:sz w:val="21"/>
                <w:szCs w:val="21"/>
                <w:highlight w:val="none"/>
                <w:lang w:val="en-US" w:eastAsia="zh-CN"/>
              </w:rPr>
              <w:t>计划竣工日期：</w:t>
            </w:r>
            <w:r>
              <w:rPr>
                <w:rFonts w:hint="eastAsia" w:ascii="宋体" w:hAnsi="宋体" w:eastAsia="宋体" w:cs="宋体"/>
                <w:b w:val="0"/>
                <w:bCs w:val="0"/>
                <w:snapToGrid w:val="0"/>
                <w:color w:val="auto"/>
                <w:kern w:val="0"/>
                <w:sz w:val="21"/>
                <w:szCs w:val="21"/>
                <w:highlight w:val="none"/>
                <w:u w:val="single"/>
                <w:lang w:val="en-US" w:eastAsia="zh-CN"/>
              </w:rPr>
              <w:t xml:space="preserve"> /   </w:t>
            </w:r>
            <w:r>
              <w:rPr>
                <w:rFonts w:hint="eastAsia" w:ascii="宋体" w:hAnsi="宋体" w:eastAsia="宋体" w:cs="宋体"/>
                <w:b w:val="0"/>
                <w:bCs w:val="0"/>
                <w:snapToGrid w:val="0"/>
                <w:color w:val="auto"/>
                <w:kern w:val="0"/>
                <w:sz w:val="21"/>
                <w:szCs w:val="21"/>
                <w:highlight w:val="none"/>
                <w:lang w:val="en-US" w:eastAsia="zh-CN"/>
              </w:rPr>
              <w:t xml:space="preserve"> 年 </w:t>
            </w:r>
            <w:r>
              <w:rPr>
                <w:rFonts w:hint="eastAsia" w:ascii="宋体" w:hAnsi="宋体" w:eastAsia="宋体" w:cs="宋体"/>
                <w:b w:val="0"/>
                <w:bCs w:val="0"/>
                <w:snapToGrid w:val="0"/>
                <w:color w:val="auto"/>
                <w:kern w:val="0"/>
                <w:sz w:val="21"/>
                <w:szCs w:val="21"/>
                <w:highlight w:val="none"/>
                <w:u w:val="single"/>
                <w:lang w:val="en-US" w:eastAsia="zh-CN"/>
              </w:rPr>
              <w:t xml:space="preserve">   /</w:t>
            </w:r>
            <w:r>
              <w:rPr>
                <w:rFonts w:hint="eastAsia" w:ascii="宋体" w:hAnsi="宋体" w:eastAsia="宋体" w:cs="宋体"/>
                <w:b w:val="0"/>
                <w:bCs w:val="0"/>
                <w:snapToGrid w:val="0"/>
                <w:color w:val="auto"/>
                <w:kern w:val="0"/>
                <w:sz w:val="21"/>
                <w:szCs w:val="21"/>
                <w:highlight w:val="none"/>
                <w:lang w:val="en-US" w:eastAsia="zh-CN"/>
              </w:rPr>
              <w:t xml:space="preserve"> 月</w:t>
            </w:r>
            <w:r>
              <w:rPr>
                <w:rFonts w:hint="eastAsia" w:ascii="宋体" w:hAnsi="宋体" w:eastAsia="宋体" w:cs="宋体"/>
                <w:b w:val="0"/>
                <w:bCs w:val="0"/>
                <w:snapToGrid w:val="0"/>
                <w:color w:val="auto"/>
                <w:kern w:val="0"/>
                <w:sz w:val="21"/>
                <w:szCs w:val="21"/>
                <w:highlight w:val="none"/>
                <w:u w:val="single"/>
                <w:lang w:val="en-US" w:eastAsia="zh-CN"/>
              </w:rPr>
              <w:t xml:space="preserve"> /    </w:t>
            </w:r>
            <w:r>
              <w:rPr>
                <w:rFonts w:hint="eastAsia" w:ascii="宋体" w:hAnsi="宋体" w:eastAsia="宋体" w:cs="宋体"/>
                <w:b w:val="0"/>
                <w:bCs w:val="0"/>
                <w:snapToGrid w:val="0"/>
                <w:color w:val="auto"/>
                <w:kern w:val="0"/>
                <w:sz w:val="21"/>
                <w:szCs w:val="21"/>
                <w:highlight w:val="none"/>
                <w:lang w:val="en-US" w:eastAsia="zh-CN"/>
              </w:rPr>
              <w:t xml:space="preserve"> 日 </w:t>
            </w:r>
          </w:p>
          <w:p w14:paraId="00A01DB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bCs/>
                <w:snapToGrid w:val="0"/>
                <w:color w:val="auto"/>
                <w:kern w:val="0"/>
                <w:sz w:val="21"/>
                <w:szCs w:val="21"/>
                <w:highlight w:val="none"/>
                <w:lang w:val="en-US" w:eastAsia="zh-CN"/>
              </w:rPr>
              <w:t>□</w:t>
            </w:r>
            <w:r>
              <w:rPr>
                <w:rFonts w:hint="eastAsia" w:ascii="宋体" w:hAnsi="宋体" w:eastAsia="宋体" w:cs="宋体"/>
                <w:b w:val="0"/>
                <w:bCs w:val="0"/>
                <w:snapToGrid w:val="0"/>
                <w:color w:val="auto"/>
                <w:kern w:val="0"/>
                <w:sz w:val="21"/>
                <w:szCs w:val="21"/>
                <w:highlight w:val="none"/>
                <w:u w:val="none"/>
                <w:lang w:val="en-US" w:eastAsia="zh-CN"/>
              </w:rPr>
              <w:t xml:space="preserve"> </w:t>
            </w:r>
            <w:r>
              <w:rPr>
                <w:rFonts w:hint="eastAsia" w:ascii="宋体" w:hAnsi="宋体" w:eastAsia="宋体" w:cs="宋体"/>
                <w:b w:val="0"/>
                <w:bCs w:val="0"/>
                <w:snapToGrid w:val="0"/>
                <w:color w:val="auto"/>
                <w:kern w:val="0"/>
                <w:sz w:val="21"/>
                <w:szCs w:val="21"/>
                <w:highlight w:val="none"/>
                <w:lang w:val="en-US" w:eastAsia="zh-CN"/>
              </w:rPr>
              <w:t xml:space="preserve">除上述总工期外，发包人还要求以下阶段工期： </w:t>
            </w:r>
            <w:r>
              <w:rPr>
                <w:rFonts w:hint="eastAsia" w:ascii="宋体" w:hAnsi="宋体" w:eastAsia="宋体" w:cs="宋体"/>
                <w:b w:val="0"/>
                <w:bCs w:val="0"/>
                <w:snapToGrid w:val="0"/>
                <w:color w:val="auto"/>
                <w:kern w:val="0"/>
                <w:sz w:val="21"/>
                <w:szCs w:val="21"/>
                <w:highlight w:val="none"/>
                <w:u w:val="single"/>
                <w:lang w:val="en-US" w:eastAsia="zh-CN"/>
              </w:rPr>
              <w:t xml:space="preserve">   /  </w:t>
            </w:r>
            <w:r>
              <w:rPr>
                <w:rFonts w:hint="eastAsia" w:ascii="宋体" w:hAnsi="宋体" w:eastAsia="宋体" w:cs="宋体"/>
                <w:b w:val="0"/>
                <w:bCs w:val="0"/>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 xml:space="preserve">      </w:t>
            </w:r>
          </w:p>
        </w:tc>
      </w:tr>
      <w:tr w14:paraId="7F94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7" w:hRule="atLeast"/>
        </w:trPr>
        <w:tc>
          <w:tcPr>
            <w:tcW w:w="582" w:type="dxa"/>
            <w:vAlign w:val="center"/>
          </w:tcPr>
          <w:p w14:paraId="47B272B4">
            <w:pPr>
              <w:spacing w:before="57"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17</w:t>
            </w:r>
          </w:p>
        </w:tc>
        <w:tc>
          <w:tcPr>
            <w:tcW w:w="1860" w:type="dxa"/>
            <w:vAlign w:val="center"/>
          </w:tcPr>
          <w:p w14:paraId="29B95E6E">
            <w:pPr>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质量标准</w:t>
            </w:r>
          </w:p>
        </w:tc>
        <w:tc>
          <w:tcPr>
            <w:tcW w:w="7544" w:type="dxa"/>
            <w:vAlign w:val="top"/>
          </w:tcPr>
          <w:p w14:paraId="586BE7A6">
            <w:pPr>
              <w:pageBreakBefore w:val="0"/>
              <w:widowControl w:val="0"/>
              <w:kinsoku/>
              <w:wordWrap w:val="0"/>
              <w:overflowPunct/>
              <w:topLinePunct w:val="0"/>
              <w:autoSpaceDE/>
              <w:autoSpaceDN/>
              <w:bidi w:val="0"/>
              <w:adjustRightInd w:val="0"/>
              <w:snapToGrid w:val="0"/>
              <w:spacing w:line="360" w:lineRule="auto"/>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☑质量目标：</w:t>
            </w:r>
            <w:r>
              <w:rPr>
                <w:rFonts w:hint="eastAsia" w:asciiTheme="minorEastAsia" w:hAnsiTheme="minorEastAsia" w:eastAsiaTheme="minorEastAsia" w:cstheme="minorEastAsia"/>
                <w:snapToGrid w:val="0"/>
                <w:color w:val="auto"/>
                <w:kern w:val="0"/>
                <w:sz w:val="21"/>
                <w:szCs w:val="21"/>
                <w:highlight w:val="none"/>
                <w:u w:val="single"/>
                <w:lang w:eastAsia="zh-CN"/>
              </w:rPr>
              <w:t>合格</w:t>
            </w:r>
          </w:p>
          <w:p w14:paraId="1AD6F04D">
            <w:pPr>
              <w:pageBreakBefore w:val="0"/>
              <w:widowControl w:val="0"/>
              <w:kinsoku/>
              <w:wordWrap w:val="0"/>
              <w:overflowPunct/>
              <w:topLinePunct w:val="0"/>
              <w:autoSpaceDE/>
              <w:autoSpaceDN/>
              <w:bidi w:val="0"/>
              <w:adjustRightInd w:val="0"/>
              <w:snapToGrid w:val="0"/>
              <w:spacing w:line="360" w:lineRule="auto"/>
              <w:ind w:left="0" w:leftChars="0" w:firstLine="191" w:firstLineChars="91"/>
              <w:jc w:val="both"/>
              <w:textAlignment w:val="auto"/>
              <w:rPr>
                <w:rFonts w:hint="eastAsia" w:ascii="宋体" w:hAnsi="宋体" w:eastAsia="宋体" w:cs="宋体"/>
                <w:color w:val="auto"/>
                <w:kern w:val="0"/>
                <w:sz w:val="21"/>
                <w:szCs w:val="21"/>
                <w:highlight w:val="none"/>
                <w:lang w:val="en-US" w:eastAsia="zh-CN" w:bidi="ar"/>
              </w:rPr>
            </w:pPr>
            <w:r>
              <w:rPr>
                <w:rFonts w:hint="eastAsia" w:asciiTheme="minorEastAsia" w:hAnsiTheme="minorEastAsia" w:eastAsiaTheme="minorEastAsia" w:cstheme="minorEastAsia"/>
                <w:snapToGrid w:val="0"/>
                <w:color w:val="auto"/>
                <w:kern w:val="0"/>
                <w:sz w:val="21"/>
                <w:szCs w:val="21"/>
                <w:highlight w:val="none"/>
                <w:lang w:eastAsia="zh-CN"/>
              </w:rPr>
              <w:t>☑质量标准：符</w:t>
            </w:r>
            <w:r>
              <w:rPr>
                <w:rFonts w:hint="eastAsia" w:ascii="宋体" w:hAnsi="宋体" w:eastAsia="宋体" w:cs="宋体"/>
                <w:color w:val="auto"/>
                <w:kern w:val="0"/>
                <w:sz w:val="21"/>
                <w:szCs w:val="21"/>
                <w:highlight w:val="none"/>
                <w:lang w:val="en-US" w:eastAsia="zh-CN" w:bidi="ar"/>
              </w:rPr>
              <w:t>合现行国家有关工程施工质量验收规范和标准的要求。</w:t>
            </w:r>
          </w:p>
          <w:p w14:paraId="054D070F">
            <w:pPr>
              <w:pageBreakBefore w:val="0"/>
              <w:widowControl w:val="0"/>
              <w:kinsoku/>
              <w:wordWrap w:val="0"/>
              <w:overflowPunct/>
              <w:topLinePunct w:val="0"/>
              <w:autoSpaceDE/>
              <w:autoSpaceDN/>
              <w:bidi w:val="0"/>
              <w:adjustRightInd w:val="0"/>
              <w:snapToGrid w:val="0"/>
              <w:spacing w:line="360" w:lineRule="auto"/>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□优质工程要求：</w:t>
            </w:r>
            <w:r>
              <w:rPr>
                <w:rFonts w:hint="eastAsia" w:asciiTheme="minorEastAsia" w:hAnsiTheme="minorEastAsia" w:eastAsiaTheme="minorEastAsia" w:cstheme="minorEastAsia"/>
                <w:snapToGrid w:val="0"/>
                <w:color w:val="auto"/>
                <w:kern w:val="0"/>
                <w:sz w:val="21"/>
                <w:szCs w:val="21"/>
                <w:highlight w:val="none"/>
                <w:u w:val="single"/>
                <w:lang w:eastAsia="zh-CN"/>
              </w:rPr>
              <w:t>无……</w:t>
            </w:r>
          </w:p>
          <w:p w14:paraId="6B00BF14">
            <w:pPr>
              <w:pageBreakBefore w:val="0"/>
              <w:widowControl w:val="0"/>
              <w:kinsoku/>
              <w:wordWrap w:val="0"/>
              <w:overflowPunct/>
              <w:topLinePunct w:val="0"/>
              <w:autoSpaceDE/>
              <w:autoSpaceDN/>
              <w:bidi w:val="0"/>
              <w:adjustRightInd w:val="0"/>
              <w:snapToGrid w:val="0"/>
              <w:spacing w:line="360" w:lineRule="auto"/>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工程优质费：☑无</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□有：</w:t>
            </w:r>
            <w:r>
              <w:rPr>
                <w:rFonts w:hint="eastAsia" w:asciiTheme="minorEastAsia" w:hAnsiTheme="minorEastAsia" w:eastAsiaTheme="minorEastAsia" w:cstheme="minorEastAsia"/>
                <w:snapToGrid w:val="0"/>
                <w:color w:val="auto"/>
                <w:kern w:val="0"/>
                <w:sz w:val="21"/>
                <w:szCs w:val="21"/>
                <w:highlight w:val="none"/>
                <w:lang w:val="en-US" w:eastAsia="zh-CN"/>
              </w:rPr>
              <w:t>/</w:t>
            </w:r>
          </w:p>
        </w:tc>
      </w:tr>
      <w:tr w14:paraId="2768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4BC67C17">
            <w:pPr>
              <w:spacing w:before="57"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18</w:t>
            </w:r>
          </w:p>
        </w:tc>
        <w:tc>
          <w:tcPr>
            <w:tcW w:w="1860" w:type="dxa"/>
            <w:vMerge w:val="restart"/>
            <w:vAlign w:val="center"/>
          </w:tcPr>
          <w:p w14:paraId="7C8582B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合同类型</w:t>
            </w:r>
          </w:p>
        </w:tc>
        <w:tc>
          <w:tcPr>
            <w:tcW w:w="7544" w:type="dxa"/>
            <w:vAlign w:val="top"/>
          </w:tcPr>
          <w:p w14:paraId="32295EB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☑单价合同：发承包双方约定以工程量清单及其综合单价进行合同价款计算、调整和确认的建设工程施工合同。</w:t>
            </w:r>
          </w:p>
          <w:p w14:paraId="2158BF3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219F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2941AE80">
            <w:pPr>
              <w:spacing w:before="57" w:line="195" w:lineRule="auto"/>
              <w:jc w:val="center"/>
              <w:rPr>
                <w:rFonts w:hint="eastAsia" w:asciiTheme="minorEastAsia" w:hAnsiTheme="minorEastAsia" w:eastAsiaTheme="minorEastAsia" w:cstheme="minorEastAsia"/>
                <w:color w:val="auto"/>
                <w:spacing w:val="-8"/>
                <w:sz w:val="21"/>
                <w:szCs w:val="21"/>
                <w:highlight w:val="none"/>
              </w:rPr>
            </w:pPr>
          </w:p>
        </w:tc>
        <w:tc>
          <w:tcPr>
            <w:tcW w:w="1860" w:type="dxa"/>
            <w:vMerge w:val="continue"/>
            <w:vAlign w:val="center"/>
          </w:tcPr>
          <w:p w14:paraId="035DBDE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p>
        </w:tc>
        <w:tc>
          <w:tcPr>
            <w:tcW w:w="7544" w:type="dxa"/>
            <w:vAlign w:val="top"/>
          </w:tcPr>
          <w:p w14:paraId="7E667DD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 xml:space="preserve">□总价合同：发承包双方约定以施工图及其预算和有关条件进行合同价款计算、调整和确认的建设工程施工合同。 </w:t>
            </w:r>
          </w:p>
          <w:p w14:paraId="29EEDD8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注：总价合同是以施工图纸、规范为基础，在工程任务内容明确、发包人的要求条件清楚、计价依据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规范原则。</w:t>
            </w:r>
          </w:p>
        </w:tc>
      </w:tr>
      <w:tr w14:paraId="0E6B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5972A2CD">
            <w:pPr>
              <w:spacing w:before="19"/>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19</w:t>
            </w:r>
          </w:p>
        </w:tc>
        <w:tc>
          <w:tcPr>
            <w:tcW w:w="1860" w:type="dxa"/>
            <w:vAlign w:val="center"/>
          </w:tcPr>
          <w:p w14:paraId="2898AA7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房屋建筑工程绿色建筑标准</w:t>
            </w:r>
          </w:p>
        </w:tc>
        <w:tc>
          <w:tcPr>
            <w:tcW w:w="7544" w:type="dxa"/>
            <w:vAlign w:val="center"/>
          </w:tcPr>
          <w:p w14:paraId="43CBE360">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本招标项目</w:t>
            </w:r>
            <w:r>
              <w:rPr>
                <w:rFonts w:hint="eastAsia" w:asciiTheme="minorEastAsia" w:hAnsiTheme="minorEastAsia" w:eastAsiaTheme="minorEastAsia" w:cstheme="minorEastAsia"/>
                <w:snapToGrid w:val="0"/>
                <w:color w:val="auto"/>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kern w:val="0"/>
                <w:sz w:val="21"/>
                <w:szCs w:val="21"/>
                <w:highlight w:val="none"/>
                <w:lang w:eastAsia="zh-CN"/>
              </w:rPr>
              <w:t>纳入绿色建设实施范围。</w:t>
            </w:r>
          </w:p>
        </w:tc>
      </w:tr>
      <w:tr w14:paraId="7635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582" w:type="dxa"/>
            <w:vAlign w:val="center"/>
          </w:tcPr>
          <w:p w14:paraId="73257DF0">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19.1</w:t>
            </w:r>
          </w:p>
        </w:tc>
        <w:tc>
          <w:tcPr>
            <w:tcW w:w="1860" w:type="dxa"/>
            <w:vAlign w:val="center"/>
          </w:tcPr>
          <w:p w14:paraId="2598019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装配式建筑标准</w:t>
            </w:r>
          </w:p>
        </w:tc>
        <w:tc>
          <w:tcPr>
            <w:tcW w:w="7544" w:type="dxa"/>
            <w:vAlign w:val="center"/>
          </w:tcPr>
          <w:p w14:paraId="654C85A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本招标项目</w:t>
            </w:r>
            <w:r>
              <w:rPr>
                <w:rFonts w:hint="eastAsia" w:asciiTheme="minorEastAsia" w:hAnsiTheme="minorEastAsia" w:eastAsiaTheme="minorEastAsia" w:cstheme="minorEastAsia"/>
                <w:snapToGrid w:val="0"/>
                <w:color w:val="auto"/>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kern w:val="0"/>
                <w:sz w:val="21"/>
                <w:szCs w:val="21"/>
                <w:highlight w:val="none"/>
                <w:lang w:eastAsia="zh-CN"/>
              </w:rPr>
              <w:t>纳入装配式建造实施范围。</w:t>
            </w:r>
          </w:p>
        </w:tc>
      </w:tr>
      <w:tr w14:paraId="5ABB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F56262D">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20</w:t>
            </w:r>
          </w:p>
        </w:tc>
        <w:tc>
          <w:tcPr>
            <w:tcW w:w="1860" w:type="dxa"/>
            <w:vAlign w:val="center"/>
          </w:tcPr>
          <w:p w14:paraId="7A9699B3">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发包人提供材料和工程设备</w:t>
            </w:r>
          </w:p>
        </w:tc>
        <w:tc>
          <w:tcPr>
            <w:tcW w:w="7544" w:type="dxa"/>
            <w:vAlign w:val="center"/>
          </w:tcPr>
          <w:p w14:paraId="041C9A4A">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发包人提供材料和工程设备： ☑无     □有：</w:t>
            </w:r>
          </w:p>
        </w:tc>
      </w:tr>
      <w:tr w14:paraId="09BD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5" w:hRule="atLeast"/>
        </w:trPr>
        <w:tc>
          <w:tcPr>
            <w:tcW w:w="582" w:type="dxa"/>
            <w:vAlign w:val="center"/>
          </w:tcPr>
          <w:p w14:paraId="2A7C3934">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21</w:t>
            </w:r>
          </w:p>
        </w:tc>
        <w:tc>
          <w:tcPr>
            <w:tcW w:w="1860" w:type="dxa"/>
            <w:vAlign w:val="center"/>
          </w:tcPr>
          <w:p w14:paraId="2B19F4D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承包人提供材料和工程设备</w:t>
            </w:r>
          </w:p>
        </w:tc>
        <w:tc>
          <w:tcPr>
            <w:tcW w:w="7544" w:type="dxa"/>
            <w:vAlign w:val="top"/>
          </w:tcPr>
          <w:p w14:paraId="25B336F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的质量标准，应立即更换，由此增加的费用和（或）工期延误由承包人承担。对发包人要求检测承包人已具有合格证明的材料、工程设备，但经检测证明该项材料、工程设备符合合同约定的质量标准的，发包人应承担由此增加的费用和（或）工期延误，并向承包人支付合理利润。</w:t>
            </w:r>
          </w:p>
          <w:p w14:paraId="11881E83">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w:t>
            </w:r>
            <w:r>
              <w:rPr>
                <w:rFonts w:hint="default" w:asciiTheme="minorEastAsia" w:hAnsiTheme="minorEastAsia" w:eastAsiaTheme="minorEastAsia" w:cstheme="minorEastAsia"/>
                <w:snapToGrid w:val="0"/>
                <w:color w:val="auto"/>
                <w:kern w:val="0"/>
                <w:sz w:val="21"/>
                <w:szCs w:val="21"/>
                <w:highlight w:val="none"/>
                <w:lang w:val="en-US" w:eastAsia="zh-CN"/>
              </w:rPr>
              <w:t>其</w:t>
            </w:r>
            <w:r>
              <w:rPr>
                <w:rFonts w:hint="eastAsia" w:asciiTheme="minorEastAsia" w:hAnsiTheme="minorEastAsia" w:eastAsiaTheme="minorEastAsia" w:cstheme="minorEastAsia"/>
                <w:snapToGrid w:val="0"/>
                <w:color w:val="auto"/>
                <w:kern w:val="0"/>
                <w:sz w:val="21"/>
                <w:szCs w:val="21"/>
                <w:highlight w:val="none"/>
                <w:lang w:val="en-US" w:eastAsia="zh-CN"/>
              </w:rPr>
              <w:t>他</w:t>
            </w:r>
            <w:r>
              <w:rPr>
                <w:rFonts w:hint="eastAsia" w:asciiTheme="minorEastAsia" w:hAnsiTheme="minorEastAsia" w:eastAsiaTheme="minorEastAsia" w:cstheme="minorEastAsia"/>
                <w:snapToGrid w:val="0"/>
                <w:color w:val="auto"/>
                <w:kern w:val="0"/>
                <w:sz w:val="21"/>
                <w:szCs w:val="21"/>
                <w:highlight w:val="none"/>
                <w:lang w:eastAsia="zh-CN"/>
              </w:rPr>
              <w:t>说明：鼓励承包人积极采购环保产品进行施工。</w:t>
            </w:r>
          </w:p>
        </w:tc>
      </w:tr>
      <w:tr w14:paraId="4B49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0" w:hRule="atLeast"/>
        </w:trPr>
        <w:tc>
          <w:tcPr>
            <w:tcW w:w="582" w:type="dxa"/>
            <w:vAlign w:val="center"/>
          </w:tcPr>
          <w:p w14:paraId="5BDE6007">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22</w:t>
            </w:r>
          </w:p>
        </w:tc>
        <w:tc>
          <w:tcPr>
            <w:tcW w:w="1860" w:type="dxa"/>
            <w:vAlign w:val="center"/>
          </w:tcPr>
          <w:p w14:paraId="079BF0E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最高投标限价</w:t>
            </w:r>
          </w:p>
        </w:tc>
        <w:tc>
          <w:tcPr>
            <w:tcW w:w="7544" w:type="dxa"/>
            <w:vAlign w:val="center"/>
          </w:tcPr>
          <w:p w14:paraId="00DC73E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最高投标限价确定</w:t>
            </w:r>
            <w:r>
              <w:rPr>
                <w:rFonts w:hint="eastAsia" w:asciiTheme="minorEastAsia" w:hAnsiTheme="minorEastAsia" w:eastAsiaTheme="minorEastAsia" w:cstheme="minorEastAsia"/>
                <w:snapToGrid w:val="0"/>
                <w:color w:val="auto"/>
                <w:kern w:val="0"/>
                <w:sz w:val="21"/>
                <w:szCs w:val="21"/>
                <w:highlight w:val="none"/>
                <w:lang w:val="en-US" w:eastAsia="zh-CN"/>
              </w:rPr>
              <w:t>确定为人民币(大写)：陆佰贰拾陆万叁仟捌佰肆拾壹元肆角捌分（¥6263841.48元）。其中：安全生产措施费为¥104389.24元，暂列金额为¥490478.32元，暂估价为¥85000.00元。</w:t>
            </w:r>
          </w:p>
        </w:tc>
      </w:tr>
      <w:tr w14:paraId="4E4F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82" w:hRule="atLeast"/>
        </w:trPr>
        <w:tc>
          <w:tcPr>
            <w:tcW w:w="582" w:type="dxa"/>
            <w:vAlign w:val="center"/>
          </w:tcPr>
          <w:p w14:paraId="3E0E6845">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23</w:t>
            </w:r>
          </w:p>
        </w:tc>
        <w:tc>
          <w:tcPr>
            <w:tcW w:w="1860" w:type="dxa"/>
            <w:vAlign w:val="center"/>
          </w:tcPr>
          <w:p w14:paraId="0D0D0A1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投标人的投标报价</w:t>
            </w:r>
          </w:p>
        </w:tc>
        <w:tc>
          <w:tcPr>
            <w:tcW w:w="7544" w:type="dxa"/>
            <w:vAlign w:val="center"/>
          </w:tcPr>
          <w:p w14:paraId="38534563">
            <w:pPr>
              <w:widowControl w:val="0"/>
              <w:kinsoku/>
              <w:wordWrap w:val="0"/>
              <w:autoSpaceDE/>
              <w:autoSpaceDN/>
              <w:spacing w:before="0" w:line="400" w:lineRule="exact"/>
              <w:ind w:left="0" w:right="0" w:firstLine="401" w:firstLineChars="191"/>
              <w:jc w:val="both"/>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lang w:eastAsia="zh-CN"/>
              </w:rPr>
              <w:t>投标人投标时响应招标文件要求所报出的对已标价工程量清单</w:t>
            </w:r>
            <w:r>
              <w:rPr>
                <w:rFonts w:hint="eastAsia" w:asciiTheme="minorEastAsia" w:hAnsiTheme="minorEastAsia" w:eastAsiaTheme="minorEastAsia" w:cstheme="minorEastAsia"/>
                <w:color w:val="auto"/>
                <w:sz w:val="21"/>
                <w:szCs w:val="21"/>
                <w:highlight w:val="none"/>
                <w:lang w:eastAsia="zh-CN"/>
              </w:rPr>
              <w:t>汇总后标明的总价。投标人在投标报价填写</w:t>
            </w:r>
            <w:r>
              <w:rPr>
                <w:rFonts w:hint="eastAsia" w:asciiTheme="minorEastAsia" w:hAnsiTheme="minorEastAsia" w:eastAsiaTheme="minorEastAsia" w:cstheme="minorEastAsia"/>
                <w:color w:val="auto"/>
                <w:spacing w:val="0"/>
                <w:sz w:val="21"/>
                <w:szCs w:val="21"/>
                <w:highlight w:val="none"/>
                <w:lang w:eastAsia="zh-CN"/>
              </w:rPr>
              <w:t>的工程量清单的项目编码、项目名称、项目特征、计量单位、工程数量必须与招标人招标文</w:t>
            </w:r>
            <w:r>
              <w:rPr>
                <w:rFonts w:hint="eastAsia" w:asciiTheme="minorEastAsia" w:hAnsiTheme="minorEastAsia" w:eastAsiaTheme="minorEastAsia" w:cstheme="minorEastAsia"/>
                <w:color w:val="auto"/>
                <w:sz w:val="21"/>
                <w:szCs w:val="21"/>
                <w:highlight w:val="none"/>
                <w:lang w:eastAsia="zh-CN"/>
              </w:rPr>
              <w:t>件中提供的一致，投标价不能低于工程成本</w:t>
            </w:r>
            <w:r>
              <w:rPr>
                <w:rFonts w:hint="eastAsia" w:asciiTheme="minorEastAsia" w:hAnsiTheme="minorEastAsia" w:eastAsiaTheme="minorEastAsia" w:cstheme="minorEastAsia"/>
                <w:color w:val="auto"/>
                <w:spacing w:val="0"/>
                <w:sz w:val="21"/>
                <w:szCs w:val="21"/>
                <w:highlight w:val="none"/>
                <w:lang w:eastAsia="zh-CN"/>
              </w:rPr>
              <w:t>、高于最高投标限价。</w:t>
            </w:r>
          </w:p>
          <w:p w14:paraId="01DD1AE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投标报价方式： ☑</w:t>
            </w:r>
            <w:r>
              <w:rPr>
                <w:rFonts w:hint="eastAsia" w:ascii="宋体" w:hAnsi="宋体" w:eastAsia="宋体" w:cs="宋体"/>
                <w:color w:val="auto"/>
                <w:kern w:val="0"/>
                <w:sz w:val="21"/>
                <w:szCs w:val="21"/>
                <w:highlight w:val="none"/>
                <w:lang w:val="en-US" w:eastAsia="zh-CN" w:bidi="ar"/>
              </w:rPr>
              <w:t>工程量清单报价</w:t>
            </w:r>
          </w:p>
        </w:tc>
      </w:tr>
      <w:tr w14:paraId="664F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2B41BF8F">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24</w:t>
            </w:r>
          </w:p>
        </w:tc>
        <w:tc>
          <w:tcPr>
            <w:tcW w:w="1860" w:type="dxa"/>
            <w:vAlign w:val="center"/>
          </w:tcPr>
          <w:p w14:paraId="1820F47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投标报价风险</w:t>
            </w:r>
          </w:p>
        </w:tc>
        <w:tc>
          <w:tcPr>
            <w:tcW w:w="7544" w:type="dxa"/>
            <w:vAlign w:val="center"/>
          </w:tcPr>
          <w:p w14:paraId="2E356AE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☑投标人依据招标文件约定自行考虑风险因素，一旦中标，投标报价（合同价）除合同另有约定外将不因市场变化而调整。</w:t>
            </w:r>
          </w:p>
          <w:p w14:paraId="0602711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☑投标报价中应包括工程量清单项目所发生的人工费、材料费、机具费、管理费、利润、措施项目费、其他项目费、税金、暂列金额、暂估价以及所有风险、责任等各项费用。</w:t>
            </w:r>
          </w:p>
          <w:p w14:paraId="6588B20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☑人工费、材料费、机具费、管理费、利润、措施项目费（不含</w:t>
            </w:r>
            <w:r>
              <w:rPr>
                <w:rFonts w:hint="eastAsia" w:asciiTheme="minorEastAsia" w:hAnsiTheme="minorEastAsia" w:eastAsiaTheme="minorEastAsia" w:cstheme="minorEastAsia"/>
                <w:snapToGrid w:val="0"/>
                <w:color w:val="auto"/>
                <w:kern w:val="0"/>
                <w:sz w:val="21"/>
                <w:szCs w:val="21"/>
                <w:highlight w:val="none"/>
                <w:lang w:val="en-US" w:eastAsia="zh-CN"/>
              </w:rPr>
              <w:t>安全生产措施费</w:t>
            </w:r>
            <w:r>
              <w:rPr>
                <w:rFonts w:hint="eastAsia" w:asciiTheme="minorEastAsia" w:hAnsiTheme="minorEastAsia" w:eastAsiaTheme="minorEastAsia" w:cstheme="minorEastAsia"/>
                <w:snapToGrid w:val="0"/>
                <w:color w:val="auto"/>
                <w:kern w:val="0"/>
                <w:sz w:val="21"/>
                <w:szCs w:val="21"/>
                <w:highlight w:val="none"/>
                <w:lang w:eastAsia="zh-CN"/>
              </w:rPr>
              <w:t>）投标人漏报或不报，招标人视为有关费用已包括在工程量清单项目的其他单价及合价中不予另外增加。</w:t>
            </w:r>
          </w:p>
          <w:p w14:paraId="648E63A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lang w:eastAsia="zh-CN"/>
              </w:rPr>
              <w:t>措施项目中的安全生产措施应单独列项，费用不可竞争，且应符合《企业安全生产费用提取和使用管理办法》（财资〔2022〕136号）及我省有关文件规定。</w:t>
            </w:r>
          </w:p>
          <w:p w14:paraId="7D8A46B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☑投标人应按照招标文件提供的工程量清单逐项填写单价和合价，投标人未填写的项目，招标人将视为此项费用已包括在工程量清单项目的其他单价及合价中不予另外增加。</w:t>
            </w:r>
          </w:p>
          <w:p w14:paraId="1EFA524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☑招标人向投标人提供的有关施工现场资料及数据，是招标人现有的能使投标人利用的资料，招标人对投标人据此作出的推论及理解概不负责。</w:t>
            </w:r>
          </w:p>
          <w:p w14:paraId="4E438C3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3893664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☑错漏项的认定。中标人已标价工程量清单中，任一清单项目未填报价格或价格为零的，招标人将视为此项费用已包括在工程量清单项目的其他单价及合价中不予另外增加。</w:t>
            </w:r>
          </w:p>
        </w:tc>
      </w:tr>
      <w:tr w14:paraId="66E5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trPr>
        <w:tc>
          <w:tcPr>
            <w:tcW w:w="582" w:type="dxa"/>
            <w:vAlign w:val="center"/>
          </w:tcPr>
          <w:p w14:paraId="6414FDC8">
            <w:pPr>
              <w:spacing w:before="284"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25</w:t>
            </w:r>
          </w:p>
        </w:tc>
        <w:tc>
          <w:tcPr>
            <w:tcW w:w="1860" w:type="dxa"/>
            <w:vAlign w:val="center"/>
          </w:tcPr>
          <w:p w14:paraId="4C71A8E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投标费用</w:t>
            </w:r>
          </w:p>
        </w:tc>
        <w:tc>
          <w:tcPr>
            <w:tcW w:w="7544" w:type="dxa"/>
            <w:vAlign w:val="center"/>
          </w:tcPr>
          <w:p w14:paraId="225B857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投标人自行承担编制与递交投标文件的一切费用。</w:t>
            </w:r>
          </w:p>
        </w:tc>
      </w:tr>
      <w:tr w14:paraId="6873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trPr>
        <w:tc>
          <w:tcPr>
            <w:tcW w:w="582" w:type="dxa"/>
            <w:vAlign w:val="center"/>
          </w:tcPr>
          <w:p w14:paraId="3F9BB325">
            <w:pPr>
              <w:spacing w:before="284" w:line="188" w:lineRule="auto"/>
              <w:jc w:val="center"/>
              <w:rPr>
                <w:rFonts w:hint="default" w:asciiTheme="minorEastAsia" w:hAnsiTheme="minorEastAsia" w:eastAsiaTheme="minorEastAsia" w:cstheme="minorEastAsia"/>
                <w:color w:val="auto"/>
                <w:spacing w:val="-3"/>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26</w:t>
            </w:r>
          </w:p>
        </w:tc>
        <w:tc>
          <w:tcPr>
            <w:tcW w:w="1860" w:type="dxa"/>
            <w:vAlign w:val="center"/>
          </w:tcPr>
          <w:p w14:paraId="2F647BD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成本警示价</w:t>
            </w:r>
          </w:p>
        </w:tc>
        <w:tc>
          <w:tcPr>
            <w:tcW w:w="7544" w:type="dxa"/>
            <w:vAlign w:val="center"/>
          </w:tcPr>
          <w:p w14:paraId="2CB7F0A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投标报价要求：</w:t>
            </w:r>
          </w:p>
          <w:p w14:paraId="444583B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（1）投标人的投标报价不得高于招标人设置的最高投标限价，否则作无效投标处理；</w:t>
            </w:r>
          </w:p>
          <w:p w14:paraId="2B757D3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（2）投标人的投标报价如低于招标项目的成本警示价的，需提供成本分析资料等报价依据。（成本警示价＝最高投标限价×85%）</w:t>
            </w:r>
          </w:p>
        </w:tc>
      </w:tr>
      <w:tr w14:paraId="5FFF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trPr>
        <w:tc>
          <w:tcPr>
            <w:tcW w:w="582" w:type="dxa"/>
            <w:vAlign w:val="center"/>
          </w:tcPr>
          <w:p w14:paraId="7A4811E9">
            <w:pPr>
              <w:spacing w:before="69" w:line="188"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3"/>
                <w:sz w:val="21"/>
                <w:szCs w:val="21"/>
                <w:highlight w:val="none"/>
              </w:rPr>
              <w:t>2</w:t>
            </w:r>
            <w:r>
              <w:rPr>
                <w:rFonts w:hint="eastAsia" w:asciiTheme="minorEastAsia" w:hAnsiTheme="minorEastAsia" w:eastAsiaTheme="minorEastAsia" w:cstheme="minorEastAsia"/>
                <w:color w:val="auto"/>
                <w:spacing w:val="-3"/>
                <w:sz w:val="21"/>
                <w:szCs w:val="21"/>
                <w:highlight w:val="none"/>
                <w:lang w:val="en-US" w:eastAsia="zh-CN"/>
              </w:rPr>
              <w:t>7</w:t>
            </w:r>
          </w:p>
        </w:tc>
        <w:tc>
          <w:tcPr>
            <w:tcW w:w="1860" w:type="dxa"/>
            <w:vAlign w:val="center"/>
          </w:tcPr>
          <w:p w14:paraId="0786E8B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投标人资格要求</w:t>
            </w:r>
          </w:p>
        </w:tc>
        <w:tc>
          <w:tcPr>
            <w:tcW w:w="7544" w:type="dxa"/>
            <w:vAlign w:val="center"/>
          </w:tcPr>
          <w:p w14:paraId="1C365DEF">
            <w:pPr>
              <w:keepNext w:val="0"/>
              <w:keepLines w:val="0"/>
              <w:pageBreakBefore w:val="0"/>
              <w:kinsoku/>
              <w:wordWrap w:val="0"/>
              <w:overflowPunct/>
              <w:topLinePunct w:val="0"/>
              <w:autoSpaceDE/>
              <w:autoSpaceDN/>
              <w:bidi w:val="0"/>
              <w:adjustRightInd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本次招标</w:t>
            </w:r>
            <w:r>
              <w:rPr>
                <w:rFonts w:hint="eastAsia" w:ascii="宋体" w:hAnsi="宋体" w:eastAsia="宋体" w:cs="宋体"/>
                <w:b/>
                <w:bCs/>
                <w:color w:val="auto"/>
                <w:sz w:val="21"/>
                <w:szCs w:val="21"/>
                <w:highlight w:val="none"/>
                <w:u w:val="single"/>
              </w:rPr>
              <w:t>不接受</w:t>
            </w:r>
            <w:r>
              <w:rPr>
                <w:rFonts w:hint="eastAsia" w:ascii="宋体" w:hAnsi="宋体" w:eastAsia="宋体" w:cs="宋体"/>
                <w:color w:val="auto"/>
                <w:sz w:val="21"/>
                <w:szCs w:val="21"/>
                <w:highlight w:val="none"/>
              </w:rPr>
              <w:t>联合体投标。</w:t>
            </w:r>
          </w:p>
          <w:p w14:paraId="3F4C07EA">
            <w:pPr>
              <w:keepNext w:val="0"/>
              <w:keepLines w:val="0"/>
              <w:pageBreakBefore w:val="0"/>
              <w:kinsoku/>
              <w:wordWrap w:val="0"/>
              <w:overflowPunct/>
              <w:topLinePunct w:val="0"/>
              <w:autoSpaceDE/>
              <w:autoSpaceDN/>
              <w:bidi w:val="0"/>
              <w:adjustRightInd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资格资质要求</w:t>
            </w:r>
          </w:p>
          <w:p w14:paraId="4EFC7B06">
            <w:pPr>
              <w:keepNext w:val="0"/>
              <w:keepLines w:val="0"/>
              <w:pageBreakBefore w:val="0"/>
              <w:kinsoku/>
              <w:wordWrap w:val="0"/>
              <w:overflowPunct/>
              <w:topLinePunct w:val="0"/>
              <w:autoSpaceDE/>
              <w:autoSpaceDN/>
              <w:bidi w:val="0"/>
              <w:adjustRightInd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 投标人须具备独立法人资格，按国家法律经营。</w:t>
            </w:r>
          </w:p>
          <w:p w14:paraId="4A2C9212">
            <w:pPr>
              <w:keepNext w:val="0"/>
              <w:keepLines w:val="0"/>
              <w:pageBreakBefore w:val="0"/>
              <w:kinsoku/>
              <w:wordWrap w:val="0"/>
              <w:overflowPunct/>
              <w:topLinePunct w:val="0"/>
              <w:autoSpaceDE/>
              <w:autoSpaceDN/>
              <w:bidi w:val="0"/>
              <w:adjustRightInd w:val="0"/>
              <w:snapToGrid w:val="0"/>
              <w:spacing w:line="36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2.2 </w:t>
            </w:r>
            <w:r>
              <w:rPr>
                <w:rFonts w:hint="eastAsia" w:ascii="宋体" w:hAnsi="宋体" w:eastAsia="宋体" w:cs="宋体"/>
                <w:color w:val="auto"/>
                <w:sz w:val="21"/>
                <w:szCs w:val="21"/>
                <w:highlight w:val="none"/>
                <w:lang w:eastAsia="zh-CN"/>
              </w:rPr>
              <w:t>投标人须持有建设行政主管部门颁发的企业资质证书、安全生产许可证、市场监督管理</w:t>
            </w:r>
            <w:r>
              <w:rPr>
                <w:rFonts w:hint="eastAsia" w:ascii="宋体" w:hAnsi="宋体" w:eastAsia="宋体" w:cs="宋体"/>
                <w:color w:val="auto"/>
                <w:sz w:val="21"/>
                <w:szCs w:val="21"/>
                <w:highlight w:val="none"/>
                <w:lang w:val="en-US" w:eastAsia="zh-CN"/>
              </w:rPr>
              <w:t>部门</w:t>
            </w:r>
            <w:r>
              <w:rPr>
                <w:rFonts w:hint="eastAsia" w:ascii="宋体" w:hAnsi="宋体" w:eastAsia="宋体" w:cs="宋体"/>
                <w:color w:val="auto"/>
                <w:sz w:val="21"/>
                <w:szCs w:val="21"/>
                <w:highlight w:val="none"/>
                <w:lang w:eastAsia="zh-CN"/>
              </w:rPr>
              <w:t>颁发的特种设备生产许可证（许可子项目含公用管道安装（GB1））。</w:t>
            </w:r>
          </w:p>
          <w:p w14:paraId="75EC962A">
            <w:pPr>
              <w:keepNext w:val="0"/>
              <w:keepLines w:val="0"/>
              <w:pageBreakBefore w:val="0"/>
              <w:kinsoku/>
              <w:wordWrap w:val="0"/>
              <w:overflowPunct/>
              <w:topLinePunct w:val="0"/>
              <w:autoSpaceDE/>
              <w:autoSpaceDN/>
              <w:bidi w:val="0"/>
              <w:adjustRightInd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投标人须具备以下资质：</w:t>
            </w:r>
          </w:p>
          <w:p w14:paraId="3B34543A">
            <w:pPr>
              <w:keepNext w:val="0"/>
              <w:keepLines w:val="0"/>
              <w:pageBreakBefore w:val="0"/>
              <w:kinsoku/>
              <w:wordWrap w:val="0"/>
              <w:overflowPunct/>
              <w:topLinePunct w:val="0"/>
              <w:autoSpaceDE/>
              <w:autoSpaceDN/>
              <w:bidi w:val="0"/>
              <w:adjustRightInd w:val="0"/>
              <w:snapToGrid w:val="0"/>
              <w:spacing w:line="36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①市政公用工程施工总承包二级以上（含二级）资质或石油化工工程施工总承包三级以上（含三级）资质。</w:t>
            </w:r>
          </w:p>
          <w:p w14:paraId="5641EEF8">
            <w:pPr>
              <w:keepNext w:val="0"/>
              <w:keepLines w:val="0"/>
              <w:pageBreakBefore w:val="0"/>
              <w:kinsoku/>
              <w:wordWrap w:val="0"/>
              <w:overflowPunct/>
              <w:topLinePunct w:val="0"/>
              <w:autoSpaceDE/>
              <w:autoSpaceDN/>
              <w:bidi w:val="0"/>
              <w:adjustRightInd w:val="0"/>
              <w:snapToGrid w:val="0"/>
              <w:spacing w:line="36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en-US" w:eastAsia="zh-CN"/>
              </w:rPr>
              <w:t>②持有有效的特种设备生产许可证（许可子项目含公用管道安装（GB1））。</w:t>
            </w:r>
          </w:p>
          <w:p w14:paraId="22B85E70">
            <w:pPr>
              <w:keepNext w:val="0"/>
              <w:keepLines w:val="0"/>
              <w:pageBreakBefore w:val="0"/>
              <w:kinsoku/>
              <w:wordWrap w:val="0"/>
              <w:overflowPunct/>
              <w:topLinePunct w:val="0"/>
              <w:autoSpaceDE/>
              <w:autoSpaceDN/>
              <w:bidi w:val="0"/>
              <w:adjustRightInd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相关人员要求</w:t>
            </w:r>
          </w:p>
          <w:p w14:paraId="7AF2FA9E">
            <w:pPr>
              <w:keepNext w:val="0"/>
              <w:keepLines w:val="0"/>
              <w:pageBreakBefore w:val="0"/>
              <w:kinsoku/>
              <w:wordWrap w:val="0"/>
              <w:overflowPunct/>
              <w:topLinePunct w:val="0"/>
              <w:autoSpaceDE/>
              <w:autoSpaceDN/>
              <w:bidi w:val="0"/>
              <w:adjustRightInd w:val="0"/>
              <w:snapToGrid w:val="0"/>
              <w:spacing w:line="360" w:lineRule="exact"/>
              <w:ind w:firstLine="420" w:firstLineChars="200"/>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color w:val="auto"/>
                <w:sz w:val="21"/>
                <w:szCs w:val="21"/>
                <w:highlight w:val="none"/>
              </w:rPr>
              <w:t>3.1</w:t>
            </w:r>
            <w:r>
              <w:rPr>
                <w:rFonts w:hint="eastAsia" w:ascii="宋体" w:hAnsi="宋体" w:eastAsia="宋体" w:cs="宋体"/>
                <w:snapToGrid w:val="0"/>
                <w:color w:val="auto"/>
                <w:kern w:val="0"/>
                <w:sz w:val="21"/>
                <w:szCs w:val="21"/>
                <w:highlight w:val="none"/>
              </w:rPr>
              <w:t> 拟派项目经理</w:t>
            </w:r>
            <w:r>
              <w:rPr>
                <w:rFonts w:hint="eastAsia" w:ascii="宋体" w:hAnsi="宋体" w:eastAsia="宋体" w:cs="宋体"/>
                <w:snapToGrid w:val="0"/>
                <w:color w:val="auto"/>
                <w:kern w:val="0"/>
                <w:sz w:val="21"/>
                <w:szCs w:val="21"/>
                <w:highlight w:val="none"/>
                <w:lang w:val="en-US" w:eastAsia="zh-CN"/>
              </w:rPr>
              <w:t>具备</w:t>
            </w:r>
            <w:r>
              <w:rPr>
                <w:rFonts w:hint="eastAsia" w:ascii="宋体" w:hAnsi="宋体" w:eastAsia="宋体" w:cs="宋体"/>
                <w:snapToGrid w:val="0"/>
                <w:color w:val="auto"/>
                <w:kern w:val="0"/>
                <w:sz w:val="21"/>
                <w:szCs w:val="21"/>
                <w:highlight w:val="none"/>
                <w:u w:val="single"/>
                <w:lang w:val="en-US" w:eastAsia="zh-CN"/>
              </w:rPr>
              <w:t>市政公用工程专业二级以上（含二级）注册建造师（用市政公用工程施工总承包资质投标的）</w:t>
            </w:r>
            <w:r>
              <w:rPr>
                <w:rFonts w:hint="eastAsia" w:ascii="宋体" w:hAnsi="宋体" w:eastAsia="宋体" w:cs="宋体"/>
                <w:snapToGrid w:val="0"/>
                <w:color w:val="auto"/>
                <w:kern w:val="0"/>
                <w:sz w:val="21"/>
                <w:szCs w:val="21"/>
                <w:highlight w:val="none"/>
                <w:lang w:val="en-US" w:eastAsia="zh-CN"/>
              </w:rPr>
              <w:t>或</w:t>
            </w:r>
            <w:r>
              <w:rPr>
                <w:rFonts w:hint="eastAsia" w:ascii="宋体" w:hAnsi="宋体" w:eastAsia="宋体" w:cs="宋体"/>
                <w:snapToGrid w:val="0"/>
                <w:color w:val="auto"/>
                <w:kern w:val="0"/>
                <w:sz w:val="21"/>
                <w:szCs w:val="21"/>
                <w:highlight w:val="none"/>
                <w:u w:val="single"/>
                <w:lang w:val="en-US" w:eastAsia="zh-CN"/>
              </w:rPr>
              <w:t>机电工程专业二级以上（含二级）注册建造师（用石油化工工程施工总承包资质投标的）</w:t>
            </w: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eastAsia="zh-CN"/>
              </w:rPr>
              <w:t>应持有住建部门印发的在使用有效期内的有效电子注册证书（根据广东省住房和城乡建设厅（粤建市函〔2023〕469 号）文件精神，二级注册建造师可随注册企业在全国范围内执业）。同时均须具备有效安全生产考核合格证明（B证），且未担任其他在施（包括已中标未开工、已开工未竣工）建设工程项目的项目经理。</w:t>
            </w:r>
          </w:p>
          <w:p w14:paraId="38066BFB">
            <w:pPr>
              <w:keepNext w:val="0"/>
              <w:keepLines w:val="0"/>
              <w:pageBreakBefore w:val="0"/>
              <w:kinsoku/>
              <w:wordWrap w:val="0"/>
              <w:overflowPunct/>
              <w:topLinePunct w:val="0"/>
              <w:autoSpaceDE/>
              <w:autoSpaceDN/>
              <w:bidi w:val="0"/>
              <w:adjustRightInd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3.2 </w:t>
            </w:r>
            <w:r>
              <w:rPr>
                <w:rFonts w:hint="eastAsia" w:ascii="宋体" w:hAnsi="宋体" w:eastAsia="宋体" w:cs="宋体"/>
                <w:snapToGrid w:val="0"/>
                <w:color w:val="auto"/>
                <w:kern w:val="0"/>
                <w:sz w:val="21"/>
                <w:szCs w:val="21"/>
                <w:highlight w:val="none"/>
              </w:rPr>
              <w:t>拟派项目技术负责人须具备</w:t>
            </w:r>
            <w:r>
              <w:rPr>
                <w:rFonts w:hint="eastAsia" w:ascii="宋体" w:hAnsi="宋体" w:eastAsia="宋体" w:cs="宋体"/>
                <w:snapToGrid w:val="0"/>
                <w:color w:val="auto"/>
                <w:kern w:val="0"/>
                <w:sz w:val="21"/>
                <w:szCs w:val="21"/>
                <w:highlight w:val="none"/>
                <w:u w:val="single"/>
              </w:rPr>
              <w:t>市政公用工程类</w:t>
            </w:r>
            <w:r>
              <w:rPr>
                <w:rFonts w:hint="eastAsia" w:ascii="宋体" w:hAnsi="宋体" w:eastAsia="宋体" w:cs="宋体"/>
                <w:snapToGrid w:val="0"/>
                <w:color w:val="auto"/>
                <w:kern w:val="0"/>
                <w:sz w:val="21"/>
                <w:szCs w:val="21"/>
                <w:highlight w:val="none"/>
                <w:u w:val="single"/>
                <w:lang w:eastAsia="zh-CN"/>
              </w:rPr>
              <w:t>、</w:t>
            </w:r>
            <w:r>
              <w:rPr>
                <w:rFonts w:hint="eastAsia" w:ascii="宋体" w:hAnsi="宋体" w:eastAsia="宋体" w:cs="宋体"/>
                <w:snapToGrid w:val="0"/>
                <w:color w:val="auto"/>
                <w:kern w:val="0"/>
                <w:sz w:val="21"/>
                <w:szCs w:val="21"/>
                <w:highlight w:val="none"/>
                <w:u w:val="single"/>
              </w:rPr>
              <w:t>石油化工类</w:t>
            </w:r>
            <w:r>
              <w:rPr>
                <w:rFonts w:hint="eastAsia" w:ascii="宋体" w:hAnsi="宋体" w:eastAsia="宋体" w:cs="宋体"/>
                <w:snapToGrid w:val="0"/>
                <w:color w:val="auto"/>
                <w:kern w:val="0"/>
                <w:sz w:val="21"/>
                <w:szCs w:val="21"/>
                <w:highlight w:val="none"/>
              </w:rPr>
              <w:t>或</w:t>
            </w:r>
            <w:r>
              <w:rPr>
                <w:rFonts w:hint="eastAsia" w:ascii="宋体" w:hAnsi="宋体" w:eastAsia="宋体" w:cs="宋体"/>
                <w:snapToGrid w:val="0"/>
                <w:color w:val="auto"/>
                <w:kern w:val="0"/>
                <w:sz w:val="21"/>
                <w:szCs w:val="21"/>
                <w:highlight w:val="none"/>
                <w:u w:val="single"/>
              </w:rPr>
              <w:t>机电工程类</w:t>
            </w:r>
            <w:r>
              <w:rPr>
                <w:rFonts w:hint="eastAsia" w:ascii="宋体" w:hAnsi="宋体" w:eastAsia="宋体" w:cs="宋体"/>
                <w:snapToGrid w:val="0"/>
                <w:color w:val="auto"/>
                <w:kern w:val="0"/>
                <w:sz w:val="21"/>
                <w:szCs w:val="21"/>
                <w:highlight w:val="none"/>
              </w:rPr>
              <w:t>相关专业中级或以上技术职称。</w:t>
            </w:r>
          </w:p>
          <w:p w14:paraId="101C5162">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 拟派专职安全生产管理人员须具备有效安全生产考核合格证明（C证，安全生产考核合格证书或“广东省建筑施工企业管理人员安全生产考核信息系统”考核合格信息打印页），且不少于</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rPr>
              <w:t>人。</w:t>
            </w:r>
          </w:p>
          <w:p w14:paraId="0BC1B576">
            <w:pPr>
              <w:keepNext w:val="0"/>
              <w:keepLines w:val="0"/>
              <w:pageBreakBefore w:val="0"/>
              <w:kinsoku/>
              <w:wordWrap w:val="0"/>
              <w:overflowPunct/>
              <w:topLinePunct w:val="0"/>
              <w:autoSpaceDE/>
              <w:autoSpaceDN/>
              <w:bidi w:val="0"/>
              <w:adjustRightInd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4 </w:t>
            </w:r>
            <w:r>
              <w:rPr>
                <w:rFonts w:hint="eastAsia" w:ascii="宋体" w:hAnsi="宋体" w:eastAsia="宋体" w:cs="宋体"/>
                <w:color w:val="auto"/>
                <w:sz w:val="21"/>
                <w:szCs w:val="21"/>
                <w:highlight w:val="none"/>
                <w:lang w:eastAsia="zh-CN"/>
              </w:rPr>
              <w:t>投标人与其拟派往本项目管理机构的所有人员之间必须具备合法、唯一的劳动聘用关系。拟派人员中具备注册执业资格的，其注册单位须与投标人保持一致（提供社保缴纳证明或劳动合同）。</w:t>
            </w:r>
          </w:p>
          <w:p w14:paraId="09350CAA">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禁止投标条款：</w:t>
            </w:r>
          </w:p>
          <w:p w14:paraId="1A312106">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4.1 投标人不得存在下列情形之一：    </w:t>
            </w:r>
          </w:p>
          <w:p w14:paraId="798A644D">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（1）为招标人不具有独立法人资格的附属机构（单位）；</w:t>
            </w:r>
          </w:p>
          <w:p w14:paraId="5996F037">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（2）为本招标项目前期准备提供设计或咨询服务的；</w:t>
            </w:r>
          </w:p>
          <w:p w14:paraId="7ADF7779">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（3）与本招标项目的其他投标人为同一个单位负责人；</w:t>
            </w:r>
          </w:p>
          <w:p w14:paraId="67703B12">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（4）与本招标项目的其他投标人存在控股、管理关系；</w:t>
            </w:r>
          </w:p>
          <w:p w14:paraId="27284779">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（5</w:t>
            </w:r>
            <w:r>
              <w:rPr>
                <w:rFonts w:hint="eastAsia" w:ascii="宋体" w:hAnsi="宋体" w:eastAsia="宋体" w:cs="宋体"/>
                <w:color w:val="auto"/>
                <w:sz w:val="21"/>
                <w:szCs w:val="21"/>
                <w:highlight w:val="none"/>
                <w:lang w:eastAsia="zh-CN"/>
              </w:rPr>
              <w:t>）作</w:t>
            </w:r>
            <w:r>
              <w:rPr>
                <w:rFonts w:hint="eastAsia" w:ascii="宋体" w:hAnsi="宋体" w:eastAsia="宋体" w:cs="宋体"/>
                <w:color w:val="auto"/>
                <w:sz w:val="21"/>
                <w:szCs w:val="21"/>
                <w:highlight w:val="none"/>
              </w:rPr>
              <w:t>为本招标项目的监理人；</w:t>
            </w:r>
          </w:p>
          <w:p w14:paraId="2003BC30">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（6）为本招标项目的代建人；</w:t>
            </w:r>
          </w:p>
          <w:p w14:paraId="127872E1">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（7）为本招标项目的招标代理机构；</w:t>
            </w:r>
          </w:p>
          <w:p w14:paraId="02AD6637">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（8）与本招标项目的监理人或代建人或招标代理机构同为一个法定代表人；</w:t>
            </w:r>
          </w:p>
          <w:p w14:paraId="0E14E5FF">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（9）与本招标项目的监理人或代建人或招标代理机构存在控股或参股关系；</w:t>
            </w:r>
          </w:p>
          <w:p w14:paraId="229ADCF0">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（10）与本招标项目的监理人或代建人或招标代理机构存在相互任职或工作关系；</w:t>
            </w:r>
          </w:p>
          <w:p w14:paraId="50402937">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（11）被依法暂停或者取消投标资格；</w:t>
            </w:r>
          </w:p>
          <w:p w14:paraId="312E3D5C">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（12）被责令停产停业、暂扣或者吊销许可证、暂扣或者吊销执照；</w:t>
            </w:r>
          </w:p>
          <w:p w14:paraId="00D4E51B">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（13）进入清算程序，或被宣告破产，或其他丧失履约能力的情形；</w:t>
            </w:r>
          </w:p>
          <w:p w14:paraId="3276B626">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（14）在最近三年内发生重大工程质量或安全问题（以相关行业主管部门的行政处罚决定或司法机关出具的有关法律文书为准）；</w:t>
            </w:r>
          </w:p>
          <w:p w14:paraId="1CF2C448">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（15）被“信用中国”网站（https://www.creditchina.gov.cn）发布的《</w:t>
            </w:r>
            <w:r>
              <w:rPr>
                <w:rFonts w:hint="eastAsia" w:ascii="宋体" w:hAnsi="宋体" w:eastAsia="宋体" w:cs="宋体"/>
                <w:color w:val="auto"/>
                <w:sz w:val="21"/>
                <w:szCs w:val="21"/>
                <w:highlight w:val="none"/>
                <w:lang w:eastAsia="zh-CN"/>
              </w:rPr>
              <w:t>法人和非法人组织公共信用信息报告</w:t>
            </w:r>
            <w:r>
              <w:rPr>
                <w:rFonts w:hint="eastAsia" w:ascii="宋体" w:hAnsi="宋体" w:eastAsia="宋体" w:cs="宋体"/>
                <w:color w:val="auto"/>
                <w:sz w:val="21"/>
                <w:szCs w:val="21"/>
                <w:highlight w:val="none"/>
              </w:rPr>
              <w:t>》列为严重失信主体名单的。</w:t>
            </w:r>
          </w:p>
          <w:p w14:paraId="371DD306">
            <w:pPr>
              <w:keepNext w:val="0"/>
              <w:keepLines w:val="0"/>
              <w:pageBreakBefore w:val="0"/>
              <w:kinsoku/>
              <w:wordWrap w:val="0"/>
              <w:overflowPunct/>
              <w:topLinePunct w:val="0"/>
              <w:autoSpaceDE/>
              <w:autoSpaceDN/>
              <w:bidi w:val="0"/>
              <w:adjustRightInd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 招标人拒绝以下名单中的单位参加本次投标：</w:t>
            </w:r>
          </w:p>
          <w:tbl>
            <w:tblPr>
              <w:tblStyle w:val="17"/>
              <w:tblW w:w="6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3607"/>
              <w:gridCol w:w="2727"/>
            </w:tblGrid>
            <w:tr w14:paraId="1030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625" w:type="dxa"/>
                  <w:noWrap w:val="0"/>
                  <w:vAlign w:val="center"/>
                </w:tcPr>
                <w:p w14:paraId="27532F0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shd w:val="clear" w:color="auto" w:fill="auto"/>
                    </w:rPr>
                  </w:pPr>
                  <w:r>
                    <w:rPr>
                      <w:rFonts w:hint="eastAsia" w:ascii="宋体" w:hAnsi="宋体" w:eastAsia="宋体" w:cs="宋体"/>
                      <w:snapToGrid w:val="0"/>
                      <w:color w:val="auto"/>
                      <w:kern w:val="0"/>
                      <w:sz w:val="21"/>
                      <w:szCs w:val="21"/>
                      <w:highlight w:val="none"/>
                      <w:shd w:val="clear" w:color="auto" w:fill="auto"/>
                    </w:rPr>
                    <w:t>序号</w:t>
                  </w:r>
                </w:p>
              </w:tc>
              <w:tc>
                <w:tcPr>
                  <w:tcW w:w="3607" w:type="dxa"/>
                  <w:noWrap w:val="0"/>
                  <w:vAlign w:val="center"/>
                </w:tcPr>
                <w:p w14:paraId="01C9DB8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shd w:val="clear" w:color="auto" w:fill="auto"/>
                    </w:rPr>
                  </w:pPr>
                  <w:r>
                    <w:rPr>
                      <w:rFonts w:hint="eastAsia" w:ascii="宋体" w:hAnsi="宋体" w:eastAsia="宋体" w:cs="宋体"/>
                      <w:snapToGrid w:val="0"/>
                      <w:color w:val="auto"/>
                      <w:kern w:val="0"/>
                      <w:sz w:val="21"/>
                      <w:szCs w:val="21"/>
                      <w:highlight w:val="none"/>
                      <w:shd w:val="clear" w:color="auto" w:fill="auto"/>
                    </w:rPr>
                    <w:t>单位名称</w:t>
                  </w:r>
                </w:p>
              </w:tc>
              <w:tc>
                <w:tcPr>
                  <w:tcW w:w="2727" w:type="dxa"/>
                  <w:noWrap w:val="0"/>
                  <w:vAlign w:val="center"/>
                </w:tcPr>
                <w:p w14:paraId="0CB6EF7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shd w:val="clear" w:color="auto" w:fill="auto"/>
                    </w:rPr>
                  </w:pPr>
                  <w:r>
                    <w:rPr>
                      <w:rFonts w:hint="eastAsia" w:ascii="宋体" w:hAnsi="宋体" w:eastAsia="宋体" w:cs="宋体"/>
                      <w:snapToGrid w:val="0"/>
                      <w:color w:val="auto"/>
                      <w:kern w:val="0"/>
                      <w:sz w:val="21"/>
                      <w:szCs w:val="21"/>
                      <w:highlight w:val="none"/>
                      <w:shd w:val="clear" w:color="auto" w:fill="auto"/>
                    </w:rPr>
                    <w:t>拒绝原因</w:t>
                  </w:r>
                </w:p>
              </w:tc>
            </w:tr>
            <w:tr w14:paraId="238C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625" w:type="dxa"/>
                  <w:noWrap w:val="0"/>
                  <w:vAlign w:val="center"/>
                </w:tcPr>
                <w:p w14:paraId="3B9E9338">
                  <w:pPr>
                    <w:pStyle w:val="26"/>
                    <w:wordWrap w:val="0"/>
                    <w:adjustRightInd w:val="0"/>
                    <w:snapToGrid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iCs/>
                      <w:snapToGrid w:val="0"/>
                      <w:color w:val="auto"/>
                      <w:kern w:val="0"/>
                      <w:sz w:val="21"/>
                      <w:szCs w:val="21"/>
                      <w:highlight w:val="none"/>
                      <w:lang w:val="en-US" w:eastAsia="zh-CN"/>
                    </w:rPr>
                    <w:t>1</w:t>
                  </w:r>
                </w:p>
              </w:tc>
              <w:tc>
                <w:tcPr>
                  <w:tcW w:w="3607" w:type="dxa"/>
                  <w:noWrap w:val="0"/>
                  <w:vAlign w:val="center"/>
                </w:tcPr>
                <w:p w14:paraId="621CB36C">
                  <w:pPr>
                    <w:wordWrap w:val="0"/>
                    <w:adjustRightInd w:val="0"/>
                    <w:snapToGrid w:val="0"/>
                    <w:spacing w:line="240" w:lineRule="auto"/>
                    <w:rPr>
                      <w:rFonts w:hint="eastAsia" w:ascii="宋体" w:hAnsi="宋体" w:eastAsia="宋体" w:cs="宋体"/>
                      <w:color w:val="auto"/>
                      <w:sz w:val="21"/>
                      <w:szCs w:val="21"/>
                      <w:highlight w:val="none"/>
                      <w:shd w:val="clear" w:color="auto" w:fill="auto"/>
                      <w:lang w:eastAsia="zh-CN"/>
                    </w:rPr>
                  </w:pPr>
                  <w:r>
                    <w:rPr>
                      <w:rFonts w:hint="eastAsia" w:ascii="宋体" w:hAnsi="宋体" w:eastAsia="宋体" w:cs="宋体"/>
                      <w:color w:val="auto"/>
                      <w:sz w:val="21"/>
                      <w:szCs w:val="21"/>
                      <w:highlight w:val="none"/>
                      <w:shd w:val="clear" w:color="auto" w:fill="auto"/>
                      <w:lang w:eastAsia="zh-CN"/>
                    </w:rPr>
                    <w:t>中国市政工程西南设计研究总院有限公司</w:t>
                  </w:r>
                </w:p>
              </w:tc>
              <w:tc>
                <w:tcPr>
                  <w:tcW w:w="2727" w:type="dxa"/>
                  <w:noWrap w:val="0"/>
                  <w:vAlign w:val="center"/>
                </w:tcPr>
                <w:p w14:paraId="5F0899C5">
                  <w:pPr>
                    <w:pStyle w:val="26"/>
                    <w:wordWrap w:val="0"/>
                    <w:adjustRightInd w:val="0"/>
                    <w:snapToGrid w:val="0"/>
                    <w:rPr>
                      <w:rFonts w:hint="eastAsia" w:ascii="宋体" w:hAnsi="宋体" w:eastAsia="宋体" w:cs="宋体"/>
                      <w:snapToGrid w:val="0"/>
                      <w:color w:val="auto"/>
                      <w:kern w:val="0"/>
                      <w:sz w:val="21"/>
                      <w:szCs w:val="21"/>
                      <w:highlight w:val="none"/>
                      <w:shd w:val="clear" w:color="auto" w:fill="auto"/>
                    </w:rPr>
                  </w:pPr>
                  <w:r>
                    <w:rPr>
                      <w:rFonts w:hint="eastAsia" w:ascii="宋体" w:hAnsi="宋体" w:eastAsia="宋体" w:cs="宋体"/>
                      <w:iCs/>
                      <w:snapToGrid w:val="0"/>
                      <w:color w:val="auto"/>
                      <w:kern w:val="0"/>
                      <w:sz w:val="21"/>
                      <w:szCs w:val="21"/>
                      <w:highlight w:val="none"/>
                    </w:rPr>
                    <w:t>为本招标项目的</w:t>
                  </w:r>
                  <w:r>
                    <w:rPr>
                      <w:rFonts w:hint="eastAsia" w:ascii="宋体" w:hAnsi="宋体" w:eastAsia="宋体" w:cs="宋体"/>
                      <w:iCs/>
                      <w:snapToGrid w:val="0"/>
                      <w:color w:val="auto"/>
                      <w:kern w:val="0"/>
                      <w:sz w:val="21"/>
                      <w:szCs w:val="21"/>
                      <w:highlight w:val="none"/>
                      <w:lang w:eastAsia="zh-CN"/>
                    </w:rPr>
                    <w:t>设计单位</w:t>
                  </w:r>
                </w:p>
              </w:tc>
            </w:tr>
            <w:tr w14:paraId="57549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625" w:type="dxa"/>
                  <w:noWrap w:val="0"/>
                  <w:vAlign w:val="center"/>
                </w:tcPr>
                <w:p w14:paraId="04C53B47">
                  <w:pPr>
                    <w:pStyle w:val="26"/>
                    <w:wordWrap w:val="0"/>
                    <w:adjustRightInd w:val="0"/>
                    <w:snapToGrid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iCs/>
                      <w:snapToGrid w:val="0"/>
                      <w:color w:val="auto"/>
                      <w:kern w:val="0"/>
                      <w:sz w:val="21"/>
                      <w:szCs w:val="21"/>
                      <w:highlight w:val="none"/>
                      <w:lang w:val="en-US" w:eastAsia="zh-CN"/>
                    </w:rPr>
                    <w:t>2</w:t>
                  </w:r>
                </w:p>
              </w:tc>
              <w:tc>
                <w:tcPr>
                  <w:tcW w:w="3607" w:type="dxa"/>
                  <w:noWrap w:val="0"/>
                  <w:vAlign w:val="center"/>
                </w:tcPr>
                <w:p w14:paraId="3DE13B26">
                  <w:pPr>
                    <w:wordWrap w:val="0"/>
                    <w:adjustRightInd w:val="0"/>
                    <w:snapToGrid w:val="0"/>
                    <w:spacing w:line="240" w:lineRule="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snapToGrid w:val="0"/>
                      <w:color w:val="auto"/>
                      <w:kern w:val="0"/>
                      <w:sz w:val="21"/>
                      <w:szCs w:val="21"/>
                      <w:highlight w:val="none"/>
                      <w:lang w:val="en-US" w:eastAsia="zh-CN"/>
                    </w:rPr>
                    <w:t>中交城市能源研究设计院有限公司</w:t>
                  </w:r>
                </w:p>
              </w:tc>
              <w:tc>
                <w:tcPr>
                  <w:tcW w:w="2727" w:type="dxa"/>
                  <w:noWrap w:val="0"/>
                  <w:vAlign w:val="center"/>
                </w:tcPr>
                <w:p w14:paraId="542DC311">
                  <w:pPr>
                    <w:pStyle w:val="26"/>
                    <w:wordWrap w:val="0"/>
                    <w:adjustRightInd w:val="0"/>
                    <w:snapToGrid w:val="0"/>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iCs/>
                      <w:snapToGrid w:val="0"/>
                      <w:color w:val="auto"/>
                      <w:kern w:val="0"/>
                      <w:sz w:val="21"/>
                      <w:szCs w:val="21"/>
                      <w:highlight w:val="none"/>
                    </w:rPr>
                    <w:t>为本招标项目的</w:t>
                  </w:r>
                  <w:r>
                    <w:rPr>
                      <w:rFonts w:hint="eastAsia" w:ascii="宋体" w:hAnsi="宋体" w:eastAsia="宋体" w:cs="宋体"/>
                      <w:iCs/>
                      <w:snapToGrid w:val="0"/>
                      <w:color w:val="auto"/>
                      <w:kern w:val="0"/>
                      <w:sz w:val="21"/>
                      <w:szCs w:val="21"/>
                      <w:highlight w:val="none"/>
                      <w:lang w:val="en-US" w:eastAsia="zh-CN"/>
                    </w:rPr>
                    <w:t>可研编制</w:t>
                  </w:r>
                  <w:r>
                    <w:rPr>
                      <w:rFonts w:hint="eastAsia" w:ascii="宋体" w:hAnsi="宋体" w:eastAsia="宋体" w:cs="宋体"/>
                      <w:iCs/>
                      <w:snapToGrid w:val="0"/>
                      <w:color w:val="auto"/>
                      <w:kern w:val="0"/>
                      <w:sz w:val="21"/>
                      <w:szCs w:val="21"/>
                      <w:highlight w:val="none"/>
                    </w:rPr>
                    <w:t>单位</w:t>
                  </w:r>
                </w:p>
              </w:tc>
            </w:tr>
            <w:tr w14:paraId="5F24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625" w:type="dxa"/>
                  <w:noWrap w:val="0"/>
                  <w:vAlign w:val="center"/>
                </w:tcPr>
                <w:p w14:paraId="7B150FAA">
                  <w:pPr>
                    <w:pStyle w:val="26"/>
                    <w:wordWrap w:val="0"/>
                    <w:adjustRightInd w:val="0"/>
                    <w:snapToGrid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iCs/>
                      <w:snapToGrid w:val="0"/>
                      <w:color w:val="auto"/>
                      <w:kern w:val="0"/>
                      <w:sz w:val="21"/>
                      <w:szCs w:val="21"/>
                      <w:highlight w:val="none"/>
                      <w:lang w:val="en-US" w:eastAsia="zh-CN"/>
                    </w:rPr>
                    <w:t>3</w:t>
                  </w:r>
                </w:p>
              </w:tc>
              <w:tc>
                <w:tcPr>
                  <w:tcW w:w="3607" w:type="dxa"/>
                  <w:noWrap w:val="0"/>
                  <w:vAlign w:val="center"/>
                </w:tcPr>
                <w:p w14:paraId="5884DEE6">
                  <w:pPr>
                    <w:wordWrap w:val="0"/>
                    <w:adjustRightInd w:val="0"/>
                    <w:snapToGrid w:val="0"/>
                    <w:spacing w:line="240" w:lineRule="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广东粤能工程管理有限公司</w:t>
                  </w:r>
                </w:p>
              </w:tc>
              <w:tc>
                <w:tcPr>
                  <w:tcW w:w="2727" w:type="dxa"/>
                  <w:noWrap w:val="0"/>
                  <w:vAlign w:val="center"/>
                </w:tcPr>
                <w:p w14:paraId="307F6CE4">
                  <w:pPr>
                    <w:pStyle w:val="26"/>
                    <w:wordWrap w:val="0"/>
                    <w:adjustRightInd w:val="0"/>
                    <w:snapToGrid w:val="0"/>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iCs/>
                      <w:snapToGrid w:val="0"/>
                      <w:color w:val="auto"/>
                      <w:kern w:val="0"/>
                      <w:sz w:val="21"/>
                      <w:szCs w:val="21"/>
                      <w:highlight w:val="none"/>
                    </w:rPr>
                    <w:t>为本招标项目的</w:t>
                  </w:r>
                  <w:r>
                    <w:rPr>
                      <w:rFonts w:hint="eastAsia" w:ascii="宋体" w:hAnsi="宋体" w:eastAsia="宋体" w:cs="宋体"/>
                      <w:iCs/>
                      <w:snapToGrid w:val="0"/>
                      <w:color w:val="auto"/>
                      <w:kern w:val="0"/>
                      <w:sz w:val="21"/>
                      <w:szCs w:val="21"/>
                      <w:highlight w:val="none"/>
                      <w:lang w:val="en-US" w:eastAsia="zh-CN"/>
                    </w:rPr>
                    <w:t>造价咨询单位</w:t>
                  </w:r>
                </w:p>
              </w:tc>
            </w:tr>
            <w:tr w14:paraId="5D915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625" w:type="dxa"/>
                  <w:noWrap w:val="0"/>
                  <w:vAlign w:val="center"/>
                </w:tcPr>
                <w:p w14:paraId="6994F19E">
                  <w:pPr>
                    <w:pStyle w:val="26"/>
                    <w:wordWrap w:val="0"/>
                    <w:adjustRightInd w:val="0"/>
                    <w:snapToGrid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iCs/>
                      <w:snapToGrid w:val="0"/>
                      <w:color w:val="auto"/>
                      <w:kern w:val="0"/>
                      <w:sz w:val="21"/>
                      <w:szCs w:val="21"/>
                      <w:highlight w:val="none"/>
                      <w:lang w:val="en-US" w:eastAsia="zh-CN"/>
                    </w:rPr>
                    <w:t>4</w:t>
                  </w:r>
                </w:p>
              </w:tc>
              <w:tc>
                <w:tcPr>
                  <w:tcW w:w="3607" w:type="dxa"/>
                  <w:noWrap w:val="0"/>
                  <w:vAlign w:val="center"/>
                </w:tcPr>
                <w:p w14:paraId="3CCDDA6C">
                  <w:pPr>
                    <w:wordWrap w:val="0"/>
                    <w:adjustRightInd w:val="0"/>
                    <w:snapToGrid w:val="0"/>
                    <w:spacing w:line="240" w:lineRule="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韶关市中利工程咨询有限公司</w:t>
                  </w:r>
                </w:p>
              </w:tc>
              <w:tc>
                <w:tcPr>
                  <w:tcW w:w="2727" w:type="dxa"/>
                  <w:noWrap w:val="0"/>
                  <w:vAlign w:val="center"/>
                </w:tcPr>
                <w:p w14:paraId="69053684">
                  <w:pPr>
                    <w:pStyle w:val="26"/>
                    <w:wordWrap w:val="0"/>
                    <w:adjustRightInd w:val="0"/>
                    <w:snapToGrid w:val="0"/>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iCs/>
                      <w:snapToGrid w:val="0"/>
                      <w:color w:val="auto"/>
                      <w:kern w:val="0"/>
                      <w:sz w:val="21"/>
                      <w:szCs w:val="21"/>
                      <w:highlight w:val="none"/>
                    </w:rPr>
                    <w:t>为本招标项目的招标代理</w:t>
                  </w:r>
                  <w:r>
                    <w:rPr>
                      <w:rFonts w:hint="eastAsia" w:ascii="宋体" w:hAnsi="宋体" w:eastAsia="宋体" w:cs="宋体"/>
                      <w:iCs/>
                      <w:snapToGrid w:val="0"/>
                      <w:color w:val="auto"/>
                      <w:kern w:val="0"/>
                      <w:sz w:val="21"/>
                      <w:szCs w:val="21"/>
                      <w:highlight w:val="none"/>
                      <w:lang w:val="en-US" w:eastAsia="zh-CN"/>
                    </w:rPr>
                    <w:t>单位</w:t>
                  </w:r>
                </w:p>
              </w:tc>
            </w:tr>
            <w:tr w14:paraId="3DC3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25" w:type="dxa"/>
                  <w:noWrap w:val="0"/>
                  <w:vAlign w:val="center"/>
                </w:tcPr>
                <w:p w14:paraId="7F97D3F9">
                  <w:pPr>
                    <w:pStyle w:val="26"/>
                    <w:wordWrap w:val="0"/>
                    <w:adjustRightInd w:val="0"/>
                    <w:snapToGrid w:val="0"/>
                    <w:jc w:val="center"/>
                    <w:rPr>
                      <w:rFonts w:hint="default" w:ascii="宋体" w:hAnsi="宋体" w:eastAsia="宋体" w:cs="宋体"/>
                      <w:color w:val="auto"/>
                      <w:sz w:val="21"/>
                      <w:szCs w:val="21"/>
                      <w:highlight w:val="none"/>
                      <w:lang w:val="en-US" w:eastAsia="zh-CN"/>
                    </w:rPr>
                  </w:pPr>
                  <w:r>
                    <w:rPr>
                      <w:rFonts w:hint="eastAsia" w:ascii="宋体" w:hAnsi="宋体" w:eastAsia="宋体" w:cs="宋体"/>
                      <w:iCs/>
                      <w:snapToGrid w:val="0"/>
                      <w:color w:val="auto"/>
                      <w:kern w:val="0"/>
                      <w:sz w:val="21"/>
                      <w:szCs w:val="21"/>
                      <w:highlight w:val="none"/>
                      <w:lang w:val="en-US" w:eastAsia="zh-CN"/>
                    </w:rPr>
                    <w:t>5</w:t>
                  </w:r>
                </w:p>
              </w:tc>
              <w:tc>
                <w:tcPr>
                  <w:tcW w:w="3607" w:type="dxa"/>
                  <w:noWrap w:val="0"/>
                  <w:vAlign w:val="center"/>
                </w:tcPr>
                <w:p w14:paraId="710790D0">
                  <w:pPr>
                    <w:pStyle w:val="26"/>
                    <w:wordWrap w:val="0"/>
                    <w:adjustRightInd w:val="0"/>
                    <w:snapToGrid w:val="0"/>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iCs/>
                      <w:snapToGrid w:val="0"/>
                      <w:color w:val="auto"/>
                      <w:kern w:val="0"/>
                      <w:sz w:val="21"/>
                      <w:szCs w:val="21"/>
                      <w:highlight w:val="none"/>
                      <w:lang w:eastAsia="zh-CN"/>
                    </w:rPr>
                    <w:t>粤北城市燃气（翁源）有限公司</w:t>
                  </w:r>
                </w:p>
              </w:tc>
              <w:tc>
                <w:tcPr>
                  <w:tcW w:w="2727" w:type="dxa"/>
                  <w:noWrap w:val="0"/>
                  <w:vAlign w:val="center"/>
                </w:tcPr>
                <w:p w14:paraId="5B3283C5">
                  <w:pPr>
                    <w:pStyle w:val="26"/>
                    <w:wordWrap w:val="0"/>
                    <w:adjustRightInd w:val="0"/>
                    <w:snapToGrid w:val="0"/>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iCs/>
                      <w:snapToGrid w:val="0"/>
                      <w:color w:val="auto"/>
                      <w:kern w:val="0"/>
                      <w:sz w:val="21"/>
                      <w:szCs w:val="21"/>
                      <w:highlight w:val="none"/>
                    </w:rPr>
                    <w:t>为本招标项目的业主单位</w:t>
                  </w:r>
                </w:p>
              </w:tc>
            </w:tr>
          </w:tbl>
          <w:p w14:paraId="54517215">
            <w:pPr>
              <w:keepNext w:val="0"/>
              <w:keepLines w:val="0"/>
              <w:pageBreakBefore w:val="0"/>
              <w:kinsoku/>
              <w:wordWrap w:val="0"/>
              <w:overflowPunct/>
              <w:topLinePunct w:val="0"/>
              <w:autoSpaceDE/>
              <w:autoSpaceDN/>
              <w:bidi w:val="0"/>
              <w:adjustRightInd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其他要求</w:t>
            </w:r>
          </w:p>
          <w:p w14:paraId="2E6EB2C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color w:val="auto"/>
                <w:sz w:val="21"/>
                <w:szCs w:val="21"/>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4DA7A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582" w:type="dxa"/>
            <w:vAlign w:val="center"/>
          </w:tcPr>
          <w:p w14:paraId="6C795553">
            <w:pPr>
              <w:spacing w:before="19"/>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3"/>
                <w:sz w:val="21"/>
                <w:szCs w:val="21"/>
                <w:highlight w:val="none"/>
              </w:rPr>
              <w:t>2</w:t>
            </w:r>
            <w:r>
              <w:rPr>
                <w:rFonts w:hint="eastAsia" w:asciiTheme="minorEastAsia" w:hAnsiTheme="minorEastAsia" w:eastAsiaTheme="minorEastAsia" w:cstheme="minorEastAsia"/>
                <w:color w:val="auto"/>
                <w:spacing w:val="-3"/>
                <w:sz w:val="21"/>
                <w:szCs w:val="21"/>
                <w:highlight w:val="none"/>
                <w:lang w:val="en-US" w:eastAsia="zh-CN"/>
              </w:rPr>
              <w:t>8</w:t>
            </w:r>
          </w:p>
        </w:tc>
        <w:tc>
          <w:tcPr>
            <w:tcW w:w="1860" w:type="dxa"/>
            <w:vAlign w:val="center"/>
          </w:tcPr>
          <w:p w14:paraId="315C6AC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投标有效期</w:t>
            </w:r>
          </w:p>
        </w:tc>
        <w:tc>
          <w:tcPr>
            <w:tcW w:w="7544" w:type="dxa"/>
            <w:vAlign w:val="center"/>
          </w:tcPr>
          <w:p w14:paraId="10AD749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本次招标的投标有效期为</w:t>
            </w:r>
            <w:r>
              <w:rPr>
                <w:rFonts w:hint="eastAsia" w:asciiTheme="minorEastAsia" w:hAnsiTheme="minorEastAsia" w:eastAsiaTheme="minorEastAsia" w:cstheme="minorEastAsia"/>
                <w:snapToGrid w:val="0"/>
                <w:color w:val="auto"/>
                <w:kern w:val="0"/>
                <w:sz w:val="21"/>
                <w:szCs w:val="21"/>
                <w:highlight w:val="none"/>
                <w:u w:val="single"/>
                <w:lang w:eastAsia="zh-CN"/>
              </w:rPr>
              <w:t>90</w:t>
            </w:r>
            <w:r>
              <w:rPr>
                <w:rFonts w:hint="eastAsia" w:asciiTheme="minorEastAsia" w:hAnsiTheme="minorEastAsia" w:eastAsiaTheme="minorEastAsia" w:cstheme="minorEastAsia"/>
                <w:snapToGrid w:val="0"/>
                <w:color w:val="auto"/>
                <w:kern w:val="0"/>
                <w:sz w:val="21"/>
                <w:szCs w:val="21"/>
                <w:highlight w:val="none"/>
                <w:lang w:eastAsia="zh-CN"/>
              </w:rPr>
              <w:t>个日历天。</w:t>
            </w:r>
          </w:p>
        </w:tc>
      </w:tr>
      <w:tr w14:paraId="0581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trPr>
        <w:tc>
          <w:tcPr>
            <w:tcW w:w="582" w:type="dxa"/>
            <w:vAlign w:val="center"/>
          </w:tcPr>
          <w:p w14:paraId="7E0149C9">
            <w:pPr>
              <w:spacing w:before="69" w:line="188" w:lineRule="auto"/>
              <w:ind w:left="205"/>
              <w:jc w:val="both"/>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29</w:t>
            </w:r>
          </w:p>
        </w:tc>
        <w:tc>
          <w:tcPr>
            <w:tcW w:w="1860" w:type="dxa"/>
            <w:vAlign w:val="center"/>
          </w:tcPr>
          <w:p w14:paraId="21626DA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投标文件组成</w:t>
            </w:r>
          </w:p>
        </w:tc>
        <w:tc>
          <w:tcPr>
            <w:tcW w:w="7544" w:type="dxa"/>
            <w:vAlign w:val="center"/>
          </w:tcPr>
          <w:p w14:paraId="0891F66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投标文件包括商务标书、经济标书、施工组织设计</w:t>
            </w:r>
            <w:r>
              <w:rPr>
                <w:rFonts w:hint="eastAsia" w:asciiTheme="minorEastAsia" w:hAnsiTheme="minorEastAsia" w:eastAsiaTheme="minorEastAsia" w:cstheme="minorEastAsia"/>
                <w:snapToGrid w:val="0"/>
                <w:color w:val="auto"/>
                <w:kern w:val="0"/>
                <w:sz w:val="21"/>
                <w:szCs w:val="21"/>
                <w:highlight w:val="none"/>
                <w:lang w:val="en-US" w:eastAsia="zh-CN"/>
              </w:rPr>
              <w:t>和</w:t>
            </w:r>
            <w:r>
              <w:rPr>
                <w:rFonts w:hint="eastAsia" w:asciiTheme="minorEastAsia" w:hAnsiTheme="minorEastAsia" w:eastAsiaTheme="minorEastAsia" w:cstheme="minorEastAsia"/>
                <w:snapToGrid w:val="0"/>
                <w:color w:val="auto"/>
                <w:kern w:val="0"/>
                <w:sz w:val="21"/>
                <w:szCs w:val="21"/>
                <w:highlight w:val="none"/>
                <w:lang w:eastAsia="zh-CN"/>
              </w:rPr>
              <w:t>定标文件四个分册。</w:t>
            </w:r>
          </w:p>
        </w:tc>
      </w:tr>
      <w:tr w14:paraId="69F1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582" w:type="dxa"/>
            <w:vAlign w:val="center"/>
          </w:tcPr>
          <w:p w14:paraId="080D10B9">
            <w:pPr>
              <w:spacing w:before="69" w:line="188" w:lineRule="auto"/>
              <w:ind w:left="205"/>
              <w:jc w:val="both"/>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30</w:t>
            </w:r>
          </w:p>
        </w:tc>
        <w:tc>
          <w:tcPr>
            <w:tcW w:w="1860" w:type="dxa"/>
            <w:vAlign w:val="center"/>
          </w:tcPr>
          <w:p w14:paraId="60E20252">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施工组织设计评审方式</w:t>
            </w:r>
          </w:p>
        </w:tc>
        <w:tc>
          <w:tcPr>
            <w:tcW w:w="7544" w:type="dxa"/>
            <w:vAlign w:val="center"/>
          </w:tcPr>
          <w:p w14:paraId="044BE8C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本次招标施工组织设计不采用“暗标”方式进行评审。</w:t>
            </w:r>
          </w:p>
        </w:tc>
      </w:tr>
      <w:tr w14:paraId="1418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trPr>
        <w:tc>
          <w:tcPr>
            <w:tcW w:w="582" w:type="dxa"/>
            <w:vAlign w:val="center"/>
          </w:tcPr>
          <w:p w14:paraId="2A7F5E06">
            <w:pPr>
              <w:spacing w:before="69" w:line="188" w:lineRule="auto"/>
              <w:ind w:left="209"/>
              <w:jc w:val="both"/>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3</w:t>
            </w:r>
            <w:r>
              <w:rPr>
                <w:rFonts w:hint="eastAsia" w:asciiTheme="minorEastAsia" w:hAnsiTheme="minorEastAsia" w:eastAsiaTheme="minorEastAsia" w:cstheme="minorEastAsia"/>
                <w:color w:val="auto"/>
                <w:spacing w:val="-5"/>
                <w:sz w:val="21"/>
                <w:szCs w:val="21"/>
                <w:highlight w:val="none"/>
                <w:lang w:val="en-US" w:eastAsia="zh-CN"/>
              </w:rPr>
              <w:t>1</w:t>
            </w:r>
          </w:p>
        </w:tc>
        <w:tc>
          <w:tcPr>
            <w:tcW w:w="1860" w:type="dxa"/>
            <w:vAlign w:val="center"/>
          </w:tcPr>
          <w:p w14:paraId="0106153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评标委员会</w:t>
            </w:r>
          </w:p>
        </w:tc>
        <w:tc>
          <w:tcPr>
            <w:tcW w:w="7544" w:type="dxa"/>
            <w:vAlign w:val="top"/>
          </w:tcPr>
          <w:p w14:paraId="1DF9186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评标委员会由</w:t>
            </w:r>
            <w:r>
              <w:rPr>
                <w:rFonts w:hint="eastAsia" w:ascii="宋体" w:hAnsi="宋体" w:eastAsia="宋体" w:cs="宋体"/>
                <w:snapToGrid w:val="0"/>
                <w:color w:val="auto"/>
                <w:kern w:val="0"/>
                <w:sz w:val="21"/>
                <w:szCs w:val="21"/>
                <w:highlight w:val="none"/>
                <w:u w:val="single"/>
              </w:rPr>
              <w:t>5</w:t>
            </w:r>
            <w:r>
              <w:rPr>
                <w:rFonts w:hint="eastAsia" w:ascii="宋体" w:hAnsi="宋体" w:eastAsia="宋体" w:cs="宋体"/>
                <w:snapToGrid w:val="0"/>
                <w:color w:val="auto"/>
                <w:kern w:val="0"/>
                <w:sz w:val="21"/>
                <w:szCs w:val="21"/>
                <w:highlight w:val="none"/>
              </w:rPr>
              <w:t>人组成，其中招标人代表</w:t>
            </w:r>
            <w:r>
              <w:rPr>
                <w:rFonts w:hint="eastAsia" w:ascii="宋体" w:hAnsi="宋体" w:eastAsia="宋体" w:cs="宋体"/>
                <w:snapToGrid w:val="0"/>
                <w:color w:val="auto"/>
                <w:kern w:val="0"/>
                <w:sz w:val="21"/>
                <w:szCs w:val="21"/>
                <w:highlight w:val="none"/>
                <w:u w:val="single"/>
              </w:rPr>
              <w:t>0</w:t>
            </w:r>
            <w:r>
              <w:rPr>
                <w:rFonts w:hint="eastAsia" w:ascii="宋体" w:hAnsi="宋体" w:eastAsia="宋体" w:cs="宋体"/>
                <w:snapToGrid w:val="0"/>
                <w:color w:val="auto"/>
                <w:kern w:val="0"/>
                <w:sz w:val="21"/>
                <w:szCs w:val="21"/>
                <w:highlight w:val="none"/>
              </w:rPr>
              <w:t>人，专家</w:t>
            </w:r>
            <w:r>
              <w:rPr>
                <w:rFonts w:hint="eastAsia" w:ascii="宋体" w:hAnsi="宋体" w:eastAsia="宋体" w:cs="宋体"/>
                <w:snapToGrid w:val="0"/>
                <w:color w:val="auto"/>
                <w:kern w:val="0"/>
                <w:sz w:val="21"/>
                <w:szCs w:val="21"/>
                <w:highlight w:val="none"/>
                <w:u w:val="single"/>
              </w:rPr>
              <w:t>5</w:t>
            </w:r>
            <w:r>
              <w:rPr>
                <w:rFonts w:hint="eastAsia" w:ascii="宋体" w:hAnsi="宋体" w:eastAsia="宋体" w:cs="宋体"/>
                <w:snapToGrid w:val="0"/>
                <w:color w:val="auto"/>
                <w:kern w:val="0"/>
                <w:sz w:val="21"/>
                <w:szCs w:val="21"/>
                <w:highlight w:val="none"/>
              </w:rPr>
              <w:t>人。专家从</w:t>
            </w:r>
            <w:r>
              <w:rPr>
                <w:rFonts w:hint="eastAsia" w:ascii="宋体" w:hAnsi="宋体" w:eastAsia="宋体" w:cs="宋体"/>
                <w:snapToGrid w:val="0"/>
                <w:color w:val="auto"/>
                <w:kern w:val="0"/>
                <w:sz w:val="21"/>
                <w:szCs w:val="21"/>
                <w:highlight w:val="none"/>
                <w:u w:val="single"/>
              </w:rPr>
              <w:t>广东省综合评标评审专家库</w:t>
            </w:r>
            <w:r>
              <w:rPr>
                <w:rFonts w:hint="eastAsia" w:ascii="宋体" w:hAnsi="宋体" w:eastAsia="宋体" w:cs="宋体"/>
                <w:snapToGrid w:val="0"/>
                <w:color w:val="auto"/>
                <w:kern w:val="0"/>
                <w:sz w:val="21"/>
                <w:szCs w:val="21"/>
                <w:highlight w:val="none"/>
                <w:u w:val="single"/>
                <w:lang w:eastAsia="zh-CN"/>
              </w:rPr>
              <w:t>—</w:t>
            </w:r>
            <w:r>
              <w:rPr>
                <w:rFonts w:hint="eastAsia" w:ascii="宋体" w:hAnsi="宋体" w:eastAsia="宋体" w:cs="宋体"/>
                <w:snapToGrid w:val="0"/>
                <w:color w:val="auto"/>
                <w:kern w:val="0"/>
                <w:sz w:val="21"/>
                <w:szCs w:val="21"/>
                <w:highlight w:val="none"/>
                <w:u w:val="single"/>
                <w:lang w:val="en-US" w:eastAsia="zh-CN"/>
              </w:rPr>
              <w:t>韶关市</w:t>
            </w:r>
            <w:r>
              <w:rPr>
                <w:rFonts w:hint="eastAsia" w:ascii="Times New Roman"/>
                <w:snapToGrid w:val="0"/>
                <w:color w:val="auto"/>
                <w:kern w:val="0"/>
                <w:sz w:val="21"/>
                <w:szCs w:val="21"/>
                <w:highlight w:val="none"/>
                <w:u w:val="single"/>
                <w:lang w:val="en-US" w:eastAsia="zh-CN"/>
              </w:rPr>
              <w:t>区域</w:t>
            </w:r>
            <w:r>
              <w:rPr>
                <w:rFonts w:hint="eastAsia" w:ascii="宋体" w:hAnsi="宋体" w:eastAsia="宋体" w:cs="宋体"/>
                <w:snapToGrid w:val="0"/>
                <w:color w:val="auto"/>
                <w:kern w:val="0"/>
                <w:sz w:val="21"/>
                <w:szCs w:val="21"/>
                <w:highlight w:val="none"/>
              </w:rPr>
              <w:t>中随机抽取，其中技术类专家</w:t>
            </w:r>
            <w:r>
              <w:rPr>
                <w:rFonts w:hint="eastAsia" w:ascii="宋体" w:hAnsi="宋体" w:eastAsia="宋体" w:cs="宋体"/>
                <w:snapToGrid w:val="0"/>
                <w:color w:val="auto"/>
                <w:kern w:val="0"/>
                <w:sz w:val="21"/>
                <w:szCs w:val="21"/>
                <w:highlight w:val="none"/>
                <w:u w:val="single"/>
              </w:rPr>
              <w:t xml:space="preserve"> 3 </w:t>
            </w:r>
            <w:r>
              <w:rPr>
                <w:rFonts w:hint="eastAsia" w:ascii="宋体" w:hAnsi="宋体" w:eastAsia="宋体" w:cs="宋体"/>
                <w:snapToGrid w:val="0"/>
                <w:color w:val="auto"/>
                <w:kern w:val="0"/>
                <w:sz w:val="21"/>
                <w:szCs w:val="21"/>
                <w:highlight w:val="none"/>
              </w:rPr>
              <w:t>人，经济类专家</w:t>
            </w:r>
            <w:r>
              <w:rPr>
                <w:rFonts w:hint="eastAsia" w:ascii="宋体" w:hAnsi="宋体" w:eastAsia="宋体" w:cs="宋体"/>
                <w:snapToGrid w:val="0"/>
                <w:color w:val="auto"/>
                <w:kern w:val="0"/>
                <w:sz w:val="21"/>
                <w:szCs w:val="21"/>
                <w:highlight w:val="none"/>
                <w:u w:val="single"/>
              </w:rPr>
              <w:t xml:space="preserve"> 2 </w:t>
            </w:r>
            <w:r>
              <w:rPr>
                <w:rFonts w:hint="eastAsia" w:ascii="宋体" w:hAnsi="宋体" w:eastAsia="宋体" w:cs="宋体"/>
                <w:snapToGrid w:val="0"/>
                <w:color w:val="auto"/>
                <w:kern w:val="0"/>
                <w:sz w:val="21"/>
                <w:szCs w:val="21"/>
                <w:highlight w:val="none"/>
              </w:rPr>
              <w:t>人。</w:t>
            </w:r>
          </w:p>
        </w:tc>
      </w:tr>
      <w:tr w14:paraId="76C08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trPr>
        <w:tc>
          <w:tcPr>
            <w:tcW w:w="582" w:type="dxa"/>
            <w:vAlign w:val="center"/>
          </w:tcPr>
          <w:p w14:paraId="2AD4F28B">
            <w:pPr>
              <w:spacing w:before="69" w:line="188" w:lineRule="auto"/>
              <w:ind w:left="209"/>
              <w:jc w:val="both"/>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32</w:t>
            </w:r>
          </w:p>
        </w:tc>
        <w:tc>
          <w:tcPr>
            <w:tcW w:w="1860" w:type="dxa"/>
            <w:vAlign w:val="center"/>
          </w:tcPr>
          <w:p w14:paraId="36288FE7">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color w:val="auto"/>
                <w:sz w:val="21"/>
                <w:szCs w:val="21"/>
                <w:highlight w:val="none"/>
                <w:lang w:eastAsia="zh-CN"/>
              </w:rPr>
              <w:t>定</w:t>
            </w:r>
            <w:r>
              <w:rPr>
                <w:rFonts w:hint="eastAsia" w:ascii="宋体" w:hAnsi="宋体" w:eastAsia="宋体" w:cs="宋体"/>
                <w:color w:val="auto"/>
                <w:sz w:val="21"/>
                <w:szCs w:val="21"/>
                <w:highlight w:val="none"/>
              </w:rPr>
              <w:t>标委员会</w:t>
            </w:r>
          </w:p>
        </w:tc>
        <w:tc>
          <w:tcPr>
            <w:tcW w:w="7544" w:type="dxa"/>
            <w:vAlign w:val="center"/>
          </w:tcPr>
          <w:p w14:paraId="625D2317">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color w:val="auto"/>
                <w:sz w:val="21"/>
                <w:szCs w:val="21"/>
                <w:highlight w:val="none"/>
                <w:u w:val="none"/>
                <w:lang w:val="en-US" w:eastAsia="zh-CN"/>
              </w:rPr>
              <w:t>本</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u w:val="none"/>
              </w:rPr>
              <w:t>定标委员会</w:t>
            </w:r>
            <w:r>
              <w:rPr>
                <w:rFonts w:hint="eastAsia" w:ascii="宋体" w:hAnsi="宋体" w:eastAsia="宋体" w:cs="宋体"/>
                <w:color w:val="auto"/>
                <w:sz w:val="21"/>
                <w:szCs w:val="21"/>
                <w:highlight w:val="none"/>
                <w:u w:val="none"/>
                <w:lang w:eastAsia="zh-CN"/>
              </w:rPr>
              <w:t>组成人</w:t>
            </w:r>
            <w:r>
              <w:rPr>
                <w:rFonts w:hint="eastAsia" w:ascii="宋体" w:hAnsi="宋体" w:eastAsia="宋体" w:cs="宋体"/>
                <w:color w:val="auto"/>
                <w:sz w:val="21"/>
                <w:szCs w:val="21"/>
                <w:highlight w:val="none"/>
                <w:u w:val="none"/>
              </w:rPr>
              <w:t>员为</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u w:val="none"/>
                <w:lang w:eastAsia="zh-CN"/>
              </w:rPr>
              <w:t>。</w:t>
            </w:r>
          </w:p>
        </w:tc>
      </w:tr>
      <w:tr w14:paraId="1DA8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58D68E09">
            <w:pPr>
              <w:spacing w:before="258" w:line="188" w:lineRule="auto"/>
              <w:ind w:left="209"/>
              <w:jc w:val="both"/>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33</w:t>
            </w:r>
          </w:p>
        </w:tc>
        <w:tc>
          <w:tcPr>
            <w:tcW w:w="1860" w:type="dxa"/>
            <w:vAlign w:val="center"/>
          </w:tcPr>
          <w:p w14:paraId="1729A2D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评标方法</w:t>
            </w:r>
          </w:p>
        </w:tc>
        <w:tc>
          <w:tcPr>
            <w:tcW w:w="7544" w:type="dxa"/>
            <w:vAlign w:val="center"/>
          </w:tcPr>
          <w:p w14:paraId="14FB030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综合评分法</w:t>
            </w:r>
          </w:p>
        </w:tc>
      </w:tr>
      <w:tr w14:paraId="3A74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06AF2062">
            <w:pPr>
              <w:spacing w:before="258" w:line="188" w:lineRule="auto"/>
              <w:ind w:left="209"/>
              <w:jc w:val="both"/>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34</w:t>
            </w:r>
          </w:p>
        </w:tc>
        <w:tc>
          <w:tcPr>
            <w:tcW w:w="1860" w:type="dxa"/>
            <w:vAlign w:val="center"/>
          </w:tcPr>
          <w:p w14:paraId="065EB7B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投标文件编制</w:t>
            </w:r>
            <w:r>
              <w:rPr>
                <w:rFonts w:hint="eastAsia" w:ascii="宋体" w:hAnsi="宋体" w:eastAsia="宋体" w:cs="宋体"/>
                <w:snapToGrid w:val="0"/>
                <w:color w:val="auto"/>
                <w:kern w:val="0"/>
                <w:sz w:val="21"/>
                <w:szCs w:val="21"/>
                <w:highlight w:val="none"/>
                <w:lang w:eastAsia="zh-CN"/>
              </w:rPr>
              <w:t>及</w:t>
            </w:r>
            <w:r>
              <w:rPr>
                <w:rFonts w:hint="eastAsia" w:ascii="宋体" w:hAnsi="宋体" w:eastAsia="宋体" w:cs="宋体"/>
                <w:snapToGrid w:val="0"/>
                <w:color w:val="auto"/>
                <w:kern w:val="0"/>
                <w:sz w:val="21"/>
                <w:szCs w:val="21"/>
                <w:highlight w:val="none"/>
              </w:rPr>
              <w:t>份数要求</w:t>
            </w:r>
          </w:p>
        </w:tc>
        <w:tc>
          <w:tcPr>
            <w:tcW w:w="7544" w:type="dxa"/>
            <w:vAlign w:val="center"/>
          </w:tcPr>
          <w:p w14:paraId="66F22651">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投标人须上传（递交）投标文件：</w:t>
            </w:r>
          </w:p>
          <w:p w14:paraId="563C340A">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1.电子投标文件一套：</w:t>
            </w:r>
          </w:p>
          <w:p w14:paraId="25FB02E9">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（1）商务标书1份；</w:t>
            </w:r>
          </w:p>
          <w:p w14:paraId="440EA8CF">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（2）经济标书1份；</w:t>
            </w:r>
          </w:p>
          <w:p w14:paraId="4387DA43">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 xml:space="preserve">（3）施工组织设计1份； </w:t>
            </w:r>
          </w:p>
          <w:p w14:paraId="16B57936">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（4）定标文件1份；</w:t>
            </w:r>
          </w:p>
          <w:p w14:paraId="168A6273">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2.对应评审要求的分项响应文件（如有）。</w:t>
            </w:r>
          </w:p>
          <w:p w14:paraId="7FA3B351">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2F569048">
            <w:pPr>
              <w:keepNext w:val="0"/>
              <w:keepLines w:val="0"/>
              <w:pageBreakBefore w:val="0"/>
              <w:widowControl w:val="0"/>
              <w:suppressLineNumbers w:val="0"/>
              <w:kinsoku/>
              <w:wordWrap/>
              <w:overflowPunct/>
              <w:topLinePunct w:val="0"/>
              <w:autoSpaceDE/>
              <w:autoSpaceDN/>
              <w:bidi w:val="0"/>
              <w:adjustRightInd/>
              <w:snapToGrid/>
              <w:spacing w:line="360" w:lineRule="auto"/>
              <w:ind w:left="105" w:leftChars="50" w:right="105" w:rightChars="50" w:firstLine="420" w:firstLineChars="200"/>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bCs/>
                <w:snapToGrid w:val="0"/>
                <w:color w:val="auto"/>
                <w:kern w:val="0"/>
                <w:sz w:val="21"/>
                <w:szCs w:val="21"/>
                <w:highlight w:val="none"/>
                <w:lang w:val="en-US" w:eastAsia="zh-CN"/>
              </w:rPr>
              <w:t>注：投标人被确定为中标人后，应从交易系统打印两套纸质投标文件（含签名盖章页），内容同电子投标文件，在签订本招标项目承包合同前分别提交给招标人和招标管理部门（除招标文件约定外，纸质标书须与电子标书一致，不一致的以电子标书为准）。</w:t>
            </w:r>
          </w:p>
        </w:tc>
      </w:tr>
      <w:tr w14:paraId="170F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2168BB35">
            <w:pPr>
              <w:spacing w:before="258" w:line="188" w:lineRule="auto"/>
              <w:ind w:left="209"/>
              <w:jc w:val="both"/>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35</w:t>
            </w:r>
          </w:p>
        </w:tc>
        <w:tc>
          <w:tcPr>
            <w:tcW w:w="1860" w:type="dxa"/>
            <w:vAlign w:val="center"/>
          </w:tcPr>
          <w:p w14:paraId="1FA89293">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定标办法</w:t>
            </w:r>
          </w:p>
        </w:tc>
        <w:tc>
          <w:tcPr>
            <w:tcW w:w="7544" w:type="dxa"/>
            <w:vAlign w:val="center"/>
          </w:tcPr>
          <w:p w14:paraId="07F682DE">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采用</w:t>
            </w:r>
            <w:r>
              <w:rPr>
                <w:rFonts w:hint="eastAsia" w:ascii="宋体" w:hAnsi="宋体" w:eastAsia="宋体" w:cs="宋体"/>
                <w:b/>
                <w:bCs w:val="0"/>
                <w:snapToGrid w:val="0"/>
                <w:color w:val="auto"/>
                <w:kern w:val="0"/>
                <w:sz w:val="21"/>
                <w:szCs w:val="21"/>
                <w:highlight w:val="none"/>
                <w:lang w:val="en-US" w:eastAsia="zh-CN"/>
              </w:rPr>
              <w:t>评定分离</w:t>
            </w:r>
            <w:r>
              <w:rPr>
                <w:rFonts w:hint="eastAsia" w:ascii="宋体" w:hAnsi="宋体" w:eastAsia="宋体" w:cs="宋体"/>
                <w:bCs/>
                <w:snapToGrid w:val="0"/>
                <w:color w:val="auto"/>
                <w:kern w:val="0"/>
                <w:sz w:val="21"/>
                <w:szCs w:val="21"/>
                <w:highlight w:val="none"/>
                <w:lang w:val="en-US" w:eastAsia="zh-CN"/>
              </w:rPr>
              <w:t>的项目，应选定下列定标办法：</w:t>
            </w:r>
          </w:p>
          <w:p w14:paraId="09851633">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☑票决数量法</w:t>
            </w:r>
          </w:p>
          <w:p w14:paraId="42DC2268">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□票决计分法</w:t>
            </w:r>
          </w:p>
          <w:p w14:paraId="352F7AFA">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□集体议事法</w:t>
            </w:r>
          </w:p>
          <w:p w14:paraId="345DD05E">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□其他方法：</w:t>
            </w:r>
          </w:p>
        </w:tc>
      </w:tr>
      <w:tr w14:paraId="0A10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3" w:hRule="atLeast"/>
        </w:trPr>
        <w:tc>
          <w:tcPr>
            <w:tcW w:w="582" w:type="dxa"/>
            <w:vAlign w:val="center"/>
          </w:tcPr>
          <w:p w14:paraId="5A8F9F23">
            <w:pPr>
              <w:spacing w:before="57" w:line="195"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36</w:t>
            </w:r>
          </w:p>
        </w:tc>
        <w:tc>
          <w:tcPr>
            <w:tcW w:w="1860" w:type="dxa"/>
            <w:vAlign w:val="center"/>
          </w:tcPr>
          <w:p w14:paraId="5E4B993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招标文件要求提交的用于评审的证书、证件、证明原件</w:t>
            </w:r>
          </w:p>
        </w:tc>
        <w:tc>
          <w:tcPr>
            <w:tcW w:w="7544" w:type="dxa"/>
            <w:vAlign w:val="top"/>
          </w:tcPr>
          <w:p w14:paraId="11169AF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color w:val="auto"/>
                <w:sz w:val="21"/>
                <w:szCs w:val="21"/>
                <w:highlight w:val="none"/>
                <w:lang w:eastAsia="zh-CN"/>
              </w:rPr>
              <w:t>投标人提交用于评审的证书、证件、证明原件的，投标人应自行将所需原件密封于文件袋（箱）中，并自行准备两张“原件一览表”（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6688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57" w:hRule="atLeast"/>
        </w:trPr>
        <w:tc>
          <w:tcPr>
            <w:tcW w:w="582" w:type="dxa"/>
            <w:vAlign w:val="center"/>
          </w:tcPr>
          <w:p w14:paraId="6E15237F">
            <w:pPr>
              <w:spacing w:before="69" w:line="188" w:lineRule="auto"/>
              <w:ind w:left="209"/>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37</w:t>
            </w:r>
          </w:p>
        </w:tc>
        <w:tc>
          <w:tcPr>
            <w:tcW w:w="1860" w:type="dxa"/>
            <w:vAlign w:val="center"/>
          </w:tcPr>
          <w:p w14:paraId="6186C35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招标代理费和评标专家酬劳</w:t>
            </w:r>
          </w:p>
        </w:tc>
        <w:tc>
          <w:tcPr>
            <w:tcW w:w="7544" w:type="dxa"/>
            <w:shd w:val="clear" w:color="auto" w:fill="FFFFFF" w:themeFill="background1"/>
            <w:vAlign w:val="center"/>
          </w:tcPr>
          <w:p w14:paraId="7ABDDE2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color w:val="auto"/>
                <w:sz w:val="21"/>
                <w:szCs w:val="21"/>
                <w:highlight w:val="none"/>
              </w:rPr>
              <w:t>本工程的招标代理服务费</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评标专家的评审费、差旅费等费用由中标人支付，该费用不再另行报价，由投标人在投标报价时综合考虑在内。招标代理费收费标准的计费基础是中标价，</w:t>
            </w:r>
            <w:r>
              <w:rPr>
                <w:rFonts w:hint="eastAsia" w:ascii="宋体" w:hAnsi="宋体" w:eastAsia="宋体" w:cs="宋体"/>
                <w:color w:val="auto"/>
                <w:sz w:val="21"/>
                <w:szCs w:val="21"/>
                <w:highlight w:val="none"/>
                <w:lang w:eastAsia="zh-CN"/>
              </w:rPr>
              <w:t>招标代理费暂定价为</w:t>
            </w:r>
            <w:r>
              <w:rPr>
                <w:rFonts w:ascii="微软雅黑" w:hAnsi="微软雅黑" w:eastAsia="微软雅黑" w:cs="微软雅黑"/>
                <w:i w:val="0"/>
                <w:iCs w:val="0"/>
                <w:caps w:val="0"/>
                <w:color w:val="auto"/>
                <w:spacing w:val="0"/>
                <w:sz w:val="22"/>
                <w:szCs w:val="22"/>
                <w:highlight w:val="none"/>
                <w:shd w:val="clear" w:fill="F2F2F7"/>
              </w:rPr>
              <w:t>36,510.99元</w:t>
            </w:r>
            <w:r>
              <w:rPr>
                <w:rFonts w:hint="eastAsia" w:ascii="宋体" w:hAnsi="宋体" w:eastAsia="宋体" w:cs="宋体"/>
                <w:color w:val="auto"/>
                <w:sz w:val="21"/>
                <w:szCs w:val="21"/>
                <w:highlight w:val="none"/>
                <w:lang w:eastAsia="zh-CN"/>
              </w:rPr>
              <w:t>（含税）</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结算时以最终中标金额为计费基数按《韶关市金财投资集团有限公司招标代理服务收费标准表》计算招标代理费。中标人须在领取中标通知书前向招标代理机构一次性支付招标代理服务费</w:t>
            </w:r>
            <w:r>
              <w:rPr>
                <w:rFonts w:hint="eastAsia" w:ascii="宋体" w:hAnsi="宋体" w:eastAsia="宋体" w:cs="宋体"/>
                <w:color w:val="auto"/>
                <w:sz w:val="21"/>
                <w:szCs w:val="21"/>
                <w:highlight w:val="none"/>
                <w:lang w:eastAsia="zh-CN"/>
              </w:rPr>
              <w:t>及评标</w:t>
            </w:r>
            <w:r>
              <w:rPr>
                <w:rFonts w:hint="eastAsia" w:ascii="宋体" w:hAnsi="宋体" w:eastAsia="宋体" w:cs="宋体"/>
                <w:color w:val="auto"/>
                <w:sz w:val="21"/>
                <w:szCs w:val="21"/>
                <w:highlight w:val="none"/>
              </w:rPr>
              <w:t>专家评审费，方可领取中标通知书。</w:t>
            </w:r>
          </w:p>
        </w:tc>
      </w:tr>
      <w:tr w14:paraId="7FD7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9" w:hRule="atLeast"/>
        </w:trPr>
        <w:tc>
          <w:tcPr>
            <w:tcW w:w="582" w:type="dxa"/>
            <w:vAlign w:val="center"/>
          </w:tcPr>
          <w:p w14:paraId="37D7D386">
            <w:pPr>
              <w:spacing w:before="69" w:line="188"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38</w:t>
            </w:r>
          </w:p>
        </w:tc>
        <w:tc>
          <w:tcPr>
            <w:tcW w:w="1860" w:type="dxa"/>
            <w:vAlign w:val="center"/>
          </w:tcPr>
          <w:p w14:paraId="5DBBB6F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招标人</w:t>
            </w:r>
          </w:p>
          <w:p w14:paraId="36239D2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联系方式</w:t>
            </w:r>
          </w:p>
        </w:tc>
        <w:tc>
          <w:tcPr>
            <w:tcW w:w="7544" w:type="dxa"/>
            <w:vAlign w:val="center"/>
          </w:tcPr>
          <w:p w14:paraId="397C63DD">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单位名称：粤北城市燃气（翁源）有限公司</w:t>
            </w:r>
          </w:p>
          <w:p w14:paraId="1386C0B7">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办公地址：韶关市翁源县龙仙镇龙翔大道西108号翁源碧桂园芷兰湾二号楼商铺07</w:t>
            </w:r>
          </w:p>
          <w:p w14:paraId="7C86A65A">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联系人（部门）：曾工</w:t>
            </w:r>
          </w:p>
          <w:p w14:paraId="5116D759">
            <w:pPr>
              <w:wordWrap w:val="0"/>
              <w:adjustRightInd w:val="0"/>
              <w:snapToGrid w:val="0"/>
              <w:spacing w:line="400" w:lineRule="exact"/>
              <w:ind w:firstLine="420" w:firstLineChars="200"/>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bidi="ar-SA"/>
              </w:rPr>
              <w:t>联系电话：0751-8735532</w:t>
            </w:r>
          </w:p>
        </w:tc>
      </w:tr>
      <w:tr w14:paraId="101C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6" w:hRule="atLeast"/>
        </w:trPr>
        <w:tc>
          <w:tcPr>
            <w:tcW w:w="582" w:type="dxa"/>
            <w:vAlign w:val="center"/>
          </w:tcPr>
          <w:p w14:paraId="7AB56B55">
            <w:pPr>
              <w:spacing w:before="69" w:line="188" w:lineRule="auto"/>
              <w:jc w:val="center"/>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39</w:t>
            </w:r>
          </w:p>
        </w:tc>
        <w:tc>
          <w:tcPr>
            <w:tcW w:w="1860" w:type="dxa"/>
            <w:vAlign w:val="center"/>
          </w:tcPr>
          <w:p w14:paraId="57A132E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招标代理机构</w:t>
            </w:r>
          </w:p>
          <w:p w14:paraId="3F031D7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联系方式</w:t>
            </w:r>
          </w:p>
        </w:tc>
        <w:tc>
          <w:tcPr>
            <w:tcW w:w="7544" w:type="dxa"/>
            <w:vAlign w:val="center"/>
          </w:tcPr>
          <w:p w14:paraId="771BF440">
            <w:pPr>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单位名称：韶关市中利工程咨询有限公司</w:t>
            </w:r>
          </w:p>
          <w:p w14:paraId="7F6682EF">
            <w:pPr>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办公地址：韶关市武江区沐阳东路12号卓越雅苑5幢301号</w:t>
            </w:r>
          </w:p>
          <w:p w14:paraId="1FC2179E">
            <w:pPr>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联 系 人： 杨工 郭工</w:t>
            </w:r>
          </w:p>
          <w:p w14:paraId="367E96DE">
            <w:pPr>
              <w:wordWrap w:val="0"/>
              <w:adjustRightInd w:val="0"/>
              <w:snapToGrid w:val="0"/>
              <w:spacing w:line="400" w:lineRule="exact"/>
              <w:ind w:firstLine="420" w:firstLineChars="200"/>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bidi="ar-SA"/>
              </w:rPr>
              <w:t>电    话：0751-8767033</w:t>
            </w:r>
          </w:p>
        </w:tc>
      </w:tr>
      <w:tr w14:paraId="5459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18F6589E">
            <w:pPr>
              <w:spacing w:before="69" w:line="188" w:lineRule="auto"/>
              <w:jc w:val="center"/>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40</w:t>
            </w:r>
          </w:p>
        </w:tc>
        <w:tc>
          <w:tcPr>
            <w:tcW w:w="1860" w:type="dxa"/>
            <w:vAlign w:val="center"/>
          </w:tcPr>
          <w:p w14:paraId="1AD5452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交易场所联系方式</w:t>
            </w:r>
          </w:p>
        </w:tc>
        <w:tc>
          <w:tcPr>
            <w:tcW w:w="7544" w:type="dxa"/>
            <w:vAlign w:val="center"/>
          </w:tcPr>
          <w:p w14:paraId="543991A9">
            <w:pPr>
              <w:wordWrap w:val="0"/>
              <w:adjustRightInd w:val="0"/>
              <w:snapToGrid w:val="0"/>
              <w:spacing w:line="400" w:lineRule="exact"/>
              <w:ind w:firstLine="420" w:firstLineChars="200"/>
              <w:jc w:val="left"/>
              <w:rPr>
                <w:rFonts w:hint="default" w:ascii="宋体" w:hAnsi="宋体" w:eastAsia="宋体" w:cs="宋体"/>
                <w:snapToGrid w:val="0"/>
                <w:color w:val="auto"/>
                <w:kern w:val="0"/>
                <w:sz w:val="21"/>
                <w:szCs w:val="21"/>
                <w:highlight w:val="none"/>
                <w:lang w:val="en-US" w:eastAsia="zh-CN" w:bidi="ar-SA"/>
              </w:rPr>
            </w:pPr>
            <w:r>
              <w:rPr>
                <w:rFonts w:hint="default" w:ascii="宋体" w:hAnsi="宋体" w:eastAsia="宋体" w:cs="宋体"/>
                <w:snapToGrid w:val="0"/>
                <w:color w:val="auto"/>
                <w:kern w:val="0"/>
                <w:sz w:val="21"/>
                <w:szCs w:val="21"/>
                <w:highlight w:val="none"/>
                <w:lang w:val="en-US" w:eastAsia="zh-CN" w:bidi="ar-SA"/>
              </w:rPr>
              <w:t>单位名称：韶关市公共资源交易中心</w:t>
            </w:r>
          </w:p>
          <w:p w14:paraId="6E3AA806">
            <w:pPr>
              <w:wordWrap w:val="0"/>
              <w:adjustRightInd w:val="0"/>
              <w:snapToGrid w:val="0"/>
              <w:spacing w:line="400" w:lineRule="exact"/>
              <w:ind w:firstLine="420" w:firstLineChars="200"/>
              <w:jc w:val="left"/>
              <w:rPr>
                <w:rFonts w:hint="default" w:ascii="宋体" w:hAnsi="宋体" w:eastAsia="宋体" w:cs="宋体"/>
                <w:snapToGrid w:val="0"/>
                <w:color w:val="auto"/>
                <w:kern w:val="0"/>
                <w:sz w:val="21"/>
                <w:szCs w:val="21"/>
                <w:highlight w:val="none"/>
                <w:lang w:val="en-US" w:eastAsia="zh-CN" w:bidi="ar-SA"/>
              </w:rPr>
            </w:pPr>
            <w:r>
              <w:rPr>
                <w:rFonts w:hint="default" w:ascii="宋体" w:hAnsi="宋体" w:eastAsia="宋体" w:cs="宋体"/>
                <w:snapToGrid w:val="0"/>
                <w:color w:val="auto"/>
                <w:kern w:val="0"/>
                <w:sz w:val="21"/>
                <w:szCs w:val="21"/>
                <w:highlight w:val="none"/>
                <w:lang w:val="en-US" w:eastAsia="zh-CN" w:bidi="ar-SA"/>
              </w:rPr>
              <w:t>办公地址：翁源县龙仙镇朝阳路63号韶关市公共资源交易中心翁源分中心</w:t>
            </w:r>
          </w:p>
          <w:p w14:paraId="24FED406">
            <w:pPr>
              <w:wordWrap w:val="0"/>
              <w:adjustRightInd w:val="0"/>
              <w:snapToGrid w:val="0"/>
              <w:spacing w:line="400" w:lineRule="exact"/>
              <w:ind w:firstLine="420" w:firstLineChars="200"/>
              <w:jc w:val="left"/>
              <w:rPr>
                <w:rFonts w:hint="default" w:ascii="宋体" w:hAnsi="宋体" w:eastAsia="宋体" w:cs="宋体"/>
                <w:snapToGrid w:val="0"/>
                <w:color w:val="auto"/>
                <w:kern w:val="0"/>
                <w:sz w:val="21"/>
                <w:szCs w:val="21"/>
                <w:highlight w:val="none"/>
                <w:lang w:val="en-US" w:eastAsia="zh-CN" w:bidi="ar-SA"/>
              </w:rPr>
            </w:pPr>
            <w:r>
              <w:rPr>
                <w:rFonts w:hint="default" w:ascii="宋体" w:hAnsi="宋体" w:eastAsia="宋体" w:cs="宋体"/>
                <w:snapToGrid w:val="0"/>
                <w:color w:val="auto"/>
                <w:kern w:val="0"/>
                <w:sz w:val="21"/>
                <w:szCs w:val="21"/>
                <w:highlight w:val="none"/>
                <w:lang w:val="en-US" w:eastAsia="zh-CN" w:bidi="ar-SA"/>
              </w:rPr>
              <w:t>联系人（部门）：工程交易股</w:t>
            </w:r>
          </w:p>
          <w:p w14:paraId="741B69F5">
            <w:pPr>
              <w:wordWrap w:val="0"/>
              <w:adjustRightInd w:val="0"/>
              <w:snapToGrid w:val="0"/>
              <w:spacing w:line="400" w:lineRule="exact"/>
              <w:ind w:firstLine="420" w:firstLineChars="200"/>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default" w:ascii="宋体" w:hAnsi="宋体" w:eastAsia="宋体" w:cs="宋体"/>
                <w:snapToGrid w:val="0"/>
                <w:color w:val="auto"/>
                <w:kern w:val="0"/>
                <w:sz w:val="21"/>
                <w:szCs w:val="21"/>
                <w:highlight w:val="none"/>
                <w:lang w:val="en-US" w:eastAsia="zh-CN" w:bidi="ar-SA"/>
              </w:rPr>
              <w:t>联系电话：0751-2815819</w:t>
            </w:r>
          </w:p>
        </w:tc>
      </w:tr>
      <w:tr w14:paraId="03DC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6CED66FD">
            <w:pPr>
              <w:spacing w:before="69" w:line="188" w:lineRule="auto"/>
              <w:jc w:val="center"/>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41</w:t>
            </w:r>
          </w:p>
        </w:tc>
        <w:tc>
          <w:tcPr>
            <w:tcW w:w="1860" w:type="dxa"/>
            <w:vAlign w:val="center"/>
          </w:tcPr>
          <w:p w14:paraId="2B5659C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行政监督部</w:t>
            </w:r>
          </w:p>
          <w:p w14:paraId="205A3A6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门联系方式</w:t>
            </w:r>
          </w:p>
        </w:tc>
        <w:tc>
          <w:tcPr>
            <w:tcW w:w="7544" w:type="dxa"/>
            <w:vAlign w:val="center"/>
          </w:tcPr>
          <w:p w14:paraId="17BCCE2C">
            <w:pPr>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单位名称：翁源县住房和城乡建设管理局</w:t>
            </w:r>
          </w:p>
          <w:p w14:paraId="54C78F0E">
            <w:pPr>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办公地址：翁源县龙仙镇朝阳路186号</w:t>
            </w:r>
          </w:p>
          <w:p w14:paraId="68165516">
            <w:pPr>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联系人（部门）：建管股</w:t>
            </w:r>
          </w:p>
          <w:p w14:paraId="41EA6226">
            <w:pPr>
              <w:wordWrap w:val="0"/>
              <w:adjustRightInd w:val="0"/>
              <w:snapToGrid w:val="0"/>
              <w:spacing w:line="400" w:lineRule="exact"/>
              <w:ind w:firstLine="420" w:firstLineChars="200"/>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bidi="ar-SA"/>
              </w:rPr>
              <w:t>联系电话：0751-2870501</w:t>
            </w:r>
          </w:p>
        </w:tc>
      </w:tr>
    </w:tbl>
    <w:p w14:paraId="2196EE89">
      <w:pPr>
        <w:rPr>
          <w:rFonts w:hint="eastAsia" w:ascii="宋体" w:hAnsi="宋体" w:eastAsia="宋体" w:cs="宋体"/>
          <w:b/>
          <w:bCs/>
          <w:color w:val="auto"/>
          <w:spacing w:val="-3"/>
          <w:sz w:val="24"/>
          <w:szCs w:val="24"/>
          <w:highlight w:val="none"/>
        </w:rPr>
      </w:pPr>
      <w:bookmarkStart w:id="5" w:name="bookmark115"/>
      <w:bookmarkEnd w:id="5"/>
      <w:r>
        <w:rPr>
          <w:rFonts w:hint="eastAsia" w:ascii="宋体" w:hAnsi="宋体" w:eastAsia="宋体" w:cs="宋体"/>
          <w:b/>
          <w:bCs/>
          <w:color w:val="auto"/>
          <w:spacing w:val="-3"/>
          <w:sz w:val="24"/>
          <w:szCs w:val="24"/>
          <w:highlight w:val="none"/>
        </w:rPr>
        <w:br w:type="page"/>
      </w:r>
    </w:p>
    <w:p w14:paraId="2A3BA98B">
      <w:pPr>
        <w:spacing w:before="156" w:line="219" w:lineRule="auto"/>
        <w:ind w:left="17"/>
        <w:jc w:val="left"/>
        <w:outlineLvl w:val="1"/>
        <w:rPr>
          <w:rFonts w:hint="eastAsia" w:ascii="宋体" w:hAnsi="宋体" w:eastAsia="宋体" w:cs="宋体"/>
          <w:color w:val="auto"/>
          <w:highlight w:val="none"/>
        </w:rPr>
      </w:pPr>
      <w:bookmarkStart w:id="6" w:name="_Toc3868"/>
      <w:r>
        <w:rPr>
          <w:rFonts w:hint="eastAsia" w:ascii="宋体" w:hAnsi="宋体" w:eastAsia="宋体" w:cs="宋体"/>
          <w:b/>
          <w:bCs/>
          <w:color w:val="auto"/>
          <w:spacing w:val="-3"/>
          <w:sz w:val="24"/>
          <w:szCs w:val="24"/>
          <w:highlight w:val="none"/>
        </w:rPr>
        <w:t>第二节 重要事项时间地点一览表</w:t>
      </w:r>
      <w:bookmarkEnd w:id="6"/>
    </w:p>
    <w:p w14:paraId="69A179A8">
      <w:pPr>
        <w:pStyle w:val="6"/>
        <w:rPr>
          <w:rFonts w:hint="eastAsia" w:ascii="宋体" w:hAnsi="宋体" w:eastAsia="宋体" w:cs="宋体"/>
          <w:color w:val="auto"/>
          <w:highlight w:val="none"/>
        </w:rPr>
      </w:pPr>
    </w:p>
    <w:tbl>
      <w:tblPr>
        <w:tblStyle w:val="17"/>
        <w:tblW w:w="977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25"/>
        <w:gridCol w:w="1578"/>
        <w:gridCol w:w="7776"/>
      </w:tblGrid>
      <w:tr w14:paraId="7D264A1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50" w:hRule="exact"/>
        </w:trPr>
        <w:tc>
          <w:tcPr>
            <w:tcW w:w="425" w:type="dxa"/>
            <w:tcBorders>
              <w:top w:val="single" w:color="080000" w:sz="4" w:space="0"/>
              <w:left w:val="single" w:color="080000" w:sz="4" w:space="0"/>
              <w:bottom w:val="single" w:color="080000" w:sz="4" w:space="0"/>
              <w:right w:val="single" w:color="080000" w:sz="4" w:space="0"/>
            </w:tcBorders>
            <w:noWrap w:val="0"/>
            <w:vAlign w:val="center"/>
          </w:tcPr>
          <w:p w14:paraId="2240C2DC">
            <w:pPr>
              <w:pStyle w:val="26"/>
              <w:wordWrap w:val="0"/>
              <w:adjustRightInd w:val="0"/>
              <w:snapToGrid w:val="0"/>
              <w:spacing w:line="360" w:lineRule="auto"/>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w:t>
            </w:r>
          </w:p>
        </w:tc>
        <w:tc>
          <w:tcPr>
            <w:tcW w:w="1578" w:type="dxa"/>
            <w:tcBorders>
              <w:top w:val="single" w:color="080000" w:sz="4" w:space="0"/>
              <w:left w:val="single" w:color="080000" w:sz="4" w:space="0"/>
              <w:bottom w:val="single" w:color="080000" w:sz="4" w:space="0"/>
              <w:right w:val="single" w:color="080000" w:sz="4" w:space="0"/>
            </w:tcBorders>
            <w:noWrap w:val="0"/>
            <w:vAlign w:val="center"/>
          </w:tcPr>
          <w:p w14:paraId="5AFE1716">
            <w:pPr>
              <w:pStyle w:val="26"/>
              <w:wordWrap w:val="0"/>
              <w:adjustRightInd w:val="0"/>
              <w:snapToGrid w:val="0"/>
              <w:spacing w:line="360" w:lineRule="exact"/>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招标公告</w:t>
            </w:r>
          </w:p>
          <w:p w14:paraId="482D518E">
            <w:pPr>
              <w:pStyle w:val="26"/>
              <w:wordWrap w:val="0"/>
              <w:adjustRightInd w:val="0"/>
              <w:snapToGrid w:val="0"/>
              <w:spacing w:line="360" w:lineRule="exact"/>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发布时间 </w:t>
            </w:r>
          </w:p>
        </w:tc>
        <w:tc>
          <w:tcPr>
            <w:tcW w:w="7776" w:type="dxa"/>
            <w:tcBorders>
              <w:top w:val="single" w:color="080000" w:sz="4" w:space="0"/>
              <w:left w:val="single" w:color="080000" w:sz="4" w:space="0"/>
              <w:bottom w:val="single" w:color="080000" w:sz="4" w:space="0"/>
              <w:right w:val="single" w:color="080000" w:sz="4" w:space="0"/>
            </w:tcBorders>
            <w:noWrap w:val="0"/>
            <w:vAlign w:val="center"/>
          </w:tcPr>
          <w:p w14:paraId="6199FC18">
            <w:pPr>
              <w:pStyle w:val="26"/>
              <w:wordWrap w:val="0"/>
              <w:adjustRightInd w:val="0"/>
              <w:snapToGrid w:val="0"/>
              <w:spacing w:line="360" w:lineRule="auto"/>
              <w:jc w:val="left"/>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 </w:t>
            </w:r>
            <w:r>
              <w:rPr>
                <w:rFonts w:hint="eastAsia" w:ascii="宋体" w:hAnsi="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8</w:t>
            </w:r>
            <w:r>
              <w:rPr>
                <w:rFonts w:hint="eastAsia" w:ascii="宋体" w:hAnsi="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7</w:t>
            </w:r>
            <w:r>
              <w:rPr>
                <w:rFonts w:hint="eastAsia" w:ascii="宋体" w:hAnsi="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17</w:t>
            </w:r>
            <w:r>
              <w:rPr>
                <w:rFonts w:hint="eastAsia" w:ascii="宋体" w:hAnsi="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00</w:t>
            </w:r>
            <w:r>
              <w:rPr>
                <w:rFonts w:hint="eastAsia" w:ascii="宋体" w:hAnsi="宋体" w:cs="宋体"/>
                <w:snapToGrid w:val="0"/>
                <w:color w:val="auto"/>
                <w:kern w:val="0"/>
                <w:sz w:val="24"/>
                <w:szCs w:val="24"/>
                <w:highlight w:val="none"/>
              </w:rPr>
              <w:t>分</w:t>
            </w:r>
          </w:p>
        </w:tc>
      </w:tr>
      <w:tr w14:paraId="0F24B75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19" w:hRule="exact"/>
        </w:trPr>
        <w:tc>
          <w:tcPr>
            <w:tcW w:w="425" w:type="dxa"/>
            <w:tcBorders>
              <w:top w:val="single" w:color="080000" w:sz="4" w:space="0"/>
              <w:left w:val="single" w:color="080000" w:sz="4" w:space="0"/>
              <w:bottom w:val="single" w:color="080000" w:sz="4" w:space="0"/>
              <w:right w:val="single" w:color="080000" w:sz="4" w:space="0"/>
            </w:tcBorders>
            <w:noWrap w:val="0"/>
            <w:vAlign w:val="center"/>
          </w:tcPr>
          <w:p w14:paraId="71FB1A74">
            <w:pPr>
              <w:pStyle w:val="26"/>
              <w:wordWrap w:val="0"/>
              <w:adjustRightInd w:val="0"/>
              <w:snapToGrid w:val="0"/>
              <w:spacing w:line="360" w:lineRule="auto"/>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w:t>
            </w:r>
          </w:p>
        </w:tc>
        <w:tc>
          <w:tcPr>
            <w:tcW w:w="1578" w:type="dxa"/>
            <w:tcBorders>
              <w:top w:val="single" w:color="080000" w:sz="4" w:space="0"/>
              <w:left w:val="single" w:color="080000" w:sz="4" w:space="0"/>
              <w:bottom w:val="single" w:color="080000" w:sz="4" w:space="0"/>
              <w:right w:val="single" w:color="080000" w:sz="4" w:space="0"/>
            </w:tcBorders>
            <w:noWrap w:val="0"/>
            <w:vAlign w:val="center"/>
          </w:tcPr>
          <w:p w14:paraId="02E7C326">
            <w:pPr>
              <w:pStyle w:val="26"/>
              <w:adjustRightInd w:val="0"/>
              <w:snapToGrid w:val="0"/>
              <w:spacing w:line="360" w:lineRule="exact"/>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获取招标文件截止时间</w:t>
            </w:r>
          </w:p>
        </w:tc>
        <w:tc>
          <w:tcPr>
            <w:tcW w:w="7776" w:type="dxa"/>
            <w:tcBorders>
              <w:top w:val="single" w:color="080000" w:sz="4" w:space="0"/>
              <w:left w:val="single" w:color="080000" w:sz="4" w:space="0"/>
              <w:bottom w:val="single" w:color="080000" w:sz="4" w:space="0"/>
              <w:right w:val="single" w:color="080000" w:sz="4" w:space="0"/>
            </w:tcBorders>
            <w:noWrap w:val="0"/>
            <w:vAlign w:val="center"/>
          </w:tcPr>
          <w:p w14:paraId="5B237BA5">
            <w:pPr>
              <w:pStyle w:val="26"/>
              <w:wordWrap w:val="0"/>
              <w:adjustRightInd w:val="0"/>
              <w:snapToGrid w:val="0"/>
              <w:spacing w:line="360" w:lineRule="auto"/>
              <w:jc w:val="left"/>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 </w:t>
            </w:r>
            <w:r>
              <w:rPr>
                <w:rFonts w:hint="eastAsia" w:ascii="宋体" w:hAnsi="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8</w:t>
            </w:r>
            <w:r>
              <w:rPr>
                <w:rFonts w:hint="eastAsia" w:ascii="宋体" w:hAnsi="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28</w:t>
            </w:r>
            <w:r>
              <w:rPr>
                <w:rFonts w:hint="eastAsia" w:ascii="宋体" w:hAnsi="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10</w:t>
            </w:r>
            <w:r>
              <w:rPr>
                <w:rFonts w:hint="eastAsia" w:ascii="宋体" w:hAnsi="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30</w:t>
            </w:r>
            <w:r>
              <w:rPr>
                <w:rFonts w:hint="eastAsia" w:ascii="宋体" w:hAnsi="宋体" w:cs="宋体"/>
                <w:snapToGrid w:val="0"/>
                <w:color w:val="auto"/>
                <w:kern w:val="0"/>
                <w:sz w:val="24"/>
                <w:szCs w:val="24"/>
                <w:highlight w:val="none"/>
              </w:rPr>
              <w:t>分</w:t>
            </w:r>
          </w:p>
        </w:tc>
      </w:tr>
      <w:tr w14:paraId="46EB221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21" w:hRule="exact"/>
        </w:trPr>
        <w:tc>
          <w:tcPr>
            <w:tcW w:w="425" w:type="dxa"/>
            <w:tcBorders>
              <w:top w:val="single" w:color="080000" w:sz="4" w:space="0"/>
              <w:left w:val="single" w:color="080000" w:sz="4" w:space="0"/>
              <w:bottom w:val="single" w:color="080000" w:sz="4" w:space="0"/>
              <w:right w:val="single" w:color="080000" w:sz="4" w:space="0"/>
            </w:tcBorders>
            <w:noWrap w:val="0"/>
            <w:vAlign w:val="center"/>
          </w:tcPr>
          <w:p w14:paraId="6B8E572B">
            <w:pPr>
              <w:pStyle w:val="26"/>
              <w:wordWrap w:val="0"/>
              <w:adjustRightInd w:val="0"/>
              <w:snapToGrid w:val="0"/>
              <w:spacing w:line="360" w:lineRule="auto"/>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w:t>
            </w:r>
          </w:p>
        </w:tc>
        <w:tc>
          <w:tcPr>
            <w:tcW w:w="1578" w:type="dxa"/>
            <w:tcBorders>
              <w:top w:val="single" w:color="080000" w:sz="4" w:space="0"/>
              <w:left w:val="single" w:color="080000" w:sz="4" w:space="0"/>
              <w:bottom w:val="single" w:color="080000" w:sz="4" w:space="0"/>
              <w:right w:val="single" w:color="080000" w:sz="4" w:space="0"/>
            </w:tcBorders>
            <w:noWrap w:val="0"/>
            <w:vAlign w:val="center"/>
          </w:tcPr>
          <w:p w14:paraId="2719F345">
            <w:pPr>
              <w:pStyle w:val="26"/>
              <w:wordWrap w:val="0"/>
              <w:adjustRightInd w:val="0"/>
              <w:snapToGrid w:val="0"/>
              <w:spacing w:line="360" w:lineRule="exact"/>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网上提问</w:t>
            </w:r>
          </w:p>
          <w:p w14:paraId="6C539589">
            <w:pPr>
              <w:pStyle w:val="26"/>
              <w:wordWrap w:val="0"/>
              <w:adjustRightInd w:val="0"/>
              <w:snapToGrid w:val="0"/>
              <w:spacing w:line="360" w:lineRule="exact"/>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截止时间 </w:t>
            </w:r>
          </w:p>
        </w:tc>
        <w:tc>
          <w:tcPr>
            <w:tcW w:w="7776" w:type="dxa"/>
            <w:tcBorders>
              <w:top w:val="single" w:color="080000" w:sz="4" w:space="0"/>
              <w:left w:val="single" w:color="080000" w:sz="4" w:space="0"/>
              <w:bottom w:val="single" w:color="080000" w:sz="4" w:space="0"/>
              <w:right w:val="single" w:color="080000" w:sz="4" w:space="0"/>
            </w:tcBorders>
            <w:noWrap w:val="0"/>
            <w:vAlign w:val="center"/>
          </w:tcPr>
          <w:p w14:paraId="6BEAEB4C">
            <w:pPr>
              <w:pStyle w:val="26"/>
              <w:wordWrap w:val="0"/>
              <w:adjustRightInd w:val="0"/>
              <w:snapToGrid w:val="0"/>
              <w:spacing w:line="360" w:lineRule="auto"/>
              <w:jc w:val="left"/>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 </w:t>
            </w:r>
            <w:r>
              <w:rPr>
                <w:rFonts w:hint="eastAsia" w:ascii="宋体" w:hAnsi="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8</w:t>
            </w:r>
            <w:r>
              <w:rPr>
                <w:rFonts w:hint="eastAsia" w:ascii="宋体" w:hAnsi="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18</w:t>
            </w:r>
            <w:r>
              <w:rPr>
                <w:rFonts w:hint="eastAsia" w:ascii="宋体" w:hAnsi="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16</w:t>
            </w:r>
            <w:r>
              <w:rPr>
                <w:rFonts w:hint="eastAsia" w:ascii="宋体" w:hAnsi="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00</w:t>
            </w:r>
            <w:r>
              <w:rPr>
                <w:rFonts w:hint="eastAsia" w:ascii="宋体" w:hAnsi="宋体" w:cs="宋体"/>
                <w:snapToGrid w:val="0"/>
                <w:color w:val="auto"/>
                <w:kern w:val="0"/>
                <w:sz w:val="24"/>
                <w:szCs w:val="24"/>
                <w:highlight w:val="none"/>
              </w:rPr>
              <w:t>分</w:t>
            </w:r>
          </w:p>
        </w:tc>
      </w:tr>
      <w:tr w14:paraId="448C94F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65" w:hRule="exact"/>
        </w:trPr>
        <w:tc>
          <w:tcPr>
            <w:tcW w:w="425" w:type="dxa"/>
            <w:tcBorders>
              <w:top w:val="single" w:color="080000" w:sz="4" w:space="0"/>
              <w:left w:val="single" w:color="080000" w:sz="4" w:space="0"/>
              <w:bottom w:val="single" w:color="080000" w:sz="4" w:space="0"/>
              <w:right w:val="single" w:color="080000" w:sz="4" w:space="0"/>
            </w:tcBorders>
            <w:noWrap w:val="0"/>
            <w:vAlign w:val="center"/>
          </w:tcPr>
          <w:p w14:paraId="4A387652">
            <w:pPr>
              <w:pStyle w:val="26"/>
              <w:wordWrap w:val="0"/>
              <w:adjustRightInd w:val="0"/>
              <w:snapToGrid w:val="0"/>
              <w:spacing w:line="360" w:lineRule="auto"/>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4</w:t>
            </w:r>
          </w:p>
        </w:tc>
        <w:tc>
          <w:tcPr>
            <w:tcW w:w="1578" w:type="dxa"/>
            <w:tcBorders>
              <w:top w:val="single" w:color="080000" w:sz="4" w:space="0"/>
              <w:left w:val="single" w:color="080000" w:sz="4" w:space="0"/>
              <w:bottom w:val="single" w:color="080000" w:sz="4" w:space="0"/>
              <w:right w:val="single" w:color="080000" w:sz="4" w:space="0"/>
            </w:tcBorders>
            <w:noWrap w:val="0"/>
            <w:vAlign w:val="center"/>
          </w:tcPr>
          <w:p w14:paraId="60716A04">
            <w:pPr>
              <w:pStyle w:val="26"/>
              <w:wordWrap w:val="0"/>
              <w:adjustRightInd w:val="0"/>
              <w:snapToGrid w:val="0"/>
              <w:spacing w:line="360" w:lineRule="exact"/>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网上答疑</w:t>
            </w:r>
          </w:p>
          <w:p w14:paraId="27F003B2">
            <w:pPr>
              <w:pStyle w:val="26"/>
              <w:wordWrap w:val="0"/>
              <w:adjustRightInd w:val="0"/>
              <w:snapToGrid w:val="0"/>
              <w:spacing w:line="360" w:lineRule="exact"/>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时间</w:t>
            </w:r>
          </w:p>
        </w:tc>
        <w:tc>
          <w:tcPr>
            <w:tcW w:w="7776" w:type="dxa"/>
            <w:tcBorders>
              <w:top w:val="single" w:color="080000" w:sz="4" w:space="0"/>
              <w:left w:val="single" w:color="080000" w:sz="4" w:space="0"/>
              <w:bottom w:val="single" w:color="080000" w:sz="4" w:space="0"/>
              <w:right w:val="single" w:color="080000" w:sz="4" w:space="0"/>
            </w:tcBorders>
            <w:noWrap w:val="0"/>
            <w:vAlign w:val="center"/>
          </w:tcPr>
          <w:p w14:paraId="176A4F33">
            <w:pPr>
              <w:pStyle w:val="26"/>
              <w:wordWrap w:val="0"/>
              <w:adjustRightInd w:val="0"/>
              <w:snapToGrid w:val="0"/>
              <w:spacing w:line="360" w:lineRule="auto"/>
              <w:jc w:val="left"/>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 </w:t>
            </w:r>
            <w:r>
              <w:rPr>
                <w:rFonts w:hint="eastAsia" w:ascii="宋体" w:hAnsi="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8</w:t>
            </w:r>
            <w:r>
              <w:rPr>
                <w:rFonts w:hint="eastAsia" w:ascii="宋体" w:hAnsi="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18</w:t>
            </w:r>
            <w:r>
              <w:rPr>
                <w:rFonts w:hint="eastAsia" w:ascii="宋体" w:hAnsi="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16</w:t>
            </w:r>
            <w:r>
              <w:rPr>
                <w:rFonts w:hint="eastAsia" w:ascii="宋体" w:hAnsi="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30</w:t>
            </w:r>
            <w:r>
              <w:rPr>
                <w:rFonts w:hint="eastAsia" w:ascii="宋体" w:hAnsi="宋体" w:cs="宋体"/>
                <w:snapToGrid w:val="0"/>
                <w:color w:val="auto"/>
                <w:kern w:val="0"/>
                <w:sz w:val="24"/>
                <w:szCs w:val="24"/>
                <w:highlight w:val="none"/>
              </w:rPr>
              <w:t>分至</w:t>
            </w:r>
            <w:r>
              <w:rPr>
                <w:rFonts w:hint="eastAsia" w:ascii="宋体" w:hAnsi="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8</w:t>
            </w:r>
            <w:r>
              <w:rPr>
                <w:rFonts w:hint="eastAsia" w:ascii="宋体" w:hAnsi="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21</w:t>
            </w:r>
            <w:r>
              <w:rPr>
                <w:rFonts w:hint="eastAsia" w:ascii="宋体" w:hAnsi="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16</w:t>
            </w:r>
            <w:r>
              <w:rPr>
                <w:rFonts w:hint="eastAsia" w:ascii="宋体" w:hAnsi="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00</w:t>
            </w:r>
            <w:r>
              <w:rPr>
                <w:rFonts w:hint="eastAsia" w:ascii="宋体" w:hAnsi="宋体" w:cs="宋体"/>
                <w:snapToGrid w:val="0"/>
                <w:color w:val="auto"/>
                <w:kern w:val="0"/>
                <w:sz w:val="24"/>
                <w:szCs w:val="24"/>
                <w:highlight w:val="none"/>
              </w:rPr>
              <w:t>分</w:t>
            </w:r>
          </w:p>
        </w:tc>
      </w:tr>
      <w:tr w14:paraId="658339C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850" w:hRule="exact"/>
        </w:trPr>
        <w:tc>
          <w:tcPr>
            <w:tcW w:w="425" w:type="dxa"/>
            <w:tcBorders>
              <w:top w:val="single" w:color="080000" w:sz="4" w:space="0"/>
              <w:left w:val="single" w:color="080000" w:sz="4" w:space="0"/>
              <w:bottom w:val="single" w:color="080000" w:sz="4" w:space="0"/>
              <w:right w:val="single" w:color="080000" w:sz="4" w:space="0"/>
            </w:tcBorders>
            <w:noWrap w:val="0"/>
            <w:vAlign w:val="center"/>
          </w:tcPr>
          <w:p w14:paraId="0E4B433C">
            <w:pPr>
              <w:pStyle w:val="26"/>
              <w:wordWrap w:val="0"/>
              <w:adjustRightInd w:val="0"/>
              <w:snapToGrid w:val="0"/>
              <w:spacing w:line="360" w:lineRule="auto"/>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5</w:t>
            </w:r>
          </w:p>
        </w:tc>
        <w:tc>
          <w:tcPr>
            <w:tcW w:w="1578" w:type="dxa"/>
            <w:tcBorders>
              <w:top w:val="single" w:color="080000" w:sz="4" w:space="0"/>
              <w:left w:val="single" w:color="080000" w:sz="4" w:space="0"/>
              <w:bottom w:val="single" w:color="080000" w:sz="4" w:space="0"/>
              <w:right w:val="single" w:color="080000" w:sz="4" w:space="0"/>
            </w:tcBorders>
            <w:noWrap w:val="0"/>
            <w:vAlign w:val="center"/>
          </w:tcPr>
          <w:p w14:paraId="23CAE871">
            <w:pPr>
              <w:pStyle w:val="26"/>
              <w:wordWrap w:val="0"/>
              <w:adjustRightInd w:val="0"/>
              <w:snapToGrid w:val="0"/>
              <w:spacing w:line="360" w:lineRule="auto"/>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投标保证缴</w:t>
            </w:r>
          </w:p>
          <w:p w14:paraId="22069B6D">
            <w:pPr>
              <w:pStyle w:val="26"/>
              <w:wordWrap w:val="0"/>
              <w:adjustRightInd w:val="0"/>
              <w:snapToGrid w:val="0"/>
              <w:spacing w:line="360" w:lineRule="auto"/>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纳截止时间</w:t>
            </w:r>
          </w:p>
        </w:tc>
        <w:tc>
          <w:tcPr>
            <w:tcW w:w="7776" w:type="dxa"/>
            <w:tcBorders>
              <w:top w:val="single" w:color="080000" w:sz="4" w:space="0"/>
              <w:left w:val="single" w:color="080000" w:sz="4" w:space="0"/>
              <w:bottom w:val="single" w:color="080000" w:sz="4" w:space="0"/>
              <w:right w:val="single" w:color="080000" w:sz="4" w:space="0"/>
            </w:tcBorders>
            <w:noWrap w:val="0"/>
            <w:vAlign w:val="center"/>
          </w:tcPr>
          <w:p w14:paraId="2E77641E">
            <w:pPr>
              <w:pStyle w:val="26"/>
              <w:wordWrap w:val="0"/>
              <w:adjustRightInd w:val="0"/>
              <w:snapToGrid w:val="0"/>
              <w:spacing w:line="360" w:lineRule="auto"/>
              <w:jc w:val="left"/>
              <w:rPr>
                <w:rFonts w:ascii="宋体" w:hAnsi="宋体" w:cs="宋体"/>
                <w:snapToGrid w:val="0"/>
                <w:color w:val="auto"/>
                <w:kern w:val="0"/>
                <w:sz w:val="24"/>
                <w:szCs w:val="24"/>
                <w:highlight w:val="none"/>
                <w:u w:val="single"/>
              </w:rPr>
            </w:pPr>
            <w:r>
              <w:rPr>
                <w:rFonts w:hint="eastAsia" w:ascii="宋体" w:hAnsi="宋体" w:cs="宋体"/>
                <w:snapToGrid w:val="0"/>
                <w:color w:val="auto"/>
                <w:kern w:val="0"/>
                <w:sz w:val="24"/>
                <w:szCs w:val="24"/>
                <w:highlight w:val="none"/>
              </w:rPr>
              <w:t>投标保证金到账截止时间：</w:t>
            </w:r>
            <w:r>
              <w:rPr>
                <w:rFonts w:hint="eastAsia" w:ascii="宋体" w:hAnsi="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8</w:t>
            </w:r>
            <w:r>
              <w:rPr>
                <w:rFonts w:hint="eastAsia" w:ascii="宋体" w:hAnsi="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27</w:t>
            </w:r>
            <w:r>
              <w:rPr>
                <w:rFonts w:hint="eastAsia" w:ascii="宋体" w:hAnsi="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10</w:t>
            </w:r>
            <w:r>
              <w:rPr>
                <w:rFonts w:hint="eastAsia" w:ascii="宋体" w:hAnsi="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30</w:t>
            </w:r>
            <w:r>
              <w:rPr>
                <w:rFonts w:hint="eastAsia" w:ascii="宋体" w:hAnsi="宋体" w:cs="宋体"/>
                <w:snapToGrid w:val="0"/>
                <w:color w:val="auto"/>
                <w:kern w:val="0"/>
                <w:sz w:val="24"/>
                <w:szCs w:val="24"/>
                <w:highlight w:val="none"/>
              </w:rPr>
              <w:t>分；</w:t>
            </w:r>
          </w:p>
          <w:p w14:paraId="114C8D79">
            <w:pPr>
              <w:pStyle w:val="26"/>
              <w:wordWrap w:val="0"/>
              <w:adjustRightInd w:val="0"/>
              <w:snapToGrid w:val="0"/>
              <w:spacing w:line="360" w:lineRule="auto"/>
              <w:jc w:val="left"/>
              <w:rPr>
                <w:rFonts w:ascii="宋体" w:hAnsi="宋体" w:cs="宋体"/>
                <w:snapToGrid w:val="0"/>
                <w:color w:val="auto"/>
                <w:kern w:val="0"/>
                <w:sz w:val="24"/>
                <w:szCs w:val="24"/>
                <w:highlight w:val="none"/>
                <w:u w:val="single"/>
              </w:rPr>
            </w:pPr>
            <w:r>
              <w:rPr>
                <w:rFonts w:hint="eastAsia" w:ascii="宋体" w:hAnsi="宋体" w:cs="宋体"/>
                <w:snapToGrid w:val="0"/>
                <w:color w:val="auto"/>
                <w:kern w:val="0"/>
                <w:sz w:val="24"/>
                <w:szCs w:val="24"/>
                <w:highlight w:val="none"/>
              </w:rPr>
              <w:t>投标保证担保上传截止时间：</w:t>
            </w:r>
            <w:r>
              <w:rPr>
                <w:rFonts w:hint="eastAsia" w:ascii="宋体" w:hAnsi="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8</w:t>
            </w:r>
            <w:r>
              <w:rPr>
                <w:rFonts w:hint="eastAsia" w:ascii="宋体" w:hAnsi="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27</w:t>
            </w:r>
            <w:r>
              <w:rPr>
                <w:rFonts w:hint="eastAsia" w:ascii="宋体" w:hAnsi="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10</w:t>
            </w:r>
            <w:r>
              <w:rPr>
                <w:rFonts w:hint="eastAsia" w:ascii="宋体" w:hAnsi="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30</w:t>
            </w:r>
            <w:r>
              <w:rPr>
                <w:rFonts w:hint="eastAsia" w:ascii="宋体" w:hAnsi="宋体" w:cs="宋体"/>
                <w:snapToGrid w:val="0"/>
                <w:color w:val="auto"/>
                <w:kern w:val="0"/>
                <w:sz w:val="24"/>
                <w:szCs w:val="24"/>
                <w:highlight w:val="none"/>
              </w:rPr>
              <w:t>分；</w:t>
            </w:r>
          </w:p>
          <w:p w14:paraId="6A854641">
            <w:pPr>
              <w:pStyle w:val="26"/>
              <w:wordWrap w:val="0"/>
              <w:adjustRightInd w:val="0"/>
              <w:snapToGrid w:val="0"/>
              <w:spacing w:line="360" w:lineRule="auto"/>
              <w:jc w:val="left"/>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投标保证保险投保截止时间：</w:t>
            </w:r>
            <w:r>
              <w:rPr>
                <w:rFonts w:hint="eastAsia" w:ascii="宋体" w:hAnsi="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8</w:t>
            </w:r>
            <w:r>
              <w:rPr>
                <w:rFonts w:hint="eastAsia" w:ascii="宋体" w:hAnsi="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27</w:t>
            </w:r>
            <w:r>
              <w:rPr>
                <w:rFonts w:hint="eastAsia" w:ascii="宋体" w:hAnsi="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10</w:t>
            </w:r>
            <w:r>
              <w:rPr>
                <w:rFonts w:hint="eastAsia" w:ascii="宋体" w:hAnsi="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30</w:t>
            </w:r>
            <w:r>
              <w:rPr>
                <w:rFonts w:hint="eastAsia" w:ascii="宋体" w:hAnsi="宋体" w:cs="宋体"/>
                <w:snapToGrid w:val="0"/>
                <w:color w:val="auto"/>
                <w:kern w:val="0"/>
                <w:sz w:val="24"/>
                <w:szCs w:val="24"/>
                <w:highlight w:val="none"/>
              </w:rPr>
              <w:t>分；</w:t>
            </w:r>
          </w:p>
        </w:tc>
      </w:tr>
      <w:tr w14:paraId="48FB71C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14" w:hRule="exact"/>
        </w:trPr>
        <w:tc>
          <w:tcPr>
            <w:tcW w:w="425" w:type="dxa"/>
            <w:tcBorders>
              <w:top w:val="single" w:color="080000" w:sz="4" w:space="0"/>
              <w:left w:val="single" w:color="080000" w:sz="4" w:space="0"/>
              <w:bottom w:val="single" w:color="080000" w:sz="4" w:space="0"/>
              <w:right w:val="single" w:color="080000" w:sz="4" w:space="0"/>
            </w:tcBorders>
            <w:noWrap w:val="0"/>
            <w:vAlign w:val="center"/>
          </w:tcPr>
          <w:p w14:paraId="648CC072">
            <w:pPr>
              <w:pStyle w:val="26"/>
              <w:wordWrap w:val="0"/>
              <w:adjustRightInd w:val="0"/>
              <w:snapToGrid w:val="0"/>
              <w:spacing w:line="360" w:lineRule="auto"/>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6</w:t>
            </w:r>
          </w:p>
        </w:tc>
        <w:tc>
          <w:tcPr>
            <w:tcW w:w="1578" w:type="dxa"/>
            <w:tcBorders>
              <w:top w:val="single" w:color="080000" w:sz="4" w:space="0"/>
              <w:left w:val="single" w:color="080000" w:sz="4" w:space="0"/>
              <w:bottom w:val="single" w:color="080000" w:sz="4" w:space="0"/>
              <w:right w:val="single" w:color="080000" w:sz="4" w:space="0"/>
            </w:tcBorders>
            <w:noWrap w:val="0"/>
            <w:vAlign w:val="center"/>
          </w:tcPr>
          <w:p w14:paraId="170D637C">
            <w:pPr>
              <w:pStyle w:val="26"/>
              <w:wordWrap w:val="0"/>
              <w:adjustRightInd w:val="0"/>
              <w:snapToGrid w:val="0"/>
              <w:spacing w:line="360" w:lineRule="auto"/>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电子投标</w:t>
            </w:r>
          </w:p>
          <w:p w14:paraId="142BC1A0">
            <w:pPr>
              <w:pStyle w:val="26"/>
              <w:wordWrap w:val="0"/>
              <w:adjustRightInd w:val="0"/>
              <w:snapToGrid w:val="0"/>
              <w:spacing w:line="360" w:lineRule="auto"/>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截止时间 </w:t>
            </w:r>
          </w:p>
        </w:tc>
        <w:tc>
          <w:tcPr>
            <w:tcW w:w="7776" w:type="dxa"/>
            <w:tcBorders>
              <w:top w:val="single" w:color="080000" w:sz="4" w:space="0"/>
              <w:left w:val="single" w:color="080000" w:sz="4" w:space="0"/>
              <w:bottom w:val="single" w:color="080000" w:sz="4" w:space="0"/>
              <w:right w:val="single" w:color="080000" w:sz="4" w:space="0"/>
            </w:tcBorders>
            <w:noWrap w:val="0"/>
            <w:vAlign w:val="center"/>
          </w:tcPr>
          <w:p w14:paraId="35953510">
            <w:pPr>
              <w:pStyle w:val="26"/>
              <w:wordWrap w:val="0"/>
              <w:adjustRightInd w:val="0"/>
              <w:snapToGrid w:val="0"/>
              <w:spacing w:line="360" w:lineRule="auto"/>
              <w:jc w:val="left"/>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 </w:t>
            </w:r>
            <w:r>
              <w:rPr>
                <w:rFonts w:hint="eastAsia" w:ascii="宋体" w:hAnsi="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8</w:t>
            </w:r>
            <w:r>
              <w:rPr>
                <w:rFonts w:hint="eastAsia" w:ascii="宋体" w:hAnsi="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28</w:t>
            </w:r>
            <w:r>
              <w:rPr>
                <w:rFonts w:hint="eastAsia" w:ascii="宋体" w:hAnsi="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10</w:t>
            </w:r>
            <w:r>
              <w:rPr>
                <w:rFonts w:hint="eastAsia" w:ascii="宋体" w:hAnsi="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30</w:t>
            </w:r>
            <w:r>
              <w:rPr>
                <w:rFonts w:hint="eastAsia" w:ascii="宋体" w:hAnsi="宋体" w:cs="宋体"/>
                <w:snapToGrid w:val="0"/>
                <w:color w:val="auto"/>
                <w:kern w:val="0"/>
                <w:sz w:val="24"/>
                <w:szCs w:val="24"/>
                <w:highlight w:val="none"/>
              </w:rPr>
              <w:t>分</w:t>
            </w:r>
          </w:p>
        </w:tc>
      </w:tr>
      <w:tr w14:paraId="69E3B3C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80" w:hRule="exact"/>
        </w:trPr>
        <w:tc>
          <w:tcPr>
            <w:tcW w:w="425" w:type="dxa"/>
            <w:tcBorders>
              <w:top w:val="single" w:color="080000" w:sz="4" w:space="0"/>
              <w:left w:val="single" w:color="080000" w:sz="4" w:space="0"/>
              <w:bottom w:val="single" w:color="080000" w:sz="4" w:space="0"/>
              <w:right w:val="single" w:color="080000" w:sz="4" w:space="0"/>
            </w:tcBorders>
            <w:noWrap w:val="0"/>
            <w:vAlign w:val="center"/>
          </w:tcPr>
          <w:p w14:paraId="0563A394">
            <w:pPr>
              <w:pStyle w:val="26"/>
              <w:wordWrap w:val="0"/>
              <w:adjustRightInd w:val="0"/>
              <w:snapToGrid w:val="0"/>
              <w:spacing w:line="360" w:lineRule="auto"/>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7</w:t>
            </w:r>
          </w:p>
        </w:tc>
        <w:tc>
          <w:tcPr>
            <w:tcW w:w="1578" w:type="dxa"/>
            <w:tcBorders>
              <w:top w:val="single" w:color="080000" w:sz="4" w:space="0"/>
              <w:left w:val="single" w:color="080000" w:sz="4" w:space="0"/>
              <w:bottom w:val="single" w:color="080000" w:sz="4" w:space="0"/>
              <w:right w:val="single" w:color="080000" w:sz="4" w:space="0"/>
            </w:tcBorders>
            <w:noWrap w:val="0"/>
            <w:vAlign w:val="center"/>
          </w:tcPr>
          <w:p w14:paraId="0DDFCC43">
            <w:pPr>
              <w:pStyle w:val="14"/>
              <w:spacing w:before="0" w:beforeAutospacing="0" w:after="0" w:afterAutospacing="0" w:line="240" w:lineRule="auto"/>
              <w:ind w:left="0" w:leftChars="0" w:right="0" w:rightChars="0"/>
              <w:jc w:val="center"/>
              <w:rPr>
                <w:color w:val="auto"/>
                <w:sz w:val="24"/>
                <w:szCs w:val="24"/>
                <w:highlight w:val="none"/>
              </w:rPr>
            </w:pPr>
            <w:r>
              <w:rPr>
                <w:rFonts w:hint="eastAsia" w:ascii="宋体" w:hAnsi="宋体" w:eastAsia="宋体" w:cs="宋体"/>
                <w:snapToGrid w:val="0"/>
                <w:color w:val="auto"/>
                <w:kern w:val="0"/>
                <w:sz w:val="24"/>
                <w:szCs w:val="24"/>
                <w:highlight w:val="none"/>
                <w:lang w:val="en-US" w:eastAsia="zh-CN" w:bidi="ar-SA"/>
              </w:rPr>
              <w:t>相关评审资料原件（如有）递交时间</w:t>
            </w:r>
          </w:p>
        </w:tc>
        <w:tc>
          <w:tcPr>
            <w:tcW w:w="7776" w:type="dxa"/>
            <w:tcBorders>
              <w:top w:val="single" w:color="080000" w:sz="4" w:space="0"/>
              <w:left w:val="single" w:color="080000" w:sz="4" w:space="0"/>
              <w:bottom w:val="single" w:color="080000" w:sz="4" w:space="0"/>
              <w:right w:val="single" w:color="080000" w:sz="4" w:space="0"/>
            </w:tcBorders>
            <w:noWrap w:val="0"/>
            <w:vAlign w:val="center"/>
          </w:tcPr>
          <w:p w14:paraId="4E8670ED">
            <w:pPr>
              <w:pStyle w:val="26"/>
              <w:wordWrap w:val="0"/>
              <w:adjustRightInd w:val="0"/>
              <w:snapToGrid w:val="0"/>
              <w:spacing w:line="360" w:lineRule="auto"/>
              <w:jc w:val="left"/>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 </w:t>
            </w:r>
            <w:r>
              <w:rPr>
                <w:rFonts w:hint="eastAsia" w:ascii="宋体" w:hAnsi="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8</w:t>
            </w:r>
            <w:r>
              <w:rPr>
                <w:rFonts w:hint="eastAsia" w:ascii="宋体" w:hAnsi="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28</w:t>
            </w:r>
            <w:r>
              <w:rPr>
                <w:rFonts w:hint="eastAsia" w:ascii="宋体" w:hAnsi="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10</w:t>
            </w:r>
            <w:r>
              <w:rPr>
                <w:rFonts w:hint="eastAsia" w:ascii="宋体" w:hAnsi="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00</w:t>
            </w:r>
            <w:r>
              <w:rPr>
                <w:rFonts w:hint="eastAsia" w:ascii="宋体" w:hAnsi="宋体" w:cs="宋体"/>
                <w:snapToGrid w:val="0"/>
                <w:color w:val="auto"/>
                <w:kern w:val="0"/>
                <w:sz w:val="24"/>
                <w:szCs w:val="24"/>
                <w:highlight w:val="none"/>
              </w:rPr>
              <w:t>分至</w:t>
            </w:r>
            <w:r>
              <w:rPr>
                <w:rFonts w:hint="eastAsia" w:ascii="宋体" w:hAnsi="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8</w:t>
            </w:r>
            <w:r>
              <w:rPr>
                <w:rFonts w:hint="eastAsia" w:ascii="宋体" w:hAnsi="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28</w:t>
            </w:r>
            <w:r>
              <w:rPr>
                <w:rFonts w:hint="eastAsia" w:ascii="宋体" w:hAnsi="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10</w:t>
            </w:r>
            <w:r>
              <w:rPr>
                <w:rFonts w:hint="eastAsia" w:ascii="宋体" w:hAnsi="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30</w:t>
            </w:r>
            <w:r>
              <w:rPr>
                <w:rFonts w:hint="eastAsia" w:ascii="宋体" w:hAnsi="宋体" w:cs="宋体"/>
                <w:snapToGrid w:val="0"/>
                <w:color w:val="auto"/>
                <w:kern w:val="0"/>
                <w:sz w:val="24"/>
                <w:szCs w:val="24"/>
                <w:highlight w:val="none"/>
              </w:rPr>
              <w:t>分</w:t>
            </w:r>
          </w:p>
        </w:tc>
      </w:tr>
      <w:tr w14:paraId="30D8985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543" w:hRule="exact"/>
        </w:trPr>
        <w:tc>
          <w:tcPr>
            <w:tcW w:w="425" w:type="dxa"/>
            <w:tcBorders>
              <w:top w:val="single" w:color="080000" w:sz="4" w:space="0"/>
              <w:left w:val="single" w:color="080000" w:sz="4" w:space="0"/>
              <w:bottom w:val="single" w:color="080000" w:sz="4" w:space="0"/>
              <w:right w:val="single" w:color="080000" w:sz="4" w:space="0"/>
            </w:tcBorders>
            <w:noWrap w:val="0"/>
            <w:vAlign w:val="center"/>
          </w:tcPr>
          <w:p w14:paraId="0791F4AA">
            <w:pPr>
              <w:pStyle w:val="26"/>
              <w:wordWrap w:val="0"/>
              <w:adjustRightInd w:val="0"/>
              <w:snapToGrid w:val="0"/>
              <w:spacing w:line="360" w:lineRule="auto"/>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8</w:t>
            </w:r>
          </w:p>
        </w:tc>
        <w:tc>
          <w:tcPr>
            <w:tcW w:w="1578" w:type="dxa"/>
            <w:tcBorders>
              <w:top w:val="single" w:color="080000" w:sz="4" w:space="0"/>
              <w:left w:val="single" w:color="080000" w:sz="4" w:space="0"/>
              <w:bottom w:val="single" w:color="080000" w:sz="4" w:space="0"/>
              <w:right w:val="single" w:color="080000" w:sz="4" w:space="0"/>
            </w:tcBorders>
            <w:noWrap w:val="0"/>
            <w:vAlign w:val="center"/>
          </w:tcPr>
          <w:p w14:paraId="422AC1B2">
            <w:pPr>
              <w:pStyle w:val="14"/>
              <w:spacing w:before="0" w:beforeAutospacing="0" w:after="0" w:afterAutospacing="0" w:line="240" w:lineRule="auto"/>
              <w:ind w:left="0" w:leftChars="0" w:right="0" w:rightChars="0"/>
              <w:jc w:val="center"/>
              <w:rPr>
                <w:color w:val="auto"/>
                <w:sz w:val="24"/>
                <w:szCs w:val="24"/>
                <w:highlight w:val="none"/>
              </w:rPr>
            </w:pPr>
            <w:r>
              <w:rPr>
                <w:rFonts w:hint="eastAsia" w:ascii="宋体" w:hAnsi="宋体" w:eastAsia="宋体" w:cs="宋体"/>
                <w:snapToGrid w:val="0"/>
                <w:color w:val="auto"/>
                <w:kern w:val="0"/>
                <w:sz w:val="24"/>
                <w:szCs w:val="24"/>
                <w:highlight w:val="none"/>
                <w:lang w:val="en-US" w:eastAsia="zh-CN" w:bidi="ar-SA"/>
              </w:rPr>
              <w:t>相关评审资料原件（如有）递交地点</w:t>
            </w:r>
          </w:p>
        </w:tc>
        <w:tc>
          <w:tcPr>
            <w:tcW w:w="7776" w:type="dxa"/>
            <w:tcBorders>
              <w:top w:val="single" w:color="080000" w:sz="4" w:space="0"/>
              <w:left w:val="single" w:color="080000" w:sz="4" w:space="0"/>
              <w:bottom w:val="single" w:color="080000" w:sz="4" w:space="0"/>
              <w:right w:val="single" w:color="080000" w:sz="4" w:space="0"/>
            </w:tcBorders>
            <w:noWrap w:val="0"/>
            <w:vAlign w:val="center"/>
          </w:tcPr>
          <w:p w14:paraId="40144D00">
            <w:pPr>
              <w:pStyle w:val="14"/>
              <w:spacing w:before="0" w:beforeAutospacing="0" w:after="0" w:afterAutospacing="0"/>
              <w:ind w:left="0" w:leftChars="0" w:right="0" w:rightChars="0"/>
              <w:jc w:val="lef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递交场所：韶关市公共资源交易中心翁源分中心；</w:t>
            </w:r>
          </w:p>
          <w:p w14:paraId="2868D154">
            <w:pPr>
              <w:pStyle w:val="14"/>
              <w:spacing w:before="0" w:beforeAutospacing="0" w:after="0" w:afterAutospacing="0"/>
              <w:ind w:left="0" w:leftChars="0" w:right="0" w:rightChars="0"/>
              <w:jc w:val="lef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地址：翁源县龙仙镇朝阳路63号，具体递交场所以当日现场通知为准。</w:t>
            </w:r>
          </w:p>
        </w:tc>
      </w:tr>
      <w:tr w14:paraId="2FFFD5F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65" w:hRule="exact"/>
        </w:trPr>
        <w:tc>
          <w:tcPr>
            <w:tcW w:w="425" w:type="dxa"/>
            <w:tcBorders>
              <w:top w:val="single" w:color="080000" w:sz="4" w:space="0"/>
              <w:left w:val="single" w:color="080000" w:sz="4" w:space="0"/>
              <w:bottom w:val="single" w:color="080000" w:sz="4" w:space="0"/>
              <w:right w:val="single" w:color="080000" w:sz="4" w:space="0"/>
            </w:tcBorders>
            <w:noWrap w:val="0"/>
            <w:vAlign w:val="center"/>
          </w:tcPr>
          <w:p w14:paraId="73716CA2">
            <w:pPr>
              <w:pStyle w:val="26"/>
              <w:wordWrap w:val="0"/>
              <w:adjustRightInd w:val="0"/>
              <w:snapToGrid w:val="0"/>
              <w:spacing w:line="360" w:lineRule="auto"/>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9</w:t>
            </w:r>
          </w:p>
        </w:tc>
        <w:tc>
          <w:tcPr>
            <w:tcW w:w="1578" w:type="dxa"/>
            <w:tcBorders>
              <w:top w:val="single" w:color="080000" w:sz="4" w:space="0"/>
              <w:left w:val="single" w:color="080000" w:sz="4" w:space="0"/>
              <w:bottom w:val="single" w:color="080000" w:sz="4" w:space="0"/>
              <w:right w:val="single" w:color="080000" w:sz="4" w:space="0"/>
            </w:tcBorders>
            <w:noWrap w:val="0"/>
            <w:vAlign w:val="center"/>
          </w:tcPr>
          <w:p w14:paraId="03B99FE0">
            <w:pPr>
              <w:pStyle w:val="26"/>
              <w:wordWrap w:val="0"/>
              <w:adjustRightInd w:val="0"/>
              <w:snapToGrid w:val="0"/>
              <w:spacing w:line="360" w:lineRule="auto"/>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开标时间 </w:t>
            </w:r>
          </w:p>
        </w:tc>
        <w:tc>
          <w:tcPr>
            <w:tcW w:w="7776" w:type="dxa"/>
            <w:tcBorders>
              <w:top w:val="single" w:color="080000" w:sz="4" w:space="0"/>
              <w:left w:val="single" w:color="080000" w:sz="4" w:space="0"/>
              <w:bottom w:val="single" w:color="080000" w:sz="4" w:space="0"/>
              <w:right w:val="single" w:color="080000" w:sz="4" w:space="0"/>
            </w:tcBorders>
            <w:noWrap w:val="0"/>
            <w:vAlign w:val="center"/>
          </w:tcPr>
          <w:p w14:paraId="5D965399">
            <w:pPr>
              <w:pStyle w:val="26"/>
              <w:wordWrap w:val="0"/>
              <w:adjustRightInd w:val="0"/>
              <w:snapToGrid w:val="0"/>
              <w:spacing w:line="240" w:lineRule="auto"/>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w:t>
            </w:r>
            <w:r>
              <w:rPr>
                <w:rFonts w:hint="eastAsia" w:ascii="宋体" w:hAnsi="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8</w:t>
            </w:r>
            <w:r>
              <w:rPr>
                <w:rFonts w:hint="eastAsia" w:ascii="宋体" w:hAnsi="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28</w:t>
            </w:r>
            <w:r>
              <w:rPr>
                <w:rFonts w:hint="eastAsia" w:ascii="宋体" w:hAnsi="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10</w:t>
            </w:r>
            <w:r>
              <w:rPr>
                <w:rFonts w:hint="eastAsia" w:ascii="宋体" w:hAnsi="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30</w:t>
            </w:r>
            <w:r>
              <w:rPr>
                <w:rFonts w:hint="eastAsia" w:ascii="宋体" w:hAnsi="宋体" w:cs="宋体"/>
                <w:snapToGrid w:val="0"/>
                <w:color w:val="auto"/>
                <w:kern w:val="0"/>
                <w:sz w:val="24"/>
                <w:szCs w:val="24"/>
                <w:highlight w:val="none"/>
              </w:rPr>
              <w:t>分</w:t>
            </w:r>
          </w:p>
        </w:tc>
      </w:tr>
      <w:tr w14:paraId="44497E2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70" w:hRule="exact"/>
        </w:trPr>
        <w:tc>
          <w:tcPr>
            <w:tcW w:w="425" w:type="dxa"/>
            <w:tcBorders>
              <w:top w:val="single" w:color="080000" w:sz="4" w:space="0"/>
              <w:left w:val="single" w:color="080000" w:sz="4" w:space="0"/>
              <w:bottom w:val="single" w:color="080000" w:sz="4" w:space="0"/>
              <w:right w:val="single" w:color="080000" w:sz="4" w:space="0"/>
            </w:tcBorders>
            <w:noWrap w:val="0"/>
            <w:vAlign w:val="center"/>
          </w:tcPr>
          <w:p w14:paraId="2D0E7CF9">
            <w:pPr>
              <w:pStyle w:val="26"/>
              <w:wordWrap w:val="0"/>
              <w:adjustRightInd w:val="0"/>
              <w:snapToGrid w:val="0"/>
              <w:spacing w:line="360" w:lineRule="auto"/>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10</w:t>
            </w:r>
          </w:p>
        </w:tc>
        <w:tc>
          <w:tcPr>
            <w:tcW w:w="1578" w:type="dxa"/>
            <w:tcBorders>
              <w:top w:val="single" w:color="080000" w:sz="4" w:space="0"/>
              <w:left w:val="single" w:color="080000" w:sz="4" w:space="0"/>
              <w:bottom w:val="single" w:color="080000" w:sz="4" w:space="0"/>
              <w:right w:val="single" w:color="080000" w:sz="4" w:space="0"/>
            </w:tcBorders>
            <w:noWrap w:val="0"/>
            <w:vAlign w:val="center"/>
          </w:tcPr>
          <w:p w14:paraId="5245B601">
            <w:pPr>
              <w:pStyle w:val="26"/>
              <w:wordWrap w:val="0"/>
              <w:adjustRightInd w:val="0"/>
              <w:snapToGrid w:val="0"/>
              <w:spacing w:line="360" w:lineRule="auto"/>
              <w:jc w:val="center"/>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开标地点 </w:t>
            </w:r>
          </w:p>
        </w:tc>
        <w:tc>
          <w:tcPr>
            <w:tcW w:w="7776" w:type="dxa"/>
            <w:tcBorders>
              <w:top w:val="single" w:color="080000" w:sz="4" w:space="0"/>
              <w:left w:val="single" w:color="080000" w:sz="4" w:space="0"/>
              <w:bottom w:val="single" w:color="080000" w:sz="4" w:space="0"/>
              <w:right w:val="single" w:color="080000" w:sz="4" w:space="0"/>
            </w:tcBorders>
            <w:noWrap w:val="0"/>
            <w:vAlign w:val="center"/>
          </w:tcPr>
          <w:p w14:paraId="12220AA8">
            <w:pPr>
              <w:pStyle w:val="14"/>
              <w:spacing w:before="0" w:beforeAutospacing="0" w:after="0" w:afterAutospacing="0"/>
              <w:jc w:val="lef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开标场所：韶关市公共资源交易中心翁源分中心</w:t>
            </w:r>
            <w:r>
              <w:rPr>
                <w:rFonts w:hint="eastAsia" w:ascii="宋体" w:hAnsi="宋体" w:eastAsia="宋体" w:cs="宋体"/>
                <w:snapToGrid w:val="0"/>
                <w:color w:val="auto"/>
                <w:sz w:val="24"/>
                <w:szCs w:val="24"/>
                <w:highlight w:val="none"/>
                <w:lang w:eastAsia="zh-CN"/>
              </w:rPr>
              <w:t>；</w:t>
            </w:r>
          </w:p>
          <w:p w14:paraId="7F4AC9D6">
            <w:pPr>
              <w:pStyle w:val="14"/>
              <w:spacing w:before="0" w:beforeAutospacing="0" w:after="0" w:afterAutospacing="0"/>
              <w:jc w:val="lef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地址：翁源县龙仙镇朝阳路</w:t>
            </w:r>
            <w:r>
              <w:rPr>
                <w:rFonts w:hint="eastAsia" w:ascii="宋体" w:hAnsi="宋体" w:eastAsia="宋体" w:cs="宋体"/>
                <w:snapToGrid w:val="0"/>
                <w:color w:val="auto"/>
                <w:sz w:val="24"/>
                <w:szCs w:val="24"/>
                <w:highlight w:val="none"/>
                <w:lang w:val="en-US" w:eastAsia="zh-CN"/>
              </w:rPr>
              <w:t>63</w:t>
            </w:r>
            <w:r>
              <w:rPr>
                <w:rFonts w:hint="eastAsia" w:ascii="宋体" w:hAnsi="宋体" w:eastAsia="宋体" w:cs="宋体"/>
                <w:snapToGrid w:val="0"/>
                <w:color w:val="auto"/>
                <w:sz w:val="24"/>
                <w:szCs w:val="24"/>
                <w:highlight w:val="none"/>
              </w:rPr>
              <w:t>号，具体开标室以当日现场通知为准。</w:t>
            </w:r>
          </w:p>
        </w:tc>
      </w:tr>
      <w:tr w14:paraId="7F25D5F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62" w:hRule="exact"/>
        </w:trPr>
        <w:tc>
          <w:tcPr>
            <w:tcW w:w="2003" w:type="dxa"/>
            <w:gridSpan w:val="2"/>
            <w:tcBorders>
              <w:top w:val="single" w:color="080000" w:sz="4" w:space="0"/>
              <w:left w:val="single" w:color="080000" w:sz="4" w:space="0"/>
              <w:bottom w:val="single" w:color="080000" w:sz="4" w:space="0"/>
              <w:right w:val="single" w:color="080000" w:sz="4" w:space="0"/>
            </w:tcBorders>
            <w:noWrap w:val="0"/>
            <w:vAlign w:val="center"/>
          </w:tcPr>
          <w:p w14:paraId="406A3C3D">
            <w:pPr>
              <w:pStyle w:val="26"/>
              <w:wordWrap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备注</w:t>
            </w:r>
          </w:p>
        </w:tc>
        <w:tc>
          <w:tcPr>
            <w:tcW w:w="7776" w:type="dxa"/>
            <w:tcBorders>
              <w:top w:val="single" w:color="080000" w:sz="4" w:space="0"/>
              <w:left w:val="single" w:color="080000" w:sz="4" w:space="0"/>
              <w:bottom w:val="single" w:color="080000" w:sz="4" w:space="0"/>
              <w:right w:val="single" w:color="080000" w:sz="4" w:space="0"/>
            </w:tcBorders>
            <w:noWrap w:val="0"/>
            <w:vAlign w:val="center"/>
          </w:tcPr>
          <w:p w14:paraId="02ED6F42">
            <w:pPr>
              <w:pStyle w:val="26"/>
              <w:wordWrap w:val="0"/>
              <w:adjustRightInd w:val="0"/>
              <w:snapToGrid w:val="0"/>
              <w:spacing w:line="400" w:lineRule="exact"/>
              <w:ind w:firstLine="240" w:firstLineChars="100"/>
              <w:jc w:val="left"/>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自行下载招标文件、资料文件及招标答疑书等。若由于投标人自身原因未能及时取得上述资料的，由此发生的任何责任由投标人自负。</w:t>
            </w:r>
          </w:p>
        </w:tc>
      </w:tr>
    </w:tbl>
    <w:p w14:paraId="52EF6030">
      <w:pPr>
        <w:tabs>
          <w:tab w:val="left" w:pos="8820"/>
        </w:tabs>
        <w:rPr>
          <w:rFonts w:hint="eastAsia" w:ascii="宋体" w:hAnsi="宋体" w:eastAsia="宋体" w:cs="宋体"/>
          <w:b w:val="0"/>
          <w:bCs w:val="0"/>
          <w:color w:val="auto"/>
          <w:sz w:val="24"/>
          <w:szCs w:val="24"/>
          <w:highlight w:val="none"/>
        </w:rPr>
        <w:sectPr>
          <w:headerReference r:id="rId5" w:type="default"/>
          <w:footerReference r:id="rId6" w:type="default"/>
          <w:pgSz w:w="11906" w:h="16839"/>
          <w:pgMar w:top="1440" w:right="1080" w:bottom="1440" w:left="1080" w:header="0" w:footer="1085" w:gutter="0"/>
          <w:pgBorders>
            <w:top w:val="none" w:sz="0" w:space="0"/>
            <w:left w:val="none" w:sz="0" w:space="0"/>
            <w:bottom w:val="none" w:sz="0" w:space="0"/>
            <w:right w:val="none" w:sz="0" w:space="0"/>
          </w:pgBorders>
          <w:cols w:space="720" w:num="1"/>
        </w:sectPr>
      </w:pPr>
    </w:p>
    <w:p w14:paraId="433C4EC2">
      <w:pPr>
        <w:jc w:val="center"/>
        <w:outlineLvl w:val="1"/>
        <w:rPr>
          <w:rFonts w:hint="eastAsia" w:ascii="宋体" w:hAnsi="宋体" w:eastAsia="宋体" w:cs="宋体"/>
          <w:color w:val="auto"/>
          <w:sz w:val="24"/>
          <w:szCs w:val="24"/>
          <w:highlight w:val="none"/>
        </w:rPr>
      </w:pPr>
      <w:bookmarkStart w:id="7" w:name="_Toc26480"/>
      <w:r>
        <w:rPr>
          <w:rFonts w:hint="eastAsia" w:ascii="宋体" w:hAnsi="宋体" w:eastAsia="宋体" w:cs="宋体"/>
          <w:b/>
          <w:bCs/>
          <w:color w:val="auto"/>
          <w:spacing w:val="-3"/>
          <w:sz w:val="24"/>
          <w:szCs w:val="24"/>
          <w:highlight w:val="none"/>
        </w:rPr>
        <w:t>第三节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投标人须知正文</w:t>
      </w:r>
      <w:bookmarkEnd w:id="7"/>
    </w:p>
    <w:p w14:paraId="73B8EDD5">
      <w:pPr>
        <w:pStyle w:val="6"/>
        <w:spacing w:line="256" w:lineRule="auto"/>
        <w:rPr>
          <w:rFonts w:hint="eastAsia" w:ascii="宋体" w:hAnsi="宋体" w:eastAsia="宋体" w:cs="宋体"/>
          <w:color w:val="auto"/>
          <w:highlight w:val="none"/>
        </w:rPr>
      </w:pPr>
    </w:p>
    <w:p w14:paraId="6017DF82">
      <w:pPr>
        <w:pStyle w:val="6"/>
        <w:spacing w:line="257" w:lineRule="auto"/>
        <w:rPr>
          <w:rFonts w:hint="eastAsia" w:ascii="宋体" w:hAnsi="宋体" w:eastAsia="宋体" w:cs="宋体"/>
          <w:color w:val="auto"/>
          <w:highlight w:val="none"/>
        </w:rPr>
      </w:pPr>
    </w:p>
    <w:p w14:paraId="4B8F8667">
      <w:pPr>
        <w:keepNext w:val="0"/>
        <w:keepLines w:val="0"/>
        <w:widowControl/>
        <w:suppressLineNumbers w:val="0"/>
        <w:kinsoku/>
        <w:autoSpaceDE/>
        <w:autoSpaceDN/>
        <w:adjustRightInd/>
        <w:snapToGrid/>
        <w:spacing w:line="360" w:lineRule="auto"/>
        <w:ind w:firstLine="480" w:firstLineChars="200"/>
        <w:jc w:val="both"/>
        <w:textAlignment w:val="auto"/>
        <w:rPr>
          <w:rFonts w:hint="eastAsia" w:ascii="宋体" w:hAnsi="宋体" w:eastAsia="宋体" w:cs="宋体"/>
          <w:snapToGrid w:val="0"/>
          <w:color w:val="auto"/>
          <w:kern w:val="0"/>
          <w:sz w:val="24"/>
          <w:szCs w:val="20"/>
          <w:highlight w:val="none"/>
          <w:u w:val="none"/>
          <w:lang w:val="en-US" w:eastAsia="zh-CN"/>
        </w:rPr>
      </w:pPr>
      <w:bookmarkStart w:id="8" w:name="_Hlt119991399"/>
      <w:bookmarkEnd w:id="8"/>
      <w:bookmarkStart w:id="9" w:name="_Hlt109358474"/>
      <w:bookmarkEnd w:id="9"/>
      <w:bookmarkStart w:id="10" w:name="_Hlt74474735"/>
      <w:bookmarkEnd w:id="10"/>
      <w:bookmarkStart w:id="11" w:name="_Hlt78795222"/>
      <w:bookmarkEnd w:id="11"/>
      <w:bookmarkStart w:id="12" w:name="_Hlt87948285"/>
      <w:bookmarkEnd w:id="12"/>
      <w:r>
        <w:rPr>
          <w:rFonts w:hint="eastAsia" w:ascii="宋体" w:hAnsi="宋体" w:eastAsia="宋体" w:cs="宋体"/>
          <w:snapToGrid w:val="0"/>
          <w:color w:val="auto"/>
          <w:kern w:val="0"/>
          <w:sz w:val="24"/>
          <w:szCs w:val="20"/>
          <w:highlight w:val="none"/>
          <w:u w:val="single"/>
          <w:lang w:val="en-US" w:eastAsia="zh-CN"/>
        </w:rPr>
        <w:t>翁源县翁城镇至官渡镇管道天然气项目</w:t>
      </w:r>
      <w:r>
        <w:rPr>
          <w:rFonts w:hint="eastAsia" w:ascii="宋体" w:hAnsi="宋体" w:eastAsia="宋体" w:cs="宋体"/>
          <w:snapToGrid w:val="0"/>
          <w:color w:val="auto"/>
          <w:kern w:val="0"/>
          <w:sz w:val="24"/>
          <w:szCs w:val="20"/>
          <w:highlight w:val="none"/>
          <w:u w:val="none"/>
          <w:lang w:val="en-US" w:eastAsia="zh-CN"/>
        </w:rPr>
        <w:t>经</w:t>
      </w:r>
      <w:r>
        <w:rPr>
          <w:rFonts w:hint="eastAsia" w:ascii="宋体" w:hAnsi="宋体" w:eastAsia="宋体" w:cs="宋体"/>
          <w:snapToGrid w:val="0"/>
          <w:color w:val="auto"/>
          <w:kern w:val="0"/>
          <w:sz w:val="24"/>
          <w:szCs w:val="20"/>
          <w:highlight w:val="none"/>
          <w:u w:val="single"/>
          <w:lang w:val="en-US" w:eastAsia="zh-CN"/>
        </w:rPr>
        <w:t>翁源县发展和改革局批准建设，取得《广东省企业投资项目备案证》并批准</w:t>
      </w:r>
      <w:r>
        <w:rPr>
          <w:rFonts w:hint="eastAsia" w:ascii="宋体" w:hAnsi="宋体" w:eastAsia="宋体" w:cs="宋体"/>
          <w:snapToGrid w:val="0"/>
          <w:color w:val="auto"/>
          <w:kern w:val="0"/>
          <w:sz w:val="24"/>
          <w:szCs w:val="20"/>
          <w:highlight w:val="none"/>
          <w:u w:val="none"/>
          <w:lang w:val="en-US" w:eastAsia="zh-CN"/>
        </w:rPr>
        <w:t>招标，项目代码为</w:t>
      </w:r>
      <w:r>
        <w:rPr>
          <w:rFonts w:hint="eastAsia" w:ascii="宋体" w:hAnsi="宋体" w:eastAsia="宋体" w:cs="宋体"/>
          <w:snapToGrid w:val="0"/>
          <w:color w:val="auto"/>
          <w:kern w:val="0"/>
          <w:sz w:val="24"/>
          <w:szCs w:val="20"/>
          <w:highlight w:val="none"/>
          <w:u w:val="single"/>
          <w:lang w:val="en-US" w:eastAsia="zh-CN"/>
        </w:rPr>
        <w:t>2511-440229-04-01-562229。</w:t>
      </w:r>
      <w:r>
        <w:rPr>
          <w:rFonts w:hint="eastAsia" w:ascii="宋体" w:hAnsi="宋体" w:eastAsia="宋体" w:cs="宋体"/>
          <w:snapToGrid w:val="0"/>
          <w:color w:val="auto"/>
          <w:kern w:val="0"/>
          <w:sz w:val="24"/>
          <w:szCs w:val="20"/>
          <w:highlight w:val="none"/>
          <w:u w:val="none"/>
          <w:lang w:val="en-US" w:eastAsia="zh-CN"/>
        </w:rPr>
        <w:t>本项目业主</w:t>
      </w:r>
      <w:r>
        <w:rPr>
          <w:rFonts w:hint="eastAsia" w:ascii="宋体" w:hAnsi="宋体" w:eastAsia="宋体" w:cs="宋体"/>
          <w:snapToGrid w:val="0"/>
          <w:color w:val="auto"/>
          <w:kern w:val="0"/>
          <w:sz w:val="24"/>
          <w:szCs w:val="20"/>
          <w:highlight w:val="none"/>
          <w:u w:val="single"/>
          <w:lang w:val="en-US" w:eastAsia="zh-CN"/>
        </w:rPr>
        <w:t>为粤北城市燃气（翁源）有限公司，</w:t>
      </w:r>
      <w:r>
        <w:rPr>
          <w:rFonts w:hint="eastAsia" w:ascii="宋体" w:hAnsi="宋体" w:eastAsia="宋体" w:cs="宋体"/>
          <w:snapToGrid w:val="0"/>
          <w:color w:val="auto"/>
          <w:kern w:val="0"/>
          <w:sz w:val="24"/>
          <w:szCs w:val="20"/>
          <w:highlight w:val="none"/>
          <w:u w:val="none"/>
          <w:lang w:val="en-US" w:eastAsia="zh-CN"/>
        </w:rPr>
        <w:t>建设资金为</w:t>
      </w:r>
      <w:r>
        <w:rPr>
          <w:rFonts w:hint="eastAsia" w:ascii="宋体" w:hAnsi="宋体" w:eastAsia="宋体" w:cs="宋体"/>
          <w:snapToGrid w:val="0"/>
          <w:color w:val="auto"/>
          <w:kern w:val="0"/>
          <w:sz w:val="24"/>
          <w:szCs w:val="20"/>
          <w:highlight w:val="none"/>
          <w:u w:val="single"/>
          <w:lang w:val="en-US" w:eastAsia="zh-CN"/>
        </w:rPr>
        <w:t>企业自筹（自有）资金及银行贷款，占比100%。</w:t>
      </w:r>
      <w:r>
        <w:rPr>
          <w:rFonts w:hint="eastAsia" w:ascii="宋体" w:hAnsi="宋体" w:eastAsia="宋体" w:cs="宋体"/>
          <w:snapToGrid w:val="0"/>
          <w:color w:val="auto"/>
          <w:kern w:val="0"/>
          <w:sz w:val="24"/>
          <w:szCs w:val="20"/>
          <w:highlight w:val="none"/>
          <w:u w:val="none"/>
          <w:lang w:val="en-US" w:eastAsia="zh-CN"/>
        </w:rPr>
        <w:t>招标人为</w:t>
      </w:r>
      <w:r>
        <w:rPr>
          <w:rFonts w:hint="eastAsia" w:ascii="宋体" w:hAnsi="宋体" w:eastAsia="宋体" w:cs="宋体"/>
          <w:snapToGrid w:val="0"/>
          <w:color w:val="auto"/>
          <w:kern w:val="0"/>
          <w:sz w:val="24"/>
          <w:szCs w:val="20"/>
          <w:highlight w:val="none"/>
          <w:u w:val="single"/>
          <w:lang w:val="en-US" w:eastAsia="zh-CN"/>
        </w:rPr>
        <w:t>粤北城市燃气（翁源）有限公司，</w:t>
      </w:r>
      <w:r>
        <w:rPr>
          <w:rFonts w:hint="eastAsia" w:ascii="宋体" w:hAnsi="宋体" w:eastAsia="宋体" w:cs="宋体"/>
          <w:snapToGrid w:val="0"/>
          <w:color w:val="auto"/>
          <w:kern w:val="0"/>
          <w:sz w:val="24"/>
          <w:szCs w:val="20"/>
          <w:highlight w:val="none"/>
          <w:u w:val="none"/>
          <w:lang w:val="en-US" w:eastAsia="zh-CN"/>
        </w:rPr>
        <w:t>招标代理机构为</w:t>
      </w:r>
      <w:r>
        <w:rPr>
          <w:rFonts w:hint="eastAsia" w:ascii="宋体" w:hAnsi="宋体" w:eastAsia="宋体" w:cs="宋体"/>
          <w:snapToGrid w:val="0"/>
          <w:color w:val="auto"/>
          <w:kern w:val="0"/>
          <w:sz w:val="24"/>
          <w:szCs w:val="20"/>
          <w:highlight w:val="none"/>
          <w:u w:val="single"/>
          <w:lang w:val="en-US" w:eastAsia="zh-CN"/>
        </w:rPr>
        <w:t>韶关市中利工程咨询有限公司。</w:t>
      </w:r>
      <w:r>
        <w:rPr>
          <w:rFonts w:hint="eastAsia" w:ascii="宋体" w:hAnsi="宋体" w:eastAsia="宋体" w:cs="宋体"/>
          <w:snapToGrid w:val="0"/>
          <w:color w:val="auto"/>
          <w:kern w:val="0"/>
          <w:sz w:val="24"/>
          <w:szCs w:val="20"/>
          <w:highlight w:val="none"/>
          <w:u w:val="none"/>
          <w:lang w:val="en-US" w:eastAsia="zh-CN"/>
        </w:rPr>
        <w:t>项目已具备招标条件，现对该项目的</w:t>
      </w:r>
      <w:r>
        <w:rPr>
          <w:rFonts w:hint="eastAsia" w:ascii="宋体" w:hAnsi="宋体" w:eastAsia="宋体" w:cs="宋体"/>
          <w:snapToGrid w:val="0"/>
          <w:color w:val="auto"/>
          <w:kern w:val="0"/>
          <w:sz w:val="24"/>
          <w:szCs w:val="20"/>
          <w:highlight w:val="none"/>
          <w:u w:val="single"/>
          <w:lang w:val="en-US" w:eastAsia="zh-CN"/>
        </w:rPr>
        <w:t>（第一标段）施工</w:t>
      </w:r>
      <w:r>
        <w:rPr>
          <w:rFonts w:hint="eastAsia" w:ascii="宋体" w:hAnsi="宋体" w:eastAsia="宋体" w:cs="宋体"/>
          <w:snapToGrid w:val="0"/>
          <w:color w:val="auto"/>
          <w:kern w:val="0"/>
          <w:sz w:val="24"/>
          <w:szCs w:val="20"/>
          <w:highlight w:val="none"/>
          <w:u w:val="none"/>
          <w:lang w:val="en-US" w:eastAsia="zh-CN"/>
        </w:rPr>
        <w:t>进行公开招标。</w:t>
      </w:r>
    </w:p>
    <w:p w14:paraId="58CD94D9">
      <w:pPr>
        <w:spacing w:before="78" w:line="360" w:lineRule="auto"/>
        <w:ind w:left="496"/>
        <w:outlineLvl w:val="2"/>
        <w:rPr>
          <w:rFonts w:hint="eastAsia" w:ascii="宋体" w:hAnsi="宋体" w:eastAsia="宋体" w:cs="宋体"/>
          <w:color w:val="auto"/>
          <w:sz w:val="24"/>
          <w:szCs w:val="24"/>
          <w:highlight w:val="none"/>
        </w:rPr>
      </w:pPr>
      <w:bookmarkStart w:id="13" w:name="bookmark52"/>
      <w:bookmarkEnd w:id="13"/>
      <w:bookmarkStart w:id="14" w:name="bookmark73"/>
      <w:bookmarkEnd w:id="14"/>
      <w:bookmarkStart w:id="15" w:name="bookmark59"/>
      <w:bookmarkEnd w:id="15"/>
      <w:bookmarkStart w:id="16" w:name="_Toc15993"/>
      <w:bookmarkStart w:id="17" w:name="_Toc10857"/>
      <w:r>
        <w:rPr>
          <w:rFonts w:hint="eastAsia" w:ascii="宋体" w:hAnsi="宋体" w:eastAsia="宋体" w:cs="宋体"/>
          <w:b/>
          <w:bCs/>
          <w:color w:val="auto"/>
          <w:spacing w:val="-4"/>
          <w:sz w:val="24"/>
          <w:szCs w:val="24"/>
          <w:highlight w:val="none"/>
        </w:rPr>
        <w:t>1</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4"/>
          <w:sz w:val="24"/>
          <w:szCs w:val="24"/>
          <w:highlight w:val="none"/>
        </w:rPr>
        <w:t>．项目概况、招标范围和标段划分、投标费用等</w:t>
      </w:r>
      <w:bookmarkEnd w:id="16"/>
      <w:bookmarkEnd w:id="17"/>
    </w:p>
    <w:p w14:paraId="37B86162">
      <w:pPr>
        <w:spacing w:before="153" w:line="36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1.1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5"/>
          <w:sz w:val="24"/>
          <w:szCs w:val="24"/>
          <w:highlight w:val="none"/>
        </w:rPr>
        <w:t>项目概况</w:t>
      </w:r>
    </w:p>
    <w:p w14:paraId="0DC5D727">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1.1.1  </w:t>
      </w:r>
      <w:r>
        <w:rPr>
          <w:rFonts w:hint="eastAsia" w:ascii="宋体" w:hAnsi="宋体" w:eastAsia="宋体" w:cs="宋体"/>
          <w:color w:val="auto"/>
          <w:spacing w:val="-2"/>
          <w:sz w:val="24"/>
          <w:szCs w:val="24"/>
          <w:highlight w:val="none"/>
        </w:rPr>
        <w:t>建设地点：</w:t>
      </w:r>
      <w:r>
        <w:rPr>
          <w:rFonts w:hint="eastAsia" w:ascii="宋体" w:hAnsi="宋体" w:eastAsia="宋体" w:cs="宋体"/>
          <w:color w:val="auto"/>
          <w:spacing w:val="-2"/>
          <w:sz w:val="24"/>
          <w:szCs w:val="24"/>
          <w:highlight w:val="none"/>
          <w:u w:val="single"/>
          <w:lang w:val="en-US" w:eastAsia="zh-CN"/>
        </w:rPr>
        <w:t>韶关市翁源县翁城镇和官渡镇</w:t>
      </w:r>
    </w:p>
    <w:p w14:paraId="45A735E9">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1.1.2  </w:t>
      </w:r>
      <w:r>
        <w:rPr>
          <w:rFonts w:hint="eastAsia" w:ascii="宋体" w:hAnsi="宋体" w:eastAsia="宋体" w:cs="宋体"/>
          <w:color w:val="auto"/>
          <w:spacing w:val="-2"/>
          <w:sz w:val="24"/>
          <w:szCs w:val="24"/>
          <w:highlight w:val="none"/>
        </w:rPr>
        <w:t>建设内容和规模：</w:t>
      </w:r>
      <w:r>
        <w:rPr>
          <w:rFonts w:hint="eastAsia" w:ascii="宋体" w:hAnsi="宋体" w:eastAsia="宋体" w:cs="宋体"/>
          <w:color w:val="auto"/>
          <w:spacing w:val="-2"/>
          <w:sz w:val="24"/>
          <w:szCs w:val="24"/>
          <w:highlight w:val="none"/>
          <w:u w:val="single"/>
          <w:lang w:val="en-US" w:eastAsia="zh-CN"/>
        </w:rPr>
        <w:t>翁城镇至官渡镇管道天然气中压管道7.5km，管径为 De250，设计压力为 0.4MPa。</w:t>
      </w:r>
    </w:p>
    <w:p w14:paraId="45B0CA02">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1.1.3  </w:t>
      </w:r>
      <w:r>
        <w:rPr>
          <w:rFonts w:hint="eastAsia" w:ascii="宋体" w:hAnsi="宋体" w:eastAsia="宋体" w:cs="宋体"/>
          <w:color w:val="auto"/>
          <w:spacing w:val="-2"/>
          <w:sz w:val="24"/>
          <w:szCs w:val="24"/>
          <w:highlight w:val="none"/>
        </w:rPr>
        <w:t>项目总投资</w:t>
      </w:r>
      <w:r>
        <w:rPr>
          <w:rStyle w:val="24"/>
          <w:rFonts w:hint="eastAsia" w:ascii="宋体" w:hAnsi="宋体" w:eastAsia="宋体" w:cs="宋体"/>
          <w:color w:val="auto"/>
          <w:kern w:val="0"/>
          <w:sz w:val="24"/>
          <w:szCs w:val="24"/>
          <w:highlight w:val="none"/>
        </w:rPr>
        <w:t>：</w:t>
      </w:r>
      <w:r>
        <w:rPr>
          <w:rStyle w:val="24"/>
          <w:rFonts w:hint="eastAsia" w:ascii="宋体" w:hAnsi="宋体" w:eastAsia="宋体" w:cs="宋体"/>
          <w:color w:val="auto"/>
          <w:kern w:val="0"/>
          <w:sz w:val="24"/>
          <w:szCs w:val="24"/>
          <w:highlight w:val="none"/>
          <w:u w:val="single"/>
        </w:rPr>
        <w:t>项目投资估算建安工程费用约770.03万元。</w:t>
      </w:r>
    </w:p>
    <w:p w14:paraId="76EA2F0B">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z w:val="24"/>
          <w:szCs w:val="24"/>
          <w:highlight w:val="none"/>
          <w:u w:val="none"/>
          <w:lang w:val="en-US" w:eastAsia="zh-CN"/>
        </w:rPr>
        <w:t>1</w:t>
      </w:r>
      <w:r>
        <w:rPr>
          <w:rFonts w:hint="eastAsia" w:ascii="宋体" w:hAnsi="宋体" w:eastAsia="宋体" w:cs="宋体"/>
          <w:b/>
          <w:bCs/>
          <w:color w:val="auto"/>
          <w:spacing w:val="-2"/>
          <w:sz w:val="24"/>
          <w:szCs w:val="24"/>
          <w:highlight w:val="none"/>
          <w:u w:val="none"/>
          <w:lang w:val="en-US" w:eastAsia="zh-CN"/>
        </w:rPr>
        <w:t xml:space="preserve">.2 </w:t>
      </w:r>
      <w:r>
        <w:rPr>
          <w:rFonts w:hint="eastAsia" w:ascii="宋体" w:hAnsi="宋体" w:eastAsia="宋体" w:cs="宋体"/>
          <w:color w:val="auto"/>
          <w:sz w:val="24"/>
          <w:szCs w:val="24"/>
          <w:highlight w:val="none"/>
          <w:u w:val="none"/>
          <w:lang w:val="en-US" w:eastAsia="zh-CN"/>
        </w:rPr>
        <w:t xml:space="preserve"> 招标范围和标段划分</w:t>
      </w:r>
    </w:p>
    <w:p w14:paraId="2307A456">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b/>
          <w:bCs/>
          <w:color w:val="auto"/>
          <w:spacing w:val="-2"/>
          <w:sz w:val="24"/>
          <w:szCs w:val="24"/>
          <w:highlight w:val="none"/>
        </w:rPr>
        <w:t xml:space="preserve">1.2.1  </w:t>
      </w:r>
      <w:r>
        <w:rPr>
          <w:rFonts w:hint="eastAsia" w:ascii="宋体" w:hAnsi="宋体" w:eastAsia="宋体" w:cs="宋体"/>
          <w:color w:val="auto"/>
          <w:spacing w:val="-2"/>
          <w:sz w:val="24"/>
          <w:szCs w:val="24"/>
          <w:highlight w:val="none"/>
        </w:rPr>
        <w:t>招标范围：</w:t>
      </w:r>
      <w:r>
        <w:rPr>
          <w:rFonts w:hint="eastAsia" w:ascii="宋体" w:hAnsi="宋体" w:eastAsia="宋体" w:cs="宋体"/>
          <w:color w:val="auto"/>
          <w:spacing w:val="-1"/>
          <w:sz w:val="24"/>
          <w:szCs w:val="24"/>
          <w:highlight w:val="none"/>
        </w:rPr>
        <w:t>按审查合格的施工图纸及工程量清单内容施工</w:t>
      </w:r>
      <w:r>
        <w:rPr>
          <w:rFonts w:hint="eastAsia" w:ascii="宋体" w:hAnsi="宋体" w:eastAsia="宋体" w:cs="宋体"/>
          <w:color w:val="auto"/>
          <w:spacing w:val="-1"/>
          <w:sz w:val="24"/>
          <w:szCs w:val="24"/>
          <w:highlight w:val="none"/>
          <w:lang w:eastAsia="zh-CN"/>
        </w:rPr>
        <w:t>。</w:t>
      </w:r>
    </w:p>
    <w:p w14:paraId="1F279E88">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outlineLvl w:val="9"/>
        <w:rPr>
          <w:rFonts w:hint="eastAsia" w:ascii="宋体" w:hAnsi="宋体" w:eastAsia="宋体" w:cs="宋体"/>
          <w:color w:val="auto"/>
          <w:sz w:val="24"/>
          <w:szCs w:val="24"/>
          <w:highlight w:val="none"/>
        </w:rPr>
      </w:pPr>
      <w:bookmarkStart w:id="18" w:name="_Toc28202"/>
      <w:bookmarkStart w:id="19" w:name="_Toc20855"/>
      <w:bookmarkStart w:id="20" w:name="_Toc14190"/>
      <w:bookmarkStart w:id="21" w:name="_Toc24593"/>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标段划分：本招标项目不划分标段。</w:t>
      </w:r>
      <w:bookmarkEnd w:id="18"/>
      <w:bookmarkEnd w:id="19"/>
      <w:bookmarkEnd w:id="20"/>
      <w:bookmarkEnd w:id="21"/>
    </w:p>
    <w:p w14:paraId="6D2283DD">
      <w:pPr>
        <w:keepNext w:val="0"/>
        <w:keepLines w:val="0"/>
        <w:pageBreakBefore w:val="0"/>
        <w:widowControl/>
        <w:kinsoku w:val="0"/>
        <w:overflowPunct/>
        <w:topLinePunct w:val="0"/>
        <w:autoSpaceDE w:val="0"/>
        <w:autoSpaceDN w:val="0"/>
        <w:bidi w:val="0"/>
        <w:adjustRightInd w:val="0"/>
        <w:snapToGrid w:val="0"/>
        <w:spacing w:line="360" w:lineRule="auto"/>
        <w:ind w:left="13" w:right="65" w:firstLine="533"/>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  </w:t>
      </w:r>
      <w:r>
        <w:rPr>
          <w:rFonts w:hint="eastAsia" w:ascii="宋体" w:hAnsi="宋体" w:eastAsia="宋体" w:cs="宋体"/>
          <w:color w:val="auto"/>
          <w:spacing w:val="-1"/>
          <w:sz w:val="24"/>
          <w:szCs w:val="24"/>
          <w:highlight w:val="none"/>
        </w:rPr>
        <w:t>投标费用：投标人应承担所有准备和参加投标的相关费用，不</w:t>
      </w:r>
      <w:r>
        <w:rPr>
          <w:rFonts w:hint="eastAsia" w:ascii="宋体" w:hAnsi="宋体" w:eastAsia="宋体" w:cs="宋体"/>
          <w:color w:val="auto"/>
          <w:spacing w:val="-2"/>
          <w:sz w:val="24"/>
          <w:szCs w:val="24"/>
          <w:highlight w:val="none"/>
        </w:rPr>
        <w:t>论投标结果如</w:t>
      </w:r>
      <w:r>
        <w:rPr>
          <w:rFonts w:hint="eastAsia" w:ascii="宋体" w:hAnsi="宋体" w:eastAsia="宋体" w:cs="宋体"/>
          <w:color w:val="auto"/>
          <w:spacing w:val="-1"/>
          <w:sz w:val="24"/>
          <w:szCs w:val="24"/>
          <w:highlight w:val="none"/>
        </w:rPr>
        <w:t>何，招标人均无义务和责任承担这些费用。</w:t>
      </w:r>
    </w:p>
    <w:p w14:paraId="51512139">
      <w:pPr>
        <w:keepNext w:val="0"/>
        <w:keepLines w:val="0"/>
        <w:pageBreakBefore w:val="0"/>
        <w:widowControl/>
        <w:kinsoku w:val="0"/>
        <w:overflowPunct/>
        <w:topLinePunct w:val="0"/>
        <w:autoSpaceDE w:val="0"/>
        <w:autoSpaceDN w:val="0"/>
        <w:bidi w:val="0"/>
        <w:adjustRightInd w:val="0"/>
        <w:snapToGrid w:val="0"/>
        <w:spacing w:line="360" w:lineRule="auto"/>
        <w:ind w:left="49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 xml:space="preserve">1.4  </w:t>
      </w:r>
      <w:r>
        <w:rPr>
          <w:rFonts w:hint="eastAsia" w:ascii="宋体" w:hAnsi="宋体" w:eastAsia="宋体" w:cs="宋体"/>
          <w:color w:val="auto"/>
          <w:spacing w:val="-6"/>
          <w:sz w:val="24"/>
          <w:szCs w:val="24"/>
          <w:highlight w:val="none"/>
        </w:rPr>
        <w:t>招标代理费用：</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82"/>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w:t>
      </w:r>
      <w:r>
        <w:rPr>
          <w:rFonts w:hint="eastAsia" w:ascii="宋体" w:hAnsi="宋体" w:eastAsia="宋体" w:cs="宋体"/>
          <w:color w:val="auto"/>
          <w:spacing w:val="6"/>
          <w:sz w:val="24"/>
          <w:szCs w:val="24"/>
          <w:highlight w:val="none"/>
        </w:rPr>
        <w:t>项目业主</w:t>
      </w:r>
      <w:r>
        <w:rPr>
          <w:rFonts w:hint="eastAsia" w:ascii="宋体" w:hAnsi="宋体" w:eastAsia="宋体" w:cs="宋体"/>
          <w:color w:val="auto"/>
          <w:spacing w:val="-6"/>
          <w:sz w:val="24"/>
          <w:szCs w:val="24"/>
          <w:highlight w:val="none"/>
          <w:shd w:val="clear" w:color="auto" w:fill="FFFFFF"/>
        </w:rPr>
        <w:t>支</w:t>
      </w:r>
      <w:r>
        <w:rPr>
          <w:rFonts w:hint="eastAsia" w:ascii="宋体" w:hAnsi="宋体" w:eastAsia="宋体" w:cs="宋体"/>
          <w:color w:val="auto"/>
          <w:spacing w:val="-6"/>
          <w:sz w:val="24"/>
          <w:szCs w:val="24"/>
          <w:highlight w:val="none"/>
        </w:rPr>
        <w:t>付</w:t>
      </w:r>
      <w:r>
        <w:rPr>
          <w:rFonts w:hint="eastAsia" w:ascii="宋体" w:hAnsi="宋体" w:eastAsia="宋体" w:cs="宋体"/>
          <w:color w:val="auto"/>
          <w:position w:val="-6"/>
          <w:sz w:val="24"/>
          <w:szCs w:val="24"/>
          <w:highlight w:val="none"/>
          <w:shd w:val="clear" w:color="auto" w:fill="FFFFFF"/>
          <w:lang w:eastAsia="zh-CN"/>
        </w:rPr>
        <w:t xml:space="preserve"> </w:t>
      </w:r>
      <w:r>
        <w:rPr>
          <w:rFonts w:hint="eastAsia" w:ascii="宋体" w:hAnsi="宋体" w:eastAsia="宋体" w:cs="宋体"/>
          <w:color w:val="auto"/>
          <w:spacing w:val="-6"/>
          <w:sz w:val="24"/>
          <w:szCs w:val="24"/>
          <w:highlight w:val="none"/>
          <w:shd w:val="clear" w:color="auto" w:fill="FFFFFF"/>
          <w:lang w:eastAsia="zh-CN"/>
        </w:rPr>
        <w:t>☑</w:t>
      </w:r>
      <w:r>
        <w:rPr>
          <w:rFonts w:hint="eastAsia" w:ascii="宋体" w:hAnsi="宋体" w:eastAsia="宋体" w:cs="宋体"/>
          <w:color w:val="auto"/>
          <w:spacing w:val="-81"/>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由中标人支付。</w:t>
      </w:r>
    </w:p>
    <w:p w14:paraId="03E76911">
      <w:pPr>
        <w:keepNext w:val="0"/>
        <w:keepLines w:val="0"/>
        <w:pageBreakBefore w:val="0"/>
        <w:widowControl/>
        <w:kinsoku w:val="0"/>
        <w:wordWrap w:val="0"/>
        <w:overflowPunct/>
        <w:topLinePunct w:val="0"/>
        <w:autoSpaceDE w:val="0"/>
        <w:autoSpaceDN w:val="0"/>
        <w:bidi w:val="0"/>
        <w:adjustRightInd w:val="0"/>
        <w:snapToGrid w:val="0"/>
        <w:spacing w:line="360" w:lineRule="auto"/>
        <w:ind w:firstLine="482" w:firstLineChars="200"/>
        <w:jc w:val="left"/>
        <w:textAlignment w:val="baseline"/>
        <w:outlineLvl w:val="2"/>
        <w:rPr>
          <w:rFonts w:hint="eastAsia" w:ascii="宋体" w:hAnsi="宋体" w:eastAsia="宋体" w:cs="宋体"/>
          <w:b w:val="0"/>
          <w:bCs w:val="0"/>
          <w:color w:val="auto"/>
          <w:sz w:val="24"/>
          <w:szCs w:val="24"/>
          <w:highlight w:val="none"/>
        </w:rPr>
      </w:pPr>
      <w:bookmarkStart w:id="22" w:name="_Toc26576"/>
      <w:r>
        <w:rPr>
          <w:rFonts w:hint="eastAsia" w:ascii="宋体" w:hAnsi="宋体" w:eastAsia="宋体" w:cs="宋体"/>
          <w:b/>
          <w:bCs/>
          <w:color w:val="auto"/>
          <w:sz w:val="24"/>
          <w:szCs w:val="24"/>
          <w:highlight w:val="none"/>
          <w:lang w:eastAsia="zh-CN"/>
        </w:rPr>
        <w:t>2.</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资质要求</w:t>
      </w:r>
      <w:bookmarkEnd w:id="22"/>
    </w:p>
    <w:p w14:paraId="23060124">
      <w:pPr>
        <w:wordWrap w:val="0"/>
        <w:adjustRightInd w:val="0"/>
        <w:snapToGrid w:val="0"/>
        <w:spacing w:line="360" w:lineRule="auto"/>
        <w:ind w:firstLine="482" w:firstLineChars="200"/>
        <w:rPr>
          <w:rStyle w:val="24"/>
          <w:rFonts w:hint="eastAsia" w:ascii="宋体" w:hAnsi="宋体" w:eastAsia="宋体" w:cs="宋体"/>
          <w:b/>
          <w:bCs/>
          <w:color w:val="auto"/>
          <w:kern w:val="0"/>
          <w:sz w:val="24"/>
          <w:szCs w:val="24"/>
          <w:highlight w:val="none"/>
          <w:lang w:val="en-US" w:eastAsia="zh-CN"/>
        </w:rPr>
      </w:pPr>
      <w:r>
        <w:rPr>
          <w:rStyle w:val="24"/>
          <w:rFonts w:hint="eastAsia" w:ascii="宋体" w:hAnsi="宋体" w:eastAsia="宋体" w:cs="宋体"/>
          <w:b/>
          <w:bCs/>
          <w:color w:val="auto"/>
          <w:kern w:val="0"/>
          <w:sz w:val="24"/>
          <w:szCs w:val="24"/>
          <w:highlight w:val="none"/>
          <w:lang w:val="en-US" w:eastAsia="zh-CN"/>
        </w:rPr>
        <w:t>2.1</w:t>
      </w:r>
      <w:r>
        <w:rPr>
          <w:rStyle w:val="24"/>
          <w:rFonts w:hint="eastAsia" w:ascii="宋体" w:hAnsi="宋体" w:eastAsia="宋体" w:cs="宋体"/>
          <w:b w:val="0"/>
          <w:bCs w:val="0"/>
          <w:color w:val="auto"/>
          <w:kern w:val="0"/>
          <w:sz w:val="24"/>
          <w:szCs w:val="24"/>
          <w:highlight w:val="none"/>
          <w:lang w:val="en-US" w:eastAsia="zh-CN"/>
        </w:rPr>
        <w:t xml:space="preserve"> 本次招标不接受联合体投标。</w:t>
      </w:r>
    </w:p>
    <w:p w14:paraId="35E5AE8D">
      <w:pPr>
        <w:wordWrap w:val="0"/>
        <w:adjustRightInd w:val="0"/>
        <w:snapToGrid w:val="0"/>
        <w:spacing w:line="360" w:lineRule="auto"/>
        <w:ind w:firstLine="482" w:firstLineChars="200"/>
        <w:rPr>
          <w:rStyle w:val="24"/>
          <w:rFonts w:hint="eastAsia" w:ascii="宋体" w:hAnsi="宋体" w:eastAsia="宋体" w:cs="宋体"/>
          <w:b w:val="0"/>
          <w:bCs w:val="0"/>
          <w:color w:val="auto"/>
          <w:kern w:val="0"/>
          <w:sz w:val="24"/>
          <w:szCs w:val="24"/>
          <w:highlight w:val="none"/>
          <w:lang w:val="en-US" w:eastAsia="zh-CN"/>
        </w:rPr>
      </w:pPr>
      <w:r>
        <w:rPr>
          <w:rStyle w:val="24"/>
          <w:rFonts w:hint="eastAsia" w:ascii="宋体" w:hAnsi="宋体" w:eastAsia="宋体" w:cs="宋体"/>
          <w:b/>
          <w:bCs/>
          <w:color w:val="auto"/>
          <w:kern w:val="0"/>
          <w:sz w:val="24"/>
          <w:szCs w:val="24"/>
          <w:highlight w:val="none"/>
          <w:lang w:val="en-US" w:eastAsia="zh-CN"/>
        </w:rPr>
        <w:t xml:space="preserve">2.2 </w:t>
      </w:r>
      <w:r>
        <w:rPr>
          <w:rStyle w:val="24"/>
          <w:rFonts w:hint="eastAsia" w:ascii="宋体" w:hAnsi="宋体" w:eastAsia="宋体" w:cs="宋体"/>
          <w:b w:val="0"/>
          <w:bCs w:val="0"/>
          <w:color w:val="auto"/>
          <w:kern w:val="0"/>
          <w:sz w:val="24"/>
          <w:szCs w:val="24"/>
          <w:highlight w:val="none"/>
          <w:lang w:val="en-US" w:eastAsia="zh-CN"/>
        </w:rPr>
        <w:t>资格资质要求</w:t>
      </w:r>
    </w:p>
    <w:p w14:paraId="62376B47">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4"/>
          <w:rFonts w:hint="eastAsia" w:ascii="宋体" w:hAnsi="宋体" w:eastAsia="宋体" w:cs="宋体"/>
          <w:b/>
          <w:bCs/>
          <w:color w:val="auto"/>
          <w:kern w:val="0"/>
          <w:sz w:val="24"/>
          <w:szCs w:val="24"/>
          <w:highlight w:val="none"/>
          <w:lang w:val="en-US" w:eastAsia="zh-CN"/>
        </w:rPr>
        <w:t xml:space="preserve">2.2.1 </w:t>
      </w:r>
      <w:r>
        <w:rPr>
          <w:rFonts w:hint="eastAsia" w:ascii="宋体" w:hAnsi="宋体" w:eastAsia="宋体" w:cs="宋体"/>
          <w:b w:val="0"/>
          <w:bCs w:val="0"/>
          <w:color w:val="auto"/>
          <w:sz w:val="24"/>
          <w:szCs w:val="24"/>
          <w:highlight w:val="none"/>
          <w:lang w:val="en-US" w:eastAsia="zh-CN"/>
        </w:rPr>
        <w:t>投标人须具备独立法人资格，按国家法律经营。</w:t>
      </w:r>
    </w:p>
    <w:p w14:paraId="6CD5160B">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4"/>
          <w:rFonts w:hint="eastAsia" w:ascii="宋体" w:hAnsi="宋体" w:eastAsia="宋体" w:cs="宋体"/>
          <w:b/>
          <w:bCs/>
          <w:color w:val="auto"/>
          <w:kern w:val="0"/>
          <w:sz w:val="24"/>
          <w:szCs w:val="24"/>
          <w:highlight w:val="none"/>
          <w:lang w:val="en-US" w:eastAsia="zh-CN"/>
        </w:rPr>
        <w:t xml:space="preserve">2.2.2 </w:t>
      </w:r>
      <w:r>
        <w:rPr>
          <w:rStyle w:val="24"/>
          <w:rFonts w:hint="eastAsia" w:ascii="宋体" w:hAnsi="宋体" w:eastAsia="宋体" w:cs="宋体"/>
          <w:b w:val="0"/>
          <w:bCs w:val="0"/>
          <w:color w:val="auto"/>
          <w:kern w:val="0"/>
          <w:sz w:val="24"/>
          <w:szCs w:val="24"/>
          <w:highlight w:val="none"/>
          <w:lang w:val="en-US" w:eastAsia="zh-CN"/>
        </w:rPr>
        <w:t>投标人须持有建设行政主管部门颁发的企业资质证书、安全生产许可证、市场监督管理部门颁发的特种设备生产许可证（许可子项目含公用管道安装（GB1））</w:t>
      </w:r>
      <w:r>
        <w:rPr>
          <w:rFonts w:hint="eastAsia" w:ascii="宋体" w:hAnsi="宋体" w:eastAsia="宋体" w:cs="宋体"/>
          <w:b w:val="0"/>
          <w:bCs w:val="0"/>
          <w:color w:val="auto"/>
          <w:sz w:val="24"/>
          <w:szCs w:val="24"/>
          <w:highlight w:val="none"/>
          <w:lang w:val="en-US" w:eastAsia="zh-CN"/>
        </w:rPr>
        <w:t>。</w:t>
      </w:r>
    </w:p>
    <w:p w14:paraId="02B90E6D">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4"/>
          <w:rFonts w:hint="eastAsia" w:ascii="宋体" w:hAnsi="宋体" w:eastAsia="宋体" w:cs="宋体"/>
          <w:b/>
          <w:bCs/>
          <w:color w:val="auto"/>
          <w:kern w:val="0"/>
          <w:sz w:val="24"/>
          <w:szCs w:val="24"/>
          <w:highlight w:val="none"/>
          <w:lang w:val="en-US" w:eastAsia="zh-CN"/>
        </w:rPr>
        <w:t xml:space="preserve">2.2.3 </w:t>
      </w:r>
      <w:r>
        <w:rPr>
          <w:rFonts w:hint="eastAsia" w:ascii="宋体" w:hAnsi="宋体" w:eastAsia="宋体" w:cs="宋体"/>
          <w:b w:val="0"/>
          <w:bCs w:val="0"/>
          <w:color w:val="auto"/>
          <w:sz w:val="24"/>
          <w:szCs w:val="24"/>
          <w:highlight w:val="none"/>
          <w:lang w:val="en-US" w:eastAsia="zh-CN"/>
        </w:rPr>
        <w:t>投标人须具备以下资质：①市政公用工程施工总承包二级以上（含二级）资质或石油化工工程施工总承包三级以上（含三级）资质。</w:t>
      </w:r>
    </w:p>
    <w:p w14:paraId="636DEBE8">
      <w:pPr>
        <w:wordWrap w:val="0"/>
        <w:adjustRightInd w:val="0"/>
        <w:snapToGrid w:val="0"/>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②持有有效的特种设备生产许可证（许可子项目含公用管道安装（GB1））。</w:t>
      </w:r>
    </w:p>
    <w:p w14:paraId="1B37663C">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4"/>
          <w:rFonts w:hint="eastAsia" w:ascii="宋体" w:hAnsi="宋体" w:eastAsia="宋体" w:cs="宋体"/>
          <w:b/>
          <w:bCs/>
          <w:color w:val="auto"/>
          <w:kern w:val="0"/>
          <w:sz w:val="24"/>
          <w:szCs w:val="24"/>
          <w:highlight w:val="none"/>
          <w:lang w:val="en-US" w:eastAsia="zh-CN"/>
        </w:rPr>
        <w:t xml:space="preserve">2.3 </w:t>
      </w:r>
      <w:r>
        <w:rPr>
          <w:rFonts w:hint="eastAsia" w:ascii="宋体" w:hAnsi="宋体" w:eastAsia="宋体" w:cs="宋体"/>
          <w:b w:val="0"/>
          <w:bCs w:val="0"/>
          <w:color w:val="auto"/>
          <w:sz w:val="24"/>
          <w:szCs w:val="24"/>
          <w:highlight w:val="none"/>
          <w:lang w:val="en-US" w:eastAsia="zh-CN"/>
        </w:rPr>
        <w:t>相关人员要求</w:t>
      </w:r>
    </w:p>
    <w:p w14:paraId="6C531DE2">
      <w:pPr>
        <w:wordWrap w:val="0"/>
        <w:adjustRightInd w:val="0"/>
        <w:snapToGrid w:val="0"/>
        <w:spacing w:line="360" w:lineRule="auto"/>
        <w:ind w:firstLine="482" w:firstLineChars="200"/>
        <w:rPr>
          <w:rStyle w:val="24"/>
          <w:rFonts w:hint="eastAsia" w:ascii="宋体" w:hAnsi="宋体" w:eastAsia="宋体" w:cs="宋体"/>
          <w:b/>
          <w:bCs/>
          <w:color w:val="auto"/>
          <w:kern w:val="0"/>
          <w:sz w:val="24"/>
          <w:szCs w:val="24"/>
          <w:highlight w:val="none"/>
          <w:lang w:val="en-US" w:eastAsia="zh-CN"/>
        </w:rPr>
      </w:pPr>
      <w:r>
        <w:rPr>
          <w:rStyle w:val="24"/>
          <w:rFonts w:hint="eastAsia" w:ascii="宋体" w:hAnsi="宋体" w:eastAsia="宋体" w:cs="宋体"/>
          <w:b/>
          <w:bCs/>
          <w:color w:val="auto"/>
          <w:kern w:val="0"/>
          <w:sz w:val="24"/>
          <w:szCs w:val="24"/>
          <w:highlight w:val="none"/>
          <w:lang w:val="en-US" w:eastAsia="zh-CN"/>
        </w:rPr>
        <w:t xml:space="preserve">2.3.1 </w:t>
      </w:r>
      <w:r>
        <w:rPr>
          <w:rFonts w:hint="eastAsia" w:ascii="宋体" w:hAnsi="宋体" w:eastAsia="宋体" w:cs="宋体"/>
          <w:snapToGrid w:val="0"/>
          <w:color w:val="auto"/>
          <w:kern w:val="0"/>
          <w:sz w:val="24"/>
          <w:szCs w:val="24"/>
          <w:highlight w:val="none"/>
        </w:rPr>
        <w:t>拟派项目经理</w:t>
      </w:r>
      <w:r>
        <w:rPr>
          <w:rFonts w:hint="eastAsia" w:ascii="宋体" w:hAnsi="宋体" w:eastAsia="宋体" w:cs="宋体"/>
          <w:snapToGrid w:val="0"/>
          <w:color w:val="auto"/>
          <w:kern w:val="0"/>
          <w:sz w:val="24"/>
          <w:szCs w:val="24"/>
          <w:highlight w:val="none"/>
          <w:lang w:val="en-US" w:eastAsia="zh-CN"/>
        </w:rPr>
        <w:t>具备</w:t>
      </w:r>
      <w:r>
        <w:rPr>
          <w:rFonts w:hint="eastAsia" w:ascii="宋体" w:hAnsi="宋体" w:eastAsia="宋体" w:cs="宋体"/>
          <w:snapToGrid w:val="0"/>
          <w:color w:val="auto"/>
          <w:kern w:val="0"/>
          <w:sz w:val="24"/>
          <w:szCs w:val="24"/>
          <w:highlight w:val="none"/>
          <w:u w:val="single"/>
          <w:lang w:val="en-US" w:eastAsia="zh-CN"/>
        </w:rPr>
        <w:t>市政公用工程专业二级以上（含二级）注册建造师（用市政公用工程施工总承包资质投标的）</w:t>
      </w:r>
      <w:r>
        <w:rPr>
          <w:rFonts w:hint="eastAsia" w:ascii="宋体" w:hAnsi="宋体" w:eastAsia="宋体" w:cs="宋体"/>
          <w:snapToGrid w:val="0"/>
          <w:color w:val="auto"/>
          <w:kern w:val="0"/>
          <w:sz w:val="24"/>
          <w:szCs w:val="24"/>
          <w:highlight w:val="none"/>
          <w:lang w:val="en-US" w:eastAsia="zh-CN"/>
        </w:rPr>
        <w:t>或</w:t>
      </w:r>
      <w:r>
        <w:rPr>
          <w:rFonts w:hint="eastAsia" w:ascii="宋体" w:hAnsi="宋体" w:eastAsia="宋体" w:cs="宋体"/>
          <w:snapToGrid w:val="0"/>
          <w:color w:val="auto"/>
          <w:kern w:val="0"/>
          <w:sz w:val="24"/>
          <w:szCs w:val="24"/>
          <w:highlight w:val="none"/>
          <w:u w:val="single"/>
          <w:lang w:val="en-US" w:eastAsia="zh-CN"/>
        </w:rPr>
        <w:t>机电工程专业二级以上（含二级）注册建造师（用石油化工工程施工总承包资质投标的）</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eastAsia="zh-CN"/>
        </w:rPr>
        <w:t>应持有住建部门印发的在使用有效期内的有效电子注册证书（根据广东省住房和城乡建设厅（粤建市函〔2023〕469 号）文件精神，二级注册建造师可随注册企业在全国范围内执业）。同时均须具备有效安全生产考核合格证明（B证），且未担任其他在施（包括已中标未开工、已开工未竣工）建设工程项目的项目经理。</w:t>
      </w:r>
      <w:r>
        <w:rPr>
          <w:rFonts w:hint="eastAsia" w:ascii="宋体" w:hAnsi="宋体" w:eastAsia="宋体" w:cs="宋体"/>
          <w:b w:val="0"/>
          <w:bCs w:val="0"/>
          <w:color w:val="auto"/>
          <w:sz w:val="24"/>
          <w:szCs w:val="24"/>
          <w:highlight w:val="none"/>
          <w:lang w:val="en-US" w:eastAsia="zh-CN"/>
        </w:rPr>
        <w:t xml:space="preserve"> </w:t>
      </w:r>
    </w:p>
    <w:p w14:paraId="736A2627">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4"/>
          <w:rFonts w:hint="eastAsia" w:ascii="宋体" w:hAnsi="宋体" w:eastAsia="宋体" w:cs="宋体"/>
          <w:b/>
          <w:bCs/>
          <w:color w:val="auto"/>
          <w:kern w:val="0"/>
          <w:sz w:val="24"/>
          <w:szCs w:val="24"/>
          <w:highlight w:val="none"/>
          <w:lang w:val="en-US" w:eastAsia="zh-CN"/>
        </w:rPr>
        <w:t xml:space="preserve">2.3.2 </w:t>
      </w:r>
      <w:r>
        <w:rPr>
          <w:rStyle w:val="24"/>
          <w:rFonts w:hint="eastAsia" w:ascii="宋体" w:hAnsi="宋体" w:eastAsia="宋体" w:cs="宋体"/>
          <w:b w:val="0"/>
          <w:bCs w:val="0"/>
          <w:color w:val="auto"/>
          <w:kern w:val="0"/>
          <w:sz w:val="24"/>
          <w:szCs w:val="24"/>
          <w:highlight w:val="none"/>
          <w:lang w:val="en-US" w:eastAsia="zh-CN"/>
        </w:rPr>
        <w:t>拟派项目技术负责人须具备市政公用工程类或石油化工类或机电工程类相关专业中级或以上技术职称。</w:t>
      </w:r>
    </w:p>
    <w:p w14:paraId="3C9096CE">
      <w:pPr>
        <w:wordWrap w:val="0"/>
        <w:adjustRightInd w:val="0"/>
        <w:snapToGrid w:val="0"/>
        <w:spacing w:line="360" w:lineRule="auto"/>
        <w:ind w:firstLine="482" w:firstLineChars="200"/>
        <w:rPr>
          <w:rStyle w:val="24"/>
          <w:rFonts w:hint="eastAsia" w:ascii="宋体" w:hAnsi="宋体" w:eastAsia="宋体" w:cs="宋体"/>
          <w:b/>
          <w:bCs/>
          <w:color w:val="auto"/>
          <w:kern w:val="0"/>
          <w:sz w:val="24"/>
          <w:szCs w:val="24"/>
          <w:highlight w:val="none"/>
          <w:lang w:val="en-US" w:eastAsia="zh-CN"/>
        </w:rPr>
      </w:pPr>
      <w:r>
        <w:rPr>
          <w:rStyle w:val="24"/>
          <w:rFonts w:hint="eastAsia" w:ascii="宋体" w:hAnsi="宋体" w:eastAsia="宋体" w:cs="宋体"/>
          <w:b/>
          <w:bCs/>
          <w:color w:val="auto"/>
          <w:kern w:val="0"/>
          <w:sz w:val="24"/>
          <w:szCs w:val="24"/>
          <w:highlight w:val="none"/>
          <w:lang w:val="en-US" w:eastAsia="zh-CN"/>
        </w:rPr>
        <w:t xml:space="preserve">2.3.3 </w:t>
      </w:r>
      <w:r>
        <w:rPr>
          <w:rFonts w:hint="eastAsia" w:ascii="宋体" w:hAnsi="宋体" w:eastAsia="宋体" w:cs="宋体"/>
          <w:b w:val="0"/>
          <w:bCs w:val="0"/>
          <w:color w:val="auto"/>
          <w:sz w:val="24"/>
          <w:szCs w:val="24"/>
          <w:highlight w:val="none"/>
          <w:lang w:val="en-US" w:eastAsia="zh-CN"/>
        </w:rPr>
        <w:t xml:space="preserve">拟派专职安全生产管理人员须具备有效安全生产考核合格证明（C证，安全生产考核合格证书或“广东省建筑施工企业管理人员安全生产考核信息系统”考核合格信息打印页），且不少于1人。 </w:t>
      </w:r>
    </w:p>
    <w:p w14:paraId="711B4950">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4"/>
          <w:rFonts w:hint="eastAsia" w:ascii="宋体" w:hAnsi="宋体" w:eastAsia="宋体" w:cs="宋体"/>
          <w:b/>
          <w:bCs/>
          <w:color w:val="auto"/>
          <w:kern w:val="0"/>
          <w:sz w:val="24"/>
          <w:szCs w:val="24"/>
          <w:highlight w:val="none"/>
          <w:lang w:val="en-US" w:eastAsia="zh-CN"/>
        </w:rPr>
        <w:t xml:space="preserve">2.3.4 </w:t>
      </w:r>
      <w:r>
        <w:rPr>
          <w:rFonts w:hint="eastAsia" w:ascii="宋体" w:hAnsi="宋体" w:eastAsia="宋体" w:cs="宋体"/>
          <w:b w:val="0"/>
          <w:bCs w:val="0"/>
          <w:color w:val="auto"/>
          <w:sz w:val="24"/>
          <w:szCs w:val="24"/>
          <w:highlight w:val="none"/>
          <w:lang w:val="en-US" w:eastAsia="zh-CN"/>
        </w:rPr>
        <w:t>投标人与其拟派往本项目管理机构的所有人员之间必须具备合法、唯一的劳动聘用关系。拟派人员中具备注册执业资格的，其注册单位须与投标人保持一致（提供社保缴纳证明或劳动合同）。</w:t>
      </w:r>
    </w:p>
    <w:p w14:paraId="6B0DD0FC">
      <w:pPr>
        <w:spacing w:before="78" w:line="360" w:lineRule="auto"/>
        <w:ind w:left="48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2.4  </w:t>
      </w:r>
      <w:r>
        <w:rPr>
          <w:rFonts w:hint="eastAsia" w:ascii="宋体" w:hAnsi="宋体" w:eastAsia="宋体" w:cs="宋体"/>
          <w:color w:val="auto"/>
          <w:spacing w:val="-1"/>
          <w:sz w:val="24"/>
          <w:szCs w:val="24"/>
          <w:highlight w:val="none"/>
        </w:rPr>
        <w:t>禁止投标条款</w:t>
      </w:r>
    </w:p>
    <w:p w14:paraId="198E7E83">
      <w:pPr>
        <w:spacing w:before="153" w:line="360" w:lineRule="auto"/>
        <w:ind w:left="48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2.4.1  </w:t>
      </w:r>
      <w:r>
        <w:rPr>
          <w:rFonts w:hint="eastAsia" w:ascii="宋体" w:hAnsi="宋体" w:eastAsia="宋体" w:cs="宋体"/>
          <w:color w:val="auto"/>
          <w:spacing w:val="-1"/>
          <w:sz w:val="24"/>
          <w:szCs w:val="24"/>
          <w:highlight w:val="none"/>
        </w:rPr>
        <w:t>投标人不得存在下列情形之一：</w:t>
      </w:r>
    </w:p>
    <w:p w14:paraId="6C5CBCD6">
      <w:pPr>
        <w:spacing w:before="153" w:line="360"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（1）为招标人不具有独立法人资格的附属机构（单位</w:t>
      </w:r>
      <w:r>
        <w:rPr>
          <w:rFonts w:hint="eastAsia" w:ascii="宋体" w:hAnsi="宋体" w:eastAsia="宋体" w:cs="宋体"/>
          <w:color w:val="auto"/>
          <w:spacing w:val="1"/>
          <w:sz w:val="24"/>
          <w:szCs w:val="24"/>
          <w:highlight w:val="none"/>
        </w:rPr>
        <w:t>）；</w:t>
      </w:r>
    </w:p>
    <w:p w14:paraId="00645A12">
      <w:pPr>
        <w:spacing w:before="157" w:line="360"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（2）为本招标项目前期准备提供设计或咨询服务的；</w:t>
      </w:r>
    </w:p>
    <w:p w14:paraId="466E2120">
      <w:pPr>
        <w:spacing w:before="154" w:line="360"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（3）与本招标项目的其他投标人为同一个单位负责人；</w:t>
      </w:r>
    </w:p>
    <w:p w14:paraId="358EB851">
      <w:pPr>
        <w:spacing w:before="155" w:line="360"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（4）与本招标项目的其他投标人存在控股、管理关系；</w:t>
      </w:r>
    </w:p>
    <w:p w14:paraId="6D365ADF">
      <w:pPr>
        <w:spacing w:before="157" w:line="360"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（5）为本招标项目的监理人；</w:t>
      </w:r>
    </w:p>
    <w:p w14:paraId="661267E9">
      <w:pPr>
        <w:spacing w:before="154" w:line="360"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（6）为本招标项目的代建人；</w:t>
      </w:r>
    </w:p>
    <w:p w14:paraId="6248B25F">
      <w:pPr>
        <w:spacing w:before="155" w:line="360"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（7）为本招标项目的招标代理机构；</w:t>
      </w:r>
    </w:p>
    <w:p w14:paraId="199345F5">
      <w:pPr>
        <w:spacing w:before="157" w:line="360"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（8）与本招标项目的监理人或代建人或招标代理机构同为一个法定代表人；</w:t>
      </w:r>
    </w:p>
    <w:p w14:paraId="42A9F078">
      <w:pPr>
        <w:spacing w:before="154" w:line="360"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（9）与本招标项目的监理人或代建人或招标代理机构存在控股或参股关系；</w:t>
      </w:r>
    </w:p>
    <w:p w14:paraId="3ED798D0">
      <w:pPr>
        <w:spacing w:before="155" w:line="360" w:lineRule="auto"/>
        <w:ind w:firstLine="468"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（10）与本招标项目的监理人或代建人或招标代理机构存在相互</w:t>
      </w:r>
      <w:r>
        <w:rPr>
          <w:rFonts w:hint="eastAsia" w:ascii="宋体" w:hAnsi="宋体" w:eastAsia="宋体" w:cs="宋体"/>
          <w:color w:val="auto"/>
          <w:spacing w:val="-4"/>
          <w:sz w:val="24"/>
          <w:szCs w:val="24"/>
          <w:highlight w:val="none"/>
        </w:rPr>
        <w:t>任职或工作关系；</w:t>
      </w:r>
    </w:p>
    <w:p w14:paraId="3D5B3F7C">
      <w:pPr>
        <w:spacing w:before="157" w:line="360"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（11）被依法暂停或者取消投标资格；</w:t>
      </w:r>
    </w:p>
    <w:p w14:paraId="649343BB">
      <w:pPr>
        <w:spacing w:before="154" w:line="360"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（12）被责令停产停业、暂扣或者吊销许可证、暂扣或者吊销执照；</w:t>
      </w:r>
    </w:p>
    <w:p w14:paraId="73DFCEAC">
      <w:pPr>
        <w:spacing w:before="154" w:line="360" w:lineRule="auto"/>
        <w:ind w:left="504"/>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rPr>
        <w:t>（13）进入清算程序，或被宣告破产，或其他丧失履约能力的情形</w:t>
      </w:r>
      <w:r>
        <w:rPr>
          <w:rFonts w:hint="eastAsia" w:ascii="宋体" w:hAnsi="宋体" w:cs="宋体"/>
          <w:color w:val="auto"/>
          <w:spacing w:val="-1"/>
          <w:sz w:val="24"/>
          <w:szCs w:val="24"/>
          <w:highlight w:val="none"/>
          <w:lang w:eastAsia="zh-CN"/>
        </w:rPr>
        <w:t>（此类情况以处罚</w:t>
      </w:r>
      <w:r>
        <w:rPr>
          <w:rFonts w:hint="eastAsia" w:ascii="宋体" w:hAnsi="宋体" w:eastAsia="宋体" w:cs="宋体"/>
          <w:color w:val="auto"/>
          <w:spacing w:val="-1"/>
          <w:sz w:val="24"/>
          <w:szCs w:val="24"/>
          <w:highlight w:val="none"/>
        </w:rPr>
        <w:t>决定或司法机关出具的有关法律文书</w:t>
      </w:r>
      <w:r>
        <w:rPr>
          <w:rFonts w:hint="eastAsia" w:ascii="宋体" w:hAnsi="宋体" w:eastAsia="宋体" w:cs="宋体"/>
          <w:color w:val="auto"/>
          <w:spacing w:val="-1"/>
          <w:sz w:val="24"/>
          <w:szCs w:val="24"/>
          <w:highlight w:val="none"/>
          <w:lang w:eastAsia="zh-CN"/>
        </w:rPr>
        <w:t>为准</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1"/>
          <w:sz w:val="24"/>
          <w:szCs w:val="24"/>
          <w:highlight w:val="none"/>
        </w:rPr>
        <w:t>；</w:t>
      </w:r>
      <w:bookmarkStart w:id="23" w:name="bookmark116"/>
      <w:bookmarkEnd w:id="23"/>
    </w:p>
    <w:p w14:paraId="39E50891">
      <w:pPr>
        <w:pStyle w:val="26"/>
        <w:wordWrap w:val="0"/>
        <w:adjustRightInd w:val="0"/>
        <w:snapToGrid w:val="0"/>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highlight w:val="none"/>
        </w:rPr>
        <w:t>（14）在最近三年内发生重大工程质量或安全问题（以相关行业主管部门的行政处罚决定或司法机关出具的有关法律文书为准）；</w:t>
      </w:r>
    </w:p>
    <w:p w14:paraId="40B021B1">
      <w:pPr>
        <w:spacing w:before="118" w:line="360" w:lineRule="auto"/>
        <w:ind w:left="232" w:right="99" w:firstLine="36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（15）被“信用中国”网站（https://www.creditchina.gov.cn）发布的《法人和</w:t>
      </w:r>
      <w:r>
        <w:rPr>
          <w:rFonts w:hint="eastAsia" w:ascii="宋体" w:hAnsi="宋体" w:eastAsia="宋体" w:cs="宋体"/>
          <w:color w:val="auto"/>
          <w:spacing w:val="-2"/>
          <w:sz w:val="24"/>
          <w:szCs w:val="24"/>
          <w:highlight w:val="none"/>
          <w:lang w:eastAsia="zh-CN"/>
        </w:rPr>
        <w:t>非法人</w:t>
      </w:r>
      <w:r>
        <w:rPr>
          <w:rFonts w:hint="eastAsia" w:ascii="宋体" w:hAnsi="宋体" w:eastAsia="宋体" w:cs="宋体"/>
          <w:color w:val="auto"/>
          <w:spacing w:val="3"/>
          <w:sz w:val="24"/>
          <w:szCs w:val="24"/>
          <w:highlight w:val="none"/>
        </w:rPr>
        <w:t>组织公共信用信息报告</w:t>
      </w:r>
      <w:r>
        <w:rPr>
          <w:rFonts w:hint="eastAsia" w:ascii="宋体" w:hAnsi="宋体" w:eastAsia="宋体" w:cs="宋体"/>
          <w:snapToGrid w:val="0"/>
          <w:color w:val="auto"/>
          <w:kern w:val="0"/>
          <w:sz w:val="24"/>
          <w:szCs w:val="24"/>
          <w:highlight w:val="none"/>
          <w:lang w:val="en-US" w:eastAsia="zh-CN" w:bidi="ar-SA"/>
        </w:rPr>
        <w:t>》列为严重失信主体名单的</w:t>
      </w:r>
      <w:r>
        <w:rPr>
          <w:rFonts w:hint="eastAsia" w:ascii="宋体" w:hAnsi="宋体" w:eastAsia="宋体" w:cs="宋体"/>
          <w:color w:val="auto"/>
          <w:spacing w:val="2"/>
          <w:sz w:val="24"/>
          <w:szCs w:val="24"/>
          <w:highlight w:val="none"/>
        </w:rPr>
        <w:t>。</w:t>
      </w:r>
    </w:p>
    <w:p w14:paraId="26B8C09D">
      <w:pPr>
        <w:spacing w:before="155" w:line="360" w:lineRule="auto"/>
        <w:ind w:left="706"/>
        <w:rPr>
          <w:rFonts w:hint="eastAsia" w:ascii="宋体" w:hAnsi="宋体" w:eastAsia="宋体" w:cs="宋体"/>
          <w:color w:val="auto"/>
          <w:spacing w:val="-1"/>
          <w:sz w:val="24"/>
          <w:szCs w:val="24"/>
          <w:highlight w:val="none"/>
        </w:rPr>
      </w:pPr>
      <w:r>
        <w:rPr>
          <w:rFonts w:hint="eastAsia" w:ascii="宋体" w:hAnsi="宋体" w:eastAsia="宋体" w:cs="宋体"/>
          <w:b/>
          <w:bCs/>
          <w:color w:val="auto"/>
          <w:sz w:val="24"/>
          <w:szCs w:val="24"/>
          <w:highlight w:val="none"/>
        </w:rPr>
        <w:t xml:space="preserve">2.4.2  </w:t>
      </w:r>
      <w:r>
        <w:rPr>
          <w:rFonts w:hint="eastAsia" w:ascii="宋体" w:hAnsi="宋体" w:eastAsia="宋体" w:cs="宋体"/>
          <w:color w:val="auto"/>
          <w:sz w:val="24"/>
          <w:szCs w:val="24"/>
          <w:highlight w:val="none"/>
        </w:rPr>
        <w:t>招标人拒绝以下名单中的单位</w:t>
      </w:r>
      <w:r>
        <w:rPr>
          <w:rFonts w:hint="eastAsia" w:ascii="宋体" w:hAnsi="宋体" w:eastAsia="宋体" w:cs="宋体"/>
          <w:color w:val="auto"/>
          <w:spacing w:val="-1"/>
          <w:sz w:val="24"/>
          <w:szCs w:val="24"/>
          <w:highlight w:val="none"/>
        </w:rPr>
        <w:t>参加本次投标：</w:t>
      </w:r>
    </w:p>
    <w:tbl>
      <w:tblPr>
        <w:tblStyle w:val="17"/>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4752"/>
        <w:gridCol w:w="3620"/>
      </w:tblGrid>
      <w:tr w14:paraId="3076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06" w:type="dxa"/>
            <w:vAlign w:val="center"/>
          </w:tcPr>
          <w:p w14:paraId="694A6BC8">
            <w:pPr>
              <w:pageBreakBefore w:val="0"/>
              <w:widowControl w:val="0"/>
              <w:kinsoku/>
              <w:wordWrap w:val="0"/>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序号</w:t>
            </w:r>
          </w:p>
        </w:tc>
        <w:tc>
          <w:tcPr>
            <w:tcW w:w="4752" w:type="dxa"/>
            <w:vAlign w:val="center"/>
          </w:tcPr>
          <w:p w14:paraId="04B025F1">
            <w:pPr>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单位名称</w:t>
            </w:r>
          </w:p>
        </w:tc>
        <w:tc>
          <w:tcPr>
            <w:tcW w:w="3620" w:type="dxa"/>
            <w:vAlign w:val="center"/>
          </w:tcPr>
          <w:p w14:paraId="35E4854C">
            <w:pPr>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拒绝原因</w:t>
            </w:r>
          </w:p>
        </w:tc>
      </w:tr>
      <w:tr w14:paraId="7EAC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06" w:type="dxa"/>
            <w:vAlign w:val="center"/>
          </w:tcPr>
          <w:p w14:paraId="02AE2E34">
            <w:pPr>
              <w:pStyle w:val="26"/>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宋体" w:hAnsi="宋体" w:eastAsia="宋体" w:cs="宋体"/>
                <w:iCs/>
                <w:snapToGrid w:val="0"/>
                <w:color w:val="auto"/>
                <w:kern w:val="0"/>
                <w:sz w:val="24"/>
                <w:szCs w:val="24"/>
                <w:highlight w:val="none"/>
                <w:lang w:val="en-US" w:eastAsia="zh-CN"/>
              </w:rPr>
              <w:t>1</w:t>
            </w:r>
          </w:p>
        </w:tc>
        <w:tc>
          <w:tcPr>
            <w:tcW w:w="4752" w:type="dxa"/>
            <w:vAlign w:val="center"/>
          </w:tcPr>
          <w:p w14:paraId="65193855">
            <w:pPr>
              <w:wordWrap w:val="0"/>
              <w:adjustRightInd w:val="0"/>
              <w:snapToGrid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shd w:val="clear" w:color="auto" w:fill="auto"/>
                <w:lang w:eastAsia="zh-CN"/>
              </w:rPr>
              <w:t>中国市政工程西南设计研究总院有限公司</w:t>
            </w:r>
          </w:p>
        </w:tc>
        <w:tc>
          <w:tcPr>
            <w:tcW w:w="3620" w:type="dxa"/>
            <w:vAlign w:val="center"/>
          </w:tcPr>
          <w:p w14:paraId="74874F27">
            <w:pPr>
              <w:pStyle w:val="26"/>
              <w:wordWrap w:val="0"/>
              <w:adjustRightInd w:val="0"/>
              <w:snapToGrid w:val="0"/>
              <w:spacing w:line="360" w:lineRule="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宋体" w:hAnsi="宋体" w:eastAsia="宋体" w:cs="宋体"/>
                <w:iCs/>
                <w:snapToGrid w:val="0"/>
                <w:color w:val="auto"/>
                <w:kern w:val="0"/>
                <w:sz w:val="24"/>
                <w:szCs w:val="24"/>
                <w:highlight w:val="none"/>
              </w:rPr>
              <w:t>为本招标项目的</w:t>
            </w:r>
            <w:r>
              <w:rPr>
                <w:rFonts w:hint="eastAsia" w:ascii="宋体" w:hAnsi="宋体" w:eastAsia="宋体" w:cs="宋体"/>
                <w:iCs/>
                <w:snapToGrid w:val="0"/>
                <w:color w:val="auto"/>
                <w:kern w:val="0"/>
                <w:sz w:val="24"/>
                <w:szCs w:val="24"/>
                <w:highlight w:val="none"/>
                <w:lang w:eastAsia="zh-CN"/>
              </w:rPr>
              <w:t>设计单位</w:t>
            </w:r>
          </w:p>
        </w:tc>
      </w:tr>
      <w:tr w14:paraId="5852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06" w:type="dxa"/>
            <w:vAlign w:val="center"/>
          </w:tcPr>
          <w:p w14:paraId="03866D64">
            <w:pPr>
              <w:pStyle w:val="26"/>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宋体" w:hAnsi="宋体" w:eastAsia="宋体" w:cs="宋体"/>
                <w:iCs/>
                <w:snapToGrid w:val="0"/>
                <w:color w:val="auto"/>
                <w:kern w:val="0"/>
                <w:sz w:val="24"/>
                <w:szCs w:val="24"/>
                <w:highlight w:val="none"/>
                <w:lang w:val="en-US" w:eastAsia="zh-CN"/>
              </w:rPr>
              <w:t>2</w:t>
            </w:r>
          </w:p>
        </w:tc>
        <w:tc>
          <w:tcPr>
            <w:tcW w:w="4752" w:type="dxa"/>
            <w:vAlign w:val="center"/>
          </w:tcPr>
          <w:p w14:paraId="62B0D81F">
            <w:pPr>
              <w:wordWrap w:val="0"/>
              <w:adjustRightInd w:val="0"/>
              <w:snapToGrid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中交城市能源研究设计院有限公司</w:t>
            </w:r>
          </w:p>
        </w:tc>
        <w:tc>
          <w:tcPr>
            <w:tcW w:w="3620" w:type="dxa"/>
            <w:vAlign w:val="center"/>
          </w:tcPr>
          <w:p w14:paraId="2D7AE2F8">
            <w:pPr>
              <w:pStyle w:val="26"/>
              <w:wordWrap w:val="0"/>
              <w:adjustRightInd w:val="0"/>
              <w:snapToGrid w:val="0"/>
              <w:spacing w:line="360" w:lineRule="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宋体" w:hAnsi="宋体" w:eastAsia="宋体" w:cs="宋体"/>
                <w:iCs/>
                <w:snapToGrid w:val="0"/>
                <w:color w:val="auto"/>
                <w:kern w:val="0"/>
                <w:sz w:val="24"/>
                <w:szCs w:val="24"/>
                <w:highlight w:val="none"/>
              </w:rPr>
              <w:t>为本招标项目的</w:t>
            </w:r>
            <w:r>
              <w:rPr>
                <w:rFonts w:hint="eastAsia" w:ascii="宋体" w:hAnsi="宋体" w:eastAsia="宋体" w:cs="宋体"/>
                <w:iCs/>
                <w:snapToGrid w:val="0"/>
                <w:color w:val="auto"/>
                <w:kern w:val="0"/>
                <w:sz w:val="24"/>
                <w:szCs w:val="24"/>
                <w:highlight w:val="none"/>
                <w:lang w:val="en-US" w:eastAsia="zh-CN"/>
              </w:rPr>
              <w:t>可研编制</w:t>
            </w:r>
            <w:r>
              <w:rPr>
                <w:rFonts w:hint="eastAsia" w:ascii="宋体" w:hAnsi="宋体" w:eastAsia="宋体" w:cs="宋体"/>
                <w:iCs/>
                <w:snapToGrid w:val="0"/>
                <w:color w:val="auto"/>
                <w:kern w:val="0"/>
                <w:sz w:val="24"/>
                <w:szCs w:val="24"/>
                <w:highlight w:val="none"/>
              </w:rPr>
              <w:t>单位</w:t>
            </w:r>
          </w:p>
        </w:tc>
      </w:tr>
      <w:tr w14:paraId="52B1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06" w:type="dxa"/>
            <w:vAlign w:val="center"/>
          </w:tcPr>
          <w:p w14:paraId="7B69EA9B">
            <w:pPr>
              <w:pStyle w:val="26"/>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iCs/>
                <w:snapToGrid w:val="0"/>
                <w:color w:val="auto"/>
                <w:kern w:val="0"/>
                <w:sz w:val="24"/>
                <w:szCs w:val="24"/>
                <w:highlight w:val="none"/>
                <w:lang w:val="en-US" w:eastAsia="zh-CN"/>
              </w:rPr>
              <w:t>3</w:t>
            </w:r>
          </w:p>
        </w:tc>
        <w:tc>
          <w:tcPr>
            <w:tcW w:w="4752" w:type="dxa"/>
            <w:vAlign w:val="center"/>
          </w:tcPr>
          <w:p w14:paraId="1D9C1895">
            <w:pPr>
              <w:wordWrap w:val="0"/>
              <w:adjustRightInd w:val="0"/>
              <w:snapToGrid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shd w:val="clear" w:color="auto" w:fill="auto"/>
                <w:lang w:val="en-US" w:eastAsia="zh-CN"/>
              </w:rPr>
              <w:t>广东粤能工程管理有限公司</w:t>
            </w:r>
          </w:p>
        </w:tc>
        <w:tc>
          <w:tcPr>
            <w:tcW w:w="3620" w:type="dxa"/>
            <w:vAlign w:val="center"/>
          </w:tcPr>
          <w:p w14:paraId="0FEDB35A">
            <w:pPr>
              <w:pStyle w:val="26"/>
              <w:wordWrap w:val="0"/>
              <w:adjustRightInd w:val="0"/>
              <w:snapToGrid w:val="0"/>
              <w:spacing w:line="360" w:lineRule="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iCs/>
                <w:snapToGrid w:val="0"/>
                <w:color w:val="auto"/>
                <w:kern w:val="0"/>
                <w:sz w:val="24"/>
                <w:szCs w:val="24"/>
                <w:highlight w:val="none"/>
              </w:rPr>
              <w:t>为本招标项目的</w:t>
            </w:r>
            <w:r>
              <w:rPr>
                <w:rFonts w:hint="eastAsia" w:ascii="宋体" w:hAnsi="宋体" w:eastAsia="宋体" w:cs="宋体"/>
                <w:iCs/>
                <w:snapToGrid w:val="0"/>
                <w:color w:val="auto"/>
                <w:kern w:val="0"/>
                <w:sz w:val="24"/>
                <w:szCs w:val="24"/>
                <w:highlight w:val="none"/>
                <w:lang w:val="en-US" w:eastAsia="zh-CN"/>
              </w:rPr>
              <w:t>造价咨询单位</w:t>
            </w:r>
          </w:p>
        </w:tc>
      </w:tr>
      <w:tr w14:paraId="50074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06" w:type="dxa"/>
            <w:vAlign w:val="center"/>
          </w:tcPr>
          <w:p w14:paraId="3F58E3F6">
            <w:pPr>
              <w:pStyle w:val="26"/>
              <w:wordWrap w:val="0"/>
              <w:adjustRightInd w:val="0"/>
              <w:snapToGrid w:val="0"/>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iCs/>
                <w:snapToGrid w:val="0"/>
                <w:color w:val="auto"/>
                <w:kern w:val="0"/>
                <w:sz w:val="24"/>
                <w:szCs w:val="24"/>
                <w:highlight w:val="none"/>
                <w:lang w:val="en-US" w:eastAsia="zh-CN"/>
              </w:rPr>
              <w:t>4</w:t>
            </w:r>
          </w:p>
        </w:tc>
        <w:tc>
          <w:tcPr>
            <w:tcW w:w="4752" w:type="dxa"/>
            <w:vAlign w:val="center"/>
          </w:tcPr>
          <w:p w14:paraId="4241CE45">
            <w:pPr>
              <w:wordWrap w:val="0"/>
              <w:adjustRightInd w:val="0"/>
              <w:snapToGrid w:val="0"/>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shd w:val="clear" w:color="auto" w:fill="auto"/>
                <w:lang w:val="en-US" w:eastAsia="zh-CN"/>
              </w:rPr>
              <w:t>韶关市中利工程咨询有限公司</w:t>
            </w:r>
          </w:p>
        </w:tc>
        <w:tc>
          <w:tcPr>
            <w:tcW w:w="3620" w:type="dxa"/>
            <w:vAlign w:val="center"/>
          </w:tcPr>
          <w:p w14:paraId="40CA11E2">
            <w:pPr>
              <w:pStyle w:val="26"/>
              <w:wordWrap w:val="0"/>
              <w:adjustRightInd w:val="0"/>
              <w:snapToGrid w:val="0"/>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iCs/>
                <w:snapToGrid w:val="0"/>
                <w:color w:val="auto"/>
                <w:kern w:val="0"/>
                <w:sz w:val="24"/>
                <w:szCs w:val="24"/>
                <w:highlight w:val="none"/>
              </w:rPr>
              <w:t>为本招标项目的招标代理</w:t>
            </w:r>
            <w:r>
              <w:rPr>
                <w:rFonts w:hint="eastAsia" w:ascii="宋体" w:hAnsi="宋体" w:eastAsia="宋体" w:cs="宋体"/>
                <w:iCs/>
                <w:snapToGrid w:val="0"/>
                <w:color w:val="auto"/>
                <w:kern w:val="0"/>
                <w:sz w:val="24"/>
                <w:szCs w:val="24"/>
                <w:highlight w:val="none"/>
                <w:lang w:val="en-US" w:eastAsia="zh-CN"/>
              </w:rPr>
              <w:t>单位</w:t>
            </w:r>
          </w:p>
        </w:tc>
      </w:tr>
      <w:tr w14:paraId="1DDA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06" w:type="dxa"/>
            <w:vAlign w:val="center"/>
          </w:tcPr>
          <w:p w14:paraId="5EF07AF2">
            <w:pPr>
              <w:pStyle w:val="26"/>
              <w:wordWrap w:val="0"/>
              <w:adjustRightInd w:val="0"/>
              <w:snapToGrid w:val="0"/>
              <w:spacing w:line="360" w:lineRule="auto"/>
              <w:jc w:val="center"/>
              <w:rPr>
                <w:rFonts w:hint="eastAsia" w:ascii="宋体" w:hAnsi="宋体" w:cs="宋体"/>
                <w:color w:val="auto"/>
                <w:sz w:val="24"/>
                <w:szCs w:val="24"/>
                <w:highlight w:val="none"/>
                <w:lang w:val="en-US" w:eastAsia="zh-CN"/>
              </w:rPr>
            </w:pPr>
            <w:r>
              <w:rPr>
                <w:rFonts w:hint="eastAsia" w:ascii="宋体" w:hAnsi="宋体" w:eastAsia="宋体" w:cs="宋体"/>
                <w:iCs/>
                <w:snapToGrid w:val="0"/>
                <w:color w:val="auto"/>
                <w:kern w:val="0"/>
                <w:sz w:val="24"/>
                <w:szCs w:val="24"/>
                <w:highlight w:val="none"/>
                <w:lang w:val="en-US" w:eastAsia="zh-CN"/>
              </w:rPr>
              <w:t>5</w:t>
            </w:r>
          </w:p>
        </w:tc>
        <w:tc>
          <w:tcPr>
            <w:tcW w:w="4752" w:type="dxa"/>
            <w:vAlign w:val="center"/>
          </w:tcPr>
          <w:p w14:paraId="269CE39D">
            <w:pPr>
              <w:pStyle w:val="26"/>
              <w:wordWrap w:val="0"/>
              <w:adjustRightInd w:val="0"/>
              <w:snapToGrid w:val="0"/>
              <w:spacing w:line="360" w:lineRule="auto"/>
              <w:rPr>
                <w:rFonts w:hint="eastAsia" w:ascii="宋体" w:hAnsi="宋体" w:cs="宋体"/>
                <w:color w:val="auto"/>
                <w:sz w:val="24"/>
                <w:szCs w:val="24"/>
                <w:highlight w:val="none"/>
                <w:lang w:val="en-US" w:eastAsia="zh-CN"/>
              </w:rPr>
            </w:pPr>
            <w:r>
              <w:rPr>
                <w:rFonts w:hint="eastAsia" w:ascii="宋体" w:hAnsi="宋体" w:eastAsia="宋体" w:cs="宋体"/>
                <w:iCs/>
                <w:snapToGrid w:val="0"/>
                <w:color w:val="auto"/>
                <w:kern w:val="0"/>
                <w:sz w:val="24"/>
                <w:szCs w:val="24"/>
                <w:highlight w:val="none"/>
                <w:lang w:eastAsia="zh-CN"/>
              </w:rPr>
              <w:t>粤北城市燃气（翁源）有限公司</w:t>
            </w:r>
          </w:p>
        </w:tc>
        <w:tc>
          <w:tcPr>
            <w:tcW w:w="3620" w:type="dxa"/>
            <w:vAlign w:val="center"/>
          </w:tcPr>
          <w:p w14:paraId="02199665">
            <w:pPr>
              <w:pStyle w:val="26"/>
              <w:wordWrap w:val="0"/>
              <w:adjustRightInd w:val="0"/>
              <w:snapToGrid w:val="0"/>
              <w:spacing w:line="360" w:lineRule="auto"/>
              <w:rPr>
                <w:rFonts w:hint="eastAsia" w:ascii="宋体" w:hAnsi="宋体" w:cs="宋体"/>
                <w:snapToGrid w:val="0"/>
                <w:color w:val="auto"/>
                <w:kern w:val="0"/>
                <w:sz w:val="24"/>
                <w:szCs w:val="24"/>
                <w:highlight w:val="none"/>
                <w:lang w:eastAsia="zh-CN"/>
              </w:rPr>
            </w:pPr>
            <w:r>
              <w:rPr>
                <w:rFonts w:hint="eastAsia" w:ascii="宋体" w:hAnsi="宋体" w:eastAsia="宋体" w:cs="宋体"/>
                <w:iCs/>
                <w:snapToGrid w:val="0"/>
                <w:color w:val="auto"/>
                <w:kern w:val="0"/>
                <w:sz w:val="24"/>
                <w:szCs w:val="24"/>
                <w:highlight w:val="none"/>
              </w:rPr>
              <w:t>为本招标项目的业主单位</w:t>
            </w:r>
          </w:p>
        </w:tc>
      </w:tr>
    </w:tbl>
    <w:p w14:paraId="568C425D">
      <w:pPr>
        <w:spacing w:line="360" w:lineRule="auto"/>
        <w:rPr>
          <w:rFonts w:hint="eastAsia" w:ascii="宋体" w:hAnsi="宋体" w:eastAsia="宋体" w:cs="宋体"/>
          <w:color w:val="auto"/>
          <w:sz w:val="24"/>
          <w:szCs w:val="24"/>
          <w:highlight w:val="none"/>
        </w:rPr>
      </w:pPr>
    </w:p>
    <w:p w14:paraId="44FD298A">
      <w:pPr>
        <w:spacing w:before="153" w:line="360" w:lineRule="auto"/>
        <w:ind w:left="70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其他要求</w:t>
      </w:r>
    </w:p>
    <w:p w14:paraId="329532D5">
      <w:pPr>
        <w:spacing w:before="150" w:line="360" w:lineRule="auto"/>
        <w:ind w:left="232" w:right="99" w:firstLine="48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省外企业及其拟派往本项目管理机构的所有</w:t>
      </w:r>
      <w:r>
        <w:rPr>
          <w:rFonts w:hint="eastAsia" w:ascii="宋体" w:hAnsi="宋体" w:eastAsia="宋体" w:cs="宋体"/>
          <w:color w:val="auto"/>
          <w:spacing w:val="-2"/>
          <w:sz w:val="24"/>
          <w:szCs w:val="24"/>
          <w:highlight w:val="none"/>
        </w:rPr>
        <w:t>人员均须按照《广东省住房和城乡建</w:t>
      </w:r>
      <w:r>
        <w:rPr>
          <w:rFonts w:hint="eastAsia" w:ascii="宋体" w:hAnsi="宋体" w:eastAsia="宋体" w:cs="宋体"/>
          <w:color w:val="auto"/>
          <w:spacing w:val="-1"/>
          <w:sz w:val="24"/>
          <w:szCs w:val="24"/>
          <w:highlight w:val="none"/>
        </w:rPr>
        <w:t>设厅关于取消省外建筑企业和人员进粤信息备案有关工作的通知》</w:t>
      </w:r>
      <w:r>
        <w:rPr>
          <w:rFonts w:hint="eastAsia" w:ascii="宋体" w:hAnsi="宋体" w:eastAsia="宋体" w:cs="宋体"/>
          <w:color w:val="auto"/>
          <w:spacing w:val="-2"/>
          <w:sz w:val="24"/>
          <w:szCs w:val="24"/>
          <w:highlight w:val="none"/>
        </w:rPr>
        <w:t>（粤建市</w:t>
      </w:r>
      <w:r>
        <w:rPr>
          <w:rFonts w:hint="eastAsia" w:ascii="宋体" w:hAnsi="宋体" w:eastAsia="宋体" w:cs="宋体"/>
          <w:color w:val="auto"/>
          <w:spacing w:val="-2"/>
          <w:sz w:val="24"/>
          <w:szCs w:val="24"/>
          <w:highlight w:val="none"/>
          <w:lang w:eastAsia="zh-CN"/>
        </w:rPr>
        <w:t>〔2015〕</w:t>
      </w:r>
      <w:r>
        <w:rPr>
          <w:rFonts w:hint="eastAsia" w:ascii="宋体" w:hAnsi="宋体" w:eastAsia="宋体" w:cs="宋体"/>
          <w:color w:val="auto"/>
          <w:spacing w:val="-4"/>
          <w:sz w:val="24"/>
          <w:szCs w:val="24"/>
          <w:highlight w:val="none"/>
        </w:rPr>
        <w:t>52</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4"/>
          <w:sz w:val="24"/>
          <w:szCs w:val="24"/>
          <w:highlight w:val="none"/>
        </w:rPr>
        <w:t>号）规定在“进粤企业和人员诚信信息登记平台”录入相关信息并通过数</w:t>
      </w:r>
      <w:r>
        <w:rPr>
          <w:rFonts w:hint="eastAsia" w:ascii="宋体" w:hAnsi="宋体" w:eastAsia="宋体" w:cs="宋体"/>
          <w:color w:val="auto"/>
          <w:spacing w:val="-5"/>
          <w:sz w:val="24"/>
          <w:szCs w:val="24"/>
          <w:highlight w:val="none"/>
        </w:rPr>
        <w:t>据规范检</w:t>
      </w:r>
      <w:r>
        <w:rPr>
          <w:rFonts w:hint="eastAsia" w:ascii="宋体" w:hAnsi="宋体" w:eastAsia="宋体" w:cs="宋体"/>
          <w:color w:val="auto"/>
          <w:spacing w:val="-6"/>
          <w:sz w:val="24"/>
          <w:szCs w:val="24"/>
          <w:highlight w:val="none"/>
        </w:rPr>
        <w:t>查。</w:t>
      </w:r>
    </w:p>
    <w:p w14:paraId="0063DCBD">
      <w:pPr>
        <w:numPr>
          <w:ilvl w:val="0"/>
          <w:numId w:val="1"/>
        </w:numPr>
        <w:spacing w:before="79" w:line="360" w:lineRule="auto"/>
        <w:ind w:left="715"/>
        <w:outlineLvl w:val="2"/>
        <w:rPr>
          <w:rFonts w:hint="eastAsia" w:ascii="宋体" w:hAnsi="宋体" w:eastAsia="宋体" w:cs="宋体"/>
          <w:color w:val="auto"/>
          <w:sz w:val="24"/>
          <w:szCs w:val="24"/>
          <w:highlight w:val="none"/>
        </w:rPr>
      </w:pPr>
      <w:bookmarkStart w:id="24" w:name="_Toc7702"/>
      <w:bookmarkStart w:id="25" w:name="_Toc23243"/>
      <w:r>
        <w:rPr>
          <w:rFonts w:hint="eastAsia" w:ascii="宋体" w:hAnsi="宋体" w:eastAsia="宋体" w:cs="宋体"/>
          <w:b/>
          <w:bCs/>
          <w:color w:val="auto"/>
          <w:spacing w:val="-4"/>
          <w:sz w:val="24"/>
          <w:szCs w:val="24"/>
          <w:highlight w:val="none"/>
        </w:rPr>
        <w:t>招标文件的获取</w:t>
      </w:r>
      <w:bookmarkEnd w:id="24"/>
      <w:bookmarkEnd w:id="25"/>
    </w:p>
    <w:p w14:paraId="6F47DB12">
      <w:pPr>
        <w:spacing w:before="182" w:line="360" w:lineRule="auto"/>
        <w:ind w:left="70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3.1  </w:t>
      </w:r>
      <w:r>
        <w:rPr>
          <w:rFonts w:hint="eastAsia" w:ascii="宋体" w:hAnsi="宋体" w:eastAsia="宋体" w:cs="宋体"/>
          <w:color w:val="auto"/>
          <w:spacing w:val="-1"/>
          <w:sz w:val="24"/>
          <w:szCs w:val="24"/>
          <w:highlight w:val="none"/>
        </w:rPr>
        <w:t>本次招标实行电子投标。</w:t>
      </w:r>
    </w:p>
    <w:p w14:paraId="6EFCD790">
      <w:pPr>
        <w:spacing w:before="142" w:line="360" w:lineRule="auto"/>
        <w:ind w:left="11" w:right="105" w:firstLine="473"/>
        <w:jc w:val="both"/>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本次招标实行电子投标。本项目招标文件随招标公</w:t>
      </w:r>
      <w:r>
        <w:rPr>
          <w:rFonts w:hint="eastAsia" w:ascii="宋体" w:hAnsi="宋体" w:eastAsia="宋体" w:cs="宋体"/>
          <w:color w:val="auto"/>
          <w:spacing w:val="-2"/>
          <w:sz w:val="24"/>
          <w:szCs w:val="24"/>
          <w:highlight w:val="none"/>
        </w:rPr>
        <w:t>告一并在全国公共资源交易平台（广东省·韶关市</w:t>
      </w:r>
      <w:r>
        <w:rPr>
          <w:rFonts w:hint="eastAsia" w:ascii="宋体" w:hAnsi="宋体" w:eastAsia="宋体" w:cs="宋体"/>
          <w:color w:val="auto"/>
          <w:spacing w:val="-56"/>
          <w:sz w:val="24"/>
          <w:szCs w:val="24"/>
          <w:highlight w:val="none"/>
        </w:rPr>
        <w:t>）（</w:t>
      </w:r>
      <w:r>
        <w:rPr>
          <w:rFonts w:hint="eastAsia" w:ascii="宋体" w:hAnsi="宋体" w:eastAsia="宋体" w:cs="宋体"/>
          <w:color w:val="auto"/>
          <w:spacing w:val="-56"/>
          <w:sz w:val="24"/>
          <w:szCs w:val="24"/>
          <w:highlight w:val="none"/>
          <w:lang w:val="en-US" w:eastAsia="zh-CN"/>
        </w:rPr>
        <w:t xml:space="preserve">              </w:t>
      </w:r>
      <w:r>
        <w:rPr>
          <w:rFonts w:hint="eastAsia" w:ascii="宋体" w:hAnsi="宋体" w:eastAsia="宋体" w:cs="宋体"/>
          <w:color w:val="auto"/>
          <w:spacing w:val="-2"/>
          <w:sz w:val="24"/>
          <w:szCs w:val="24"/>
          <w:highlight w:val="none"/>
        </w:rPr>
        <w:t>https://yg</w:t>
      </w:r>
      <w:r>
        <w:rPr>
          <w:rFonts w:hint="eastAsia" w:ascii="宋体" w:hAnsi="宋体" w:eastAsia="宋体" w:cs="宋体"/>
          <w:color w:val="auto"/>
          <w:spacing w:val="-3"/>
          <w:sz w:val="24"/>
          <w:szCs w:val="24"/>
          <w:highlight w:val="none"/>
        </w:rPr>
        <w:t>p.gdzwfw.gov.cn/ggzy-portal/#/440200/index）</w:t>
      </w:r>
      <w:r>
        <w:rPr>
          <w:rFonts w:hint="eastAsia" w:ascii="宋体" w:hAnsi="宋体" w:eastAsia="宋体" w:cs="宋体"/>
          <w:color w:val="auto"/>
          <w:spacing w:val="-1"/>
          <w:sz w:val="24"/>
          <w:szCs w:val="24"/>
          <w:highlight w:val="none"/>
        </w:rPr>
        <w:t>网站发布。招标文件一经发布，视为发送投标人，招标文件及相</w:t>
      </w:r>
      <w:r>
        <w:rPr>
          <w:rFonts w:hint="eastAsia" w:ascii="宋体" w:hAnsi="宋体" w:eastAsia="宋体" w:cs="宋体"/>
          <w:color w:val="auto"/>
          <w:spacing w:val="-2"/>
          <w:sz w:val="24"/>
          <w:szCs w:val="24"/>
          <w:highlight w:val="none"/>
        </w:rPr>
        <w:t>关附件由投标人自行</w:t>
      </w:r>
      <w:r>
        <w:rPr>
          <w:rFonts w:hint="eastAsia" w:ascii="宋体" w:hAnsi="宋体" w:eastAsia="宋体" w:cs="宋体"/>
          <w:color w:val="auto"/>
          <w:spacing w:val="-7"/>
          <w:sz w:val="24"/>
          <w:szCs w:val="24"/>
          <w:highlight w:val="none"/>
        </w:rPr>
        <w:t>在全国公共资源交易平台（广东省·韶关市）网站下载。请于招标文件获取期间（见</w:t>
      </w:r>
      <w:r>
        <w:rPr>
          <w:rFonts w:hint="eastAsia" w:ascii="宋体" w:hAnsi="宋体" w:eastAsia="宋体" w:cs="宋体"/>
          <w:color w:val="auto"/>
          <w:spacing w:val="-2"/>
          <w:sz w:val="24"/>
          <w:szCs w:val="24"/>
          <w:highlight w:val="none"/>
        </w:rPr>
        <w:t>本章第二节“重要事项时间地点一览表”）</w:t>
      </w:r>
      <w:r>
        <w:rPr>
          <w:rFonts w:hint="eastAsia" w:ascii="宋体" w:hAnsi="宋体" w:eastAsia="宋体" w:cs="宋体"/>
          <w:color w:val="auto"/>
          <w:spacing w:val="-2"/>
          <w:sz w:val="24"/>
          <w:szCs w:val="24"/>
          <w:highlight w:val="none"/>
          <w:lang w:eastAsia="zh-CN"/>
        </w:rPr>
        <w:t>招标</w:t>
      </w:r>
      <w:r>
        <w:rPr>
          <w:rFonts w:hint="eastAsia" w:ascii="宋体" w:hAnsi="宋体" w:eastAsia="宋体" w:cs="宋体"/>
          <w:color w:val="auto"/>
          <w:spacing w:val="-2"/>
          <w:sz w:val="24"/>
          <w:szCs w:val="24"/>
          <w:highlight w:val="none"/>
        </w:rPr>
        <w:t>文件获取期间与招标公告发</w:t>
      </w:r>
      <w:r>
        <w:rPr>
          <w:rFonts w:hint="eastAsia" w:ascii="宋体" w:hAnsi="宋体" w:eastAsia="宋体" w:cs="宋体"/>
          <w:color w:val="auto"/>
          <w:spacing w:val="-3"/>
          <w:sz w:val="24"/>
          <w:szCs w:val="24"/>
          <w:highlight w:val="none"/>
        </w:rPr>
        <w:t>布时间</w:t>
      </w:r>
      <w:r>
        <w:rPr>
          <w:rFonts w:hint="eastAsia" w:ascii="宋体" w:hAnsi="宋体" w:eastAsia="宋体" w:cs="宋体"/>
          <w:color w:val="auto"/>
          <w:spacing w:val="-3"/>
          <w:sz w:val="24"/>
          <w:szCs w:val="24"/>
          <w:highlight w:val="none"/>
          <w:lang w:eastAsia="zh-CN"/>
        </w:rPr>
        <w:t>一致</w:t>
      </w:r>
      <w:r>
        <w:rPr>
          <w:rFonts w:hint="eastAsia" w:ascii="宋体" w:hAnsi="宋体" w:eastAsia="宋体" w:cs="宋体"/>
          <w:color w:val="auto"/>
          <w:spacing w:val="-4"/>
          <w:sz w:val="24"/>
          <w:szCs w:val="24"/>
          <w:highlight w:val="none"/>
        </w:rPr>
        <w:t>，投标人须登录全国公共资源交易平台（广东省·韶关市</w:t>
      </w:r>
      <w:r>
        <w:rPr>
          <w:rFonts w:hint="eastAsia" w:ascii="宋体" w:hAnsi="宋体" w:eastAsia="宋体" w:cs="宋体"/>
          <w:color w:val="auto"/>
          <w:spacing w:val="-40"/>
          <w:sz w:val="24"/>
          <w:szCs w:val="24"/>
          <w:highlight w:val="none"/>
        </w:rPr>
        <w:t>）（</w:t>
      </w:r>
      <w:r>
        <w:rPr>
          <w:rFonts w:hint="eastAsia" w:ascii="宋体" w:hAnsi="宋体" w:eastAsia="宋体" w:cs="宋体"/>
          <w:color w:val="auto"/>
          <w:spacing w:val="-40"/>
          <w:sz w:val="24"/>
          <w:szCs w:val="24"/>
          <w:highlight w:val="none"/>
          <w:lang w:val="en-US" w:eastAsia="zh-CN"/>
        </w:rPr>
        <w:t xml:space="preserve">   </w:t>
      </w:r>
      <w:r>
        <w:rPr>
          <w:rFonts w:hint="eastAsia" w:ascii="宋体" w:hAnsi="宋体" w:eastAsia="宋体" w:cs="宋体"/>
          <w:color w:val="auto"/>
          <w:spacing w:val="-4"/>
          <w:sz w:val="24"/>
          <w:szCs w:val="24"/>
          <w:highlight w:val="none"/>
        </w:rPr>
        <w:t>https://ygp.gdzwfw.</w:t>
      </w:r>
      <w:r>
        <w:rPr>
          <w:rFonts w:hint="eastAsia" w:ascii="宋体" w:hAnsi="宋体" w:eastAsia="宋体" w:cs="宋体"/>
          <w:color w:val="auto"/>
          <w:sz w:val="24"/>
          <w:szCs w:val="24"/>
          <w:highlight w:val="none"/>
        </w:rPr>
        <w:t>gov</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cn</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ggzy</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portal</w:t>
      </w:r>
      <w:r>
        <w:rPr>
          <w:rFonts w:hint="eastAsia" w:ascii="宋体" w:hAnsi="宋体" w:eastAsia="宋体" w:cs="宋体"/>
          <w:color w:val="auto"/>
          <w:spacing w:val="2"/>
          <w:sz w:val="24"/>
          <w:szCs w:val="24"/>
          <w:highlight w:val="none"/>
        </w:rPr>
        <w:t>/#/440200/</w:t>
      </w:r>
      <w:r>
        <w:rPr>
          <w:rFonts w:hint="eastAsia" w:ascii="宋体" w:hAnsi="宋体" w:eastAsia="宋体" w:cs="宋体"/>
          <w:color w:val="auto"/>
          <w:sz w:val="24"/>
          <w:szCs w:val="24"/>
          <w:highlight w:val="none"/>
        </w:rPr>
        <w:t>index</w:t>
      </w:r>
      <w:r>
        <w:rPr>
          <w:rFonts w:hint="eastAsia" w:ascii="宋体" w:hAnsi="宋体" w:eastAsia="宋体" w:cs="宋体"/>
          <w:color w:val="auto"/>
          <w:spacing w:val="7"/>
          <w:sz w:val="24"/>
          <w:szCs w:val="24"/>
          <w:highlight w:val="none"/>
        </w:rPr>
        <w:t>），</w:t>
      </w:r>
      <w:r>
        <w:rPr>
          <w:rFonts w:hint="eastAsia" w:ascii="宋体" w:hAnsi="宋体" w:eastAsia="宋体" w:cs="宋体"/>
          <w:color w:val="auto"/>
          <w:spacing w:val="7"/>
          <w:sz w:val="24"/>
          <w:szCs w:val="24"/>
          <w:highlight w:val="none"/>
          <w:lang w:eastAsia="zh-CN"/>
        </w:rPr>
        <w:t>使用</w:t>
      </w:r>
      <w:r>
        <w:rPr>
          <w:rFonts w:hint="eastAsia" w:ascii="宋体" w:hAnsi="宋体" w:eastAsia="宋体" w:cs="宋体"/>
          <w:color w:val="auto"/>
          <w:spacing w:val="7"/>
          <w:sz w:val="24"/>
          <w:szCs w:val="24"/>
          <w:highlight w:val="none"/>
          <w:lang w:val="en-US" w:eastAsia="zh-CN"/>
        </w:rPr>
        <w:t>新</w:t>
      </w:r>
      <w:r>
        <w:rPr>
          <w:rFonts w:hint="eastAsia" w:ascii="宋体" w:hAnsi="宋体" w:eastAsia="宋体" w:cs="宋体"/>
          <w:color w:val="auto"/>
          <w:spacing w:val="2"/>
          <w:sz w:val="24"/>
          <w:szCs w:val="24"/>
          <w:highlight w:val="none"/>
        </w:rPr>
        <w:t>建设工程交易系统进行下载</w:t>
      </w:r>
      <w:r>
        <w:rPr>
          <w:rFonts w:hint="eastAsia" w:ascii="宋体" w:hAnsi="宋体" w:eastAsia="宋体" w:cs="宋体"/>
          <w:color w:val="auto"/>
          <w:spacing w:val="1"/>
          <w:sz w:val="24"/>
          <w:szCs w:val="24"/>
          <w:highlight w:val="none"/>
        </w:rPr>
        <w:t>招标文</w:t>
      </w:r>
      <w:r>
        <w:rPr>
          <w:rFonts w:hint="eastAsia" w:ascii="宋体" w:hAnsi="宋体" w:eastAsia="宋体" w:cs="宋体"/>
          <w:color w:val="auto"/>
          <w:spacing w:val="-6"/>
          <w:sz w:val="24"/>
          <w:szCs w:val="24"/>
          <w:highlight w:val="none"/>
        </w:rPr>
        <w:t>件及相关附件，并于电子投标截止时间（见本章第二节“重要事项时间地点一览表”）</w:t>
      </w:r>
      <w:r>
        <w:rPr>
          <w:rFonts w:hint="eastAsia" w:ascii="宋体" w:hAnsi="宋体" w:eastAsia="宋体" w:cs="宋体"/>
          <w:color w:val="auto"/>
          <w:spacing w:val="-2"/>
          <w:sz w:val="24"/>
          <w:szCs w:val="24"/>
          <w:highlight w:val="none"/>
        </w:rPr>
        <w:t>前完成电子投标。投标人可登录全国公共资源交易平</w:t>
      </w:r>
      <w:r>
        <w:rPr>
          <w:rFonts w:hint="eastAsia" w:ascii="宋体" w:hAnsi="宋体" w:eastAsia="宋体" w:cs="宋体"/>
          <w:color w:val="auto"/>
          <w:spacing w:val="-3"/>
          <w:sz w:val="24"/>
          <w:szCs w:val="24"/>
          <w:highlight w:val="none"/>
        </w:rPr>
        <w:t>台（广东省·韶关市</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5"/>
          <w:sz w:val="24"/>
          <w:szCs w:val="24"/>
          <w:highlight w:val="none"/>
          <w:lang w:val="en-US" w:eastAsia="zh-CN"/>
        </w:rPr>
        <w:t xml:space="preserve">   </w:t>
      </w:r>
      <w:r>
        <w:rPr>
          <w:rFonts w:hint="eastAsia" w:ascii="宋体" w:hAnsi="宋体" w:eastAsia="宋体" w:cs="宋体"/>
          <w:color w:val="auto"/>
          <w:spacing w:val="-3"/>
          <w:sz w:val="24"/>
          <w:szCs w:val="24"/>
          <w:highlight w:val="none"/>
        </w:rPr>
        <w:t>https:</w:t>
      </w:r>
      <w:r>
        <w:rPr>
          <w:rFonts w:hint="eastAsia" w:ascii="宋体" w:hAnsi="宋体" w:eastAsia="宋体" w:cs="宋体"/>
          <w:color w:val="auto"/>
          <w:sz w:val="24"/>
          <w:szCs w:val="24"/>
          <w:highlight w:val="none"/>
        </w:rPr>
        <w:t>//ygp.gdzwfw.gov.cn/ggz</w:t>
      </w:r>
      <w:r>
        <w:rPr>
          <w:rFonts w:hint="eastAsia" w:ascii="宋体" w:hAnsi="宋体" w:eastAsia="宋体" w:cs="宋体"/>
          <w:color w:val="auto"/>
          <w:spacing w:val="-1"/>
          <w:sz w:val="24"/>
          <w:szCs w:val="24"/>
          <w:highlight w:val="none"/>
        </w:rPr>
        <w:t>y-portal/#/440200/index</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1"/>
          <w:sz w:val="24"/>
          <w:szCs w:val="24"/>
          <w:highlight w:val="none"/>
        </w:rPr>
        <w:t>在【服务指南】栏目中</w:t>
      </w:r>
      <w:r>
        <w:rPr>
          <w:rFonts w:hint="eastAsia" w:ascii="宋体" w:hAnsi="宋体" w:eastAsia="宋体" w:cs="宋体"/>
          <w:color w:val="auto"/>
          <w:spacing w:val="-1"/>
          <w:sz w:val="24"/>
          <w:szCs w:val="24"/>
          <w:highlight w:val="none"/>
          <w:lang w:eastAsia="zh-CN"/>
        </w:rPr>
        <w:t>的建设工程</w:t>
      </w:r>
      <w:r>
        <w:rPr>
          <w:rFonts w:hint="eastAsia" w:ascii="宋体" w:hAnsi="宋体" w:eastAsia="宋体" w:cs="宋体"/>
          <w:color w:val="auto"/>
          <w:spacing w:val="-2"/>
          <w:sz w:val="24"/>
          <w:szCs w:val="24"/>
          <w:highlight w:val="none"/>
        </w:rPr>
        <w:t>交易中下载《韶关市公共资源建设工程交易系统-投</w:t>
      </w:r>
      <w:r>
        <w:rPr>
          <w:rFonts w:hint="eastAsia" w:ascii="宋体" w:hAnsi="宋体" w:eastAsia="宋体" w:cs="宋体"/>
          <w:color w:val="auto"/>
          <w:spacing w:val="-1"/>
          <w:sz w:val="24"/>
          <w:szCs w:val="24"/>
          <w:highlight w:val="none"/>
        </w:rPr>
        <w:t>标人操作指南（电子评标）》（附件 2），了解网上获取招标文件操作流程。技术咨询电话：18819797080</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0751-8379671</w:t>
      </w:r>
      <w:r>
        <w:rPr>
          <w:rFonts w:hint="eastAsia" w:ascii="宋体" w:hAnsi="宋体" w:eastAsia="宋体" w:cs="宋体"/>
          <w:color w:val="auto"/>
          <w:spacing w:val="-1"/>
          <w:sz w:val="24"/>
          <w:szCs w:val="24"/>
          <w:highlight w:val="none"/>
          <w:lang w:eastAsia="zh-CN"/>
        </w:rPr>
        <w:t>（伍先生）</w:t>
      </w:r>
      <w:r>
        <w:rPr>
          <w:rFonts w:hint="eastAsia" w:ascii="宋体" w:hAnsi="宋体" w:eastAsia="宋体" w:cs="宋体"/>
          <w:color w:val="auto"/>
          <w:spacing w:val="-1"/>
          <w:sz w:val="24"/>
          <w:szCs w:val="24"/>
          <w:highlight w:val="none"/>
        </w:rPr>
        <w:t>，业务咨询电话：0751-8633211、8633071。</w:t>
      </w:r>
    </w:p>
    <w:p w14:paraId="68899B1C">
      <w:pPr>
        <w:spacing w:before="142" w:line="360" w:lineRule="auto"/>
        <w:ind w:left="11" w:right="105" w:firstLine="473"/>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3.2  </w:t>
      </w:r>
      <w:r>
        <w:rPr>
          <w:rFonts w:hint="eastAsia" w:ascii="宋体" w:hAnsi="宋体" w:eastAsia="宋体" w:cs="宋体"/>
          <w:color w:val="auto"/>
          <w:spacing w:val="-1"/>
          <w:sz w:val="24"/>
          <w:szCs w:val="24"/>
          <w:highlight w:val="none"/>
        </w:rPr>
        <w:t>只有申领了数字证书（CA）、“粤企签”或</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GDCA/SZCA/NETCA</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1"/>
          <w:sz w:val="24"/>
          <w:szCs w:val="24"/>
          <w:highlight w:val="none"/>
        </w:rPr>
        <w:t>等符合法律法规规定的电子印章，并在交易系统中完成企业信息数据入库</w:t>
      </w:r>
      <w:r>
        <w:rPr>
          <w:rFonts w:hint="eastAsia" w:ascii="宋体" w:hAnsi="宋体" w:eastAsia="宋体" w:cs="宋体"/>
          <w:color w:val="auto"/>
          <w:spacing w:val="-2"/>
          <w:sz w:val="24"/>
          <w:szCs w:val="24"/>
          <w:highlight w:val="none"/>
        </w:rPr>
        <w:t>的投标人，方可使用建设</w:t>
      </w:r>
      <w:r>
        <w:rPr>
          <w:rFonts w:hint="eastAsia" w:ascii="宋体" w:hAnsi="宋体" w:eastAsia="宋体" w:cs="宋体"/>
          <w:color w:val="auto"/>
          <w:spacing w:val="-1"/>
          <w:sz w:val="24"/>
          <w:szCs w:val="24"/>
          <w:highlight w:val="none"/>
        </w:rPr>
        <w:t>工程交易系统进行招标文件及附件获取和电子投标。</w:t>
      </w:r>
    </w:p>
    <w:p w14:paraId="66BF8C88">
      <w:pPr>
        <w:spacing w:before="32" w:line="360" w:lineRule="auto"/>
        <w:ind w:left="10" w:right="90" w:firstLine="483"/>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首次在韶关市参与建设工程招标投标活动的</w:t>
      </w:r>
      <w:r>
        <w:rPr>
          <w:rFonts w:hint="eastAsia" w:ascii="宋体" w:hAnsi="宋体" w:eastAsia="宋体" w:cs="宋体"/>
          <w:color w:val="auto"/>
          <w:spacing w:val="-2"/>
          <w:sz w:val="24"/>
          <w:szCs w:val="24"/>
          <w:highlight w:val="none"/>
        </w:rPr>
        <w:t>投标人，必须在平台系统上传企业相</w:t>
      </w:r>
      <w:r>
        <w:rPr>
          <w:rFonts w:hint="eastAsia" w:ascii="宋体" w:hAnsi="宋体" w:eastAsia="宋体" w:cs="宋体"/>
          <w:color w:val="auto"/>
          <w:spacing w:val="-3"/>
          <w:sz w:val="24"/>
          <w:szCs w:val="24"/>
          <w:highlight w:val="none"/>
        </w:rPr>
        <w:t>关资料办理企业入库事宜。投标人可登录全国公共资源</w:t>
      </w:r>
      <w:r>
        <w:rPr>
          <w:rFonts w:hint="eastAsia" w:ascii="宋体" w:hAnsi="宋体" w:eastAsia="宋体" w:cs="宋体"/>
          <w:color w:val="auto"/>
          <w:spacing w:val="-4"/>
          <w:sz w:val="24"/>
          <w:szCs w:val="24"/>
          <w:highlight w:val="none"/>
        </w:rPr>
        <w:t>交易平台（广东省·韶关市）</w:t>
      </w:r>
      <w:r>
        <w:rPr>
          <w:rFonts w:hint="eastAsia" w:ascii="宋体" w:hAnsi="宋体" w:eastAsia="宋体" w:cs="宋体"/>
          <w:color w:val="auto"/>
          <w:spacing w:val="-1"/>
          <w:sz w:val="24"/>
          <w:szCs w:val="24"/>
          <w:highlight w:val="none"/>
        </w:rPr>
        <w:t>（</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"https://ygp.gdzwfw.gov.cn/ggzy-portal/#/440200/index" </w:instrText>
      </w:r>
      <w:r>
        <w:rPr>
          <w:rFonts w:hint="eastAsia" w:ascii="宋体" w:hAnsi="宋体" w:eastAsia="宋体" w:cs="宋体"/>
          <w:color w:val="auto"/>
          <w:highlight w:val="none"/>
        </w:rPr>
        <w:fldChar w:fldCharType="separate"/>
      </w:r>
      <w:r>
        <w:rPr>
          <w:rFonts w:hint="eastAsia" w:ascii="宋体" w:hAnsi="宋体" w:eastAsia="宋体" w:cs="宋体"/>
          <w:color w:val="auto"/>
          <w:spacing w:val="-1"/>
          <w:sz w:val="24"/>
          <w:szCs w:val="24"/>
          <w:highlight w:val="none"/>
        </w:rPr>
        <w:t>https://ygp.gdzwfw.gov.cn/ggzy-portal/#/440200/index</w:t>
      </w:r>
      <w:r>
        <w:rPr>
          <w:rFonts w:hint="eastAsia" w:ascii="宋体" w:hAnsi="宋体" w:eastAsia="宋体" w:cs="宋体"/>
          <w:color w:val="auto"/>
          <w:spacing w:val="-1"/>
          <w:sz w:val="24"/>
          <w:szCs w:val="24"/>
          <w:highlight w:val="none"/>
        </w:rPr>
        <w:fldChar w:fldCharType="end"/>
      </w:r>
      <w:r>
        <w:rPr>
          <w:rFonts w:hint="eastAsia" w:ascii="宋体" w:hAnsi="宋体" w:eastAsia="宋体" w:cs="宋体"/>
          <w:color w:val="auto"/>
          <w:spacing w:val="-1"/>
          <w:sz w:val="24"/>
          <w:szCs w:val="24"/>
          <w:highlight w:val="none"/>
        </w:rPr>
        <w:t>）办理企业入库、数字证书及电子印章事宜，具体请在平台查阅相应的交易指引。</w:t>
      </w:r>
    </w:p>
    <w:p w14:paraId="2BFC4BF1">
      <w:pPr>
        <w:spacing w:before="37" w:line="360" w:lineRule="auto"/>
        <w:ind w:left="9" w:right="105" w:firstLine="507"/>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已入库企业有关信息（如单位名称、基本账号、资质、人员等）发生变化</w:t>
      </w:r>
      <w:r>
        <w:rPr>
          <w:rFonts w:hint="eastAsia" w:ascii="宋体" w:hAnsi="宋体" w:eastAsia="宋体" w:cs="宋体"/>
          <w:color w:val="auto"/>
          <w:spacing w:val="-3"/>
          <w:sz w:val="24"/>
          <w:szCs w:val="24"/>
          <w:highlight w:val="none"/>
        </w:rPr>
        <w:t>的，须</w:t>
      </w:r>
      <w:r>
        <w:rPr>
          <w:rFonts w:hint="eastAsia" w:ascii="宋体" w:hAnsi="宋体" w:eastAsia="宋体" w:cs="宋体"/>
          <w:color w:val="auto"/>
          <w:spacing w:val="-1"/>
          <w:sz w:val="24"/>
          <w:szCs w:val="24"/>
          <w:highlight w:val="none"/>
        </w:rPr>
        <w:t>及时在交易系统进行相应变更。投标人未及时变更信息而造成的</w:t>
      </w:r>
      <w:r>
        <w:rPr>
          <w:rFonts w:hint="eastAsia" w:ascii="宋体" w:hAnsi="宋体" w:eastAsia="宋体" w:cs="宋体"/>
          <w:color w:val="auto"/>
          <w:spacing w:val="-2"/>
          <w:sz w:val="24"/>
          <w:szCs w:val="24"/>
          <w:highlight w:val="none"/>
        </w:rPr>
        <w:t>损失和后果，由</w:t>
      </w:r>
      <w:r>
        <w:rPr>
          <w:rFonts w:hint="eastAsia" w:ascii="宋体" w:hAnsi="宋体" w:eastAsia="宋体" w:cs="宋体"/>
          <w:color w:val="auto"/>
          <w:spacing w:val="-2"/>
          <w:sz w:val="24"/>
          <w:szCs w:val="24"/>
          <w:highlight w:val="none"/>
          <w:lang w:eastAsia="zh-CN"/>
        </w:rPr>
        <w:t>投标人</w:t>
      </w:r>
      <w:r>
        <w:rPr>
          <w:rFonts w:hint="eastAsia" w:ascii="宋体" w:hAnsi="宋体" w:eastAsia="宋体" w:cs="宋体"/>
          <w:color w:val="auto"/>
          <w:spacing w:val="-2"/>
          <w:sz w:val="24"/>
          <w:szCs w:val="24"/>
          <w:highlight w:val="none"/>
        </w:rPr>
        <w:t>自行承担。</w:t>
      </w:r>
    </w:p>
    <w:p w14:paraId="3B9F37C6">
      <w:pPr>
        <w:spacing w:before="33" w:line="360" w:lineRule="auto"/>
        <w:ind w:left="10" w:right="105" w:firstLine="508"/>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电子印章：是指获得</w:t>
      </w:r>
      <w:r>
        <w:rPr>
          <w:rFonts w:hint="eastAsia" w:ascii="宋体" w:hAnsi="宋体" w:eastAsia="宋体" w:cs="宋体"/>
          <w:color w:val="auto"/>
          <w:spacing w:val="-2"/>
          <w:sz w:val="24"/>
          <w:szCs w:val="24"/>
          <w:highlight w:val="none"/>
          <w:lang w:eastAsia="zh-CN"/>
        </w:rPr>
        <w:t>工业和信息化部</w:t>
      </w:r>
      <w:r>
        <w:rPr>
          <w:rFonts w:hint="eastAsia" w:ascii="宋体" w:hAnsi="宋体" w:eastAsia="宋体" w:cs="宋体"/>
          <w:color w:val="auto"/>
          <w:spacing w:val="-2"/>
          <w:sz w:val="24"/>
          <w:szCs w:val="24"/>
          <w:highlight w:val="none"/>
        </w:rPr>
        <w:t>颁发的《电子认证服务许可</w:t>
      </w:r>
      <w:r>
        <w:rPr>
          <w:rFonts w:hint="eastAsia" w:ascii="宋体" w:hAnsi="宋体" w:eastAsia="宋体" w:cs="宋体"/>
          <w:color w:val="auto"/>
          <w:spacing w:val="-3"/>
          <w:sz w:val="24"/>
          <w:szCs w:val="24"/>
          <w:highlight w:val="none"/>
        </w:rPr>
        <w:t>证》、国家</w:t>
      </w:r>
      <w:r>
        <w:rPr>
          <w:rFonts w:hint="eastAsia" w:ascii="宋体" w:hAnsi="宋体" w:eastAsia="宋体" w:cs="宋体"/>
          <w:color w:val="auto"/>
          <w:spacing w:val="-1"/>
          <w:sz w:val="24"/>
          <w:szCs w:val="24"/>
          <w:highlight w:val="none"/>
        </w:rPr>
        <w:t>密码管理局颁发的《电子认证服务使用密码许可证》等资质，</w:t>
      </w:r>
      <w:r>
        <w:rPr>
          <w:rFonts w:hint="eastAsia" w:ascii="宋体" w:hAnsi="宋体" w:eastAsia="宋体" w:cs="宋体"/>
          <w:color w:val="auto"/>
          <w:spacing w:val="-2"/>
          <w:sz w:val="24"/>
          <w:szCs w:val="24"/>
          <w:highlight w:val="none"/>
        </w:rPr>
        <w:t>具备承担因数字证书原</w:t>
      </w:r>
      <w:r>
        <w:rPr>
          <w:rFonts w:hint="eastAsia" w:ascii="宋体" w:hAnsi="宋体" w:eastAsia="宋体" w:cs="宋体"/>
          <w:color w:val="auto"/>
          <w:spacing w:val="-1"/>
          <w:sz w:val="24"/>
          <w:szCs w:val="24"/>
          <w:highlight w:val="none"/>
        </w:rPr>
        <w:t>因产生纠纷的相关责任的能力，且在广东省内具有数量基础和</w:t>
      </w:r>
      <w:r>
        <w:rPr>
          <w:rFonts w:hint="eastAsia" w:ascii="宋体" w:hAnsi="宋体" w:eastAsia="宋体" w:cs="宋体"/>
          <w:color w:val="auto"/>
          <w:spacing w:val="-2"/>
          <w:sz w:val="24"/>
          <w:szCs w:val="24"/>
          <w:highlight w:val="none"/>
        </w:rPr>
        <w:t>服务能力的依法设立的</w:t>
      </w:r>
      <w:r>
        <w:rPr>
          <w:rFonts w:hint="eastAsia" w:ascii="宋体" w:hAnsi="宋体" w:eastAsia="宋体" w:cs="宋体"/>
          <w:color w:val="auto"/>
          <w:spacing w:val="3"/>
          <w:sz w:val="24"/>
          <w:szCs w:val="24"/>
          <w:highlight w:val="none"/>
        </w:rPr>
        <w:t>电子认证服务机构签发的电子签章认证证书（即</w:t>
      </w:r>
      <w:r>
        <w:rPr>
          <w:rFonts w:hint="eastAsia" w:ascii="宋体" w:hAnsi="宋体" w:eastAsia="宋体" w:cs="宋体"/>
          <w:color w:val="auto"/>
          <w:sz w:val="24"/>
          <w:szCs w:val="24"/>
          <w:highlight w:val="none"/>
        </w:rPr>
        <w:t>CA</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数字证书）。投标人应当到相关</w:t>
      </w:r>
      <w:r>
        <w:rPr>
          <w:rFonts w:hint="eastAsia" w:ascii="宋体" w:hAnsi="宋体" w:eastAsia="宋体" w:cs="宋体"/>
          <w:color w:val="auto"/>
          <w:spacing w:val="-1"/>
          <w:sz w:val="24"/>
          <w:szCs w:val="24"/>
          <w:highlight w:val="none"/>
        </w:rPr>
        <w:t>服务机构办理并取得数字证书介质和应用。电子印章包括机构</w:t>
      </w:r>
      <w:r>
        <w:rPr>
          <w:rFonts w:hint="eastAsia" w:ascii="宋体" w:hAnsi="宋体" w:eastAsia="宋体" w:cs="宋体"/>
          <w:color w:val="auto"/>
          <w:spacing w:val="-2"/>
          <w:sz w:val="24"/>
          <w:szCs w:val="24"/>
          <w:highlight w:val="none"/>
        </w:rPr>
        <w:t>法人电子形式印章，单</w:t>
      </w:r>
      <w:r>
        <w:rPr>
          <w:rFonts w:hint="eastAsia" w:ascii="宋体" w:hAnsi="宋体" w:eastAsia="宋体" w:cs="宋体"/>
          <w:color w:val="auto"/>
          <w:spacing w:val="-1"/>
          <w:sz w:val="24"/>
          <w:szCs w:val="24"/>
          <w:highlight w:val="none"/>
        </w:rPr>
        <w:t>位法定代表人、被委托人及其他个人的电子形式印章。电子印</w:t>
      </w:r>
      <w:r>
        <w:rPr>
          <w:rFonts w:hint="eastAsia" w:ascii="宋体" w:hAnsi="宋体" w:eastAsia="宋体" w:cs="宋体"/>
          <w:color w:val="auto"/>
          <w:spacing w:val="-2"/>
          <w:sz w:val="24"/>
          <w:szCs w:val="24"/>
          <w:highlight w:val="none"/>
        </w:rPr>
        <w:t>章与手写签名或者盖章</w:t>
      </w:r>
      <w:r>
        <w:rPr>
          <w:rFonts w:hint="eastAsia" w:ascii="宋体" w:hAnsi="宋体" w:eastAsia="宋体" w:cs="宋体"/>
          <w:color w:val="auto"/>
          <w:spacing w:val="-1"/>
          <w:sz w:val="24"/>
          <w:szCs w:val="24"/>
          <w:highlight w:val="none"/>
        </w:rPr>
        <w:t>具有同等的法律效力。</w:t>
      </w:r>
    </w:p>
    <w:p w14:paraId="05AB0BB7">
      <w:pPr>
        <w:spacing w:before="33" w:line="360"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3.3</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3"/>
          <w:sz w:val="24"/>
          <w:szCs w:val="24"/>
          <w:highlight w:val="none"/>
        </w:rPr>
        <w:t>投标保证</w:t>
      </w:r>
    </w:p>
    <w:p w14:paraId="050F418D">
      <w:pPr>
        <w:spacing w:before="152" w:line="360" w:lineRule="auto"/>
        <w:ind w:left="8" w:right="105"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3.3.1  </w:t>
      </w:r>
      <w:r>
        <w:rPr>
          <w:rFonts w:hint="eastAsia" w:ascii="宋体" w:hAnsi="宋体" w:eastAsia="宋体" w:cs="宋体"/>
          <w:color w:val="auto"/>
          <w:spacing w:val="-1"/>
          <w:sz w:val="24"/>
          <w:szCs w:val="24"/>
          <w:highlight w:val="none"/>
        </w:rPr>
        <w:t>投标人须缴纳金额为</w:t>
      </w:r>
      <w:r>
        <w:rPr>
          <w:rFonts w:hint="eastAsia" w:ascii="宋体" w:hAnsi="宋体" w:eastAsia="宋体" w:cs="宋体"/>
          <w:color w:val="auto"/>
          <w:spacing w:val="-1"/>
          <w:sz w:val="24"/>
          <w:szCs w:val="24"/>
          <w:highlight w:val="none"/>
          <w:lang w:eastAsia="zh-CN"/>
        </w:rPr>
        <w:t>人民币</w:t>
      </w:r>
      <w:r>
        <w:rPr>
          <w:rFonts w:hint="eastAsia" w:ascii="宋体" w:hAnsi="宋体" w:eastAsia="宋体" w:cs="宋体"/>
          <w:color w:val="auto"/>
          <w:spacing w:val="-1"/>
          <w:sz w:val="24"/>
          <w:szCs w:val="24"/>
          <w:highlight w:val="none"/>
          <w:lang w:val="en-US" w:eastAsia="zh-CN"/>
        </w:rPr>
        <w:t>壹</w:t>
      </w:r>
      <w:r>
        <w:rPr>
          <w:rFonts w:hint="eastAsia" w:ascii="宋体" w:hAnsi="宋体" w:eastAsia="宋体" w:cs="宋体"/>
          <w:color w:val="auto"/>
          <w:spacing w:val="-1"/>
          <w:sz w:val="24"/>
          <w:szCs w:val="24"/>
          <w:highlight w:val="none"/>
          <w:lang w:eastAsia="zh-CN"/>
        </w:rPr>
        <w:t>拾万元整（￥100000.00）</w:t>
      </w:r>
      <w:r>
        <w:rPr>
          <w:rFonts w:hint="eastAsia" w:ascii="宋体" w:hAnsi="宋体" w:eastAsia="宋体" w:cs="宋体"/>
          <w:color w:val="auto"/>
          <w:spacing w:val="-1"/>
          <w:sz w:val="24"/>
          <w:szCs w:val="24"/>
          <w:highlight w:val="none"/>
        </w:rPr>
        <w:t>的投标保</w:t>
      </w:r>
      <w:r>
        <w:rPr>
          <w:rFonts w:hint="eastAsia" w:ascii="宋体" w:hAnsi="宋体" w:eastAsia="宋体" w:cs="宋体"/>
          <w:color w:val="auto"/>
          <w:spacing w:val="-1"/>
          <w:sz w:val="24"/>
          <w:szCs w:val="24"/>
          <w:highlight w:val="none"/>
          <w:lang w:eastAsia="zh-CN"/>
        </w:rPr>
        <w:t>证</w:t>
      </w:r>
      <w:r>
        <w:rPr>
          <w:rFonts w:hint="eastAsia" w:ascii="宋体" w:hAnsi="宋体" w:eastAsia="宋体" w:cs="宋体"/>
          <w:color w:val="auto"/>
          <w:spacing w:val="-1"/>
          <w:sz w:val="24"/>
          <w:szCs w:val="24"/>
          <w:highlight w:val="none"/>
        </w:rPr>
        <w:t xml:space="preserve">。 </w:t>
      </w:r>
    </w:p>
    <w:p w14:paraId="28067BD7">
      <w:pPr>
        <w:spacing w:before="35" w:line="360" w:lineRule="auto"/>
        <w:ind w:left="12" w:right="108" w:firstLine="471"/>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 xml:space="preserve">3.3.2  </w:t>
      </w:r>
      <w:r>
        <w:rPr>
          <w:rFonts w:hint="eastAsia" w:ascii="宋体" w:hAnsi="宋体" w:eastAsia="宋体" w:cs="宋体"/>
          <w:color w:val="auto"/>
          <w:spacing w:val="2"/>
          <w:sz w:val="24"/>
          <w:szCs w:val="24"/>
          <w:highlight w:val="none"/>
        </w:rPr>
        <w:t>投标保证的形式包括投标保证金、投标保证担保、投标保证保险三种</w:t>
      </w:r>
      <w:r>
        <w:rPr>
          <w:rFonts w:hint="eastAsia" w:ascii="宋体" w:hAnsi="宋体" w:eastAsia="宋体" w:cs="宋体"/>
          <w:color w:val="auto"/>
          <w:spacing w:val="1"/>
          <w:sz w:val="24"/>
          <w:szCs w:val="24"/>
          <w:highlight w:val="none"/>
        </w:rPr>
        <w:t>，由</w:t>
      </w:r>
      <w:r>
        <w:rPr>
          <w:rFonts w:hint="eastAsia" w:ascii="宋体" w:hAnsi="宋体" w:eastAsia="宋体" w:cs="宋体"/>
          <w:color w:val="auto"/>
          <w:spacing w:val="-2"/>
          <w:sz w:val="24"/>
          <w:szCs w:val="24"/>
          <w:highlight w:val="none"/>
        </w:rPr>
        <w:t>投标人自主选择。</w:t>
      </w:r>
    </w:p>
    <w:p w14:paraId="353E08E8">
      <w:pPr>
        <w:spacing w:before="78" w:line="360" w:lineRule="auto"/>
        <w:ind w:left="12" w:right="2" w:firstLine="490"/>
        <w:jc w:val="both"/>
        <w:rPr>
          <w:rFonts w:hint="eastAsia" w:ascii="宋体" w:hAnsi="宋体" w:eastAsia="宋体" w:cs="宋体"/>
          <w:color w:val="auto"/>
          <w:spacing w:val="-1"/>
          <w:sz w:val="24"/>
          <w:szCs w:val="24"/>
          <w:highlight w:val="none"/>
        </w:rPr>
      </w:pPr>
      <w:bookmarkStart w:id="26" w:name="bookmark117"/>
      <w:bookmarkEnd w:id="26"/>
      <w:r>
        <w:rPr>
          <w:rFonts w:hint="eastAsia" w:ascii="宋体" w:hAnsi="宋体" w:eastAsia="宋体" w:cs="宋体"/>
          <w:color w:val="auto"/>
          <w:spacing w:val="2"/>
          <w:sz w:val="24"/>
          <w:szCs w:val="24"/>
          <w:highlight w:val="none"/>
        </w:rPr>
        <w:t>（1）采用投标保证金的，投标人在建设工程交易系统获取招</w:t>
      </w:r>
      <w:r>
        <w:rPr>
          <w:rFonts w:hint="eastAsia" w:ascii="宋体" w:hAnsi="宋体" w:eastAsia="宋体" w:cs="宋体"/>
          <w:color w:val="auto"/>
          <w:spacing w:val="1"/>
          <w:sz w:val="24"/>
          <w:szCs w:val="24"/>
          <w:highlight w:val="none"/>
        </w:rPr>
        <w:t>标文件完毕后，即</w:t>
      </w:r>
      <w:r>
        <w:rPr>
          <w:rFonts w:hint="eastAsia" w:ascii="宋体" w:hAnsi="宋体" w:eastAsia="宋体" w:cs="宋体"/>
          <w:color w:val="auto"/>
          <w:spacing w:val="-1"/>
          <w:sz w:val="24"/>
          <w:szCs w:val="24"/>
          <w:highlight w:val="none"/>
        </w:rPr>
        <w:t>可在系统申请缴纳投标保证金，获取本次招标投标保证金缴</w:t>
      </w:r>
      <w:r>
        <w:rPr>
          <w:rFonts w:hint="eastAsia" w:ascii="宋体" w:hAnsi="宋体" w:eastAsia="宋体" w:cs="宋体"/>
          <w:color w:val="auto"/>
          <w:spacing w:val="-2"/>
          <w:sz w:val="24"/>
          <w:szCs w:val="24"/>
          <w:highlight w:val="none"/>
        </w:rPr>
        <w:t>纳账号。投标人必须于投标保证金到账截</w:t>
      </w:r>
      <w:r>
        <w:rPr>
          <w:rFonts w:hint="eastAsia" w:ascii="宋体" w:hAnsi="宋体" w:eastAsia="宋体" w:cs="宋体"/>
          <w:color w:val="auto"/>
          <w:spacing w:val="-1"/>
          <w:sz w:val="24"/>
          <w:szCs w:val="24"/>
          <w:highlight w:val="none"/>
        </w:rPr>
        <w:t>止时间（见本招标文件“重要事项时间地点一览表”）前，从其基本账户将投标保证金转账到指定的缴纳账号。逾期到账的、从非投标人基本账户转出的，其投标无效。</w:t>
      </w:r>
    </w:p>
    <w:p w14:paraId="2D0F206B">
      <w:pPr>
        <w:keepNext w:val="0"/>
        <w:keepLines w:val="0"/>
        <w:pageBreakBefore w:val="0"/>
        <w:widowControl/>
        <w:kinsoku w:val="0"/>
        <w:wordWrap w:val="0"/>
        <w:overflowPunct/>
        <w:topLinePunct w:val="0"/>
        <w:autoSpaceDE w:val="0"/>
        <w:autoSpaceDN w:val="0"/>
        <w:bidi w:val="0"/>
        <w:adjustRightInd w:val="0"/>
        <w:snapToGrid w:val="0"/>
        <w:spacing w:before="78" w:line="360" w:lineRule="auto"/>
        <w:ind w:left="12" w:right="2" w:firstLine="490"/>
        <w:jc w:val="both"/>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（2）采用投标保证担保的，投标人应提交有效的电子保函或保证保险，电子保函或保证保险的有效期不得短于投标有效期。投标人必须在投标保证担保截止时间（详见“重要事项时间地点一览表”）前，使用</w:t>
      </w:r>
      <w:r>
        <w:rPr>
          <w:rFonts w:hint="eastAsia" w:ascii="宋体" w:hAnsi="宋体" w:eastAsia="宋体" w:cs="宋体"/>
          <w:color w:val="auto"/>
          <w:spacing w:val="-1"/>
          <w:sz w:val="24"/>
          <w:szCs w:val="24"/>
          <w:highlight w:val="none"/>
          <w:lang w:eastAsia="zh-CN"/>
        </w:rPr>
        <w:t>建设工程</w:t>
      </w:r>
      <w:r>
        <w:rPr>
          <w:rFonts w:hint="eastAsia" w:ascii="宋体" w:hAnsi="宋体" w:eastAsia="宋体" w:cs="宋体"/>
          <w:color w:val="auto"/>
          <w:spacing w:val="-1"/>
          <w:sz w:val="24"/>
          <w:szCs w:val="24"/>
          <w:highlight w:val="none"/>
        </w:rPr>
        <w:t>交易系统完成网上办理电子保函或保证保险。</w:t>
      </w:r>
    </w:p>
    <w:p w14:paraId="66F9AA94">
      <w:pPr>
        <w:keepNext w:val="0"/>
        <w:keepLines w:val="0"/>
        <w:pageBreakBefore w:val="0"/>
        <w:widowControl/>
        <w:kinsoku w:val="0"/>
        <w:wordWrap w:val="0"/>
        <w:overflowPunct/>
        <w:topLinePunct w:val="0"/>
        <w:autoSpaceDE w:val="0"/>
        <w:autoSpaceDN w:val="0"/>
        <w:bidi w:val="0"/>
        <w:adjustRightInd w:val="0"/>
        <w:snapToGrid w:val="0"/>
        <w:spacing w:before="78" w:line="360" w:lineRule="auto"/>
        <w:ind w:left="12" w:right="2" w:firstLine="490"/>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（3）采用投标保证保险的，投标人须在投标保证保险投保截止时间（见本招标文件“重要事项时间地点一览表”）前，使用建设工程交易系统完成网上投保</w:t>
      </w:r>
      <w:r>
        <w:rPr>
          <w:rFonts w:hint="eastAsia" w:ascii="宋体" w:hAnsi="宋体" w:eastAsia="宋体" w:cs="宋体"/>
          <w:color w:val="auto"/>
          <w:spacing w:val="-1"/>
          <w:sz w:val="24"/>
          <w:szCs w:val="24"/>
          <w:highlight w:val="none"/>
          <w:lang w:eastAsia="zh-CN"/>
        </w:rPr>
        <w:t>业务。</w:t>
      </w:r>
      <w:r>
        <w:rPr>
          <w:rFonts w:hint="eastAsia" w:ascii="宋体" w:hAnsi="宋体" w:eastAsia="宋体" w:cs="宋体"/>
          <w:color w:val="auto"/>
          <w:spacing w:val="-1"/>
          <w:sz w:val="24"/>
          <w:szCs w:val="24"/>
          <w:highlight w:val="none"/>
        </w:rPr>
        <w:t>投标人可在系统选择保险机构、录入投保信息、支付保费、打印</w:t>
      </w:r>
      <w:r>
        <w:rPr>
          <w:rFonts w:hint="eastAsia" w:ascii="宋体" w:hAnsi="宋体" w:eastAsia="宋体" w:cs="宋体"/>
          <w:color w:val="auto"/>
          <w:spacing w:val="-2"/>
          <w:sz w:val="24"/>
          <w:szCs w:val="24"/>
          <w:highlight w:val="none"/>
        </w:rPr>
        <w:t>电子保单</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电子保单的有</w:t>
      </w:r>
      <w:r>
        <w:rPr>
          <w:rFonts w:hint="eastAsia" w:ascii="宋体" w:hAnsi="宋体" w:eastAsia="宋体" w:cs="宋体"/>
          <w:color w:val="auto"/>
          <w:spacing w:val="-3"/>
          <w:sz w:val="24"/>
          <w:szCs w:val="24"/>
          <w:highlight w:val="none"/>
        </w:rPr>
        <w:t>效期不得短于投标有效期。投标人可登录全国公共资源交易平台（广东省·韶关市）（</w:t>
      </w:r>
      <w:r>
        <w:rPr>
          <w:rFonts w:hint="eastAsia" w:ascii="宋体" w:hAnsi="宋体" w:eastAsia="宋体" w:cs="宋体"/>
          <w:color w:val="auto"/>
          <w:spacing w:val="-3"/>
          <w:sz w:val="24"/>
          <w:szCs w:val="24"/>
          <w:highlight w:val="none"/>
        </w:rPr>
        <w:fldChar w:fldCharType="begin"/>
      </w:r>
      <w:r>
        <w:rPr>
          <w:rFonts w:hint="eastAsia" w:ascii="宋体" w:hAnsi="宋体" w:eastAsia="宋体" w:cs="宋体"/>
          <w:color w:val="auto"/>
          <w:spacing w:val="-3"/>
          <w:sz w:val="24"/>
          <w:szCs w:val="24"/>
          <w:highlight w:val="none"/>
        </w:rPr>
        <w:instrText xml:space="preserve"> HYPERLINK "https://ygp.gdzwfw.gov.cn/ggzy-portal/#/440200/index" </w:instrText>
      </w:r>
      <w:r>
        <w:rPr>
          <w:rFonts w:hint="eastAsia" w:ascii="宋体" w:hAnsi="宋体" w:eastAsia="宋体" w:cs="宋体"/>
          <w:color w:val="auto"/>
          <w:spacing w:val="-3"/>
          <w:sz w:val="24"/>
          <w:szCs w:val="24"/>
          <w:highlight w:val="none"/>
        </w:rPr>
        <w:fldChar w:fldCharType="separate"/>
      </w:r>
      <w:r>
        <w:rPr>
          <w:rFonts w:hint="eastAsia" w:ascii="宋体" w:hAnsi="宋体" w:eastAsia="宋体" w:cs="宋体"/>
          <w:color w:val="auto"/>
          <w:spacing w:val="-3"/>
          <w:sz w:val="24"/>
          <w:szCs w:val="24"/>
          <w:highlight w:val="none"/>
        </w:rPr>
        <w:t>https://ygp.gdzwfw.gov.cn/ggzy-portal/#/440200/index</w:t>
      </w:r>
      <w:r>
        <w:rPr>
          <w:rFonts w:hint="eastAsia" w:ascii="宋体" w:hAnsi="宋体" w:eastAsia="宋体" w:cs="宋体"/>
          <w:color w:val="auto"/>
          <w:spacing w:val="-3"/>
          <w:sz w:val="24"/>
          <w:szCs w:val="24"/>
          <w:highlight w:val="none"/>
        </w:rPr>
        <w:fldChar w:fldCharType="end"/>
      </w:r>
      <w:r>
        <w:rPr>
          <w:rFonts w:hint="eastAsia" w:ascii="宋体" w:hAnsi="宋体" w:eastAsia="宋体" w:cs="宋体"/>
          <w:color w:val="auto"/>
          <w:spacing w:val="-3"/>
          <w:sz w:val="24"/>
          <w:szCs w:val="24"/>
          <w:highlight w:val="none"/>
        </w:rPr>
        <w:t>），在【服务指南】</w:t>
      </w:r>
      <w:r>
        <w:rPr>
          <w:rFonts w:hint="eastAsia" w:ascii="宋体" w:hAnsi="宋体" w:eastAsia="宋体" w:cs="宋体"/>
          <w:color w:val="auto"/>
          <w:spacing w:val="-3"/>
          <w:sz w:val="24"/>
          <w:szCs w:val="24"/>
          <w:highlight w:val="none"/>
          <w:lang w:eastAsia="zh-CN"/>
        </w:rPr>
        <w:t>栏目</w:t>
      </w:r>
      <w:r>
        <w:rPr>
          <w:rFonts w:hint="eastAsia" w:ascii="宋体" w:hAnsi="宋体" w:eastAsia="宋体" w:cs="宋体"/>
          <w:color w:val="auto"/>
          <w:spacing w:val="-3"/>
          <w:sz w:val="24"/>
          <w:szCs w:val="24"/>
          <w:highlight w:val="none"/>
        </w:rPr>
        <w:t>中下载《建设工程网上交易系统保险保证金缴纳操作指南》，了解网上投保</w:t>
      </w:r>
      <w:r>
        <w:rPr>
          <w:rFonts w:hint="eastAsia" w:ascii="宋体" w:hAnsi="宋体" w:eastAsia="宋体" w:cs="宋体"/>
          <w:color w:val="auto"/>
          <w:spacing w:val="-3"/>
          <w:sz w:val="24"/>
          <w:szCs w:val="24"/>
          <w:highlight w:val="none"/>
          <w:lang w:eastAsia="zh-CN"/>
        </w:rPr>
        <w:t>具体操作</w:t>
      </w:r>
      <w:r>
        <w:rPr>
          <w:rFonts w:hint="eastAsia" w:ascii="宋体" w:hAnsi="宋体" w:eastAsia="宋体" w:cs="宋体"/>
          <w:color w:val="auto"/>
          <w:spacing w:val="-3"/>
          <w:sz w:val="24"/>
          <w:szCs w:val="24"/>
          <w:highlight w:val="none"/>
        </w:rPr>
        <w:t>流程。逾期投保的，其投标无效。</w:t>
      </w:r>
    </w:p>
    <w:p w14:paraId="6CFA3F60">
      <w:pPr>
        <w:keepNext w:val="0"/>
        <w:keepLines w:val="0"/>
        <w:pageBreakBefore w:val="0"/>
        <w:widowControl/>
        <w:kinsoku w:val="0"/>
        <w:wordWrap w:val="0"/>
        <w:overflowPunct/>
        <w:topLinePunct w:val="0"/>
        <w:autoSpaceDE w:val="0"/>
        <w:autoSpaceDN w:val="0"/>
        <w:bidi w:val="0"/>
        <w:adjustRightInd w:val="0"/>
        <w:snapToGrid w:val="0"/>
        <w:spacing w:before="78" w:line="360" w:lineRule="auto"/>
        <w:ind w:left="12" w:right="2" w:firstLine="490"/>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温馨提示：1.投标人采用投标保证担保或投标保证保险的，为避免在评标过程中因有效期发生争议，建议投标人将银行保函或电子保单有效期设置为较招标文件规定的投标有效期延长不少于20个日历天。</w:t>
      </w:r>
    </w:p>
    <w:p w14:paraId="06BEDC68">
      <w:pPr>
        <w:keepNext w:val="0"/>
        <w:keepLines w:val="0"/>
        <w:pageBreakBefore w:val="0"/>
        <w:widowControl/>
        <w:kinsoku w:val="0"/>
        <w:wordWrap w:val="0"/>
        <w:overflowPunct/>
        <w:topLinePunct w:val="0"/>
        <w:autoSpaceDE w:val="0"/>
        <w:autoSpaceDN w:val="0"/>
        <w:bidi w:val="0"/>
        <w:adjustRightInd w:val="0"/>
        <w:snapToGrid w:val="0"/>
        <w:spacing w:before="78" w:line="360" w:lineRule="auto"/>
        <w:ind w:left="12" w:right="2" w:firstLine="490"/>
        <w:jc w:val="both"/>
        <w:textAlignment w:val="baseline"/>
        <w:rPr>
          <w:rFonts w:hint="eastAsia" w:ascii="宋体" w:hAnsi="宋体" w:eastAsia="宋体" w:cs="宋体"/>
          <w:color w:val="auto"/>
          <w:highlight w:val="none"/>
        </w:rPr>
      </w:pPr>
      <w:r>
        <w:rPr>
          <w:rFonts w:hint="eastAsia" w:ascii="宋体" w:hAnsi="宋体" w:eastAsia="宋体" w:cs="宋体"/>
          <w:b/>
          <w:bCs/>
          <w:color w:val="auto"/>
          <w:spacing w:val="-3"/>
          <w:sz w:val="24"/>
          <w:szCs w:val="24"/>
          <w:highlight w:val="none"/>
        </w:rPr>
        <w:t xml:space="preserve">3.4 </w:t>
      </w:r>
      <w:r>
        <w:rPr>
          <w:rFonts w:hint="eastAsia" w:ascii="宋体" w:hAnsi="宋体" w:eastAsia="宋体" w:cs="宋体"/>
          <w:color w:val="auto"/>
          <w:spacing w:val="-3"/>
          <w:sz w:val="24"/>
          <w:szCs w:val="24"/>
          <w:highlight w:val="none"/>
        </w:rPr>
        <w:t xml:space="preserve"> 若投标人因自身原因未能正确完成获取招标文件</w:t>
      </w:r>
      <w:r>
        <w:rPr>
          <w:rFonts w:hint="eastAsia" w:ascii="宋体" w:hAnsi="宋体" w:eastAsia="宋体" w:cs="宋体"/>
          <w:color w:val="auto"/>
          <w:sz w:val="24"/>
          <w:szCs w:val="24"/>
          <w:highlight w:val="none"/>
        </w:rPr>
        <w:t>、电子投标、缴纳投标保</w:t>
      </w:r>
      <w:r>
        <w:rPr>
          <w:rFonts w:hint="eastAsia" w:ascii="宋体" w:hAnsi="宋体" w:eastAsia="宋体" w:cs="宋体"/>
          <w:color w:val="auto"/>
          <w:sz w:val="24"/>
          <w:szCs w:val="24"/>
          <w:highlight w:val="none"/>
          <w:lang w:eastAsia="zh-CN"/>
        </w:rPr>
        <w:t>证</w:t>
      </w:r>
      <w:r>
        <w:rPr>
          <w:rFonts w:hint="eastAsia" w:ascii="宋体" w:hAnsi="宋体" w:eastAsia="宋体" w:cs="宋体"/>
          <w:color w:val="auto"/>
          <w:spacing w:val="-4"/>
          <w:sz w:val="24"/>
          <w:szCs w:val="24"/>
          <w:highlight w:val="none"/>
        </w:rPr>
        <w:t>的，其投标无效。</w:t>
      </w:r>
    </w:p>
    <w:p w14:paraId="31109792">
      <w:pPr>
        <w:keepNext w:val="0"/>
        <w:keepLines w:val="0"/>
        <w:pageBreakBefore w:val="0"/>
        <w:widowControl/>
        <w:kinsoku w:val="0"/>
        <w:wordWrap w:val="0"/>
        <w:overflowPunct/>
        <w:topLinePunct w:val="0"/>
        <w:autoSpaceDE w:val="0"/>
        <w:autoSpaceDN w:val="0"/>
        <w:bidi w:val="0"/>
        <w:adjustRightInd w:val="0"/>
        <w:snapToGrid w:val="0"/>
        <w:spacing w:before="79" w:line="360" w:lineRule="auto"/>
        <w:ind w:left="487"/>
        <w:textAlignment w:val="baseline"/>
        <w:outlineLvl w:val="2"/>
        <w:rPr>
          <w:rFonts w:hint="eastAsia" w:ascii="宋体" w:hAnsi="宋体" w:eastAsia="宋体" w:cs="宋体"/>
          <w:color w:val="auto"/>
          <w:sz w:val="24"/>
          <w:szCs w:val="24"/>
          <w:highlight w:val="none"/>
        </w:rPr>
      </w:pPr>
      <w:bookmarkStart w:id="27" w:name="bookmark78"/>
      <w:bookmarkEnd w:id="27"/>
      <w:bookmarkStart w:id="28" w:name="bookmark64"/>
      <w:bookmarkEnd w:id="28"/>
      <w:bookmarkStart w:id="29" w:name="_Toc27523"/>
      <w:bookmarkStart w:id="30" w:name="_Toc15498"/>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8"/>
          <w:sz w:val="24"/>
          <w:szCs w:val="24"/>
          <w:highlight w:val="none"/>
          <w:lang w:eastAsia="zh-CN"/>
        </w:rPr>
        <w:t xml:space="preserve">. </w:t>
      </w:r>
      <w:r>
        <w:rPr>
          <w:rFonts w:hint="eastAsia" w:ascii="宋体" w:hAnsi="宋体" w:eastAsia="宋体" w:cs="宋体"/>
          <w:b/>
          <w:bCs/>
          <w:color w:val="auto"/>
          <w:spacing w:val="-8"/>
          <w:sz w:val="24"/>
          <w:szCs w:val="24"/>
          <w:highlight w:val="none"/>
        </w:rPr>
        <w:t>工期要求</w:t>
      </w:r>
      <w:bookmarkEnd w:id="29"/>
      <w:bookmarkEnd w:id="30"/>
    </w:p>
    <w:p w14:paraId="492DB599">
      <w:pPr>
        <w:keepNext w:val="0"/>
        <w:keepLines w:val="0"/>
        <w:pageBreakBefore w:val="0"/>
        <w:widowControl/>
        <w:kinsoku w:val="0"/>
        <w:wordWrap w:val="0"/>
        <w:overflowPunct/>
        <w:topLinePunct w:val="0"/>
        <w:autoSpaceDE w:val="0"/>
        <w:autoSpaceDN w:val="0"/>
        <w:bidi w:val="0"/>
        <w:adjustRightInd w:val="0"/>
        <w:snapToGrid w:val="0"/>
        <w:spacing w:before="153" w:line="360" w:lineRule="auto"/>
        <w:ind w:left="30" w:right="65" w:firstLine="46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本招标项目施工工期为</w:t>
      </w:r>
      <w:r>
        <w:rPr>
          <w:rFonts w:hint="eastAsia" w:ascii="宋体" w:hAnsi="宋体" w:eastAsia="宋体" w:cs="宋体"/>
          <w:color w:val="auto"/>
          <w:spacing w:val="-5"/>
          <w:sz w:val="24"/>
          <w:szCs w:val="24"/>
          <w:highlight w:val="none"/>
          <w:u w:val="single"/>
          <w:lang w:val="en-US" w:eastAsia="zh-CN"/>
        </w:rPr>
        <w:t xml:space="preserve"> 200 </w:t>
      </w:r>
      <w:r>
        <w:rPr>
          <w:rFonts w:hint="eastAsia" w:ascii="宋体" w:hAnsi="宋体" w:eastAsia="宋体" w:cs="宋体"/>
          <w:color w:val="auto"/>
          <w:spacing w:val="-5"/>
          <w:sz w:val="24"/>
          <w:szCs w:val="24"/>
          <w:highlight w:val="none"/>
          <w:lang w:val="en-US" w:eastAsia="zh-CN"/>
        </w:rPr>
        <w:t>个日历天</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注：监理单位签发开工令之日起计，至工程竣工验收合格之日止），中标人</w:t>
      </w:r>
      <w:r>
        <w:rPr>
          <w:rFonts w:hint="eastAsia" w:ascii="宋体" w:hAnsi="宋体" w:eastAsia="宋体" w:cs="宋体"/>
          <w:color w:val="auto"/>
          <w:spacing w:val="-5"/>
          <w:sz w:val="24"/>
          <w:szCs w:val="24"/>
          <w:highlight w:val="none"/>
        </w:rPr>
        <w:t>必须在招标工期内完成招标范围内的全部内容。</w:t>
      </w:r>
    </w:p>
    <w:p w14:paraId="6CEF653C">
      <w:pPr>
        <w:spacing w:before="78" w:line="360" w:lineRule="auto"/>
        <w:ind w:left="488"/>
        <w:outlineLvl w:val="2"/>
        <w:rPr>
          <w:rFonts w:hint="eastAsia" w:ascii="宋体" w:hAnsi="宋体" w:eastAsia="宋体" w:cs="宋体"/>
          <w:color w:val="auto"/>
          <w:sz w:val="24"/>
          <w:szCs w:val="24"/>
          <w:highlight w:val="none"/>
        </w:rPr>
      </w:pPr>
      <w:bookmarkStart w:id="31" w:name="_Toc4154"/>
      <w:bookmarkStart w:id="32" w:name="_Toc16239"/>
      <w:r>
        <w:rPr>
          <w:rFonts w:hint="eastAsia" w:ascii="宋体" w:hAnsi="宋体" w:eastAsia="宋体" w:cs="宋体"/>
          <w:b/>
          <w:bCs/>
          <w:color w:val="auto"/>
          <w:spacing w:val="-5"/>
          <w:sz w:val="24"/>
          <w:szCs w:val="24"/>
          <w:highlight w:val="none"/>
        </w:rPr>
        <w:t>5</w:t>
      </w:r>
      <w:r>
        <w:rPr>
          <w:rFonts w:hint="eastAsia" w:ascii="宋体" w:hAnsi="宋体" w:eastAsia="宋体" w:cs="宋体"/>
          <w:b/>
          <w:bCs/>
          <w:color w:val="auto"/>
          <w:spacing w:val="-5"/>
          <w:sz w:val="24"/>
          <w:szCs w:val="24"/>
          <w:highlight w:val="none"/>
          <w:lang w:eastAsia="zh-CN"/>
        </w:rPr>
        <w:t xml:space="preserve">. </w:t>
      </w:r>
      <w:r>
        <w:rPr>
          <w:rFonts w:hint="eastAsia" w:ascii="宋体" w:hAnsi="宋体" w:eastAsia="宋体" w:cs="宋体"/>
          <w:b/>
          <w:bCs/>
          <w:color w:val="auto"/>
          <w:spacing w:val="-5"/>
          <w:sz w:val="24"/>
          <w:szCs w:val="24"/>
          <w:highlight w:val="none"/>
        </w:rPr>
        <w:t>质量标准和材料、机械要求</w:t>
      </w:r>
      <w:bookmarkEnd w:id="31"/>
      <w:bookmarkEnd w:id="32"/>
    </w:p>
    <w:p w14:paraId="6580E484">
      <w:pPr>
        <w:spacing w:before="154" w:line="360" w:lineRule="auto"/>
        <w:ind w:left="11" w:right="99" w:firstLine="47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5.1  </w:t>
      </w:r>
      <w:r>
        <w:rPr>
          <w:rFonts w:hint="eastAsia" w:ascii="宋体" w:hAnsi="宋体" w:eastAsia="宋体" w:cs="宋体"/>
          <w:color w:val="auto"/>
          <w:sz w:val="24"/>
          <w:szCs w:val="24"/>
          <w:highlight w:val="none"/>
        </w:rPr>
        <w:t>施工工艺严格按照国家和广东省的有关现行施工技术规范及标准执行，工程</w:t>
      </w:r>
      <w:r>
        <w:rPr>
          <w:rFonts w:hint="eastAsia" w:ascii="宋体" w:hAnsi="宋体" w:eastAsia="宋体" w:cs="宋体"/>
          <w:color w:val="auto"/>
          <w:spacing w:val="-1"/>
          <w:sz w:val="24"/>
          <w:szCs w:val="24"/>
          <w:highlight w:val="none"/>
        </w:rPr>
        <w:t>质量标准须</w:t>
      </w:r>
      <w:r>
        <w:rPr>
          <w:rFonts w:hint="eastAsia" w:ascii="宋体" w:hAnsi="宋体" w:eastAsia="宋体" w:cs="宋体"/>
          <w:color w:val="auto"/>
          <w:spacing w:val="-1"/>
          <w:sz w:val="24"/>
          <w:szCs w:val="24"/>
          <w:highlight w:val="none"/>
          <w:lang w:eastAsia="zh-CN"/>
        </w:rPr>
        <w:t>达到</w:t>
      </w:r>
      <w:r>
        <w:rPr>
          <w:rFonts w:hint="eastAsia" w:ascii="宋体" w:hAnsi="宋体" w:eastAsia="宋体" w:cs="宋体"/>
          <w:color w:val="auto"/>
          <w:kern w:val="0"/>
          <w:sz w:val="24"/>
          <w:szCs w:val="24"/>
          <w:highlight w:val="none"/>
          <w:u w:val="single"/>
          <w:lang w:val="en-US" w:eastAsia="zh-CN" w:bidi="ar"/>
        </w:rPr>
        <w:t>现行国家有关工程施工质量验收规范和标准的要求</w:t>
      </w:r>
      <w:r>
        <w:rPr>
          <w:rFonts w:hint="eastAsia" w:ascii="宋体" w:hAnsi="宋体" w:eastAsia="宋体" w:cs="宋体"/>
          <w:color w:val="auto"/>
          <w:spacing w:val="-1"/>
          <w:sz w:val="24"/>
          <w:szCs w:val="24"/>
          <w:highlight w:val="none"/>
        </w:rPr>
        <w:t>。</w:t>
      </w:r>
    </w:p>
    <w:p w14:paraId="549FF2FB">
      <w:pPr>
        <w:spacing w:before="154" w:line="360" w:lineRule="auto"/>
        <w:ind w:left="10" w:right="99"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5.2</w:t>
      </w:r>
      <w:r>
        <w:rPr>
          <w:rFonts w:hint="eastAsia" w:ascii="宋体" w:hAnsi="宋体" w:eastAsia="宋体" w:cs="宋体"/>
          <w:b/>
          <w:bCs/>
          <w:color w:val="auto"/>
          <w:spacing w:val="21"/>
          <w:w w:val="101"/>
          <w:sz w:val="24"/>
          <w:szCs w:val="24"/>
          <w:highlight w:val="none"/>
        </w:rPr>
        <w:t xml:space="preserve"> </w:t>
      </w:r>
      <w:r>
        <w:rPr>
          <w:rFonts w:hint="eastAsia" w:ascii="宋体" w:hAnsi="宋体" w:eastAsia="宋体" w:cs="宋体"/>
          <w:color w:val="auto"/>
          <w:spacing w:val="-3"/>
          <w:sz w:val="24"/>
          <w:szCs w:val="24"/>
          <w:highlight w:val="none"/>
        </w:rPr>
        <w:t>中标人在施工中如果工程质量不符合设计要求和有关规定，招标人或监理单</w:t>
      </w:r>
      <w:r>
        <w:rPr>
          <w:rFonts w:hint="eastAsia" w:ascii="宋体" w:hAnsi="宋体" w:eastAsia="宋体" w:cs="宋体"/>
          <w:color w:val="auto"/>
          <w:sz w:val="24"/>
          <w:szCs w:val="24"/>
          <w:highlight w:val="none"/>
        </w:rPr>
        <w:t>位要求停工和返工的必须立即执行，并承担由此产生的各</w:t>
      </w:r>
      <w:r>
        <w:rPr>
          <w:rFonts w:hint="eastAsia" w:ascii="宋体" w:hAnsi="宋体" w:eastAsia="宋体" w:cs="宋体"/>
          <w:color w:val="auto"/>
          <w:spacing w:val="-1"/>
          <w:sz w:val="24"/>
          <w:szCs w:val="24"/>
          <w:highlight w:val="none"/>
        </w:rPr>
        <w:t>种费用，工期不予顺延。</w:t>
      </w:r>
    </w:p>
    <w:p w14:paraId="1B48C340">
      <w:pPr>
        <w:spacing w:before="152" w:line="360"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6"/>
          <w:sz w:val="24"/>
          <w:szCs w:val="24"/>
          <w:highlight w:val="none"/>
        </w:rPr>
        <w:t xml:space="preserve">5.3  </w:t>
      </w:r>
      <w:r>
        <w:rPr>
          <w:rFonts w:hint="eastAsia" w:ascii="宋体" w:hAnsi="宋体" w:eastAsia="宋体" w:cs="宋体"/>
          <w:color w:val="auto"/>
          <w:spacing w:val="-6"/>
          <w:sz w:val="24"/>
          <w:szCs w:val="24"/>
          <w:highlight w:val="none"/>
        </w:rPr>
        <w:t>保修期限按《建设工程质量管理条例》（中华人民共和国国务院令第</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6"/>
          <w:sz w:val="24"/>
          <w:szCs w:val="24"/>
          <w:highlight w:val="none"/>
        </w:rPr>
        <w:t>279</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6"/>
          <w:sz w:val="24"/>
          <w:szCs w:val="24"/>
          <w:highlight w:val="none"/>
        </w:rPr>
        <w:t>号）</w:t>
      </w:r>
      <w:r>
        <w:rPr>
          <w:rFonts w:hint="eastAsia" w:ascii="宋体" w:hAnsi="宋体" w:eastAsia="宋体" w:cs="宋体"/>
          <w:color w:val="auto"/>
          <w:spacing w:val="-1"/>
          <w:sz w:val="24"/>
          <w:szCs w:val="24"/>
          <w:highlight w:val="none"/>
        </w:rPr>
        <w:t>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6F4EC01E">
      <w:pPr>
        <w:spacing w:before="152" w:line="360" w:lineRule="auto"/>
        <w:ind w:left="9" w:firstLine="568"/>
        <w:rPr>
          <w:rFonts w:hint="eastAsia" w:ascii="宋体" w:hAnsi="宋体" w:eastAsia="宋体" w:cs="宋体"/>
          <w:color w:val="auto"/>
          <w:spacing w:val="-6"/>
          <w:sz w:val="24"/>
          <w:szCs w:val="24"/>
          <w:highlight w:val="none"/>
        </w:rPr>
      </w:pPr>
      <w:r>
        <w:rPr>
          <w:rFonts w:hint="eastAsia" w:ascii="宋体" w:hAnsi="宋体" w:eastAsia="宋体" w:cs="宋体"/>
          <w:b/>
          <w:bCs/>
          <w:color w:val="auto"/>
          <w:spacing w:val="-1"/>
          <w:sz w:val="24"/>
          <w:szCs w:val="24"/>
          <w:highlight w:val="none"/>
        </w:rPr>
        <w:t>5.4</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6"/>
          <w:sz w:val="24"/>
          <w:szCs w:val="24"/>
          <w:highlight w:val="none"/>
          <w:lang w:val="en-US" w:eastAsia="zh-CN"/>
        </w:rPr>
        <w:t>根据韶关市人民政府《关于加快推进全市绿色建筑发展工作的通知》（韶府办明电〔2013〕277 号）有关规定，结合《韶关市住建管理局关于贯彻落实〈广东省绿色建筑条例〉有关工作的通知》（韶市建字〔2021〕85 号）等有关规定，</w:t>
      </w:r>
      <w:r>
        <w:rPr>
          <w:rFonts w:hint="eastAsia" w:ascii="宋体" w:hAnsi="宋体" w:eastAsia="宋体" w:cs="宋体"/>
          <w:color w:val="auto"/>
          <w:spacing w:val="-6"/>
          <w:sz w:val="24"/>
          <w:szCs w:val="24"/>
          <w:highlight w:val="none"/>
        </w:rPr>
        <w:t>本招标项目</w:t>
      </w:r>
      <w:r>
        <w:rPr>
          <w:rFonts w:hint="eastAsia" w:ascii="宋体" w:hAnsi="宋体" w:eastAsia="宋体" w:cs="宋体"/>
          <w:color w:val="auto"/>
          <w:spacing w:val="-6"/>
          <w:sz w:val="24"/>
          <w:szCs w:val="24"/>
          <w:highlight w:val="none"/>
          <w:lang w:val="en-US" w:eastAsia="zh-CN"/>
        </w:rPr>
        <w:t>不</w:t>
      </w:r>
      <w:r>
        <w:rPr>
          <w:rFonts w:hint="eastAsia" w:ascii="宋体" w:hAnsi="宋体" w:eastAsia="宋体" w:cs="宋体"/>
          <w:color w:val="auto"/>
          <w:spacing w:val="-6"/>
          <w:sz w:val="24"/>
          <w:szCs w:val="24"/>
          <w:highlight w:val="none"/>
        </w:rPr>
        <w:t>纳入绿色建设实施范围</w:t>
      </w:r>
      <w:r>
        <w:rPr>
          <w:rFonts w:hint="eastAsia" w:ascii="宋体" w:hAnsi="宋体" w:eastAsia="宋体" w:cs="宋体"/>
          <w:color w:val="auto"/>
          <w:spacing w:val="-6"/>
          <w:sz w:val="24"/>
          <w:szCs w:val="24"/>
          <w:highlight w:val="none"/>
          <w:lang w:eastAsia="zh-CN"/>
        </w:rPr>
        <w:t>。</w:t>
      </w:r>
    </w:p>
    <w:p w14:paraId="3EA8CECA">
      <w:pPr>
        <w:spacing w:before="152" w:line="360" w:lineRule="auto"/>
        <w:ind w:left="9" w:firstLine="568"/>
        <w:rPr>
          <w:rFonts w:hint="eastAsia" w:ascii="宋体" w:hAnsi="宋体" w:eastAsia="宋体" w:cs="宋体"/>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rPr>
        <w:t>5.5</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lang w:eastAsia="zh-CN"/>
        </w:rPr>
        <w:t>其他</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lang w:eastAsia="zh-CN"/>
        </w:rPr>
        <w:t>本招标项目</w:t>
      </w:r>
      <w:r>
        <w:rPr>
          <w:rFonts w:hint="eastAsia" w:ascii="宋体" w:hAnsi="宋体" w:eastAsia="宋体" w:cs="宋体"/>
          <w:color w:val="auto"/>
          <w:spacing w:val="-1"/>
          <w:sz w:val="24"/>
          <w:szCs w:val="24"/>
          <w:highlight w:val="none"/>
          <w:lang w:val="en-US" w:eastAsia="zh-CN"/>
        </w:rPr>
        <w:t>不</w:t>
      </w:r>
      <w:r>
        <w:rPr>
          <w:rFonts w:hint="eastAsia" w:ascii="宋体" w:hAnsi="宋体" w:eastAsia="宋体" w:cs="宋体"/>
          <w:color w:val="auto"/>
          <w:spacing w:val="-1"/>
          <w:sz w:val="24"/>
          <w:szCs w:val="24"/>
          <w:highlight w:val="none"/>
          <w:lang w:eastAsia="zh-CN"/>
        </w:rPr>
        <w:t>纳入装配式建造实施范围。</w:t>
      </w:r>
    </w:p>
    <w:p w14:paraId="529B9570">
      <w:pPr>
        <w:spacing w:before="152" w:line="360"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5.6</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lang w:eastAsia="zh-CN"/>
        </w:rPr>
        <w:t>其他</w:t>
      </w:r>
      <w:r>
        <w:rPr>
          <w:rFonts w:hint="eastAsia" w:ascii="宋体" w:hAnsi="宋体" w:eastAsia="宋体" w:cs="宋体"/>
          <w:color w:val="auto"/>
          <w:spacing w:val="-1"/>
          <w:sz w:val="24"/>
          <w:szCs w:val="24"/>
          <w:highlight w:val="none"/>
        </w:rPr>
        <w:t>：本招标文件（包括答疑纪要、补充及修改文件）中招标人对材料或设备有明确要求的，投标人必须响应招标人要求</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如投标人在投标文</w:t>
      </w:r>
      <w:r>
        <w:rPr>
          <w:rFonts w:hint="eastAsia" w:ascii="宋体" w:hAnsi="宋体" w:eastAsia="宋体" w:cs="宋体"/>
          <w:color w:val="auto"/>
          <w:spacing w:val="-1"/>
          <w:sz w:val="24"/>
          <w:szCs w:val="24"/>
          <w:highlight w:val="none"/>
          <w:lang w:eastAsia="zh-CN"/>
        </w:rPr>
        <w:t>件中未</w:t>
      </w:r>
      <w:r>
        <w:rPr>
          <w:rFonts w:hint="eastAsia" w:ascii="宋体" w:hAnsi="宋体" w:eastAsia="宋体" w:cs="宋体"/>
          <w:color w:val="auto"/>
          <w:spacing w:val="-1"/>
          <w:sz w:val="24"/>
          <w:szCs w:val="24"/>
          <w:highlight w:val="none"/>
        </w:rPr>
        <w:t>明确</w:t>
      </w:r>
      <w:r>
        <w:rPr>
          <w:rFonts w:hint="eastAsia" w:ascii="宋体" w:hAnsi="宋体" w:eastAsia="宋体" w:cs="宋体"/>
          <w:color w:val="auto"/>
          <w:spacing w:val="-1"/>
          <w:sz w:val="24"/>
          <w:szCs w:val="24"/>
          <w:highlight w:val="none"/>
          <w:lang w:eastAsia="zh-CN"/>
        </w:rPr>
        <w:t>响应，视为</w:t>
      </w:r>
      <w:r>
        <w:rPr>
          <w:rFonts w:hint="eastAsia" w:ascii="宋体" w:hAnsi="宋体" w:eastAsia="宋体" w:cs="宋体"/>
          <w:color w:val="auto"/>
          <w:spacing w:val="-1"/>
          <w:sz w:val="24"/>
          <w:szCs w:val="24"/>
          <w:highlight w:val="none"/>
        </w:rPr>
        <w:t>默认；或投标人在投标文件</w:t>
      </w:r>
      <w:r>
        <w:rPr>
          <w:rFonts w:hint="eastAsia" w:ascii="宋体" w:hAnsi="宋体" w:eastAsia="宋体" w:cs="宋体"/>
          <w:color w:val="auto"/>
          <w:spacing w:val="-1"/>
          <w:sz w:val="24"/>
          <w:szCs w:val="24"/>
          <w:highlight w:val="none"/>
          <w:lang w:eastAsia="zh-CN"/>
        </w:rPr>
        <w:t>中</w:t>
      </w:r>
      <w:r>
        <w:rPr>
          <w:rFonts w:hint="eastAsia" w:ascii="宋体" w:hAnsi="宋体" w:eastAsia="宋体" w:cs="宋体"/>
          <w:color w:val="auto"/>
          <w:spacing w:val="-1"/>
          <w:sz w:val="24"/>
          <w:szCs w:val="24"/>
          <w:highlight w:val="none"/>
        </w:rPr>
        <w:t>虽有响应但不符合招标人要求的，视为无效响应，中标后必须按招标人要求执行。如招标人在招标文件中对材料或设备没有明确要求</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则中标人必须使用合格材料或设备。</w:t>
      </w:r>
    </w:p>
    <w:p w14:paraId="37A216BB">
      <w:pPr>
        <w:spacing w:before="152" w:line="360"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5.</w:t>
      </w:r>
      <w:r>
        <w:rPr>
          <w:rFonts w:hint="eastAsia" w:ascii="宋体" w:hAnsi="宋体" w:eastAsia="宋体" w:cs="宋体"/>
          <w:b/>
          <w:bCs/>
          <w:color w:val="auto"/>
          <w:spacing w:val="-1"/>
          <w:sz w:val="24"/>
          <w:szCs w:val="24"/>
          <w:highlight w:val="none"/>
          <w:lang w:eastAsia="zh-CN"/>
        </w:rPr>
        <w:t>7</w:t>
      </w:r>
      <w:r>
        <w:rPr>
          <w:rFonts w:hint="eastAsia" w:ascii="宋体" w:hAnsi="宋体" w:eastAsia="宋体" w:cs="宋体"/>
          <w:color w:val="auto"/>
          <w:spacing w:val="-1"/>
          <w:sz w:val="24"/>
          <w:szCs w:val="24"/>
          <w:highlight w:val="none"/>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bookmarkStart w:id="33" w:name="_Toc10302"/>
      <w:bookmarkStart w:id="34" w:name="_Toc7763"/>
    </w:p>
    <w:p w14:paraId="4A8A6FE1">
      <w:pPr>
        <w:spacing w:before="152" w:line="360" w:lineRule="auto"/>
        <w:ind w:left="9" w:firstLine="568"/>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6</w:t>
      </w:r>
      <w:r>
        <w:rPr>
          <w:rFonts w:hint="eastAsia" w:ascii="宋体" w:hAnsi="宋体" w:eastAsia="宋体" w:cs="宋体"/>
          <w:b/>
          <w:bCs/>
          <w:color w:val="auto"/>
          <w:spacing w:val="-6"/>
          <w:sz w:val="24"/>
          <w:szCs w:val="24"/>
          <w:highlight w:val="none"/>
          <w:lang w:eastAsia="zh-CN"/>
        </w:rPr>
        <w:t xml:space="preserve">. </w:t>
      </w:r>
      <w:r>
        <w:rPr>
          <w:rFonts w:hint="eastAsia" w:ascii="宋体" w:hAnsi="宋体" w:eastAsia="宋体" w:cs="宋体"/>
          <w:b/>
          <w:bCs/>
          <w:color w:val="auto"/>
          <w:spacing w:val="-6"/>
          <w:sz w:val="24"/>
          <w:szCs w:val="24"/>
          <w:highlight w:val="none"/>
        </w:rPr>
        <w:t>施工条件及现场踏勘</w:t>
      </w:r>
      <w:bookmarkEnd w:id="33"/>
      <w:bookmarkEnd w:id="34"/>
    </w:p>
    <w:p w14:paraId="4C828FEF">
      <w:pPr>
        <w:spacing w:before="155" w:line="360" w:lineRule="auto"/>
        <w:ind w:left="12" w:right="99"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6.1  </w:t>
      </w:r>
      <w:r>
        <w:rPr>
          <w:rFonts w:hint="eastAsia" w:ascii="宋体" w:hAnsi="宋体" w:eastAsia="宋体" w:cs="宋体"/>
          <w:color w:val="auto"/>
          <w:spacing w:val="-2"/>
          <w:sz w:val="24"/>
          <w:szCs w:val="24"/>
          <w:highlight w:val="none"/>
        </w:rPr>
        <w:t>招标人仅在本招标项目征地红线范围内提供场地，其他一切场地费用由中标人自行负责（含临时道路）。</w:t>
      </w:r>
    </w:p>
    <w:p w14:paraId="2BD082AA">
      <w:pPr>
        <w:spacing w:before="155" w:line="360" w:lineRule="auto"/>
        <w:ind w:left="12" w:right="99" w:firstLine="556"/>
        <w:rPr>
          <w:rFonts w:hint="eastAsia" w:ascii="宋体" w:hAnsi="宋体" w:eastAsia="宋体" w:cs="宋体"/>
          <w:color w:val="auto"/>
          <w:spacing w:val="-2"/>
          <w:sz w:val="24"/>
          <w:szCs w:val="24"/>
          <w:highlight w:val="none"/>
        </w:rPr>
      </w:pPr>
      <w:bookmarkStart w:id="35" w:name="bookmark118"/>
      <w:bookmarkEnd w:id="35"/>
      <w:r>
        <w:rPr>
          <w:rFonts w:hint="eastAsia" w:ascii="宋体" w:hAnsi="宋体" w:eastAsia="宋体" w:cs="宋体"/>
          <w:b/>
          <w:bCs/>
          <w:color w:val="auto"/>
          <w:spacing w:val="-2"/>
          <w:sz w:val="24"/>
          <w:szCs w:val="24"/>
          <w:highlight w:val="none"/>
        </w:rPr>
        <w:t>6.2</w:t>
      </w:r>
      <w:r>
        <w:rPr>
          <w:rFonts w:hint="eastAsia" w:ascii="宋体" w:hAnsi="宋体" w:eastAsia="宋体" w:cs="宋体"/>
          <w:color w:val="auto"/>
          <w:spacing w:val="-2"/>
          <w:sz w:val="24"/>
          <w:szCs w:val="24"/>
          <w:highlight w:val="none"/>
        </w:rPr>
        <w:t xml:space="preserve">  施工用水：</w:t>
      </w:r>
      <w:r>
        <w:rPr>
          <w:rFonts w:hint="eastAsia" w:ascii="宋体" w:hAnsi="宋体" w:eastAsia="宋体" w:cs="宋体"/>
          <w:color w:val="auto"/>
          <w:spacing w:val="-2"/>
          <w:sz w:val="24"/>
          <w:szCs w:val="24"/>
          <w:highlight w:val="none"/>
          <w:u w:val="single"/>
        </w:rPr>
        <w:t>由中标人自行解决，费用考虑在投标报价中</w:t>
      </w:r>
      <w:r>
        <w:rPr>
          <w:rFonts w:hint="eastAsia" w:ascii="宋体" w:hAnsi="宋体" w:eastAsia="宋体" w:cs="宋体"/>
          <w:color w:val="auto"/>
          <w:spacing w:val="-2"/>
          <w:sz w:val="24"/>
          <w:szCs w:val="24"/>
          <w:highlight w:val="none"/>
        </w:rPr>
        <w:t>。</w:t>
      </w:r>
    </w:p>
    <w:p w14:paraId="1C5809E9">
      <w:pPr>
        <w:spacing w:before="155" w:line="360" w:lineRule="auto"/>
        <w:ind w:left="12" w:right="99"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6.3</w:t>
      </w:r>
      <w:r>
        <w:rPr>
          <w:rFonts w:hint="eastAsia" w:ascii="宋体" w:hAnsi="宋体" w:eastAsia="宋体" w:cs="宋体"/>
          <w:color w:val="auto"/>
          <w:spacing w:val="-2"/>
          <w:sz w:val="24"/>
          <w:szCs w:val="24"/>
          <w:highlight w:val="none"/>
        </w:rPr>
        <w:t xml:space="preserve">  施工用电：</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189BF34C">
      <w:pPr>
        <w:spacing w:before="154" w:line="360"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6.</w:t>
      </w:r>
      <w:r>
        <w:rPr>
          <w:rFonts w:hint="eastAsia" w:ascii="宋体" w:hAnsi="宋体" w:eastAsia="宋体" w:cs="宋体"/>
          <w:b/>
          <w:bCs/>
          <w:color w:val="auto"/>
          <w:spacing w:val="-2"/>
          <w:sz w:val="24"/>
          <w:szCs w:val="24"/>
          <w:highlight w:val="none"/>
          <w:lang w:val="en-US" w:eastAsia="zh-CN"/>
        </w:rPr>
        <w:t>4</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招标人不组织现场踏勘，</w:t>
      </w:r>
      <w:r>
        <w:rPr>
          <w:rFonts w:hint="eastAsia" w:ascii="宋体" w:hAnsi="宋体" w:eastAsia="宋体" w:cs="宋体"/>
          <w:color w:val="auto"/>
          <w:sz w:val="24"/>
          <w:szCs w:val="24"/>
          <w:highlight w:val="none"/>
        </w:rPr>
        <w:t>投标人需要了解现场情况的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1"/>
          <w:sz w:val="24"/>
          <w:szCs w:val="24"/>
          <w:highlight w:val="none"/>
        </w:rPr>
        <w:t>可自行进行现场踏勘。</w:t>
      </w:r>
    </w:p>
    <w:p w14:paraId="29077E9E">
      <w:pPr>
        <w:spacing w:before="153" w:line="360"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6.</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在现场踏勘过程中，投标人应确保自身安全，投标人如果发生人身伤亡、财</w:t>
      </w:r>
      <w:r>
        <w:rPr>
          <w:rFonts w:hint="eastAsia" w:ascii="宋体" w:hAnsi="宋体" w:eastAsia="宋体" w:cs="宋体"/>
          <w:color w:val="auto"/>
          <w:spacing w:val="-1"/>
          <w:sz w:val="24"/>
          <w:szCs w:val="24"/>
          <w:highlight w:val="none"/>
        </w:rPr>
        <w:t>物或其他损失，法律法规有规定的按有关规定处理，没有规定</w:t>
      </w:r>
      <w:r>
        <w:rPr>
          <w:rFonts w:hint="eastAsia" w:ascii="宋体" w:hAnsi="宋体" w:eastAsia="宋体" w:cs="宋体"/>
          <w:color w:val="auto"/>
          <w:spacing w:val="-2"/>
          <w:sz w:val="24"/>
          <w:szCs w:val="24"/>
          <w:highlight w:val="none"/>
        </w:rPr>
        <w:t>的由投标人自行负责。</w:t>
      </w:r>
    </w:p>
    <w:p w14:paraId="1B002D65">
      <w:pPr>
        <w:spacing w:before="153" w:line="360" w:lineRule="auto"/>
        <w:ind w:left="568"/>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6.</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现场踏勘期间的交通、食宿由投标人</w:t>
      </w:r>
      <w:r>
        <w:rPr>
          <w:rFonts w:hint="eastAsia" w:ascii="宋体" w:hAnsi="宋体" w:eastAsia="宋体" w:cs="宋体"/>
          <w:color w:val="auto"/>
          <w:spacing w:val="-1"/>
          <w:sz w:val="24"/>
          <w:szCs w:val="24"/>
          <w:highlight w:val="none"/>
        </w:rPr>
        <w:t>自行安排，费用自理。</w:t>
      </w:r>
    </w:p>
    <w:p w14:paraId="35DD5CF7">
      <w:pPr>
        <w:spacing w:before="78" w:line="360" w:lineRule="auto"/>
        <w:ind w:left="488"/>
        <w:outlineLvl w:val="2"/>
        <w:rPr>
          <w:rFonts w:hint="eastAsia" w:ascii="宋体" w:hAnsi="宋体" w:eastAsia="宋体" w:cs="宋体"/>
          <w:color w:val="auto"/>
          <w:sz w:val="24"/>
          <w:szCs w:val="24"/>
          <w:highlight w:val="none"/>
        </w:rPr>
      </w:pPr>
      <w:bookmarkStart w:id="36" w:name="bookmark81"/>
      <w:bookmarkEnd w:id="36"/>
      <w:bookmarkStart w:id="37" w:name="bookmark67"/>
      <w:bookmarkEnd w:id="37"/>
      <w:bookmarkStart w:id="38" w:name="bookmark69"/>
      <w:bookmarkEnd w:id="38"/>
      <w:bookmarkStart w:id="39" w:name="_Toc13451"/>
      <w:bookmarkStart w:id="40" w:name="_Toc15543"/>
      <w:r>
        <w:rPr>
          <w:rFonts w:hint="eastAsia" w:ascii="宋体" w:hAnsi="宋体" w:eastAsia="宋体" w:cs="宋体"/>
          <w:b/>
          <w:bCs/>
          <w:color w:val="auto"/>
          <w:spacing w:val="-5"/>
          <w:sz w:val="24"/>
          <w:szCs w:val="24"/>
          <w:highlight w:val="none"/>
        </w:rPr>
        <w:t>7</w:t>
      </w:r>
      <w:r>
        <w:rPr>
          <w:rFonts w:hint="eastAsia" w:ascii="宋体" w:hAnsi="宋体" w:eastAsia="宋体" w:cs="宋体"/>
          <w:b/>
          <w:bCs/>
          <w:color w:val="auto"/>
          <w:spacing w:val="-5"/>
          <w:sz w:val="24"/>
          <w:szCs w:val="24"/>
          <w:highlight w:val="none"/>
          <w:lang w:eastAsia="zh-CN"/>
        </w:rPr>
        <w:t xml:space="preserve">. </w:t>
      </w:r>
      <w:r>
        <w:rPr>
          <w:rFonts w:hint="eastAsia" w:ascii="宋体" w:hAnsi="宋体" w:eastAsia="宋体" w:cs="宋体"/>
          <w:b/>
          <w:bCs/>
          <w:color w:val="auto"/>
          <w:spacing w:val="-5"/>
          <w:sz w:val="24"/>
          <w:szCs w:val="24"/>
          <w:highlight w:val="none"/>
        </w:rPr>
        <w:t>招标文件的提问和答疑</w:t>
      </w:r>
      <w:bookmarkEnd w:id="39"/>
      <w:bookmarkEnd w:id="40"/>
    </w:p>
    <w:p w14:paraId="318A4AA7">
      <w:pPr>
        <w:spacing w:before="153" w:line="360" w:lineRule="auto"/>
        <w:ind w:left="9" w:right="16" w:firstLine="47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7.1  </w:t>
      </w:r>
      <w:r>
        <w:rPr>
          <w:rFonts w:hint="eastAsia" w:ascii="宋体" w:hAnsi="宋体" w:eastAsia="宋体" w:cs="宋体"/>
          <w:color w:val="auto"/>
          <w:sz w:val="24"/>
          <w:szCs w:val="24"/>
          <w:highlight w:val="none"/>
        </w:rPr>
        <w:t>投标人若对招标文件（含施工图、招标工程量清单）有疑问，应在提问截止</w:t>
      </w:r>
      <w:r>
        <w:rPr>
          <w:rFonts w:hint="eastAsia" w:ascii="宋体" w:hAnsi="宋体" w:eastAsia="宋体" w:cs="宋体"/>
          <w:color w:val="auto"/>
          <w:spacing w:val="-2"/>
          <w:sz w:val="24"/>
          <w:szCs w:val="24"/>
          <w:highlight w:val="none"/>
        </w:rPr>
        <w:t>时间（见本章第二节“重要事项时间地点一览表”）前使用建设工程交易</w:t>
      </w:r>
      <w:r>
        <w:rPr>
          <w:rFonts w:hint="eastAsia" w:ascii="宋体" w:hAnsi="宋体" w:eastAsia="宋体" w:cs="宋体"/>
          <w:color w:val="auto"/>
          <w:spacing w:val="-3"/>
          <w:sz w:val="24"/>
          <w:szCs w:val="24"/>
          <w:highlight w:val="none"/>
        </w:rPr>
        <w:t>系统提出问</w:t>
      </w:r>
      <w:r>
        <w:rPr>
          <w:rFonts w:hint="eastAsia" w:ascii="宋体" w:hAnsi="宋体" w:eastAsia="宋体" w:cs="宋体"/>
          <w:color w:val="auto"/>
          <w:spacing w:val="-1"/>
          <w:sz w:val="24"/>
          <w:szCs w:val="24"/>
          <w:highlight w:val="none"/>
        </w:rPr>
        <w:t>题。未在指定时间前、未采用指定方式提出的，招标人不予受理。</w:t>
      </w:r>
    </w:p>
    <w:p w14:paraId="0C4E75E3">
      <w:pPr>
        <w:spacing w:before="154" w:line="360"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7.2  </w:t>
      </w:r>
      <w:r>
        <w:rPr>
          <w:rFonts w:hint="eastAsia" w:ascii="宋体" w:hAnsi="宋体" w:eastAsia="宋体" w:cs="宋体"/>
          <w:color w:val="auto"/>
          <w:spacing w:val="-1"/>
          <w:sz w:val="24"/>
          <w:szCs w:val="24"/>
          <w:highlight w:val="none"/>
        </w:rPr>
        <w:t>招标人在提问截止时间（见本章第二节“重要</w:t>
      </w:r>
      <w:r>
        <w:rPr>
          <w:rFonts w:hint="eastAsia" w:ascii="宋体" w:hAnsi="宋体" w:eastAsia="宋体" w:cs="宋体"/>
          <w:color w:val="auto"/>
          <w:spacing w:val="-2"/>
          <w:sz w:val="24"/>
          <w:szCs w:val="24"/>
          <w:highlight w:val="none"/>
        </w:rPr>
        <w:t>事项时间地点一览表”）后3</w:t>
      </w:r>
      <w:r>
        <w:rPr>
          <w:rFonts w:hint="eastAsia" w:ascii="宋体" w:hAnsi="宋体" w:eastAsia="宋体" w:cs="宋体"/>
          <w:color w:val="auto"/>
          <w:spacing w:val="-1"/>
          <w:sz w:val="24"/>
          <w:szCs w:val="24"/>
          <w:highlight w:val="none"/>
        </w:rPr>
        <w:t>日内，一次性对收到的所有问题作出答复，并形成答疑（或修</w:t>
      </w:r>
      <w:r>
        <w:rPr>
          <w:rFonts w:hint="eastAsia" w:ascii="宋体" w:hAnsi="宋体" w:eastAsia="宋体" w:cs="宋体"/>
          <w:color w:val="auto"/>
          <w:spacing w:val="-2"/>
          <w:sz w:val="24"/>
          <w:szCs w:val="24"/>
          <w:highlight w:val="none"/>
        </w:rPr>
        <w:t>改）公告在发布招标公</w:t>
      </w:r>
      <w:r>
        <w:rPr>
          <w:rFonts w:hint="eastAsia" w:ascii="宋体" w:hAnsi="宋体" w:eastAsia="宋体" w:cs="宋体"/>
          <w:color w:val="auto"/>
          <w:spacing w:val="-1"/>
          <w:sz w:val="24"/>
          <w:szCs w:val="24"/>
          <w:highlight w:val="none"/>
        </w:rPr>
        <w:t>告的媒介上公开发布。答疑（或修改）公告一旦发布，即</w:t>
      </w:r>
      <w:r>
        <w:rPr>
          <w:rFonts w:hint="eastAsia" w:ascii="宋体" w:hAnsi="宋体" w:eastAsia="宋体" w:cs="宋体"/>
          <w:color w:val="auto"/>
          <w:spacing w:val="-1"/>
          <w:sz w:val="24"/>
          <w:szCs w:val="24"/>
          <w:highlight w:val="none"/>
          <w:lang w:eastAsia="zh-CN"/>
        </w:rPr>
        <w:t>视为</w:t>
      </w:r>
      <w:r>
        <w:rPr>
          <w:rFonts w:hint="eastAsia" w:ascii="宋体" w:hAnsi="宋体" w:eastAsia="宋体" w:cs="宋体"/>
          <w:color w:val="auto"/>
          <w:spacing w:val="-1"/>
          <w:sz w:val="24"/>
          <w:szCs w:val="24"/>
          <w:highlight w:val="none"/>
        </w:rPr>
        <w:t>所</w:t>
      </w:r>
      <w:r>
        <w:rPr>
          <w:rFonts w:hint="eastAsia" w:ascii="宋体" w:hAnsi="宋体" w:eastAsia="宋体" w:cs="宋体"/>
          <w:color w:val="auto"/>
          <w:spacing w:val="-2"/>
          <w:sz w:val="24"/>
          <w:szCs w:val="24"/>
          <w:highlight w:val="none"/>
        </w:rPr>
        <w:t>有潜在投标人已经知悉</w:t>
      </w:r>
      <w:r>
        <w:rPr>
          <w:rFonts w:hint="eastAsia" w:ascii="宋体" w:hAnsi="宋体" w:eastAsia="宋体" w:cs="宋体"/>
          <w:color w:val="auto"/>
          <w:spacing w:val="-1"/>
          <w:sz w:val="24"/>
          <w:szCs w:val="24"/>
          <w:highlight w:val="none"/>
        </w:rPr>
        <w:t>答疑（或修改）内容，投标人未及时关注而造成的损失和后果</w:t>
      </w:r>
      <w:r>
        <w:rPr>
          <w:rFonts w:hint="eastAsia" w:ascii="宋体" w:hAnsi="宋体" w:eastAsia="宋体" w:cs="宋体"/>
          <w:color w:val="auto"/>
          <w:spacing w:val="-2"/>
          <w:sz w:val="24"/>
          <w:szCs w:val="24"/>
          <w:highlight w:val="none"/>
        </w:rPr>
        <w:t>，由投标人自行承担。</w:t>
      </w:r>
    </w:p>
    <w:p w14:paraId="3207CA6F">
      <w:pPr>
        <w:spacing w:before="152" w:line="360" w:lineRule="auto"/>
        <w:ind w:firstLine="478" w:firstLineChars="200"/>
        <w:jc w:val="both"/>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7.3  </w:t>
      </w:r>
      <w:r>
        <w:rPr>
          <w:rFonts w:hint="eastAsia" w:ascii="宋体" w:hAnsi="宋体" w:eastAsia="宋体" w:cs="宋体"/>
          <w:color w:val="auto"/>
          <w:spacing w:val="-1"/>
          <w:sz w:val="24"/>
          <w:szCs w:val="24"/>
          <w:highlight w:val="none"/>
        </w:rPr>
        <w:t>招标人对招标文件所作的答疑（或修改）公告，构成</w:t>
      </w:r>
      <w:r>
        <w:rPr>
          <w:rFonts w:hint="eastAsia" w:ascii="宋体" w:hAnsi="宋体" w:eastAsia="宋体" w:cs="宋体"/>
          <w:color w:val="auto"/>
          <w:spacing w:val="-2"/>
          <w:sz w:val="24"/>
          <w:szCs w:val="24"/>
          <w:highlight w:val="none"/>
        </w:rPr>
        <w:t>招标文件的组成部分。</w:t>
      </w:r>
    </w:p>
    <w:p w14:paraId="1728F14D">
      <w:pPr>
        <w:spacing w:before="79" w:line="360" w:lineRule="auto"/>
        <w:ind w:left="488"/>
        <w:outlineLvl w:val="2"/>
        <w:rPr>
          <w:rFonts w:hint="eastAsia" w:ascii="宋体" w:hAnsi="宋体" w:eastAsia="宋体" w:cs="宋体"/>
          <w:color w:val="auto"/>
          <w:sz w:val="24"/>
          <w:szCs w:val="24"/>
          <w:highlight w:val="none"/>
          <w:lang w:eastAsia="zh-CN"/>
        </w:rPr>
      </w:pPr>
      <w:bookmarkStart w:id="41" w:name="_Toc6897"/>
      <w:bookmarkStart w:id="42" w:name="_Toc7721"/>
      <w:r>
        <w:rPr>
          <w:rFonts w:hint="eastAsia" w:ascii="宋体" w:hAnsi="宋体" w:eastAsia="宋体" w:cs="宋体"/>
          <w:b/>
          <w:bCs/>
          <w:color w:val="auto"/>
          <w:spacing w:val="-5"/>
          <w:sz w:val="24"/>
          <w:szCs w:val="24"/>
          <w:highlight w:val="none"/>
        </w:rPr>
        <w:t>8</w:t>
      </w:r>
      <w:r>
        <w:rPr>
          <w:rFonts w:hint="eastAsia" w:ascii="宋体" w:hAnsi="宋体" w:eastAsia="宋体" w:cs="宋体"/>
          <w:b/>
          <w:bCs/>
          <w:color w:val="auto"/>
          <w:spacing w:val="-5"/>
          <w:sz w:val="24"/>
          <w:szCs w:val="24"/>
          <w:highlight w:val="none"/>
          <w:lang w:eastAsia="zh-CN"/>
        </w:rPr>
        <w:t xml:space="preserve">. </w:t>
      </w:r>
      <w:r>
        <w:rPr>
          <w:rFonts w:hint="eastAsia" w:ascii="宋体" w:hAnsi="宋体" w:eastAsia="宋体" w:cs="宋体"/>
          <w:b/>
          <w:bCs/>
          <w:color w:val="auto"/>
          <w:spacing w:val="-1"/>
          <w:sz w:val="24"/>
          <w:szCs w:val="24"/>
          <w:highlight w:val="none"/>
          <w:lang w:eastAsia="zh-CN"/>
        </w:rPr>
        <w:t>最高投标限价</w:t>
      </w:r>
      <w:bookmarkEnd w:id="41"/>
      <w:bookmarkEnd w:id="42"/>
    </w:p>
    <w:p w14:paraId="483B6E50">
      <w:pPr>
        <w:spacing w:before="155" w:line="360"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8.1  </w:t>
      </w:r>
      <w:r>
        <w:rPr>
          <w:rFonts w:hint="eastAsia" w:ascii="宋体" w:hAnsi="宋体" w:eastAsia="宋体" w:cs="宋体"/>
          <w:color w:val="auto"/>
          <w:spacing w:val="-1"/>
          <w:sz w:val="24"/>
          <w:szCs w:val="24"/>
          <w:highlight w:val="none"/>
        </w:rPr>
        <w:t>本招标项目按照以下依据编制</w:t>
      </w:r>
      <w:r>
        <w:rPr>
          <w:rFonts w:hint="eastAsia" w:ascii="宋体" w:hAnsi="宋体" w:eastAsia="宋体" w:cs="宋体"/>
          <w:b/>
          <w:bCs/>
          <w:color w:val="auto"/>
          <w:spacing w:val="-1"/>
          <w:sz w:val="24"/>
          <w:szCs w:val="24"/>
          <w:highlight w:val="none"/>
          <w:lang w:eastAsia="zh-CN"/>
        </w:rPr>
        <w:t>最高投标限价</w:t>
      </w:r>
      <w:r>
        <w:rPr>
          <w:rFonts w:hint="eastAsia" w:ascii="宋体" w:hAnsi="宋体" w:eastAsia="宋体" w:cs="宋体"/>
          <w:color w:val="auto"/>
          <w:spacing w:val="-1"/>
          <w:sz w:val="24"/>
          <w:szCs w:val="24"/>
          <w:highlight w:val="none"/>
        </w:rPr>
        <w:t>：</w:t>
      </w:r>
    </w:p>
    <w:p w14:paraId="50AB2042">
      <w:pPr>
        <w:keepNext w:val="0"/>
        <w:keepLines w:val="0"/>
        <w:pageBreakBefore w:val="0"/>
        <w:widowControl/>
        <w:kinsoku w:val="0"/>
        <w:wordWrap/>
        <w:overflowPunct/>
        <w:topLinePunct w:val="0"/>
        <w:autoSpaceDE w:val="0"/>
        <w:autoSpaceDN w:val="0"/>
        <w:bidi w:val="0"/>
        <w:adjustRightInd w:val="0"/>
        <w:snapToGrid w:val="0"/>
        <w:spacing w:before="157" w:line="360" w:lineRule="auto"/>
        <w:ind w:left="50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》（GB/T 50500-2024）；</w:t>
      </w:r>
    </w:p>
    <w:p w14:paraId="55BAFE0B">
      <w:pPr>
        <w:keepNext w:val="0"/>
        <w:keepLines w:val="0"/>
        <w:pageBreakBefore w:val="0"/>
        <w:widowControl/>
        <w:kinsoku w:val="0"/>
        <w:wordWrap/>
        <w:overflowPunct/>
        <w:topLinePunct w:val="0"/>
        <w:autoSpaceDE w:val="0"/>
        <w:autoSpaceDN w:val="0"/>
        <w:bidi w:val="0"/>
        <w:adjustRightInd w:val="0"/>
        <w:snapToGrid w:val="0"/>
        <w:spacing w:line="360" w:lineRule="auto"/>
        <w:ind w:left="11" w:right="17"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（2）《市政工程工程量计算标准》</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GB/</w:t>
      </w:r>
      <w:r>
        <w:rPr>
          <w:rFonts w:hint="eastAsia" w:ascii="宋体" w:hAnsi="宋体" w:eastAsia="宋体" w:cs="宋体"/>
          <w:color w:val="auto"/>
          <w:spacing w:val="2"/>
          <w:sz w:val="24"/>
          <w:szCs w:val="24"/>
          <w:highlight w:val="none"/>
          <w:lang w:eastAsia="zh-CN"/>
        </w:rPr>
        <w:t>T 50857</w:t>
      </w:r>
      <w:r>
        <w:rPr>
          <w:rFonts w:hint="eastAsia" w:ascii="宋体" w:hAnsi="宋体" w:eastAsia="宋体" w:cs="宋体"/>
          <w:color w:val="auto"/>
          <w:spacing w:val="2"/>
          <w:sz w:val="24"/>
          <w:szCs w:val="24"/>
          <w:highlight w:val="none"/>
        </w:rPr>
        <w:t>-2024</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、《园林绿化工程工程量计算标准》</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GB/</w:t>
      </w:r>
      <w:r>
        <w:rPr>
          <w:rFonts w:hint="eastAsia" w:ascii="宋体" w:hAnsi="宋体" w:eastAsia="宋体" w:cs="宋体"/>
          <w:color w:val="auto"/>
          <w:spacing w:val="2"/>
          <w:sz w:val="24"/>
          <w:szCs w:val="24"/>
          <w:highlight w:val="none"/>
          <w:lang w:eastAsia="zh-CN"/>
        </w:rPr>
        <w:t>T 50858</w:t>
      </w:r>
      <w:r>
        <w:rPr>
          <w:rFonts w:hint="eastAsia" w:ascii="宋体" w:hAnsi="宋体" w:eastAsia="宋体" w:cs="宋体"/>
          <w:color w:val="auto"/>
          <w:spacing w:val="2"/>
          <w:sz w:val="24"/>
          <w:szCs w:val="24"/>
          <w:highlight w:val="none"/>
        </w:rPr>
        <w:t>-2024</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、2018年《广东省市政工程综合定额》、2018年《广东省园林绿化工程综合定额</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广东省建设</w:t>
      </w:r>
      <w:r>
        <w:rPr>
          <w:rFonts w:hint="eastAsia" w:ascii="宋体" w:hAnsi="宋体" w:eastAsia="宋体" w:cs="宋体"/>
          <w:color w:val="auto"/>
          <w:spacing w:val="-1"/>
          <w:sz w:val="24"/>
          <w:szCs w:val="24"/>
          <w:highlight w:val="none"/>
        </w:rPr>
        <w:t>工程施工机具台班费用编制规则（2018）</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2"/>
          <w:sz w:val="24"/>
          <w:szCs w:val="24"/>
          <w:highlight w:val="none"/>
        </w:rPr>
        <w:t>广东省通用安</w:t>
      </w:r>
      <w:r>
        <w:rPr>
          <w:rFonts w:hint="eastAsia" w:ascii="宋体" w:hAnsi="宋体" w:eastAsia="宋体" w:cs="宋体"/>
          <w:color w:val="auto"/>
          <w:spacing w:val="-1"/>
          <w:sz w:val="24"/>
          <w:szCs w:val="24"/>
          <w:highlight w:val="none"/>
        </w:rPr>
        <w:t>装工程综合定额（2018）》</w:t>
      </w:r>
      <w:r>
        <w:rPr>
          <w:rFonts w:hint="eastAsia" w:ascii="宋体" w:hAnsi="宋体" w:eastAsia="宋体" w:cs="宋体"/>
          <w:color w:val="auto"/>
          <w:spacing w:val="2"/>
          <w:sz w:val="24"/>
          <w:szCs w:val="24"/>
          <w:highlight w:val="none"/>
        </w:rPr>
        <w:t>及现行的建筑施工规范和省市有关文件、规定为编制依据进行编制。</w:t>
      </w:r>
    </w:p>
    <w:p w14:paraId="071273A5">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（3）施工图及相关资料；</w:t>
      </w:r>
    </w:p>
    <w:p w14:paraId="3F87E4AE">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bookmarkStart w:id="43" w:name="bookmark119"/>
      <w:bookmarkEnd w:id="43"/>
      <w:r>
        <w:rPr>
          <w:rFonts w:hint="eastAsia" w:ascii="宋体" w:hAnsi="宋体" w:eastAsia="宋体" w:cs="宋体"/>
          <w:color w:val="auto"/>
          <w:spacing w:val="-2"/>
          <w:sz w:val="24"/>
          <w:szCs w:val="24"/>
          <w:highlight w:val="none"/>
        </w:rPr>
        <w:t>（4）招标文件及招标工程量清单；</w:t>
      </w:r>
    </w:p>
    <w:p w14:paraId="50D8453D">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（5）施工现场情况、工程特点及常规施工方案；</w:t>
      </w:r>
    </w:p>
    <w:p w14:paraId="7B3A9415">
      <w:pPr>
        <w:keepNext w:val="0"/>
        <w:keepLines w:val="0"/>
        <w:pageBreakBefore w:val="0"/>
        <w:widowControl/>
        <w:kinsoku w:val="0"/>
        <w:wordWrap/>
        <w:overflowPunct/>
        <w:topLinePunct w:val="0"/>
        <w:autoSpaceDE w:val="0"/>
        <w:autoSpaceDN w:val="0"/>
        <w:bidi w:val="0"/>
        <w:adjustRightInd w:val="0"/>
        <w:snapToGrid w:val="0"/>
        <w:spacing w:line="360" w:lineRule="auto"/>
        <w:ind w:left="12" w:right="136" w:firstLine="48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（6）项目所在地工程造价管理机构发布的工程造价信息，工程造</w:t>
      </w:r>
      <w:r>
        <w:rPr>
          <w:rFonts w:hint="eastAsia" w:ascii="宋体" w:hAnsi="宋体" w:eastAsia="宋体" w:cs="宋体"/>
          <w:color w:val="auto"/>
          <w:spacing w:val="-4"/>
          <w:sz w:val="24"/>
          <w:szCs w:val="24"/>
          <w:highlight w:val="none"/>
        </w:rPr>
        <w:t>价信息缺项的，</w:t>
      </w:r>
      <w:r>
        <w:rPr>
          <w:rFonts w:hint="eastAsia" w:ascii="宋体" w:hAnsi="宋体" w:eastAsia="宋体" w:cs="宋体"/>
          <w:color w:val="auto"/>
          <w:spacing w:val="-2"/>
          <w:sz w:val="24"/>
          <w:szCs w:val="24"/>
          <w:highlight w:val="none"/>
        </w:rPr>
        <w:t>参照市场价格；</w:t>
      </w:r>
    </w:p>
    <w:p w14:paraId="7F6D825D">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（7）与建设项目相关的标准、规范、技术资料。</w:t>
      </w:r>
    </w:p>
    <w:p w14:paraId="74CD6E43">
      <w:pPr>
        <w:spacing w:before="79" w:line="360" w:lineRule="auto"/>
        <w:ind w:firstLine="482" w:firstLineChars="200"/>
        <w:jc w:val="both"/>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宋体" w:hAnsi="宋体" w:eastAsia="宋体" w:cs="宋体"/>
          <w:b/>
          <w:bCs/>
          <w:color w:val="auto"/>
          <w:sz w:val="24"/>
          <w:szCs w:val="24"/>
          <w:highlight w:val="none"/>
        </w:rPr>
        <w:t>8.2</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lang w:val="en-US" w:eastAsia="zh-CN"/>
        </w:rPr>
        <w:t>本招标项目最高投标限价确定确定为人民币(大写)：陆佰贰拾陆万叁仟捌佰肆拾壹元肆角捌分（¥6263841.48元）。其中：安全生产措施费为¥104389.24元，暂列金额为¥490478.32元，暂估价为¥85000.00元。</w:t>
      </w:r>
    </w:p>
    <w:p w14:paraId="37A2572C">
      <w:pPr>
        <w:spacing w:before="79" w:line="360"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3</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rPr>
        <w:t>暂估价指招标工程量清单中提供的用于支付必然发生但暂时不能确定价格的</w:t>
      </w:r>
      <w:r>
        <w:rPr>
          <w:rFonts w:hint="eastAsia" w:ascii="宋体" w:hAnsi="宋体" w:eastAsia="宋体" w:cs="宋体"/>
          <w:color w:val="auto"/>
          <w:spacing w:val="-1"/>
          <w:sz w:val="24"/>
          <w:szCs w:val="24"/>
          <w:highlight w:val="none"/>
        </w:rPr>
        <w:t>材料、工程设备的单价以及专业工程的金额；暂列金额指招标</w:t>
      </w:r>
      <w:r>
        <w:rPr>
          <w:rFonts w:hint="eastAsia" w:ascii="宋体" w:hAnsi="宋体" w:eastAsia="宋体" w:cs="宋体"/>
          <w:color w:val="auto"/>
          <w:spacing w:val="-2"/>
          <w:sz w:val="24"/>
          <w:szCs w:val="24"/>
          <w:highlight w:val="none"/>
        </w:rPr>
        <w:t>工程量清单中暂定并包括在合同价款中的一笔款项，用于工程合同签订时尚未确定或</w:t>
      </w:r>
      <w:r>
        <w:rPr>
          <w:rFonts w:hint="eastAsia" w:ascii="宋体" w:hAnsi="宋体" w:eastAsia="宋体" w:cs="宋体"/>
          <w:color w:val="auto"/>
          <w:spacing w:val="-3"/>
          <w:sz w:val="24"/>
          <w:szCs w:val="24"/>
          <w:highlight w:val="none"/>
        </w:rPr>
        <w:t>者不可预见的所需材料、</w:t>
      </w:r>
      <w:r>
        <w:rPr>
          <w:rFonts w:hint="eastAsia" w:ascii="宋体" w:hAnsi="宋体" w:eastAsia="宋体" w:cs="宋体"/>
          <w:color w:val="auto"/>
          <w:spacing w:val="-1"/>
          <w:sz w:val="24"/>
          <w:szCs w:val="24"/>
          <w:highlight w:val="none"/>
        </w:rPr>
        <w:t>工程设备、服务的采购，施工中可能发生的工程变更、合同约</w:t>
      </w:r>
      <w:r>
        <w:rPr>
          <w:rFonts w:hint="eastAsia" w:ascii="宋体" w:hAnsi="宋体" w:eastAsia="宋体" w:cs="宋体"/>
          <w:color w:val="auto"/>
          <w:spacing w:val="-2"/>
          <w:sz w:val="24"/>
          <w:szCs w:val="24"/>
          <w:highlight w:val="none"/>
        </w:rPr>
        <w:t>定调整因素出现时的合</w:t>
      </w:r>
      <w:r>
        <w:rPr>
          <w:rFonts w:hint="eastAsia" w:ascii="宋体" w:hAnsi="宋体" w:eastAsia="宋体" w:cs="宋体"/>
          <w:color w:val="auto"/>
          <w:spacing w:val="-1"/>
          <w:sz w:val="24"/>
          <w:szCs w:val="24"/>
          <w:highlight w:val="none"/>
        </w:rPr>
        <w:t>同价款调整以及发生的索赔、现场签证确认等的费用。</w:t>
      </w:r>
    </w:p>
    <w:p w14:paraId="1F29C3EF">
      <w:pPr>
        <w:spacing w:before="36" w:line="360" w:lineRule="auto"/>
        <w:ind w:left="10" w:right="200" w:firstLine="48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4</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本招标项目以暂估价形式列入招标工程量清单中的材料、工程设备、专业工</w:t>
      </w:r>
      <w:r>
        <w:rPr>
          <w:rFonts w:hint="eastAsia" w:ascii="宋体" w:hAnsi="宋体" w:eastAsia="宋体" w:cs="宋体"/>
          <w:color w:val="auto"/>
          <w:spacing w:val="-2"/>
          <w:sz w:val="24"/>
          <w:szCs w:val="24"/>
          <w:highlight w:val="none"/>
        </w:rPr>
        <w:t>程（以下统称“暂估价项目”）包括：</w:t>
      </w:r>
      <w:r>
        <w:rPr>
          <w:rFonts w:hint="eastAsia" w:ascii="宋体" w:hAnsi="宋体" w:eastAsia="宋体" w:cs="宋体"/>
          <w:color w:val="auto"/>
          <w:sz w:val="24"/>
          <w:szCs w:val="24"/>
          <w:highlight w:val="none"/>
          <w:u w:val="single"/>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14:paraId="12FE5072">
      <w:pPr>
        <w:spacing w:before="154" w:line="360" w:lineRule="auto"/>
        <w:ind w:left="12" w:right="200" w:firstLine="47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5</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当暂估价项目的内容、标准、要求在项目实施过程中得以深化、明确、固定</w:t>
      </w:r>
      <w:r>
        <w:rPr>
          <w:rFonts w:hint="eastAsia" w:ascii="宋体" w:hAnsi="宋体" w:eastAsia="宋体" w:cs="宋体"/>
          <w:color w:val="auto"/>
          <w:spacing w:val="-2"/>
          <w:sz w:val="24"/>
          <w:szCs w:val="24"/>
          <w:highlight w:val="none"/>
        </w:rPr>
        <w:t>后，按以下原则发包：</w:t>
      </w:r>
    </w:p>
    <w:p w14:paraId="0DB4AC8D">
      <w:pPr>
        <w:spacing w:before="153" w:line="360" w:lineRule="auto"/>
        <w:ind w:left="-3" w:leftChars="0"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（1）暂估价项目按工程、货物（指材料或工程设备，下同）的类别分类汇总的金额，达到必须</w:t>
      </w:r>
      <w:r>
        <w:rPr>
          <w:rFonts w:hint="eastAsia" w:ascii="宋体" w:hAnsi="宋体" w:eastAsia="宋体" w:cs="宋体"/>
          <w:color w:val="auto"/>
          <w:spacing w:val="-3"/>
          <w:sz w:val="24"/>
          <w:szCs w:val="24"/>
          <w:highlight w:val="none"/>
        </w:rPr>
        <w:t>招标规模标准的，由</w:t>
      </w:r>
      <w:r>
        <w:rPr>
          <w:rFonts w:hint="eastAsia" w:ascii="宋体" w:hAnsi="宋体" w:eastAsia="宋体" w:cs="宋体"/>
          <w:bCs/>
          <w:color w:val="auto"/>
          <w:spacing w:val="-1"/>
          <w:sz w:val="24"/>
          <w:szCs w:val="24"/>
          <w:highlight w:val="none"/>
          <w:u w:val="single"/>
        </w:rPr>
        <w:t>中标人招标，招标人参与管理</w:t>
      </w:r>
      <w:r>
        <w:rPr>
          <w:rFonts w:hint="eastAsia" w:ascii="宋体" w:hAnsi="宋体" w:eastAsia="宋体" w:cs="宋体"/>
          <w:bCs/>
          <w:color w:val="auto"/>
          <w:spacing w:val="-1"/>
          <w:sz w:val="24"/>
          <w:szCs w:val="24"/>
          <w:highlight w:val="none"/>
        </w:rPr>
        <w:t>，</w:t>
      </w:r>
      <w:r>
        <w:rPr>
          <w:rFonts w:hint="eastAsia" w:ascii="宋体" w:hAnsi="宋体" w:eastAsia="宋体" w:cs="宋体"/>
          <w:color w:val="auto"/>
          <w:spacing w:val="-1"/>
          <w:sz w:val="24"/>
          <w:szCs w:val="24"/>
          <w:highlight w:val="none"/>
        </w:rPr>
        <w:t>确定专业工程承包人（或材料、工程设备供应商）和合同价格。</w:t>
      </w:r>
    </w:p>
    <w:p w14:paraId="5F60C25D">
      <w:pPr>
        <w:spacing w:before="30" w:line="360"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准但适用政府采购规定的，按照政府采购规定确定专业工</w:t>
      </w:r>
      <w:r>
        <w:rPr>
          <w:rFonts w:hint="eastAsia" w:ascii="宋体" w:hAnsi="宋体" w:eastAsia="宋体" w:cs="宋体"/>
          <w:color w:val="auto"/>
          <w:spacing w:val="-2"/>
          <w:sz w:val="24"/>
          <w:szCs w:val="24"/>
          <w:highlight w:val="none"/>
        </w:rPr>
        <w:t>程承包人（或材料、工程设备供应商）和合同价格。</w:t>
      </w:r>
    </w:p>
    <w:p w14:paraId="02BF48BB">
      <w:pPr>
        <w:spacing w:before="154" w:line="360"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w:t>
      </w:r>
      <w:r>
        <w:rPr>
          <w:rFonts w:hint="eastAsia" w:ascii="宋体" w:hAnsi="宋体" w:eastAsia="宋体" w:cs="宋体"/>
          <w:color w:val="auto"/>
          <w:spacing w:val="-1"/>
          <w:sz w:val="24"/>
          <w:szCs w:val="24"/>
          <w:highlight w:val="none"/>
          <w:lang w:eastAsia="zh-CN"/>
        </w:rPr>
        <w:t>，也</w:t>
      </w:r>
      <w:r>
        <w:rPr>
          <w:rFonts w:hint="eastAsia" w:ascii="宋体" w:hAnsi="宋体" w:eastAsia="宋体" w:cs="宋体"/>
          <w:color w:val="auto"/>
          <w:spacing w:val="-1"/>
          <w:sz w:val="24"/>
          <w:szCs w:val="24"/>
          <w:highlight w:val="none"/>
        </w:rPr>
        <w:t>不适用政府采购规定</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中标人具备相应资格条件的，</w:t>
      </w:r>
      <w:r>
        <w:rPr>
          <w:rFonts w:hint="eastAsia" w:ascii="宋体" w:hAnsi="宋体" w:eastAsia="宋体" w:cs="宋体"/>
          <w:color w:val="auto"/>
          <w:spacing w:val="-2"/>
          <w:sz w:val="24"/>
          <w:szCs w:val="24"/>
          <w:highlight w:val="none"/>
        </w:rPr>
        <w:t>由中标人承包；中标人不具</w:t>
      </w:r>
      <w:r>
        <w:rPr>
          <w:rFonts w:hint="eastAsia" w:ascii="宋体" w:hAnsi="宋体" w:eastAsia="宋体" w:cs="宋体"/>
          <w:color w:val="auto"/>
          <w:spacing w:val="-1"/>
          <w:sz w:val="24"/>
          <w:szCs w:val="24"/>
          <w:highlight w:val="none"/>
        </w:rPr>
        <w:t>备相应资格条件但具备分包权的，由中标人分包，招标人</w:t>
      </w:r>
      <w:r>
        <w:rPr>
          <w:rFonts w:hint="eastAsia" w:ascii="宋体" w:hAnsi="宋体" w:eastAsia="宋体" w:cs="宋体"/>
          <w:color w:val="auto"/>
          <w:spacing w:val="-1"/>
          <w:sz w:val="24"/>
          <w:szCs w:val="24"/>
          <w:highlight w:val="none"/>
          <w:lang w:eastAsia="zh-CN"/>
        </w:rPr>
        <w:t>与</w:t>
      </w:r>
      <w:r>
        <w:rPr>
          <w:rFonts w:hint="eastAsia" w:ascii="宋体" w:hAnsi="宋体" w:eastAsia="宋体" w:cs="宋体"/>
          <w:color w:val="auto"/>
          <w:spacing w:val="-2"/>
          <w:sz w:val="24"/>
          <w:szCs w:val="24"/>
          <w:highlight w:val="none"/>
        </w:rPr>
        <w:t>中标人结算原则按本招标文件相关条款执行。</w:t>
      </w:r>
    </w:p>
    <w:p w14:paraId="3698C443">
      <w:pPr>
        <w:spacing w:before="154" w:line="360"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w:t>
      </w:r>
      <w:r>
        <w:rPr>
          <w:rFonts w:hint="eastAsia" w:ascii="宋体" w:hAnsi="宋体" w:eastAsia="宋体" w:cs="宋体"/>
          <w:color w:val="auto"/>
          <w:spacing w:val="-1"/>
          <w:sz w:val="24"/>
          <w:szCs w:val="24"/>
          <w:highlight w:val="none"/>
          <w:lang w:eastAsia="zh-CN"/>
        </w:rPr>
        <w:t>，也</w:t>
      </w:r>
      <w:r>
        <w:rPr>
          <w:rFonts w:hint="eastAsia" w:ascii="宋体" w:hAnsi="宋体" w:eastAsia="宋体" w:cs="宋体"/>
          <w:color w:val="auto"/>
          <w:spacing w:val="-1"/>
          <w:sz w:val="24"/>
          <w:szCs w:val="24"/>
          <w:highlight w:val="none"/>
        </w:rPr>
        <w:t>不适用政府采购规定</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中标人既不具备相应资格条件</w:t>
      </w:r>
      <w:r>
        <w:rPr>
          <w:rFonts w:hint="eastAsia" w:ascii="宋体" w:hAnsi="宋体" w:eastAsia="宋体" w:cs="宋体"/>
          <w:color w:val="auto"/>
          <w:spacing w:val="-2"/>
          <w:sz w:val="24"/>
          <w:szCs w:val="24"/>
          <w:highlight w:val="none"/>
        </w:rPr>
        <w:t>又不具备分包权的，由招标人另行发包。</w:t>
      </w:r>
    </w:p>
    <w:p w14:paraId="475FBF4C">
      <w:pPr>
        <w:spacing w:before="155" w:line="360" w:lineRule="auto"/>
        <w:ind w:left="9" w:right="66"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（5）暂估价项目由其他承包人承包的，纳入中标人的管理</w:t>
      </w:r>
      <w:r>
        <w:rPr>
          <w:rFonts w:hint="eastAsia" w:ascii="宋体" w:hAnsi="宋体" w:eastAsia="宋体" w:cs="宋体"/>
          <w:color w:val="auto"/>
          <w:spacing w:val="1"/>
          <w:sz w:val="24"/>
          <w:szCs w:val="24"/>
          <w:highlight w:val="none"/>
        </w:rPr>
        <w:t>和协调范围，由其他</w:t>
      </w:r>
      <w:r>
        <w:rPr>
          <w:rFonts w:hint="eastAsia" w:ascii="宋体" w:hAnsi="宋体" w:eastAsia="宋体" w:cs="宋体"/>
          <w:color w:val="auto"/>
          <w:spacing w:val="-1"/>
          <w:sz w:val="24"/>
          <w:szCs w:val="24"/>
          <w:highlight w:val="none"/>
        </w:rPr>
        <w:t>承包人向中标人承担质量、安全、文明施工、工期责任，中标</w:t>
      </w:r>
      <w:r>
        <w:rPr>
          <w:rFonts w:hint="eastAsia" w:ascii="宋体" w:hAnsi="宋体" w:eastAsia="宋体" w:cs="宋体"/>
          <w:color w:val="auto"/>
          <w:spacing w:val="-2"/>
          <w:sz w:val="24"/>
          <w:szCs w:val="24"/>
          <w:highlight w:val="none"/>
        </w:rPr>
        <w:t>人向招标人承担责任。</w:t>
      </w:r>
    </w:p>
    <w:p w14:paraId="34DBC168">
      <w:pPr>
        <w:spacing w:before="155" w:line="360" w:lineRule="auto"/>
        <w:ind w:left="10" w:right="65" w:firstLine="478"/>
        <w:jc w:val="both"/>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本招标项目以暂列金额形式列入招标工程量清单中的所需货物和服务的采购</w:t>
      </w:r>
      <w:r>
        <w:rPr>
          <w:rFonts w:hint="eastAsia" w:ascii="宋体" w:hAnsi="宋体" w:eastAsia="宋体" w:cs="宋体"/>
          <w:color w:val="auto"/>
          <w:spacing w:val="-1"/>
          <w:sz w:val="24"/>
          <w:szCs w:val="24"/>
          <w:highlight w:val="none"/>
        </w:rPr>
        <w:t>（以下统称“暂列金额项目”）若有发生，按照本节第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pacing w:val="-1"/>
          <w:sz w:val="24"/>
          <w:szCs w:val="24"/>
          <w:highlight w:val="none"/>
        </w:rPr>
        <w:t xml:space="preserve">8.5 </w:t>
      </w:r>
      <w:r>
        <w:rPr>
          <w:rFonts w:hint="eastAsia" w:ascii="宋体" w:hAnsi="宋体" w:eastAsia="宋体" w:cs="宋体"/>
          <w:color w:val="auto"/>
          <w:spacing w:val="-1"/>
          <w:sz w:val="24"/>
          <w:szCs w:val="24"/>
          <w:highlight w:val="none"/>
        </w:rPr>
        <w:t>条的规定确定货物（或服务）供应商和合同价格。暂列金额项目由其他承包人承包的</w:t>
      </w:r>
      <w:r>
        <w:rPr>
          <w:rFonts w:hint="eastAsia" w:ascii="宋体" w:hAnsi="宋体" w:eastAsia="宋体" w:cs="宋体"/>
          <w:color w:val="auto"/>
          <w:spacing w:val="-2"/>
          <w:sz w:val="24"/>
          <w:szCs w:val="24"/>
          <w:highlight w:val="none"/>
        </w:rPr>
        <w:t>，纳入中标人的管理和协</w:t>
      </w:r>
      <w:r>
        <w:rPr>
          <w:rFonts w:hint="eastAsia" w:ascii="宋体" w:hAnsi="宋体" w:eastAsia="宋体" w:cs="宋体"/>
          <w:color w:val="auto"/>
          <w:spacing w:val="-1"/>
          <w:sz w:val="24"/>
          <w:szCs w:val="24"/>
          <w:highlight w:val="none"/>
        </w:rPr>
        <w:t>调范围</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由其他承包人向中标人承担质量、安全、文明</w:t>
      </w:r>
      <w:r>
        <w:rPr>
          <w:rFonts w:hint="eastAsia" w:ascii="宋体" w:hAnsi="宋体" w:eastAsia="宋体" w:cs="宋体"/>
          <w:color w:val="auto"/>
          <w:spacing w:val="-2"/>
          <w:sz w:val="24"/>
          <w:szCs w:val="24"/>
          <w:highlight w:val="none"/>
        </w:rPr>
        <w:t>施工、工期责任，中标人向招标人承担责任。</w:t>
      </w:r>
    </w:p>
    <w:p w14:paraId="2AB78D5F">
      <w:pPr>
        <w:spacing w:before="79" w:line="219" w:lineRule="auto"/>
        <w:ind w:left="487"/>
        <w:outlineLvl w:val="2"/>
        <w:rPr>
          <w:rFonts w:hint="eastAsia" w:ascii="宋体" w:hAnsi="宋体" w:eastAsia="宋体" w:cs="宋体"/>
          <w:color w:val="auto"/>
          <w:sz w:val="24"/>
          <w:szCs w:val="24"/>
          <w:highlight w:val="none"/>
        </w:rPr>
      </w:pPr>
      <w:bookmarkStart w:id="44" w:name="_Toc19887"/>
      <w:bookmarkStart w:id="45" w:name="_Toc22978"/>
      <w:r>
        <w:rPr>
          <w:rFonts w:hint="eastAsia" w:ascii="宋体" w:hAnsi="宋体" w:eastAsia="宋体" w:cs="宋体"/>
          <w:b/>
          <w:bCs/>
          <w:color w:val="auto"/>
          <w:spacing w:val="-8"/>
          <w:sz w:val="24"/>
          <w:szCs w:val="24"/>
          <w:highlight w:val="none"/>
        </w:rPr>
        <w:t>9</w:t>
      </w:r>
      <w:r>
        <w:rPr>
          <w:rFonts w:hint="eastAsia" w:ascii="宋体" w:hAnsi="宋体" w:eastAsia="宋体" w:cs="宋体"/>
          <w:b/>
          <w:bCs/>
          <w:color w:val="auto"/>
          <w:spacing w:val="-8"/>
          <w:sz w:val="24"/>
          <w:szCs w:val="24"/>
          <w:highlight w:val="none"/>
          <w:lang w:eastAsia="zh-CN"/>
        </w:rPr>
        <w:t xml:space="preserve">. </w:t>
      </w:r>
      <w:r>
        <w:rPr>
          <w:rFonts w:hint="eastAsia" w:ascii="宋体" w:hAnsi="宋体" w:eastAsia="宋体" w:cs="宋体"/>
          <w:b/>
          <w:bCs/>
          <w:color w:val="auto"/>
          <w:spacing w:val="-8"/>
          <w:sz w:val="24"/>
          <w:szCs w:val="24"/>
          <w:highlight w:val="none"/>
        </w:rPr>
        <w:t>投标报价</w:t>
      </w:r>
      <w:bookmarkEnd w:id="44"/>
      <w:bookmarkEnd w:id="45"/>
    </w:p>
    <w:p w14:paraId="0CB59245">
      <w:pPr>
        <w:spacing w:before="157" w:line="219"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9.1  </w:t>
      </w:r>
      <w:r>
        <w:rPr>
          <w:rFonts w:hint="eastAsia" w:ascii="宋体" w:hAnsi="宋体" w:eastAsia="宋体" w:cs="宋体"/>
          <w:color w:val="auto"/>
          <w:spacing w:val="-1"/>
          <w:sz w:val="24"/>
          <w:szCs w:val="24"/>
          <w:highlight w:val="none"/>
        </w:rPr>
        <w:t>投标人应按照以下依据编制投标报价：</w:t>
      </w:r>
    </w:p>
    <w:p w14:paraId="324CCCE9">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（1）《建设工程工程量清单计价标准》（GB/T 50500-2024）</w:t>
      </w:r>
      <w:r>
        <w:rPr>
          <w:rFonts w:hint="eastAsia" w:ascii="宋体" w:hAnsi="宋体" w:eastAsia="宋体" w:cs="宋体"/>
          <w:color w:val="auto"/>
          <w:spacing w:val="4"/>
          <w:sz w:val="24"/>
          <w:szCs w:val="24"/>
          <w:highlight w:val="none"/>
        </w:rPr>
        <w:t>；</w:t>
      </w:r>
    </w:p>
    <w:p w14:paraId="1F123386">
      <w:pPr>
        <w:spacing w:before="153" w:line="309" w:lineRule="auto"/>
        <w:ind w:left="9" w:right="65"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w:t>
      </w:r>
      <w:r>
        <w:rPr>
          <w:rFonts w:hint="eastAsia" w:ascii="宋体" w:hAnsi="宋体" w:eastAsia="宋体" w:cs="宋体"/>
          <w:color w:val="auto"/>
          <w:spacing w:val="2"/>
          <w:sz w:val="24"/>
          <w:szCs w:val="24"/>
          <w:highlight w:val="none"/>
          <w:lang w:eastAsia="zh-CN"/>
        </w:rPr>
        <w:t>以《</w:t>
      </w:r>
      <w:r>
        <w:rPr>
          <w:rFonts w:hint="eastAsia" w:ascii="宋体" w:hAnsi="宋体" w:eastAsia="宋体" w:cs="宋体"/>
          <w:color w:val="auto"/>
          <w:spacing w:val="2"/>
          <w:sz w:val="24"/>
          <w:szCs w:val="24"/>
          <w:highlight w:val="none"/>
        </w:rPr>
        <w:t>市政工程工程量计算标准》</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GB/</w:t>
      </w:r>
      <w:r>
        <w:rPr>
          <w:rFonts w:hint="eastAsia" w:ascii="宋体" w:hAnsi="宋体" w:eastAsia="宋体" w:cs="宋体"/>
          <w:color w:val="auto"/>
          <w:spacing w:val="2"/>
          <w:sz w:val="24"/>
          <w:szCs w:val="24"/>
          <w:highlight w:val="none"/>
          <w:lang w:eastAsia="zh-CN"/>
        </w:rPr>
        <w:t>T 50857</w:t>
      </w:r>
      <w:r>
        <w:rPr>
          <w:rFonts w:hint="eastAsia" w:ascii="宋体" w:hAnsi="宋体" w:eastAsia="宋体" w:cs="宋体"/>
          <w:color w:val="auto"/>
          <w:spacing w:val="2"/>
          <w:sz w:val="24"/>
          <w:szCs w:val="24"/>
          <w:highlight w:val="none"/>
        </w:rPr>
        <w:t>-2024）、《园林绿化工程工程量计算标准》</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GB/</w:t>
      </w:r>
      <w:r>
        <w:rPr>
          <w:rFonts w:hint="eastAsia" w:ascii="宋体" w:hAnsi="宋体" w:eastAsia="宋体" w:cs="宋体"/>
          <w:color w:val="auto"/>
          <w:spacing w:val="2"/>
          <w:sz w:val="24"/>
          <w:szCs w:val="24"/>
          <w:highlight w:val="none"/>
          <w:lang w:eastAsia="zh-CN"/>
        </w:rPr>
        <w:t>T 50858</w:t>
      </w:r>
      <w:r>
        <w:rPr>
          <w:rFonts w:hint="eastAsia" w:ascii="宋体" w:hAnsi="宋体" w:eastAsia="宋体" w:cs="宋体"/>
          <w:color w:val="auto"/>
          <w:spacing w:val="2"/>
          <w:sz w:val="24"/>
          <w:szCs w:val="24"/>
          <w:highlight w:val="none"/>
        </w:rPr>
        <w:t>-2024）、2018年《广东省市政工程综合定额》、2018年《广东省园林绿化工程综合定额</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广东省建设工程施工机具台班费用编制规则（2018）</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广东省通用安装工程综合定额（2018）》及现行的建筑施工规范和省市有关文件、规定为编制依据进行编制</w:t>
      </w:r>
      <w:r>
        <w:rPr>
          <w:rFonts w:hint="eastAsia" w:ascii="宋体" w:hAnsi="宋体" w:eastAsia="宋体" w:cs="宋体"/>
          <w:color w:val="auto"/>
          <w:spacing w:val="-1"/>
          <w:sz w:val="24"/>
          <w:szCs w:val="24"/>
          <w:highlight w:val="none"/>
        </w:rPr>
        <w:t>；</w:t>
      </w:r>
    </w:p>
    <w:p w14:paraId="4CCDAD2F">
      <w:pPr>
        <w:spacing w:before="78" w:line="220" w:lineRule="auto"/>
        <w:ind w:left="501"/>
        <w:rPr>
          <w:rFonts w:hint="eastAsia" w:ascii="宋体" w:hAnsi="宋体" w:eastAsia="宋体" w:cs="宋体"/>
          <w:color w:val="auto"/>
          <w:sz w:val="24"/>
          <w:szCs w:val="24"/>
          <w:highlight w:val="none"/>
        </w:rPr>
      </w:pPr>
      <w:bookmarkStart w:id="46" w:name="bookmark120"/>
      <w:bookmarkEnd w:id="46"/>
      <w:r>
        <w:rPr>
          <w:rFonts w:hint="eastAsia" w:ascii="宋体" w:hAnsi="宋体" w:eastAsia="宋体" w:cs="宋体"/>
          <w:color w:val="auto"/>
          <w:spacing w:val="-3"/>
          <w:sz w:val="24"/>
          <w:szCs w:val="24"/>
          <w:highlight w:val="none"/>
        </w:rPr>
        <w:t>（3）企业定额；</w:t>
      </w:r>
    </w:p>
    <w:p w14:paraId="44753B79">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（4）招标文件及其答疑（或修改）公告、招标工程量清单；</w:t>
      </w:r>
    </w:p>
    <w:p w14:paraId="3CFD144F">
      <w:pPr>
        <w:spacing w:before="154" w:line="221"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（5）施工图及相关资料；</w:t>
      </w:r>
    </w:p>
    <w:p w14:paraId="3970D688">
      <w:pPr>
        <w:spacing w:before="152"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（6）施工现场情况、工程特点及投标时拟定的施工组织设计或施工方案；</w:t>
      </w:r>
    </w:p>
    <w:p w14:paraId="248C998C">
      <w:pPr>
        <w:spacing w:before="156"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（7）市场价格信息或项目所在地工程造价管理机构发布的工程造价信息；</w:t>
      </w:r>
    </w:p>
    <w:p w14:paraId="7BBE6412">
      <w:pPr>
        <w:spacing w:before="155"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（8）与建设项目相关的标准、规范、技术资料。</w:t>
      </w:r>
    </w:p>
    <w:p w14:paraId="5884AFD7">
      <w:pPr>
        <w:spacing w:before="153" w:line="309" w:lineRule="auto"/>
        <w:ind w:left="8" w:right="150"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9.2  </w:t>
      </w:r>
      <w:r>
        <w:rPr>
          <w:rFonts w:hint="eastAsia" w:ascii="宋体" w:hAnsi="宋体" w:eastAsia="宋体" w:cs="宋体"/>
          <w:color w:val="auto"/>
          <w:spacing w:val="-2"/>
          <w:sz w:val="24"/>
          <w:szCs w:val="24"/>
          <w:highlight w:val="none"/>
        </w:rPr>
        <w:t>投标人应根据招标工程量清单、工程量清单计价规范中的工作内容、设计文</w:t>
      </w:r>
      <w:r>
        <w:rPr>
          <w:rFonts w:hint="eastAsia" w:ascii="宋体" w:hAnsi="宋体" w:eastAsia="宋体" w:cs="宋体"/>
          <w:color w:val="auto"/>
          <w:spacing w:val="-1"/>
          <w:sz w:val="24"/>
          <w:szCs w:val="24"/>
          <w:highlight w:val="none"/>
        </w:rPr>
        <w:t>件和有关要求、施工现场实际情况、投标人拟定的施工组织设计</w:t>
      </w:r>
      <w:r>
        <w:rPr>
          <w:rFonts w:hint="eastAsia" w:ascii="宋体" w:hAnsi="宋体" w:eastAsia="宋体" w:cs="宋体"/>
          <w:color w:val="auto"/>
          <w:spacing w:val="-2"/>
          <w:sz w:val="24"/>
          <w:szCs w:val="24"/>
          <w:highlight w:val="none"/>
        </w:rPr>
        <w:t>、本单位的企业定额</w:t>
      </w:r>
      <w:r>
        <w:rPr>
          <w:rFonts w:hint="eastAsia" w:ascii="宋体" w:hAnsi="宋体" w:eastAsia="宋体" w:cs="宋体"/>
          <w:color w:val="auto"/>
          <w:spacing w:val="-1"/>
          <w:sz w:val="24"/>
          <w:szCs w:val="24"/>
          <w:highlight w:val="none"/>
        </w:rPr>
        <w:t>和市场价格进行编制，自行报价，并承担一定范围内的风险费用</w:t>
      </w:r>
      <w:r>
        <w:rPr>
          <w:rFonts w:hint="eastAsia" w:ascii="宋体" w:hAnsi="宋体" w:eastAsia="宋体" w:cs="宋体"/>
          <w:color w:val="auto"/>
          <w:spacing w:val="-2"/>
          <w:sz w:val="24"/>
          <w:szCs w:val="24"/>
          <w:highlight w:val="none"/>
        </w:rPr>
        <w:t>。所谓“一定范围内</w:t>
      </w:r>
      <w:r>
        <w:rPr>
          <w:rFonts w:hint="eastAsia" w:ascii="宋体" w:hAnsi="宋体" w:eastAsia="宋体" w:cs="宋体"/>
          <w:color w:val="auto"/>
          <w:spacing w:val="-3"/>
          <w:sz w:val="24"/>
          <w:szCs w:val="24"/>
          <w:highlight w:val="none"/>
        </w:rPr>
        <w:t>的风险</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”是指合同约定的风险。</w:t>
      </w:r>
    </w:p>
    <w:p w14:paraId="6F48F6C5">
      <w:pPr>
        <w:spacing w:before="152" w:line="309" w:lineRule="auto"/>
        <w:ind w:left="9" w:right="15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9.3  </w:t>
      </w:r>
      <w:r>
        <w:rPr>
          <w:rFonts w:hint="eastAsia" w:ascii="宋体" w:hAnsi="宋体" w:eastAsia="宋体" w:cs="宋体"/>
          <w:color w:val="auto"/>
          <w:spacing w:val="-2"/>
          <w:sz w:val="24"/>
          <w:szCs w:val="24"/>
          <w:highlight w:val="none"/>
        </w:rPr>
        <w:t>招标人及招标代理机构不集中组织现场踏勘，投标人需要了解现场情况的，</w:t>
      </w:r>
      <w:r>
        <w:rPr>
          <w:rFonts w:hint="eastAsia" w:ascii="宋体" w:hAnsi="宋体" w:eastAsia="宋体" w:cs="宋体"/>
          <w:color w:val="auto"/>
          <w:spacing w:val="-1"/>
          <w:sz w:val="24"/>
          <w:szCs w:val="24"/>
          <w:highlight w:val="none"/>
        </w:rPr>
        <w:t>可自行进行现场踏勘。各投标人应勘察施工现场及周围环</w:t>
      </w:r>
      <w:r>
        <w:rPr>
          <w:rFonts w:hint="eastAsia" w:ascii="宋体" w:hAnsi="宋体" w:eastAsia="宋体" w:cs="宋体"/>
          <w:color w:val="auto"/>
          <w:spacing w:val="-2"/>
          <w:sz w:val="24"/>
          <w:szCs w:val="24"/>
          <w:highlight w:val="none"/>
        </w:rPr>
        <w:t>境、地形、地貌、水文、交</w:t>
      </w:r>
      <w:r>
        <w:rPr>
          <w:rFonts w:hint="eastAsia" w:ascii="宋体" w:hAnsi="宋体" w:eastAsia="宋体" w:cs="宋体"/>
          <w:color w:val="auto"/>
          <w:spacing w:val="-1"/>
          <w:sz w:val="24"/>
          <w:szCs w:val="24"/>
          <w:highlight w:val="none"/>
        </w:rPr>
        <w:t>通等情况</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以获得一切可能影响到投标的直接资料。投标人应</w:t>
      </w:r>
      <w:r>
        <w:rPr>
          <w:rFonts w:hint="eastAsia" w:ascii="宋体" w:hAnsi="宋体" w:eastAsia="宋体" w:cs="宋体"/>
          <w:color w:val="auto"/>
          <w:spacing w:val="-2"/>
          <w:sz w:val="24"/>
          <w:szCs w:val="24"/>
          <w:highlight w:val="none"/>
        </w:rPr>
        <w:t>针对现场情况编制施工</w:t>
      </w:r>
      <w:r>
        <w:rPr>
          <w:rFonts w:hint="eastAsia" w:ascii="宋体" w:hAnsi="宋体" w:eastAsia="宋体" w:cs="宋体"/>
          <w:color w:val="auto"/>
          <w:spacing w:val="-1"/>
          <w:sz w:val="24"/>
          <w:szCs w:val="24"/>
          <w:highlight w:val="none"/>
        </w:rPr>
        <w:t>组织设计，并在编制投标报价时考虑现场情况的影响。</w:t>
      </w:r>
    </w:p>
    <w:p w14:paraId="17C6A9C4">
      <w:pPr>
        <w:spacing w:before="155" w:line="279" w:lineRule="auto"/>
        <w:ind w:left="10" w:right="150" w:firstLine="55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9.4  </w:t>
      </w:r>
      <w:r>
        <w:rPr>
          <w:rFonts w:hint="eastAsia" w:ascii="宋体" w:hAnsi="宋体" w:eastAsia="宋体" w:cs="宋体"/>
          <w:color w:val="auto"/>
          <w:spacing w:val="-2"/>
          <w:sz w:val="24"/>
          <w:szCs w:val="24"/>
          <w:highlight w:val="none"/>
        </w:rPr>
        <w:t>招标人向投标人提供的有关现场的数据和资料，是招标人现有的能被投标人</w:t>
      </w:r>
      <w:r>
        <w:rPr>
          <w:rFonts w:hint="eastAsia" w:ascii="宋体" w:hAnsi="宋体" w:eastAsia="宋体" w:cs="宋体"/>
          <w:color w:val="auto"/>
          <w:sz w:val="24"/>
          <w:szCs w:val="24"/>
          <w:highlight w:val="none"/>
        </w:rPr>
        <w:t>利用的资料，招标人对投标人做出的任何推论</w:t>
      </w:r>
      <w:r>
        <w:rPr>
          <w:rFonts w:hint="eastAsia" w:ascii="宋体" w:hAnsi="宋体" w:eastAsia="宋体" w:cs="宋体"/>
          <w:color w:val="auto"/>
          <w:spacing w:val="-1"/>
          <w:sz w:val="24"/>
          <w:szCs w:val="24"/>
          <w:highlight w:val="none"/>
        </w:rPr>
        <w:t>、理解和结论均不负责任。</w:t>
      </w:r>
    </w:p>
    <w:p w14:paraId="58AFE0B2">
      <w:pPr>
        <w:spacing w:before="154" w:line="299" w:lineRule="auto"/>
        <w:ind w:left="12" w:firstLine="554"/>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9.5  </w:t>
      </w:r>
      <w:r>
        <w:rPr>
          <w:rFonts w:hint="eastAsia" w:ascii="宋体" w:hAnsi="宋体" w:eastAsia="宋体" w:cs="宋体"/>
          <w:color w:val="auto"/>
          <w:spacing w:val="-2"/>
          <w:sz w:val="24"/>
          <w:szCs w:val="24"/>
          <w:highlight w:val="none"/>
        </w:rPr>
        <w:t>投标人必须按照招标工程量清单及表格填报价格。项目编码、项目名称、项</w:t>
      </w:r>
      <w:r>
        <w:rPr>
          <w:rFonts w:hint="eastAsia" w:ascii="宋体" w:hAnsi="宋体" w:eastAsia="宋体" w:cs="宋体"/>
          <w:color w:val="auto"/>
          <w:spacing w:val="2"/>
          <w:sz w:val="24"/>
          <w:szCs w:val="24"/>
          <w:highlight w:val="none"/>
        </w:rPr>
        <w:t>目特征、计量单位、工程量必须与招标工程量清单一致。所有报价均以人</w:t>
      </w:r>
      <w:r>
        <w:rPr>
          <w:rFonts w:hint="eastAsia" w:ascii="宋体" w:hAnsi="宋体" w:eastAsia="宋体" w:cs="宋体"/>
          <w:color w:val="auto"/>
          <w:spacing w:val="1"/>
          <w:sz w:val="24"/>
          <w:szCs w:val="24"/>
          <w:highlight w:val="none"/>
        </w:rPr>
        <w:t>民币“元”</w:t>
      </w:r>
      <w:r>
        <w:rPr>
          <w:rFonts w:hint="eastAsia" w:ascii="宋体" w:hAnsi="宋体" w:eastAsia="宋体" w:cs="宋体"/>
          <w:color w:val="auto"/>
          <w:spacing w:val="-1"/>
          <w:sz w:val="24"/>
          <w:szCs w:val="24"/>
          <w:highlight w:val="none"/>
        </w:rPr>
        <w:t>为单位，并保留小数点后两位。</w:t>
      </w:r>
    </w:p>
    <w:p w14:paraId="7A5201E3">
      <w:pPr>
        <w:spacing w:before="158" w:line="314" w:lineRule="auto"/>
        <w:ind w:left="9" w:right="15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9.6  </w:t>
      </w:r>
      <w:r>
        <w:rPr>
          <w:rFonts w:hint="eastAsia" w:ascii="宋体" w:hAnsi="宋体" w:eastAsia="宋体" w:cs="宋体"/>
          <w:color w:val="auto"/>
          <w:spacing w:val="-2"/>
          <w:sz w:val="24"/>
          <w:szCs w:val="24"/>
          <w:highlight w:val="none"/>
        </w:rPr>
        <w:t>投标人只允许有一个投标总价。投标总价必须同时用大、小写表示，大、小</w:t>
      </w:r>
      <w:r>
        <w:rPr>
          <w:rFonts w:hint="eastAsia" w:ascii="宋体" w:hAnsi="宋体" w:eastAsia="宋体" w:cs="宋体"/>
          <w:color w:val="auto"/>
          <w:spacing w:val="-1"/>
          <w:sz w:val="24"/>
          <w:szCs w:val="24"/>
          <w:highlight w:val="none"/>
        </w:rPr>
        <w:t>写报价应保持一致，若不一致，以大写报价为准。招标工程量</w:t>
      </w:r>
      <w:r>
        <w:rPr>
          <w:rFonts w:hint="eastAsia" w:ascii="宋体" w:hAnsi="宋体" w:eastAsia="宋体" w:cs="宋体"/>
          <w:color w:val="auto"/>
          <w:spacing w:val="-2"/>
          <w:sz w:val="24"/>
          <w:szCs w:val="24"/>
          <w:highlight w:val="none"/>
        </w:rPr>
        <w:t>清单与计价表中列明的</w:t>
      </w:r>
      <w:r>
        <w:rPr>
          <w:rFonts w:hint="eastAsia" w:ascii="宋体" w:hAnsi="宋体" w:eastAsia="宋体" w:cs="宋体"/>
          <w:color w:val="auto"/>
          <w:spacing w:val="-1"/>
          <w:sz w:val="24"/>
          <w:szCs w:val="24"/>
          <w:highlight w:val="none"/>
        </w:rPr>
        <w:t>所有需要填写单价和合价的项目，投标人均应填写且只允许有</w:t>
      </w:r>
      <w:r>
        <w:rPr>
          <w:rFonts w:hint="eastAsia" w:ascii="宋体" w:hAnsi="宋体" w:eastAsia="宋体" w:cs="宋体"/>
          <w:color w:val="auto"/>
          <w:spacing w:val="-2"/>
          <w:sz w:val="24"/>
          <w:szCs w:val="24"/>
          <w:highlight w:val="none"/>
        </w:rPr>
        <w:t>一个报价。未填写单价</w:t>
      </w:r>
      <w:r>
        <w:rPr>
          <w:rFonts w:hint="eastAsia" w:ascii="宋体" w:hAnsi="宋体" w:eastAsia="宋体" w:cs="宋体"/>
          <w:color w:val="auto"/>
          <w:spacing w:val="-1"/>
          <w:sz w:val="24"/>
          <w:szCs w:val="24"/>
          <w:highlight w:val="none"/>
        </w:rPr>
        <w:t>和合价的项目，视为此项费用已包含在已标价工程量清单其他</w:t>
      </w:r>
      <w:r>
        <w:rPr>
          <w:rFonts w:hint="eastAsia" w:ascii="宋体" w:hAnsi="宋体" w:eastAsia="宋体" w:cs="宋体"/>
          <w:color w:val="auto"/>
          <w:spacing w:val="-2"/>
          <w:sz w:val="24"/>
          <w:szCs w:val="24"/>
          <w:highlight w:val="none"/>
        </w:rPr>
        <w:t>项目的单价和合价中，</w:t>
      </w:r>
      <w:r>
        <w:rPr>
          <w:rFonts w:hint="eastAsia" w:ascii="宋体" w:hAnsi="宋体" w:eastAsia="宋体" w:cs="宋体"/>
          <w:color w:val="auto"/>
          <w:spacing w:val="-1"/>
          <w:sz w:val="24"/>
          <w:szCs w:val="24"/>
          <w:highlight w:val="none"/>
        </w:rPr>
        <w:t>竣工结算时不得重新组价和调整。</w:t>
      </w:r>
    </w:p>
    <w:p w14:paraId="680D700B">
      <w:pPr>
        <w:spacing w:before="152" w:line="309" w:lineRule="auto"/>
        <w:ind w:left="7" w:right="120" w:firstLine="480"/>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z w:val="24"/>
          <w:szCs w:val="24"/>
          <w:highlight w:val="none"/>
        </w:rPr>
        <w:t xml:space="preserve">9.7  </w:t>
      </w:r>
      <w:r>
        <w:rPr>
          <w:rFonts w:hint="eastAsia" w:ascii="宋体" w:hAnsi="宋体" w:eastAsia="宋体" w:cs="宋体"/>
          <w:color w:val="auto"/>
          <w:sz w:val="24"/>
          <w:szCs w:val="24"/>
          <w:highlight w:val="none"/>
        </w:rPr>
        <w:t>投标人的投标总价不得高于</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color w:val="auto"/>
          <w:sz w:val="24"/>
          <w:szCs w:val="24"/>
          <w:highlight w:val="none"/>
        </w:rPr>
        <w:t>，也不得低于工程成本。投标人对</w:t>
      </w:r>
      <w:r>
        <w:rPr>
          <w:rFonts w:hint="eastAsia" w:ascii="宋体" w:hAnsi="宋体" w:eastAsia="宋体" w:cs="宋体"/>
          <w:color w:val="auto"/>
          <w:spacing w:val="-1"/>
          <w:sz w:val="24"/>
          <w:szCs w:val="24"/>
          <w:highlight w:val="none"/>
        </w:rPr>
        <w:t>投标总价的所有优惠（降价、让利等</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1"/>
          <w:sz w:val="24"/>
          <w:szCs w:val="24"/>
          <w:highlight w:val="none"/>
        </w:rPr>
        <w:t>均应当反映在具体清单项目或其综合</w:t>
      </w:r>
      <w:r>
        <w:rPr>
          <w:rFonts w:hint="eastAsia" w:ascii="宋体" w:hAnsi="宋体" w:eastAsia="宋体" w:cs="宋体"/>
          <w:color w:val="auto"/>
          <w:spacing w:val="-2"/>
          <w:sz w:val="24"/>
          <w:szCs w:val="24"/>
          <w:highlight w:val="none"/>
        </w:rPr>
        <w:t>单价的</w:t>
      </w:r>
      <w:r>
        <w:rPr>
          <w:rFonts w:hint="eastAsia" w:ascii="宋体" w:hAnsi="宋体" w:eastAsia="宋体" w:cs="宋体"/>
          <w:color w:val="auto"/>
          <w:spacing w:val="1"/>
          <w:sz w:val="24"/>
          <w:szCs w:val="24"/>
          <w:highlight w:val="none"/>
        </w:rPr>
        <w:t>报价上。</w:t>
      </w:r>
      <w:r>
        <w:rPr>
          <w:rFonts w:hint="eastAsia" w:ascii="宋体" w:hAnsi="宋体" w:eastAsia="宋体" w:cs="宋体"/>
          <w:b/>
          <w:bCs/>
          <w:color w:val="auto"/>
          <w:spacing w:val="1"/>
          <w:sz w:val="24"/>
          <w:szCs w:val="24"/>
          <w:highlight w:val="none"/>
        </w:rPr>
        <w:t>如果投标人的投标总价下浮率高于15%时，投标人必须在投标文件中专项</w:t>
      </w:r>
      <w:r>
        <w:rPr>
          <w:rFonts w:hint="eastAsia" w:ascii="宋体" w:hAnsi="宋体" w:eastAsia="宋体" w:cs="宋体"/>
          <w:b/>
          <w:bCs/>
          <w:color w:val="auto"/>
          <w:spacing w:val="-3"/>
          <w:sz w:val="24"/>
          <w:szCs w:val="24"/>
          <w:highlight w:val="none"/>
        </w:rPr>
        <w:t>作出详细合理的书面说明并提供以往类似工程详细成本分析报告供评标委员会审查。</w:t>
      </w:r>
    </w:p>
    <w:p w14:paraId="25ACD444">
      <w:pPr>
        <w:outlineLvl w:val="9"/>
        <w:rPr>
          <w:rFonts w:hint="eastAsia" w:ascii="宋体" w:hAnsi="宋体" w:eastAsia="宋体" w:cs="宋体"/>
          <w:color w:val="auto"/>
          <w:highlight w:val="none"/>
          <w:lang w:eastAsia="zh-CN"/>
        </w:rPr>
      </w:pPr>
      <w:r>
        <w:rPr>
          <w:rFonts w:hint="eastAsia" w:ascii="宋体" w:hAnsi="宋体" w:eastAsia="宋体" w:cs="宋体"/>
          <w:b/>
          <w:bCs/>
          <w:color w:val="auto"/>
          <w:spacing w:val="-3"/>
          <w:sz w:val="24"/>
          <w:szCs w:val="24"/>
          <w:highlight w:val="none"/>
          <w:lang w:eastAsia="zh-CN"/>
        </w:rPr>
        <w:t>投标总价下浮率=（1-投标总价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最高投标限价）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100%</w:t>
      </w:r>
    </w:p>
    <w:p w14:paraId="5ABB7F86">
      <w:pPr>
        <w:spacing w:before="146" w:line="325" w:lineRule="auto"/>
        <w:ind w:left="29" w:right="153" w:firstLine="458"/>
        <w:rPr>
          <w:rFonts w:hint="eastAsia" w:ascii="宋体" w:hAnsi="宋体" w:eastAsia="宋体" w:cs="宋体"/>
          <w:b/>
          <w:bCs/>
          <w:color w:val="auto"/>
          <w:highlight w:val="none"/>
        </w:rPr>
      </w:pPr>
      <w:r>
        <w:rPr>
          <w:rFonts w:hint="eastAsia" w:ascii="宋体" w:hAnsi="宋体" w:eastAsia="宋体" w:cs="宋体"/>
          <w:b/>
          <w:bCs/>
          <w:color w:val="auto"/>
          <w:sz w:val="24"/>
          <w:szCs w:val="24"/>
          <w:highlight w:val="none"/>
        </w:rPr>
        <w:t>9.8  投标人的安全生产措施费报价必须达到或超过</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b/>
          <w:bCs/>
          <w:color w:val="auto"/>
          <w:sz w:val="24"/>
          <w:szCs w:val="24"/>
          <w:highlight w:val="none"/>
        </w:rPr>
        <w:t>中</w:t>
      </w:r>
      <w:r>
        <w:rPr>
          <w:rFonts w:hint="eastAsia" w:ascii="宋体" w:hAnsi="宋体" w:eastAsia="宋体" w:cs="宋体"/>
          <w:b/>
          <w:bCs/>
          <w:color w:val="auto"/>
          <w:spacing w:val="-1"/>
          <w:sz w:val="24"/>
          <w:szCs w:val="24"/>
          <w:highlight w:val="none"/>
        </w:rPr>
        <w:t>提供</w:t>
      </w:r>
      <w:r>
        <w:rPr>
          <w:rFonts w:hint="eastAsia" w:ascii="宋体" w:hAnsi="宋体" w:eastAsia="宋体" w:cs="宋体"/>
          <w:b/>
          <w:bCs/>
          <w:color w:val="auto"/>
          <w:spacing w:val="-3"/>
          <w:sz w:val="24"/>
          <w:szCs w:val="24"/>
          <w:highlight w:val="none"/>
        </w:rPr>
        <w:t>的安全生产措施费。</w:t>
      </w:r>
    </w:p>
    <w:p w14:paraId="235C1669">
      <w:pPr>
        <w:spacing w:before="78" w:line="309" w:lineRule="auto"/>
        <w:ind w:right="99"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9.9  </w:t>
      </w:r>
      <w:r>
        <w:rPr>
          <w:rFonts w:hint="eastAsia" w:ascii="宋体" w:hAnsi="宋体" w:eastAsia="宋体" w:cs="宋体"/>
          <w:color w:val="auto"/>
          <w:sz w:val="24"/>
          <w:szCs w:val="24"/>
          <w:highlight w:val="none"/>
        </w:rPr>
        <w:t>投标人必须按照招标工程量清单中提供的暂列金额和暂估价统一报价。投标</w:t>
      </w:r>
      <w:r>
        <w:rPr>
          <w:rFonts w:hint="eastAsia" w:ascii="宋体" w:hAnsi="宋体" w:eastAsia="宋体" w:cs="宋体"/>
          <w:color w:val="auto"/>
          <w:spacing w:val="-1"/>
          <w:sz w:val="24"/>
          <w:szCs w:val="24"/>
          <w:highlight w:val="none"/>
        </w:rPr>
        <w:t>人应充分考虑暂估价项目（或暂列金额项目）的管理和协调所发</w:t>
      </w:r>
      <w:r>
        <w:rPr>
          <w:rFonts w:hint="eastAsia" w:ascii="宋体" w:hAnsi="宋体" w:eastAsia="宋体" w:cs="宋体"/>
          <w:color w:val="auto"/>
          <w:spacing w:val="-2"/>
          <w:sz w:val="24"/>
          <w:szCs w:val="24"/>
          <w:highlight w:val="none"/>
        </w:rPr>
        <w:t>生的费用，并将其纳</w:t>
      </w:r>
      <w:r>
        <w:rPr>
          <w:rFonts w:hint="eastAsia" w:ascii="宋体" w:hAnsi="宋体" w:eastAsia="宋体" w:cs="宋体"/>
          <w:color w:val="auto"/>
          <w:spacing w:val="-1"/>
          <w:sz w:val="24"/>
          <w:szCs w:val="24"/>
          <w:highlight w:val="none"/>
        </w:rPr>
        <w:t>入已标价工程量清单中的适当项目。招标人视该项管理和协调所</w:t>
      </w:r>
      <w:r>
        <w:rPr>
          <w:rFonts w:hint="eastAsia" w:ascii="宋体" w:hAnsi="宋体" w:eastAsia="宋体" w:cs="宋体"/>
          <w:color w:val="auto"/>
          <w:spacing w:val="-2"/>
          <w:sz w:val="24"/>
          <w:szCs w:val="24"/>
          <w:highlight w:val="none"/>
        </w:rPr>
        <w:t>发生的费用已包含在</w:t>
      </w:r>
      <w:r>
        <w:rPr>
          <w:rFonts w:hint="eastAsia" w:ascii="宋体" w:hAnsi="宋体" w:eastAsia="宋体" w:cs="宋体"/>
          <w:color w:val="auto"/>
          <w:spacing w:val="-2"/>
          <w:sz w:val="24"/>
          <w:szCs w:val="24"/>
          <w:highlight w:val="none"/>
          <w:lang w:eastAsia="zh-CN"/>
        </w:rPr>
        <w:t>其他</w:t>
      </w:r>
      <w:r>
        <w:rPr>
          <w:rFonts w:hint="eastAsia" w:ascii="宋体" w:hAnsi="宋体" w:eastAsia="宋体" w:cs="宋体"/>
          <w:color w:val="auto"/>
          <w:spacing w:val="-1"/>
          <w:sz w:val="24"/>
          <w:szCs w:val="24"/>
          <w:highlight w:val="none"/>
        </w:rPr>
        <w:t>有价款的竞争性报价内，不再另行支付。</w:t>
      </w:r>
    </w:p>
    <w:p w14:paraId="105B0490">
      <w:pPr>
        <w:spacing w:before="78" w:line="220" w:lineRule="auto"/>
        <w:ind w:left="496"/>
        <w:outlineLvl w:val="2"/>
        <w:rPr>
          <w:rFonts w:hint="eastAsia" w:ascii="宋体" w:hAnsi="宋体" w:eastAsia="宋体" w:cs="宋体"/>
          <w:color w:val="auto"/>
          <w:sz w:val="24"/>
          <w:szCs w:val="24"/>
          <w:highlight w:val="none"/>
        </w:rPr>
      </w:pPr>
      <w:bookmarkStart w:id="47" w:name="_Toc16322"/>
      <w:bookmarkStart w:id="48" w:name="_Toc29228"/>
      <w:r>
        <w:rPr>
          <w:rFonts w:hint="eastAsia" w:ascii="宋体" w:hAnsi="宋体" w:eastAsia="宋体" w:cs="宋体"/>
          <w:b/>
          <w:bCs/>
          <w:color w:val="auto"/>
          <w:spacing w:val="-6"/>
          <w:sz w:val="24"/>
          <w:szCs w:val="24"/>
          <w:highlight w:val="none"/>
        </w:rPr>
        <w:t>10</w:t>
      </w:r>
      <w:r>
        <w:rPr>
          <w:rFonts w:hint="eastAsia" w:ascii="宋体" w:hAnsi="宋体" w:eastAsia="宋体" w:cs="宋体"/>
          <w:b/>
          <w:bCs/>
          <w:color w:val="auto"/>
          <w:spacing w:val="-6"/>
          <w:sz w:val="24"/>
          <w:szCs w:val="24"/>
          <w:highlight w:val="none"/>
          <w:lang w:eastAsia="zh-CN"/>
        </w:rPr>
        <w:t xml:space="preserve">. </w:t>
      </w:r>
      <w:r>
        <w:rPr>
          <w:rFonts w:hint="eastAsia" w:ascii="宋体" w:hAnsi="宋体" w:eastAsia="宋体" w:cs="宋体"/>
          <w:b/>
          <w:bCs/>
          <w:color w:val="auto"/>
          <w:spacing w:val="-6"/>
          <w:sz w:val="24"/>
          <w:szCs w:val="24"/>
          <w:highlight w:val="none"/>
        </w:rPr>
        <w:t>投标文件的编制要求</w:t>
      </w:r>
      <w:bookmarkEnd w:id="47"/>
      <w:bookmarkEnd w:id="48"/>
    </w:p>
    <w:p w14:paraId="717359E1">
      <w:pPr>
        <w:spacing w:before="152" w:line="222" w:lineRule="auto"/>
        <w:ind w:left="496"/>
        <w:outlineLvl w:val="3"/>
        <w:rPr>
          <w:rFonts w:hint="eastAsia" w:ascii="宋体" w:hAnsi="宋体" w:eastAsia="宋体" w:cs="宋体"/>
          <w:color w:val="auto"/>
          <w:sz w:val="24"/>
          <w:szCs w:val="24"/>
          <w:highlight w:val="none"/>
        </w:rPr>
      </w:pPr>
      <w:bookmarkStart w:id="49" w:name="_Toc22937"/>
      <w:bookmarkStart w:id="50" w:name="_Toc20590"/>
      <w:r>
        <w:rPr>
          <w:rFonts w:hint="eastAsia" w:ascii="宋体" w:hAnsi="宋体" w:eastAsia="宋体" w:cs="宋体"/>
          <w:b/>
          <w:bCs/>
          <w:color w:val="auto"/>
          <w:spacing w:val="-4"/>
          <w:sz w:val="24"/>
          <w:szCs w:val="24"/>
          <w:highlight w:val="none"/>
        </w:rPr>
        <w:t>10.1</w:t>
      </w:r>
      <w:r>
        <w:rPr>
          <w:rFonts w:hint="eastAsia" w:ascii="宋体" w:hAnsi="宋体" w:eastAsia="宋体" w:cs="宋体"/>
          <w:b/>
          <w:bCs/>
          <w:color w:val="auto"/>
          <w:spacing w:val="7"/>
          <w:sz w:val="24"/>
          <w:szCs w:val="24"/>
          <w:highlight w:val="none"/>
        </w:rPr>
        <w:t xml:space="preserve">  </w:t>
      </w:r>
      <w:r>
        <w:rPr>
          <w:rFonts w:hint="eastAsia" w:ascii="宋体" w:hAnsi="宋体" w:eastAsia="宋体" w:cs="宋体"/>
          <w:color w:val="auto"/>
          <w:spacing w:val="-4"/>
          <w:sz w:val="24"/>
          <w:szCs w:val="24"/>
          <w:highlight w:val="none"/>
        </w:rPr>
        <w:t>一般要求</w:t>
      </w:r>
      <w:bookmarkEnd w:id="49"/>
      <w:bookmarkEnd w:id="50"/>
    </w:p>
    <w:p w14:paraId="4800233A">
      <w:pPr>
        <w:spacing w:before="118" w:line="295" w:lineRule="auto"/>
        <w:ind w:left="11" w:right="99"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投标文件应按第六章投标文件格式规定的内容，投标人提交的投标文件应当使</w:t>
      </w:r>
      <w:r>
        <w:rPr>
          <w:rFonts w:hint="eastAsia" w:ascii="宋体" w:hAnsi="宋体" w:eastAsia="宋体" w:cs="宋体"/>
          <w:color w:val="auto"/>
          <w:spacing w:val="-1"/>
          <w:sz w:val="24"/>
          <w:szCs w:val="24"/>
          <w:highlight w:val="none"/>
        </w:rPr>
        <w:t>用招标文件所提供的投标文件全部格式。</w:t>
      </w:r>
    </w:p>
    <w:p w14:paraId="1E2CE420">
      <w:pPr>
        <w:spacing w:before="68" w:line="299" w:lineRule="auto"/>
        <w:ind w:left="11" w:right="99" w:firstLine="563"/>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10.1.1  </w:t>
      </w:r>
      <w:r>
        <w:rPr>
          <w:rFonts w:hint="eastAsia" w:ascii="宋体" w:hAnsi="宋体" w:eastAsia="宋体" w:cs="宋体"/>
          <w:color w:val="auto"/>
          <w:spacing w:val="-3"/>
          <w:sz w:val="24"/>
          <w:szCs w:val="24"/>
          <w:highlight w:val="none"/>
        </w:rPr>
        <w:t>投标人必须响应招标文件，并在充分理解招</w:t>
      </w:r>
      <w:r>
        <w:rPr>
          <w:rFonts w:hint="eastAsia" w:ascii="宋体" w:hAnsi="宋体" w:eastAsia="宋体" w:cs="宋体"/>
          <w:color w:val="auto"/>
          <w:spacing w:val="-4"/>
          <w:sz w:val="24"/>
          <w:szCs w:val="24"/>
          <w:highlight w:val="none"/>
        </w:rPr>
        <w:t>标人提供的全部文件、设计图</w:t>
      </w:r>
      <w:r>
        <w:rPr>
          <w:rFonts w:hint="eastAsia" w:ascii="宋体" w:hAnsi="宋体" w:eastAsia="宋体" w:cs="宋体"/>
          <w:color w:val="auto"/>
          <w:spacing w:val="-1"/>
          <w:sz w:val="24"/>
          <w:szCs w:val="24"/>
          <w:highlight w:val="none"/>
        </w:rPr>
        <w:t>纸、资料及现场条件的基础上编制投标文件。因投标文件</w:t>
      </w:r>
      <w:r>
        <w:rPr>
          <w:rFonts w:hint="eastAsia" w:ascii="宋体" w:hAnsi="宋体" w:eastAsia="宋体" w:cs="宋体"/>
          <w:color w:val="auto"/>
          <w:spacing w:val="-2"/>
          <w:sz w:val="24"/>
          <w:szCs w:val="24"/>
          <w:highlight w:val="none"/>
        </w:rPr>
        <w:t>不符合招标文件的要求而造</w:t>
      </w:r>
      <w:r>
        <w:rPr>
          <w:rFonts w:hint="eastAsia" w:ascii="宋体" w:hAnsi="宋体" w:eastAsia="宋体" w:cs="宋体"/>
          <w:color w:val="auto"/>
          <w:spacing w:val="-1"/>
          <w:sz w:val="24"/>
          <w:szCs w:val="24"/>
          <w:highlight w:val="none"/>
        </w:rPr>
        <w:t>成的损失和后果，由投标人自行承担。</w:t>
      </w:r>
    </w:p>
    <w:p w14:paraId="5DF6C785">
      <w:pPr>
        <w:spacing w:before="123" w:line="290" w:lineRule="auto"/>
        <w:ind w:left="8" w:firstLine="566"/>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10.1.2  投标文件包括商务标书、经济标书、施工组织设计和定标文件四个分册，</w:t>
      </w:r>
      <w:r>
        <w:rPr>
          <w:rFonts w:hint="eastAsia" w:ascii="宋体" w:hAnsi="宋体" w:eastAsia="宋体" w:cs="宋体"/>
          <w:color w:val="auto"/>
          <w:spacing w:val="-3"/>
          <w:sz w:val="24"/>
          <w:szCs w:val="24"/>
          <w:highlight w:val="none"/>
        </w:rPr>
        <w:t>投标文件全部采用电子文档，投标文件所附</w:t>
      </w:r>
      <w:r>
        <w:rPr>
          <w:rFonts w:hint="eastAsia" w:ascii="宋体" w:hAnsi="宋体" w:eastAsia="宋体" w:cs="宋体"/>
          <w:color w:val="auto"/>
          <w:spacing w:val="-4"/>
          <w:sz w:val="24"/>
          <w:szCs w:val="24"/>
          <w:highlight w:val="none"/>
        </w:rPr>
        <w:t>证书证件均为原件扫描件，并</w:t>
      </w:r>
      <w:r>
        <w:rPr>
          <w:rFonts w:hint="eastAsia" w:ascii="宋体" w:hAnsi="宋体" w:eastAsia="宋体" w:cs="宋体"/>
          <w:color w:val="auto"/>
          <w:spacing w:val="-1"/>
          <w:sz w:val="24"/>
          <w:szCs w:val="24"/>
          <w:highlight w:val="none"/>
        </w:rPr>
        <w:t>采用单位数字证书，按招标文件要求在相应位置加盖电子印章。</w:t>
      </w:r>
      <w:r>
        <w:rPr>
          <w:rFonts w:hint="eastAsia" w:ascii="宋体" w:hAnsi="宋体" w:eastAsia="宋体" w:cs="宋体"/>
          <w:color w:val="auto"/>
          <w:spacing w:val="-2"/>
          <w:sz w:val="24"/>
          <w:szCs w:val="24"/>
          <w:highlight w:val="none"/>
        </w:rPr>
        <w:t>投标文件中需个人签</w:t>
      </w:r>
      <w:r>
        <w:rPr>
          <w:rFonts w:hint="eastAsia" w:ascii="宋体" w:hAnsi="宋体" w:eastAsia="宋体" w:cs="宋体"/>
          <w:color w:val="auto"/>
          <w:spacing w:val="-1"/>
          <w:sz w:val="24"/>
          <w:szCs w:val="24"/>
          <w:highlight w:val="none"/>
        </w:rPr>
        <w:t>字或盖章的，应加盖个人电子印章或在线下完成后扫描上传。按</w:t>
      </w:r>
      <w:r>
        <w:rPr>
          <w:rFonts w:hint="eastAsia" w:ascii="宋体" w:hAnsi="宋体" w:eastAsia="宋体" w:cs="宋体"/>
          <w:color w:val="auto"/>
          <w:spacing w:val="-2"/>
          <w:sz w:val="24"/>
          <w:szCs w:val="24"/>
          <w:highlight w:val="none"/>
        </w:rPr>
        <w:t>照交易平台关于全流</w:t>
      </w:r>
      <w:r>
        <w:rPr>
          <w:rFonts w:hint="eastAsia" w:ascii="宋体" w:hAnsi="宋体" w:eastAsia="宋体" w:cs="宋体"/>
          <w:color w:val="auto"/>
          <w:spacing w:val="-7"/>
          <w:sz w:val="24"/>
          <w:szCs w:val="24"/>
          <w:highlight w:val="none"/>
        </w:rPr>
        <w:t>程电子化项目的相关指南进行操作。详见：全国公共资源</w:t>
      </w:r>
      <w:r>
        <w:rPr>
          <w:rFonts w:hint="eastAsia" w:ascii="宋体" w:hAnsi="宋体" w:eastAsia="宋体" w:cs="宋体"/>
          <w:color w:val="auto"/>
          <w:spacing w:val="-8"/>
          <w:sz w:val="24"/>
          <w:szCs w:val="24"/>
          <w:highlight w:val="none"/>
        </w:rPr>
        <w:t>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8"/>
          <w:sz w:val="24"/>
          <w:szCs w:val="24"/>
          <w:highlight w:val="none"/>
        </w:rPr>
        <w:t>·韶关市）</w:t>
      </w:r>
      <w:r>
        <w:rPr>
          <w:rFonts w:hint="eastAsia" w:ascii="宋体" w:hAnsi="宋体" w:eastAsia="宋体" w:cs="宋体"/>
          <w:color w:val="auto"/>
          <w:spacing w:val="-2"/>
          <w:sz w:val="24"/>
          <w:szCs w:val="24"/>
          <w:highlight w:val="none"/>
        </w:rPr>
        <w:t>交易指引。</w:t>
      </w:r>
    </w:p>
    <w:p w14:paraId="217CF466">
      <w:pPr>
        <w:spacing w:before="1" w:line="219" w:lineRule="auto"/>
        <w:ind w:left="57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10.1.3  </w:t>
      </w:r>
      <w:r>
        <w:rPr>
          <w:rFonts w:hint="eastAsia" w:ascii="宋体" w:hAnsi="宋体" w:eastAsia="宋体" w:cs="宋体"/>
          <w:color w:val="auto"/>
          <w:spacing w:val="-1"/>
          <w:sz w:val="24"/>
          <w:szCs w:val="24"/>
          <w:highlight w:val="none"/>
        </w:rPr>
        <w:t>投标文件需按以下要求签字、盖章：电子投标文件：</w:t>
      </w:r>
    </w:p>
    <w:p w14:paraId="4EB2C279">
      <w:pPr>
        <w:spacing w:before="111" w:line="279" w:lineRule="auto"/>
        <w:ind w:right="133" w:firstLine="579"/>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10.1.3.1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投标文件封面、组成</w:t>
      </w:r>
      <w:r>
        <w:rPr>
          <w:rFonts w:hint="eastAsia" w:ascii="宋体" w:hAnsi="宋体" w:eastAsia="宋体" w:cs="宋体"/>
          <w:color w:val="auto"/>
          <w:spacing w:val="-3"/>
          <w:sz w:val="24"/>
          <w:szCs w:val="24"/>
          <w:highlight w:val="none"/>
        </w:rPr>
        <w:t>内容中凡注明“签字”处由要求的人员签字或电子</w:t>
      </w:r>
      <w:r>
        <w:rPr>
          <w:rFonts w:hint="eastAsia" w:ascii="宋体" w:hAnsi="宋体" w:eastAsia="宋体" w:cs="宋体"/>
          <w:color w:val="auto"/>
          <w:spacing w:val="-2"/>
          <w:sz w:val="24"/>
          <w:szCs w:val="24"/>
          <w:highlight w:val="none"/>
        </w:rPr>
        <w:t>签章；凡注明“签字或盖章”处由要求的人员签字或盖其私章（</w:t>
      </w:r>
      <w:r>
        <w:rPr>
          <w:rFonts w:hint="eastAsia" w:ascii="宋体" w:hAnsi="宋体" w:eastAsia="宋体" w:cs="宋体"/>
          <w:color w:val="auto"/>
          <w:spacing w:val="-2"/>
          <w:sz w:val="24"/>
          <w:szCs w:val="24"/>
          <w:highlight w:val="none"/>
          <w:lang w:val="en-US" w:eastAsia="zh-CN"/>
        </w:rPr>
        <w:t>含</w:t>
      </w:r>
      <w:r>
        <w:rPr>
          <w:rFonts w:hint="eastAsia" w:ascii="宋体" w:hAnsi="宋体" w:eastAsia="宋体" w:cs="宋体"/>
          <w:color w:val="auto"/>
          <w:spacing w:val="-2"/>
          <w:sz w:val="24"/>
          <w:szCs w:val="24"/>
          <w:highlight w:val="none"/>
        </w:rPr>
        <w:t>电子印章</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rPr>
        <w:t>凡注明</w:t>
      </w:r>
      <w:r>
        <w:rPr>
          <w:rFonts w:hint="eastAsia" w:ascii="宋体" w:hAnsi="宋体" w:eastAsia="宋体" w:cs="宋体"/>
          <w:color w:val="auto"/>
          <w:spacing w:val="-1"/>
          <w:sz w:val="24"/>
          <w:szCs w:val="24"/>
          <w:highlight w:val="none"/>
        </w:rPr>
        <w:t>“签字并盖执业印章”处由要求的人员签字并盖其执业印</w:t>
      </w:r>
      <w:r>
        <w:rPr>
          <w:rFonts w:hint="eastAsia" w:ascii="宋体" w:hAnsi="宋体" w:eastAsia="宋体" w:cs="宋体"/>
          <w:color w:val="auto"/>
          <w:spacing w:val="-2"/>
          <w:sz w:val="24"/>
          <w:szCs w:val="24"/>
          <w:highlight w:val="none"/>
        </w:rPr>
        <w:t>章。</w:t>
      </w:r>
    </w:p>
    <w:p w14:paraId="0B072D3C">
      <w:pPr>
        <w:spacing w:before="112" w:line="264" w:lineRule="auto"/>
        <w:ind w:left="13" w:right="133" w:firstLine="565"/>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10.1.3.2</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投标文件封面、组成内容中凡要求录入投标人名称且注明“盖单</w:t>
      </w:r>
      <w:r>
        <w:rPr>
          <w:rFonts w:hint="eastAsia" w:ascii="宋体" w:hAnsi="宋体" w:eastAsia="宋体" w:cs="宋体"/>
          <w:color w:val="auto"/>
          <w:spacing w:val="-3"/>
          <w:sz w:val="24"/>
          <w:szCs w:val="24"/>
          <w:highlight w:val="none"/>
        </w:rPr>
        <w:t>位章”处盖单位法人公章（</w:t>
      </w:r>
      <w:r>
        <w:rPr>
          <w:rFonts w:hint="eastAsia" w:ascii="宋体" w:hAnsi="宋体" w:eastAsia="宋体" w:cs="宋体"/>
          <w:color w:val="auto"/>
          <w:spacing w:val="-3"/>
          <w:sz w:val="24"/>
          <w:szCs w:val="24"/>
          <w:highlight w:val="none"/>
          <w:lang w:val="en-US" w:eastAsia="zh-CN"/>
        </w:rPr>
        <w:t>含</w:t>
      </w:r>
      <w:r>
        <w:rPr>
          <w:rFonts w:hint="eastAsia" w:ascii="宋体" w:hAnsi="宋体" w:eastAsia="宋体" w:cs="宋体"/>
          <w:color w:val="auto"/>
          <w:spacing w:val="-3"/>
          <w:sz w:val="24"/>
          <w:szCs w:val="24"/>
          <w:highlight w:val="none"/>
        </w:rPr>
        <w:t>电子印章）。</w:t>
      </w:r>
    </w:p>
    <w:p w14:paraId="0CBE0BD0">
      <w:pPr>
        <w:spacing w:before="146" w:line="279" w:lineRule="auto"/>
        <w:ind w:left="16" w:right="135" w:firstLine="562"/>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10.1.3.3</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投标文件的签字均为签字人本人亲笔署名或签章</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lang w:val="en-US" w:eastAsia="zh-CN"/>
        </w:rPr>
        <w:t>含</w:t>
      </w:r>
      <w:r>
        <w:rPr>
          <w:rFonts w:hint="eastAsia" w:ascii="宋体" w:hAnsi="宋体" w:eastAsia="宋体" w:cs="宋体"/>
          <w:color w:val="auto"/>
          <w:spacing w:val="-2"/>
          <w:sz w:val="24"/>
          <w:szCs w:val="24"/>
          <w:highlight w:val="none"/>
        </w:rPr>
        <w:t>电子印章</w:t>
      </w:r>
      <w:r>
        <w:rPr>
          <w:rFonts w:hint="eastAsia" w:ascii="宋体" w:hAnsi="宋体" w:eastAsia="宋体" w:cs="宋体"/>
          <w:color w:val="auto"/>
          <w:spacing w:val="-14"/>
          <w:sz w:val="24"/>
          <w:szCs w:val="24"/>
          <w:highlight w:val="none"/>
        </w:rPr>
        <w:t>），</w:t>
      </w:r>
      <w:r>
        <w:rPr>
          <w:rFonts w:hint="eastAsia" w:ascii="宋体" w:hAnsi="宋体" w:eastAsia="宋体" w:cs="宋体"/>
          <w:color w:val="auto"/>
          <w:spacing w:val="-2"/>
          <w:sz w:val="24"/>
          <w:szCs w:val="24"/>
          <w:highlight w:val="none"/>
        </w:rPr>
        <w:t>其余部</w:t>
      </w:r>
      <w:r>
        <w:rPr>
          <w:rFonts w:hint="eastAsia" w:ascii="宋体" w:hAnsi="宋体" w:eastAsia="宋体" w:cs="宋体"/>
          <w:color w:val="auto"/>
          <w:spacing w:val="-1"/>
          <w:sz w:val="24"/>
          <w:szCs w:val="24"/>
          <w:highlight w:val="none"/>
        </w:rPr>
        <w:t>分的复印件无须另行签字、盖章。</w:t>
      </w:r>
    </w:p>
    <w:p w14:paraId="35B67328">
      <w:pPr>
        <w:spacing w:before="155" w:line="219" w:lineRule="auto"/>
        <w:ind w:left="0" w:leftChars="0" w:firstLine="474" w:firstLineChars="200"/>
        <w:outlineLvl w:val="3"/>
        <w:rPr>
          <w:rFonts w:hint="eastAsia" w:ascii="宋体" w:hAnsi="宋体" w:eastAsia="宋体" w:cs="宋体"/>
          <w:b w:val="0"/>
          <w:bCs w:val="0"/>
          <w:color w:val="auto"/>
          <w:spacing w:val="-2"/>
          <w:sz w:val="24"/>
          <w:szCs w:val="24"/>
          <w:highlight w:val="none"/>
        </w:rPr>
      </w:pPr>
      <w:bookmarkStart w:id="51" w:name="_Toc20223"/>
      <w:bookmarkStart w:id="52" w:name="_Toc21271"/>
      <w:r>
        <w:rPr>
          <w:rFonts w:hint="eastAsia" w:ascii="宋体" w:hAnsi="宋体" w:eastAsia="宋体" w:cs="宋体"/>
          <w:b/>
          <w:bCs/>
          <w:color w:val="auto"/>
          <w:spacing w:val="-2"/>
          <w:sz w:val="24"/>
          <w:szCs w:val="24"/>
          <w:highlight w:val="none"/>
        </w:rPr>
        <w:t xml:space="preserve">10.1.3.4 </w:t>
      </w:r>
      <w:r>
        <w:rPr>
          <w:rFonts w:hint="eastAsia" w:ascii="宋体" w:hAnsi="宋体" w:eastAsia="宋体" w:cs="宋体"/>
          <w:color w:val="auto"/>
          <w:spacing w:val="-3"/>
          <w:sz w:val="24"/>
          <w:szCs w:val="24"/>
          <w:highlight w:val="none"/>
        </w:rPr>
        <w:t>联合体投标的，除《联合体协议书》外，由联合体牵头人按以上要求签亲笔署名或签章（</w:t>
      </w:r>
      <w:r>
        <w:rPr>
          <w:rFonts w:hint="eastAsia" w:ascii="宋体" w:hAnsi="宋体" w:eastAsia="宋体" w:cs="宋体"/>
          <w:color w:val="auto"/>
          <w:spacing w:val="-3"/>
          <w:sz w:val="24"/>
          <w:szCs w:val="24"/>
          <w:highlight w:val="none"/>
          <w:lang w:val="en-US" w:eastAsia="zh-CN"/>
        </w:rPr>
        <w:t>含</w:t>
      </w:r>
      <w:r>
        <w:rPr>
          <w:rFonts w:hint="eastAsia" w:ascii="宋体" w:hAnsi="宋体" w:eastAsia="宋体" w:cs="宋体"/>
          <w:color w:val="auto"/>
          <w:spacing w:val="-3"/>
          <w:sz w:val="24"/>
          <w:szCs w:val="24"/>
          <w:highlight w:val="none"/>
        </w:rPr>
        <w:t>电子印章）即可。</w:t>
      </w:r>
    </w:p>
    <w:p w14:paraId="149EA5DD">
      <w:pPr>
        <w:spacing w:before="155" w:line="219" w:lineRule="auto"/>
        <w:ind w:left="500"/>
        <w:outlineLvl w:val="3"/>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10.2  商务标书的编制要求</w:t>
      </w:r>
      <w:bookmarkEnd w:id="51"/>
      <w:bookmarkEnd w:id="52"/>
    </w:p>
    <w:p w14:paraId="09D418EF">
      <w:pPr>
        <w:spacing w:before="157" w:line="219" w:lineRule="auto"/>
        <w:ind w:left="581"/>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10.2.1 </w:t>
      </w:r>
      <w:r>
        <w:rPr>
          <w:rFonts w:hint="eastAsia" w:ascii="宋体" w:hAnsi="宋体" w:eastAsia="宋体" w:cs="宋体"/>
          <w:color w:val="auto"/>
          <w:spacing w:val="-1"/>
          <w:sz w:val="24"/>
          <w:szCs w:val="24"/>
          <w:highlight w:val="none"/>
        </w:rPr>
        <w:t>商务标书包括但不限于以下内容：</w:t>
      </w:r>
    </w:p>
    <w:p w14:paraId="7A133846">
      <w:pPr>
        <w:spacing w:before="154"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2ADBEC65">
      <w:pPr>
        <w:spacing w:before="153" w:line="222"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796DB9CA">
      <w:pPr>
        <w:spacing w:before="153"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（3）《投标函》（格式二</w:t>
      </w:r>
      <w:r>
        <w:rPr>
          <w:rFonts w:hint="eastAsia" w:ascii="宋体" w:hAnsi="宋体" w:eastAsia="宋体" w:cs="宋体"/>
          <w:color w:val="auto"/>
          <w:spacing w:val="1"/>
          <w:sz w:val="24"/>
          <w:szCs w:val="24"/>
          <w:highlight w:val="none"/>
        </w:rPr>
        <w:t>）；</w:t>
      </w:r>
    </w:p>
    <w:p w14:paraId="5EEB9573">
      <w:pPr>
        <w:spacing w:before="153"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（4）《各项承诺一览表》（格式三</w:t>
      </w:r>
      <w:r>
        <w:rPr>
          <w:rFonts w:hint="eastAsia" w:ascii="宋体" w:hAnsi="宋体" w:eastAsia="宋体" w:cs="宋体"/>
          <w:color w:val="auto"/>
          <w:spacing w:val="5"/>
          <w:sz w:val="24"/>
          <w:szCs w:val="24"/>
          <w:highlight w:val="none"/>
        </w:rPr>
        <w:t>）；</w:t>
      </w:r>
    </w:p>
    <w:p w14:paraId="2EEF341D">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（5）《授权委托书》（格式四</w:t>
      </w:r>
      <w:r>
        <w:rPr>
          <w:rFonts w:hint="eastAsia" w:ascii="宋体" w:hAnsi="宋体" w:eastAsia="宋体" w:cs="宋体"/>
          <w:color w:val="auto"/>
          <w:spacing w:val="3"/>
          <w:sz w:val="24"/>
          <w:szCs w:val="24"/>
          <w:highlight w:val="none"/>
        </w:rPr>
        <w:t>）；</w:t>
      </w:r>
    </w:p>
    <w:p w14:paraId="7D3A1941">
      <w:pPr>
        <w:spacing w:before="156"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（6）《法定代表人身份证明》（格式五</w:t>
      </w:r>
      <w:r>
        <w:rPr>
          <w:rFonts w:hint="eastAsia" w:ascii="宋体" w:hAnsi="宋体" w:eastAsia="宋体" w:cs="宋体"/>
          <w:color w:val="auto"/>
          <w:spacing w:val="7"/>
          <w:sz w:val="24"/>
          <w:szCs w:val="24"/>
          <w:highlight w:val="none"/>
        </w:rPr>
        <w:t>）；</w:t>
      </w:r>
    </w:p>
    <w:p w14:paraId="49C24569">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（7）《联合体协议书》（格式六）及所附资料；</w:t>
      </w:r>
    </w:p>
    <w:p w14:paraId="7065F65E">
      <w:pPr>
        <w:spacing w:before="153" w:line="309" w:lineRule="auto"/>
        <w:ind w:left="13" w:right="133"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（8）投标保证缴纳证明（投标人采用投标保证金的，附建</w:t>
      </w:r>
      <w:r>
        <w:rPr>
          <w:rFonts w:hint="eastAsia" w:ascii="宋体" w:hAnsi="宋体" w:eastAsia="宋体" w:cs="宋体"/>
          <w:color w:val="auto"/>
          <w:spacing w:val="1"/>
          <w:sz w:val="24"/>
          <w:szCs w:val="24"/>
          <w:highlight w:val="none"/>
        </w:rPr>
        <w:t>设工程交易系统《缴</w:t>
      </w:r>
      <w:r>
        <w:rPr>
          <w:rFonts w:hint="eastAsia" w:ascii="宋体" w:hAnsi="宋体" w:eastAsia="宋体" w:cs="宋体"/>
          <w:color w:val="auto"/>
          <w:spacing w:val="-1"/>
          <w:sz w:val="24"/>
          <w:szCs w:val="24"/>
          <w:highlight w:val="none"/>
        </w:rPr>
        <w:t>纳投标保证金通知书》页面截图和银行转账单彩色扫描件；采</w:t>
      </w:r>
      <w:r>
        <w:rPr>
          <w:rFonts w:hint="eastAsia" w:ascii="宋体" w:hAnsi="宋体" w:eastAsia="宋体" w:cs="宋体"/>
          <w:color w:val="auto"/>
          <w:spacing w:val="-2"/>
          <w:sz w:val="24"/>
          <w:szCs w:val="24"/>
          <w:highlight w:val="none"/>
        </w:rPr>
        <w:t>用投标保证担保的，附银行保函彩色扫描件；采用投标保证保险的，附电子保单和</w:t>
      </w:r>
      <w:r>
        <w:rPr>
          <w:rFonts w:hint="eastAsia" w:ascii="宋体" w:hAnsi="宋体" w:eastAsia="宋体" w:cs="宋体"/>
          <w:b/>
          <w:bCs/>
          <w:color w:val="auto"/>
          <w:spacing w:val="-2"/>
          <w:sz w:val="24"/>
          <w:szCs w:val="24"/>
          <w:highlight w:val="none"/>
        </w:rPr>
        <w:t>《韶关市公共资源交易一</w:t>
      </w:r>
      <w:r>
        <w:rPr>
          <w:rFonts w:hint="eastAsia" w:ascii="宋体" w:hAnsi="宋体" w:eastAsia="宋体" w:cs="宋体"/>
          <w:b/>
          <w:bCs/>
          <w:color w:val="auto"/>
          <w:spacing w:val="-3"/>
          <w:sz w:val="24"/>
          <w:szCs w:val="24"/>
          <w:highlight w:val="none"/>
        </w:rPr>
        <w:t>体化平台保证金缴纳信息》页面截图</w:t>
      </w:r>
      <w:r>
        <w:rPr>
          <w:rFonts w:hint="eastAsia" w:ascii="宋体" w:hAnsi="宋体" w:eastAsia="宋体" w:cs="宋体"/>
          <w:color w:val="auto"/>
          <w:spacing w:val="4"/>
          <w:sz w:val="24"/>
          <w:szCs w:val="24"/>
          <w:highlight w:val="none"/>
        </w:rPr>
        <w:t>）；</w:t>
      </w:r>
    </w:p>
    <w:p w14:paraId="1196EDC9">
      <w:pPr>
        <w:spacing w:before="156"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（9）《投标人基本情况表》（格式七）及所附资料；</w:t>
      </w:r>
    </w:p>
    <w:p w14:paraId="625E3C02">
      <w:pPr>
        <w:spacing w:before="155"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（10）《项目经理简历表》（格式八）及所附资料；</w:t>
      </w:r>
    </w:p>
    <w:p w14:paraId="43069717">
      <w:pPr>
        <w:spacing w:before="154"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（11）《项目经理任职声明》（格式九</w:t>
      </w:r>
      <w:r>
        <w:rPr>
          <w:rFonts w:hint="eastAsia" w:ascii="宋体" w:hAnsi="宋体" w:eastAsia="宋体" w:cs="宋体"/>
          <w:color w:val="auto"/>
          <w:spacing w:val="7"/>
          <w:sz w:val="24"/>
          <w:szCs w:val="24"/>
          <w:highlight w:val="none"/>
        </w:rPr>
        <w:t>）；</w:t>
      </w:r>
    </w:p>
    <w:p w14:paraId="5600AAC3">
      <w:pPr>
        <w:spacing w:before="156"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（12）《项目技术负责人简历表》（格式十）及所附资料；</w:t>
      </w:r>
    </w:p>
    <w:p w14:paraId="4A2E911F">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（13）《项</w:t>
      </w:r>
      <w:bookmarkStart w:id="53" w:name="OLE_LINK7"/>
      <w:r>
        <w:rPr>
          <w:rFonts w:hint="eastAsia" w:ascii="宋体" w:hAnsi="宋体" w:eastAsia="宋体" w:cs="宋体"/>
          <w:color w:val="auto"/>
          <w:spacing w:val="-1"/>
          <w:sz w:val="24"/>
          <w:szCs w:val="24"/>
          <w:highlight w:val="none"/>
        </w:rPr>
        <w:t>目管理机构组成表》（格式十一）及</w:t>
      </w:r>
      <w:bookmarkEnd w:id="53"/>
      <w:r>
        <w:rPr>
          <w:rFonts w:hint="eastAsia" w:ascii="宋体" w:hAnsi="宋体" w:eastAsia="宋体" w:cs="宋体"/>
          <w:color w:val="auto"/>
          <w:spacing w:val="-1"/>
          <w:sz w:val="24"/>
          <w:szCs w:val="24"/>
          <w:highlight w:val="none"/>
        </w:rPr>
        <w:t>所附资料；</w:t>
      </w:r>
    </w:p>
    <w:p w14:paraId="58C0C275">
      <w:pPr>
        <w:spacing w:before="155"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（14）本节第</w:t>
      </w:r>
      <w:r>
        <w:rPr>
          <w:rFonts w:hint="eastAsia" w:ascii="宋体" w:hAnsi="宋体" w:eastAsia="宋体" w:cs="宋体"/>
          <w:b/>
          <w:bCs/>
          <w:color w:val="auto"/>
          <w:spacing w:val="-4"/>
          <w:sz w:val="24"/>
          <w:szCs w:val="24"/>
          <w:highlight w:val="none"/>
        </w:rPr>
        <w:t>15.5.1</w:t>
      </w:r>
      <w:r>
        <w:rPr>
          <w:rFonts w:hint="eastAsia" w:ascii="宋体" w:hAnsi="宋体" w:eastAsia="宋体" w:cs="宋体"/>
          <w:color w:val="auto"/>
          <w:spacing w:val="-4"/>
          <w:sz w:val="24"/>
          <w:szCs w:val="24"/>
          <w:highlight w:val="none"/>
        </w:rPr>
        <w:t>目“评标方法”要求提供的</w:t>
      </w:r>
      <w:r>
        <w:rPr>
          <w:rFonts w:hint="eastAsia" w:ascii="宋体" w:hAnsi="宋体" w:eastAsia="宋体" w:cs="宋体"/>
          <w:color w:val="auto"/>
          <w:spacing w:val="-5"/>
          <w:sz w:val="24"/>
          <w:szCs w:val="24"/>
          <w:highlight w:val="none"/>
        </w:rPr>
        <w:t>评审资料；</w:t>
      </w:r>
    </w:p>
    <w:p w14:paraId="47D20E97">
      <w:pPr>
        <w:spacing w:before="78" w:line="299" w:lineRule="auto"/>
        <w:ind w:left="8" w:right="61" w:firstLine="49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（15）投标人认为有必要补充的其他资料。（例如投标人已经工商变更，但其企</w:t>
      </w:r>
      <w:r>
        <w:rPr>
          <w:rFonts w:hint="eastAsia" w:ascii="宋体" w:hAnsi="宋体" w:eastAsia="宋体" w:cs="宋体"/>
          <w:color w:val="auto"/>
          <w:spacing w:val="-1"/>
          <w:sz w:val="24"/>
          <w:szCs w:val="24"/>
          <w:highlight w:val="none"/>
        </w:rPr>
        <w:t>业资质证书、安全生产许可证或其员工执业资格注册证书上的企</w:t>
      </w:r>
      <w:r>
        <w:rPr>
          <w:rFonts w:hint="eastAsia" w:ascii="宋体" w:hAnsi="宋体" w:eastAsia="宋体" w:cs="宋体"/>
          <w:color w:val="auto"/>
          <w:spacing w:val="-2"/>
          <w:sz w:val="24"/>
          <w:szCs w:val="24"/>
          <w:highlight w:val="none"/>
        </w:rPr>
        <w:t>业名称未能在投标期</w:t>
      </w:r>
      <w:r>
        <w:rPr>
          <w:rFonts w:hint="eastAsia" w:ascii="宋体" w:hAnsi="宋体" w:eastAsia="宋体" w:cs="宋体"/>
          <w:color w:val="auto"/>
          <w:spacing w:val="-1"/>
          <w:sz w:val="24"/>
          <w:szCs w:val="24"/>
          <w:highlight w:val="none"/>
        </w:rPr>
        <w:t>间完成变更的书面说明和佐证材料等）</w:t>
      </w:r>
    </w:p>
    <w:p w14:paraId="24149AB2">
      <w:pPr>
        <w:spacing w:before="155" w:line="262" w:lineRule="auto"/>
        <w:ind w:left="9" w:right="61" w:firstLine="48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10.2.2  </w:t>
      </w:r>
      <w:r>
        <w:rPr>
          <w:rFonts w:hint="eastAsia" w:ascii="宋体" w:hAnsi="宋体" w:eastAsia="宋体" w:cs="宋体"/>
          <w:color w:val="auto"/>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z w:val="24"/>
          <w:szCs w:val="24"/>
          <w:highlight w:val="none"/>
        </w:rPr>
        <w:t>10.2.1</w:t>
      </w:r>
      <w:r>
        <w:rPr>
          <w:rFonts w:hint="eastAsia" w:ascii="宋体" w:hAnsi="宋体" w:eastAsia="宋体" w:cs="宋体"/>
          <w:color w:val="auto"/>
          <w:sz w:val="24"/>
          <w:szCs w:val="24"/>
          <w:highlight w:val="none"/>
        </w:rPr>
        <w:t>目中所列出的商务标书组成内容中，第（</w:t>
      </w:r>
      <w:r>
        <w:rPr>
          <w:rFonts w:hint="eastAsia" w:ascii="宋体" w:hAnsi="宋体" w:eastAsia="宋体" w:cs="宋体"/>
          <w:color w:val="auto"/>
          <w:spacing w:val="-1"/>
          <w:sz w:val="24"/>
          <w:szCs w:val="24"/>
          <w:highlight w:val="none"/>
        </w:rPr>
        <w:t>1）至第（13）项</w:t>
      </w:r>
      <w:r>
        <w:rPr>
          <w:rFonts w:hint="eastAsia" w:ascii="宋体" w:hAnsi="宋体" w:eastAsia="宋体" w:cs="宋体"/>
          <w:color w:val="auto"/>
          <w:sz w:val="24"/>
          <w:szCs w:val="24"/>
          <w:highlight w:val="none"/>
        </w:rPr>
        <w:t>所有投标人均应提供，</w:t>
      </w:r>
      <w:r>
        <w:rPr>
          <w:rFonts w:hint="eastAsia" w:ascii="宋体" w:hAnsi="宋体" w:eastAsia="宋体" w:cs="宋体"/>
          <w:b/>
          <w:bCs/>
          <w:color w:val="auto"/>
          <w:sz w:val="24"/>
          <w:szCs w:val="24"/>
          <w:highlight w:val="none"/>
        </w:rPr>
        <w:t>但非联合体投标的，</w:t>
      </w:r>
      <w:r>
        <w:rPr>
          <w:rFonts w:hint="eastAsia" w:ascii="宋体" w:hAnsi="宋体" w:eastAsia="宋体" w:cs="宋体"/>
          <w:b/>
          <w:bCs/>
          <w:color w:val="auto"/>
          <w:spacing w:val="-1"/>
          <w:sz w:val="24"/>
          <w:szCs w:val="24"/>
          <w:highlight w:val="none"/>
        </w:rPr>
        <w:t>无需提供第（7）项内容。</w:t>
      </w:r>
    </w:p>
    <w:p w14:paraId="189FCE5F">
      <w:pPr>
        <w:spacing w:before="199" w:line="279" w:lineRule="auto"/>
        <w:ind w:right="61"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10.2.3 </w:t>
      </w:r>
      <w:r>
        <w:rPr>
          <w:rFonts w:hint="eastAsia" w:ascii="宋体" w:hAnsi="宋体" w:eastAsia="宋体" w:cs="宋体"/>
          <w:color w:val="auto"/>
          <w:spacing w:val="-8"/>
          <w:sz w:val="24"/>
          <w:szCs w:val="24"/>
          <w:highlight w:val="none"/>
        </w:rPr>
        <w:t>商务标书的组成内容按本节第 10.2.1 目规定的顺序整理、编排后，逐页（页</w:t>
      </w:r>
      <w:r>
        <w:rPr>
          <w:rFonts w:hint="eastAsia" w:ascii="宋体" w:hAnsi="宋体" w:eastAsia="宋体" w:cs="宋体"/>
          <w:color w:val="auto"/>
          <w:spacing w:val="-1"/>
          <w:sz w:val="24"/>
          <w:szCs w:val="24"/>
          <w:highlight w:val="none"/>
        </w:rPr>
        <w:t>码起始从封面开始）连续标记页码。</w:t>
      </w:r>
    </w:p>
    <w:p w14:paraId="00D341F8">
      <w:pPr>
        <w:pStyle w:val="6"/>
        <w:spacing w:line="257" w:lineRule="auto"/>
        <w:rPr>
          <w:rFonts w:hint="eastAsia" w:ascii="宋体" w:hAnsi="宋体" w:eastAsia="宋体" w:cs="宋体"/>
          <w:color w:val="auto"/>
          <w:highlight w:val="none"/>
        </w:rPr>
      </w:pPr>
    </w:p>
    <w:p w14:paraId="05E2DA61">
      <w:pPr>
        <w:spacing w:before="78" w:line="219" w:lineRule="auto"/>
        <w:ind w:left="496"/>
        <w:outlineLvl w:val="3"/>
        <w:rPr>
          <w:rFonts w:hint="eastAsia" w:ascii="宋体" w:hAnsi="宋体" w:eastAsia="宋体" w:cs="宋体"/>
          <w:b/>
          <w:bCs/>
          <w:color w:val="auto"/>
          <w:sz w:val="24"/>
          <w:szCs w:val="24"/>
          <w:highlight w:val="none"/>
        </w:rPr>
      </w:pPr>
      <w:bookmarkStart w:id="54" w:name="_Toc10602"/>
      <w:bookmarkStart w:id="55" w:name="_Toc29370"/>
      <w:r>
        <w:rPr>
          <w:rFonts w:hint="eastAsia" w:ascii="宋体" w:hAnsi="宋体" w:eastAsia="宋体" w:cs="宋体"/>
          <w:b/>
          <w:bCs/>
          <w:color w:val="auto"/>
          <w:spacing w:val="-2"/>
          <w:sz w:val="24"/>
          <w:szCs w:val="24"/>
          <w:highlight w:val="none"/>
        </w:rPr>
        <w:t>10.3  经济标书的编制要求</w:t>
      </w:r>
      <w:bookmarkEnd w:id="54"/>
      <w:bookmarkEnd w:id="55"/>
    </w:p>
    <w:p w14:paraId="4D7F8054">
      <w:pPr>
        <w:spacing w:before="154"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10.3.1  </w:t>
      </w:r>
      <w:r>
        <w:rPr>
          <w:rFonts w:hint="eastAsia" w:ascii="宋体" w:hAnsi="宋体" w:eastAsia="宋体" w:cs="宋体"/>
          <w:color w:val="auto"/>
          <w:spacing w:val="-1"/>
          <w:sz w:val="24"/>
          <w:szCs w:val="24"/>
          <w:highlight w:val="none"/>
        </w:rPr>
        <w:t>经济标书包括以下内容：</w:t>
      </w:r>
    </w:p>
    <w:p w14:paraId="047BAC7D">
      <w:pPr>
        <w:spacing w:before="156"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6558A67D">
      <w:pPr>
        <w:spacing w:before="153" w:line="222"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31ADD06E">
      <w:pPr>
        <w:spacing w:before="150"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（3）《投标总价》</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即表B.3.1</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w:t>
      </w:r>
    </w:p>
    <w:p w14:paraId="19D1E9E0">
      <w:pPr>
        <w:spacing w:before="157" w:line="219"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说明：《投标总价》的格式按照《建设工程工程量</w:t>
      </w:r>
      <w:r>
        <w:rPr>
          <w:rFonts w:hint="eastAsia" w:ascii="宋体" w:hAnsi="宋体" w:eastAsia="宋体" w:cs="宋体"/>
          <w:color w:val="auto"/>
          <w:spacing w:val="-1"/>
          <w:sz w:val="24"/>
          <w:szCs w:val="24"/>
          <w:highlight w:val="none"/>
        </w:rPr>
        <w:t>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lang w:eastAsia="zh-CN"/>
        </w:rPr>
        <w:t>GB/T 50500-2024</w:t>
      </w:r>
      <w:r>
        <w:rPr>
          <w:rFonts w:hint="eastAsia" w:ascii="宋体" w:hAnsi="宋体" w:eastAsia="宋体" w:cs="宋体"/>
          <w:color w:val="auto"/>
          <w:spacing w:val="-1"/>
          <w:sz w:val="24"/>
          <w:szCs w:val="24"/>
          <w:highlight w:val="none"/>
        </w:rPr>
        <w:t>）执行，并应满足以下要求：</w:t>
      </w:r>
    </w:p>
    <w:p w14:paraId="578C4661">
      <w:pPr>
        <w:spacing w:before="150" w:line="309" w:lineRule="auto"/>
        <w:ind w:left="8"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a</w:t>
      </w:r>
      <w:r>
        <w:rPr>
          <w:rFonts w:hint="eastAsia" w:ascii="宋体" w:hAnsi="宋体" w:eastAsia="宋体" w:cs="宋体"/>
          <w:b/>
          <w:bCs/>
          <w:color w:val="auto"/>
          <w:spacing w:val="-2"/>
          <w:sz w:val="24"/>
          <w:szCs w:val="24"/>
          <w:highlight w:val="none"/>
          <w:lang w:eastAsia="zh-CN"/>
        </w:rPr>
        <w:t xml:space="preserve">. </w:t>
      </w:r>
      <w:r>
        <w:rPr>
          <w:rFonts w:hint="eastAsia" w:ascii="宋体" w:hAnsi="宋体" w:eastAsia="宋体" w:cs="宋体"/>
          <w:color w:val="auto"/>
          <w:spacing w:val="-2"/>
          <w:sz w:val="24"/>
          <w:szCs w:val="24"/>
          <w:highlight w:val="none"/>
        </w:rPr>
        <w:t>《投标总价扉页》</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即表</w:t>
      </w:r>
      <w:r>
        <w:rPr>
          <w:rFonts w:hint="eastAsia" w:ascii="宋体" w:hAnsi="宋体" w:eastAsia="宋体" w:cs="宋体"/>
          <w:color w:val="auto"/>
          <w:spacing w:val="-2"/>
          <w:sz w:val="24"/>
          <w:szCs w:val="24"/>
          <w:highlight w:val="none"/>
          <w:lang w:val="en-US" w:eastAsia="zh-CN"/>
        </w:rPr>
        <w:t>C</w:t>
      </w:r>
      <w:r>
        <w:rPr>
          <w:rFonts w:hint="eastAsia" w:ascii="宋体" w:hAnsi="宋体" w:eastAsia="宋体" w:cs="宋体"/>
          <w:color w:val="auto"/>
          <w:spacing w:val="-2"/>
          <w:sz w:val="24"/>
          <w:szCs w:val="24"/>
          <w:highlight w:val="none"/>
        </w:rPr>
        <w:t>.3.1</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后应附编制人的造价工程师注册证书彩色扫描件（须扫描至变更注册栏，</w:t>
      </w:r>
      <w:r>
        <w:rPr>
          <w:rFonts w:hint="eastAsia" w:ascii="宋体" w:hAnsi="宋体" w:eastAsia="宋体" w:cs="宋体"/>
          <w:b/>
          <w:bCs/>
          <w:color w:val="auto"/>
          <w:spacing w:val="-2"/>
          <w:sz w:val="24"/>
          <w:szCs w:val="24"/>
          <w:highlight w:val="none"/>
        </w:rPr>
        <w:t>一级造价师或二级造价师均可提供电子证书</w:t>
      </w:r>
      <w:r>
        <w:rPr>
          <w:rFonts w:hint="eastAsia" w:ascii="宋体" w:hAnsi="宋体" w:eastAsia="宋体" w:cs="宋体"/>
          <w:color w:val="auto"/>
          <w:spacing w:val="-2"/>
          <w:sz w:val="24"/>
          <w:szCs w:val="24"/>
          <w:highlight w:val="none"/>
        </w:rPr>
        <w:t>）；投标人委托造价咨询单位编制《投标总价》的，在该扉页“投标人”栏目加盖造价</w:t>
      </w:r>
      <w:r>
        <w:rPr>
          <w:rFonts w:hint="eastAsia" w:ascii="宋体" w:hAnsi="宋体" w:eastAsia="宋体" w:cs="宋体"/>
          <w:color w:val="auto"/>
          <w:spacing w:val="-7"/>
          <w:sz w:val="24"/>
          <w:szCs w:val="24"/>
          <w:highlight w:val="none"/>
        </w:rPr>
        <w:t>咨询人公章，</w:t>
      </w:r>
      <w:r>
        <w:rPr>
          <w:rFonts w:hint="eastAsia" w:ascii="宋体" w:hAnsi="宋体" w:eastAsia="宋体" w:cs="宋体"/>
          <w:color w:val="auto"/>
          <w:spacing w:val="-1"/>
          <w:sz w:val="24"/>
          <w:szCs w:val="24"/>
          <w:highlight w:val="none"/>
        </w:rPr>
        <w:t>并在该扉页后附造价咨询人的营业执照副本彩色扫描件。</w:t>
      </w:r>
    </w:p>
    <w:p w14:paraId="722B1CB1">
      <w:pPr>
        <w:spacing w:before="119" w:line="314" w:lineRule="auto"/>
        <w:ind w:left="10" w:right="61" w:firstLine="474"/>
        <w:rPr>
          <w:rFonts w:hint="eastAsia" w:ascii="宋体" w:hAnsi="宋体" w:eastAsia="宋体" w:cs="宋体"/>
          <w:b/>
          <w:bCs/>
          <w:color w:val="auto"/>
          <w:spacing w:val="2"/>
          <w:sz w:val="24"/>
          <w:szCs w:val="24"/>
          <w:highlight w:val="none"/>
          <w:lang w:val="en-US" w:eastAsia="zh-CN"/>
        </w:rPr>
      </w:pPr>
      <w:r>
        <w:rPr>
          <w:rFonts w:hint="eastAsia" w:ascii="宋体" w:hAnsi="宋体" w:eastAsia="宋体" w:cs="宋体"/>
          <w:b/>
          <w:bCs/>
          <w:color w:val="auto"/>
          <w:spacing w:val="2"/>
          <w:sz w:val="24"/>
          <w:szCs w:val="24"/>
          <w:highlight w:val="none"/>
        </w:rPr>
        <w:t xml:space="preserve">b.  </w:t>
      </w:r>
      <w:r>
        <w:rPr>
          <w:rFonts w:hint="eastAsia" w:ascii="宋体" w:hAnsi="宋体" w:eastAsia="宋体" w:cs="宋体"/>
          <w:b w:val="0"/>
          <w:bCs w:val="0"/>
          <w:color w:val="auto"/>
          <w:spacing w:val="2"/>
          <w:sz w:val="24"/>
          <w:szCs w:val="24"/>
          <w:highlight w:val="none"/>
        </w:rPr>
        <w:t>《投标报价填报说明》</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即表D.2.1</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中的填写内容除按照《建设工程工程量清单计价标准》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GB/</w:t>
      </w:r>
      <w:r>
        <w:rPr>
          <w:rFonts w:hint="eastAsia" w:ascii="宋体" w:hAnsi="宋体" w:eastAsia="宋体" w:cs="宋体"/>
          <w:b w:val="0"/>
          <w:bCs w:val="0"/>
          <w:color w:val="auto"/>
          <w:spacing w:val="2"/>
          <w:sz w:val="24"/>
          <w:szCs w:val="24"/>
          <w:highlight w:val="none"/>
          <w:lang w:eastAsia="zh-CN"/>
        </w:rPr>
        <w:t>T 50500-</w:t>
      </w:r>
      <w:r>
        <w:rPr>
          <w:rFonts w:hint="eastAsia" w:ascii="宋体" w:hAnsi="宋体" w:eastAsia="宋体" w:cs="宋体"/>
          <w:b w:val="0"/>
          <w:bCs w:val="0"/>
          <w:color w:val="auto"/>
          <w:spacing w:val="2"/>
          <w:sz w:val="24"/>
          <w:szCs w:val="24"/>
          <w:highlight w:val="none"/>
        </w:rPr>
        <w:t>2024</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附录D工程计价说明D.2.1款执行外，尚应就造价软件的名称、版本、加密锁编号作出专项说明。</w:t>
      </w:r>
      <w:r>
        <w:rPr>
          <w:rFonts w:hint="eastAsia" w:ascii="宋体" w:hAnsi="宋体" w:eastAsia="宋体" w:cs="宋体"/>
          <w:b w:val="0"/>
          <w:bCs w:val="0"/>
          <w:color w:val="auto"/>
          <w:spacing w:val="2"/>
          <w:sz w:val="24"/>
          <w:szCs w:val="24"/>
          <w:highlight w:val="none"/>
          <w:lang w:val="en-US" w:eastAsia="zh-CN"/>
        </w:rPr>
        <w:tab/>
      </w:r>
    </w:p>
    <w:p w14:paraId="5A9B40CD">
      <w:pPr>
        <w:spacing w:before="119" w:line="314" w:lineRule="auto"/>
        <w:ind w:left="10" w:right="6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b/>
          <w:bCs/>
          <w:color w:val="auto"/>
          <w:spacing w:val="2"/>
          <w:sz w:val="24"/>
          <w:szCs w:val="24"/>
          <w:highlight w:val="none"/>
          <w:lang w:val="en-US" w:eastAsia="zh-CN"/>
        </w:rPr>
        <w:t>4</w:t>
      </w: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color w:val="auto"/>
          <w:spacing w:val="2"/>
          <w:sz w:val="24"/>
          <w:szCs w:val="24"/>
          <w:highlight w:val="none"/>
        </w:rPr>
        <w:t>投标人认为有必要补充的其他资料</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例如关于投标报价低于招标项目的成本警示价的书面说明和佐证材料</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w:t>
      </w:r>
    </w:p>
    <w:p w14:paraId="2F5BB681">
      <w:pPr>
        <w:spacing w:before="99" w:line="280" w:lineRule="auto"/>
        <w:ind w:left="10" w:right="63"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10.3.2  </w:t>
      </w:r>
      <w:r>
        <w:rPr>
          <w:rFonts w:hint="eastAsia" w:ascii="宋体" w:hAnsi="宋体" w:eastAsia="宋体" w:cs="宋体"/>
          <w:color w:val="auto"/>
          <w:spacing w:val="-3"/>
          <w:sz w:val="24"/>
          <w:szCs w:val="24"/>
          <w:highlight w:val="none"/>
        </w:rPr>
        <w:t>本节第</w:t>
      </w:r>
      <w:r>
        <w:rPr>
          <w:rFonts w:hint="eastAsia" w:ascii="宋体" w:hAnsi="宋体" w:eastAsia="宋体" w:cs="宋体"/>
          <w:color w:val="auto"/>
          <w:spacing w:val="-38"/>
          <w:sz w:val="24"/>
          <w:szCs w:val="24"/>
          <w:highlight w:val="none"/>
        </w:rPr>
        <w:t xml:space="preserve"> </w:t>
      </w:r>
      <w:r>
        <w:rPr>
          <w:rFonts w:hint="eastAsia" w:ascii="宋体" w:hAnsi="宋体" w:eastAsia="宋体" w:cs="宋体"/>
          <w:b/>
          <w:bCs/>
          <w:color w:val="auto"/>
          <w:spacing w:val="-3"/>
          <w:sz w:val="24"/>
          <w:szCs w:val="24"/>
          <w:highlight w:val="none"/>
        </w:rPr>
        <w:t>10.3.1</w:t>
      </w:r>
      <w:r>
        <w:rPr>
          <w:rFonts w:hint="eastAsia" w:ascii="宋体" w:hAnsi="宋体" w:eastAsia="宋体" w:cs="宋体"/>
          <w:color w:val="auto"/>
          <w:spacing w:val="-3"/>
          <w:sz w:val="24"/>
          <w:szCs w:val="24"/>
          <w:highlight w:val="none"/>
        </w:rPr>
        <w:t>目中所列出的经济标书组成内容中，第（1）至第（3）项所</w:t>
      </w:r>
      <w:r>
        <w:rPr>
          <w:rFonts w:hint="eastAsia" w:ascii="宋体" w:hAnsi="宋体" w:eastAsia="宋体" w:cs="宋体"/>
          <w:color w:val="auto"/>
          <w:spacing w:val="-2"/>
          <w:sz w:val="24"/>
          <w:szCs w:val="24"/>
          <w:highlight w:val="none"/>
        </w:rPr>
        <w:t>有投标人均应提供。</w:t>
      </w:r>
    </w:p>
    <w:p w14:paraId="755A525F">
      <w:pPr>
        <w:spacing w:before="155" w:line="279" w:lineRule="auto"/>
        <w:ind w:left="8" w:right="61"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0"/>
          <w:sz w:val="24"/>
          <w:szCs w:val="24"/>
          <w:highlight w:val="none"/>
        </w:rPr>
        <w:t>10.3.3</w:t>
      </w:r>
      <w:r>
        <w:rPr>
          <w:rFonts w:hint="eastAsia" w:ascii="宋体" w:hAnsi="宋体" w:eastAsia="宋体" w:cs="宋体"/>
          <w:b/>
          <w:bCs/>
          <w:color w:val="auto"/>
          <w:spacing w:val="12"/>
          <w:sz w:val="24"/>
          <w:szCs w:val="24"/>
          <w:highlight w:val="none"/>
        </w:rPr>
        <w:t xml:space="preserve"> </w:t>
      </w:r>
      <w:r>
        <w:rPr>
          <w:rFonts w:hint="eastAsia" w:ascii="宋体" w:hAnsi="宋体" w:eastAsia="宋体" w:cs="宋体"/>
          <w:color w:val="auto"/>
          <w:spacing w:val="-10"/>
          <w:sz w:val="24"/>
          <w:szCs w:val="24"/>
          <w:highlight w:val="none"/>
        </w:rPr>
        <w:t>经济标书的组成内容按本节第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w:t>
      </w:r>
      <w:r>
        <w:rPr>
          <w:rFonts w:hint="eastAsia" w:ascii="宋体" w:hAnsi="宋体" w:eastAsia="宋体" w:cs="宋体"/>
          <w:color w:val="auto"/>
          <w:spacing w:val="-11"/>
          <w:sz w:val="24"/>
          <w:szCs w:val="24"/>
          <w:highlight w:val="none"/>
        </w:rPr>
        <w:t>.3.1 目规定的顺序整理、编排后，逐页（页</w:t>
      </w:r>
      <w:r>
        <w:rPr>
          <w:rFonts w:hint="eastAsia" w:ascii="宋体" w:hAnsi="宋体" w:eastAsia="宋体" w:cs="宋体"/>
          <w:color w:val="auto"/>
          <w:spacing w:val="-1"/>
          <w:sz w:val="24"/>
          <w:szCs w:val="24"/>
          <w:highlight w:val="none"/>
        </w:rPr>
        <w:t>码起始从封面开始）连续标记页码。</w:t>
      </w:r>
    </w:p>
    <w:p w14:paraId="06BCCAAB">
      <w:pPr>
        <w:spacing w:before="82" w:line="213" w:lineRule="auto"/>
        <w:ind w:left="496"/>
        <w:outlineLvl w:val="3"/>
        <w:rPr>
          <w:rFonts w:hint="eastAsia" w:ascii="宋体" w:hAnsi="宋体" w:eastAsia="宋体" w:cs="宋体"/>
          <w:b/>
          <w:bCs/>
          <w:color w:val="auto"/>
          <w:sz w:val="25"/>
          <w:szCs w:val="25"/>
          <w:highlight w:val="none"/>
        </w:rPr>
      </w:pPr>
      <w:r>
        <w:rPr>
          <w:rFonts w:hint="eastAsia" w:ascii="宋体" w:hAnsi="宋体" w:eastAsia="宋体" w:cs="宋体"/>
          <w:b/>
          <w:bCs/>
          <w:color w:val="auto"/>
          <w:spacing w:val="-3"/>
          <w:sz w:val="24"/>
          <w:szCs w:val="24"/>
          <w:highlight w:val="none"/>
        </w:rPr>
        <w:t>10.4  施工组织设计的编制要求</w:t>
      </w:r>
    </w:p>
    <w:p w14:paraId="768CF899">
      <w:pPr>
        <w:spacing w:before="151"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10.4.1 </w:t>
      </w:r>
      <w:r>
        <w:rPr>
          <w:rFonts w:hint="eastAsia" w:ascii="宋体" w:hAnsi="宋体" w:eastAsia="宋体" w:cs="宋体"/>
          <w:color w:val="auto"/>
          <w:spacing w:val="-1"/>
          <w:sz w:val="24"/>
          <w:szCs w:val="24"/>
          <w:highlight w:val="none"/>
        </w:rPr>
        <w:t>施工组织设计的编制依据包括且不限于：</w:t>
      </w:r>
    </w:p>
    <w:p w14:paraId="1E40B774">
      <w:pPr>
        <w:spacing w:before="156"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（1）招标文件及其答疑（或修改）公告；</w:t>
      </w:r>
    </w:p>
    <w:p w14:paraId="4975F0E4">
      <w:pPr>
        <w:spacing w:before="155" w:line="221"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（2）施工图及相关资料；</w:t>
      </w:r>
    </w:p>
    <w:p w14:paraId="6E3E7330">
      <w:pPr>
        <w:spacing w:before="152"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（3）施工现场情况、工程特点；</w:t>
      </w:r>
    </w:p>
    <w:p w14:paraId="1323D629">
      <w:pPr>
        <w:spacing w:before="78"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（4）相关</w:t>
      </w:r>
      <w:r>
        <w:rPr>
          <w:rFonts w:hint="eastAsia" w:ascii="宋体" w:hAnsi="宋体" w:eastAsia="宋体" w:cs="宋体"/>
          <w:color w:val="auto"/>
          <w:spacing w:val="-2"/>
          <w:sz w:val="24"/>
          <w:szCs w:val="24"/>
          <w:highlight w:val="none"/>
          <w:lang w:eastAsia="zh-CN"/>
        </w:rPr>
        <w:t>法律法规</w:t>
      </w:r>
      <w:r>
        <w:rPr>
          <w:rFonts w:hint="eastAsia" w:ascii="宋体" w:hAnsi="宋体" w:eastAsia="宋体" w:cs="宋体"/>
          <w:color w:val="auto"/>
          <w:spacing w:val="-2"/>
          <w:sz w:val="24"/>
          <w:szCs w:val="24"/>
          <w:highlight w:val="none"/>
        </w:rPr>
        <w:t>、规定；</w:t>
      </w:r>
    </w:p>
    <w:p w14:paraId="546827BB">
      <w:pPr>
        <w:spacing w:before="153" w:line="299" w:lineRule="auto"/>
        <w:ind w:left="10" w:right="211" w:firstLine="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（5）国家、广东省、韶关市关于施工现场管理、施工工艺</w:t>
      </w:r>
      <w:r>
        <w:rPr>
          <w:rFonts w:hint="eastAsia" w:ascii="宋体" w:hAnsi="宋体" w:eastAsia="宋体" w:cs="宋体"/>
          <w:color w:val="auto"/>
          <w:spacing w:val="1"/>
          <w:sz w:val="24"/>
          <w:szCs w:val="24"/>
          <w:highlight w:val="none"/>
        </w:rPr>
        <w:t>、绿色施工、安全防</w:t>
      </w:r>
      <w:r>
        <w:rPr>
          <w:rFonts w:hint="eastAsia" w:ascii="宋体" w:hAnsi="宋体" w:eastAsia="宋体" w:cs="宋体"/>
          <w:color w:val="auto"/>
          <w:spacing w:val="-1"/>
          <w:sz w:val="24"/>
          <w:szCs w:val="24"/>
          <w:highlight w:val="none"/>
        </w:rPr>
        <w:t>护、文明施工、环境保护等方面的标准、规范、技术资料。</w:t>
      </w:r>
      <w:r>
        <w:rPr>
          <w:rFonts w:hint="eastAsia" w:ascii="宋体" w:hAnsi="宋体" w:eastAsia="宋体" w:cs="宋体"/>
          <w:color w:val="auto"/>
          <w:spacing w:val="-2"/>
          <w:sz w:val="24"/>
          <w:szCs w:val="24"/>
          <w:highlight w:val="none"/>
        </w:rPr>
        <w:t>如《广东省住房和城乡建</w:t>
      </w:r>
      <w:r>
        <w:rPr>
          <w:rFonts w:hint="eastAsia" w:ascii="宋体" w:hAnsi="宋体" w:eastAsia="宋体" w:cs="宋体"/>
          <w:color w:val="auto"/>
          <w:sz w:val="24"/>
          <w:szCs w:val="24"/>
          <w:highlight w:val="none"/>
        </w:rPr>
        <w:t>设厅绿色施工导则》《广东省建设工程施工扬尘污染防</w:t>
      </w:r>
      <w:r>
        <w:rPr>
          <w:rFonts w:hint="eastAsia" w:ascii="宋体" w:hAnsi="宋体" w:eastAsia="宋体" w:cs="宋体"/>
          <w:color w:val="auto"/>
          <w:spacing w:val="-1"/>
          <w:sz w:val="24"/>
          <w:szCs w:val="24"/>
          <w:highlight w:val="none"/>
        </w:rPr>
        <w:t>治管理办法（试行）》等；</w:t>
      </w:r>
    </w:p>
    <w:p w14:paraId="7973C375">
      <w:pPr>
        <w:spacing w:before="155"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（6）企业内部标准、工法。</w:t>
      </w:r>
    </w:p>
    <w:p w14:paraId="43414437">
      <w:pPr>
        <w:spacing w:before="153"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10.4.2 </w:t>
      </w:r>
      <w:r>
        <w:rPr>
          <w:rFonts w:hint="eastAsia" w:ascii="宋体" w:hAnsi="宋体" w:eastAsia="宋体" w:cs="宋体"/>
          <w:color w:val="auto"/>
          <w:spacing w:val="-1"/>
          <w:sz w:val="24"/>
          <w:szCs w:val="24"/>
          <w:highlight w:val="none"/>
        </w:rPr>
        <w:t>施工组织设计包括但不限于以下内容：</w:t>
      </w:r>
    </w:p>
    <w:p w14:paraId="4448288D">
      <w:pPr>
        <w:spacing w:before="153"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3"/>
          <w:sz w:val="24"/>
          <w:szCs w:val="24"/>
          <w:highlight w:val="none"/>
          <w:lang w:eastAsia="zh-CN"/>
        </w:rPr>
        <w:t>）；</w:t>
      </w:r>
    </w:p>
    <w:p w14:paraId="3BC2A7E8">
      <w:pPr>
        <w:spacing w:before="156" w:line="222"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3D46DDF6">
      <w:pPr>
        <w:spacing w:before="150"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（3）总体概述（包括施工程序总体设想及施工段划分等内容</w:t>
      </w:r>
      <w:r>
        <w:rPr>
          <w:rFonts w:hint="eastAsia" w:ascii="宋体" w:hAnsi="宋体" w:eastAsia="宋体" w:cs="宋体"/>
          <w:color w:val="auto"/>
          <w:spacing w:val="2"/>
          <w:sz w:val="24"/>
          <w:szCs w:val="24"/>
          <w:highlight w:val="none"/>
        </w:rPr>
        <w:t>）；</w:t>
      </w:r>
    </w:p>
    <w:p w14:paraId="23C15B5F">
      <w:pPr>
        <w:spacing w:before="154" w:line="299" w:lineRule="auto"/>
        <w:ind w:left="9" w:right="211"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（4）施工总进度计划及保证措施（包括进度管理目标；以</w:t>
      </w:r>
      <w:r>
        <w:rPr>
          <w:rFonts w:hint="eastAsia" w:ascii="宋体" w:hAnsi="宋体" w:eastAsia="宋体" w:cs="宋体"/>
          <w:color w:val="auto"/>
          <w:spacing w:val="1"/>
          <w:sz w:val="24"/>
          <w:szCs w:val="24"/>
          <w:highlight w:val="none"/>
        </w:rPr>
        <w:t>横道图或标明关键线</w:t>
      </w:r>
      <w:r>
        <w:rPr>
          <w:rFonts w:hint="eastAsia" w:ascii="宋体" w:hAnsi="宋体" w:eastAsia="宋体" w:cs="宋体"/>
          <w:color w:val="auto"/>
          <w:spacing w:val="-1"/>
          <w:sz w:val="24"/>
          <w:szCs w:val="24"/>
          <w:highlight w:val="none"/>
        </w:rPr>
        <w:t>路的网络进度计划；保障进度计划需要的人、材、机需求计划</w:t>
      </w:r>
      <w:r>
        <w:rPr>
          <w:rFonts w:hint="eastAsia" w:ascii="宋体" w:hAnsi="宋体" w:eastAsia="宋体" w:cs="宋体"/>
          <w:color w:val="auto"/>
          <w:spacing w:val="-2"/>
          <w:sz w:val="24"/>
          <w:szCs w:val="24"/>
          <w:highlight w:val="none"/>
        </w:rPr>
        <w:t>及保证措施；违约责任承诺等内容</w:t>
      </w:r>
      <w:r>
        <w:rPr>
          <w:rFonts w:hint="eastAsia" w:ascii="宋体" w:hAnsi="宋体" w:eastAsia="宋体" w:cs="宋体"/>
          <w:color w:val="auto"/>
          <w:sz w:val="24"/>
          <w:szCs w:val="24"/>
          <w:highlight w:val="none"/>
        </w:rPr>
        <w:t>）；</w:t>
      </w:r>
    </w:p>
    <w:p w14:paraId="413C1EC3">
      <w:pPr>
        <w:spacing w:before="153"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（5）质量保证措施（包括质量管理目标；相应保证措施；违约责任承诺</w:t>
      </w:r>
      <w:r>
        <w:rPr>
          <w:rFonts w:hint="eastAsia" w:ascii="宋体" w:hAnsi="宋体" w:eastAsia="宋体" w:cs="宋体"/>
          <w:color w:val="auto"/>
          <w:spacing w:val="-6"/>
          <w:sz w:val="24"/>
          <w:szCs w:val="24"/>
          <w:highlight w:val="none"/>
        </w:rPr>
        <w:t>等内容</w:t>
      </w:r>
      <w:r>
        <w:rPr>
          <w:rFonts w:hint="eastAsia" w:ascii="宋体" w:hAnsi="宋体" w:eastAsia="宋体" w:cs="宋体"/>
          <w:color w:val="auto"/>
          <w:spacing w:val="-62"/>
          <w:w w:val="97"/>
          <w:sz w:val="24"/>
          <w:szCs w:val="24"/>
          <w:highlight w:val="none"/>
        </w:rPr>
        <w:t>）；</w:t>
      </w:r>
    </w:p>
    <w:p w14:paraId="63DC62FA">
      <w:pPr>
        <w:spacing w:before="156" w:line="279" w:lineRule="auto"/>
        <w:ind w:left="11" w:right="211"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（6）施工技术措施（包括关键施工技术、工艺及工程项目</w:t>
      </w:r>
      <w:r>
        <w:rPr>
          <w:rFonts w:hint="eastAsia" w:ascii="宋体" w:hAnsi="宋体" w:eastAsia="宋体" w:cs="宋体"/>
          <w:color w:val="auto"/>
          <w:spacing w:val="1"/>
          <w:sz w:val="24"/>
          <w:szCs w:val="24"/>
          <w:highlight w:val="none"/>
        </w:rPr>
        <w:t>实施的重点、难点分</w:t>
      </w:r>
      <w:r>
        <w:rPr>
          <w:rFonts w:hint="eastAsia" w:ascii="宋体" w:hAnsi="宋体" w:eastAsia="宋体" w:cs="宋体"/>
          <w:color w:val="auto"/>
          <w:spacing w:val="-1"/>
          <w:sz w:val="24"/>
          <w:szCs w:val="24"/>
          <w:highlight w:val="none"/>
        </w:rPr>
        <w:t>析和解决方案；新技术应用与承诺等内容</w:t>
      </w:r>
      <w:r>
        <w:rPr>
          <w:rFonts w:hint="eastAsia" w:ascii="宋体" w:hAnsi="宋体" w:eastAsia="宋体" w:cs="宋体"/>
          <w:color w:val="auto"/>
          <w:spacing w:val="2"/>
          <w:sz w:val="24"/>
          <w:szCs w:val="24"/>
          <w:highlight w:val="none"/>
        </w:rPr>
        <w:t>）；</w:t>
      </w:r>
    </w:p>
    <w:p w14:paraId="7BB5E824">
      <w:pPr>
        <w:spacing w:before="118" w:line="297" w:lineRule="auto"/>
        <w:ind w:left="11" w:right="31" w:firstLine="489"/>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（7）绿色施工、安全防护、文明施工措施计划</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应对建设单位组织的勘察设计等单位在施工招标文件中列出的危大工程清单</w:t>
      </w:r>
      <w:r>
        <w:rPr>
          <w:rFonts w:hint="eastAsia" w:ascii="宋体" w:hAnsi="宋体" w:eastAsia="宋体" w:cs="宋体"/>
          <w:color w:val="auto"/>
          <w:spacing w:val="-1"/>
          <w:sz w:val="24"/>
          <w:szCs w:val="24"/>
          <w:highlight w:val="none"/>
          <w:lang w:eastAsia="zh-CN"/>
        </w:rPr>
        <w:t>（详见格式十三）</w:t>
      </w:r>
      <w:r>
        <w:rPr>
          <w:rFonts w:hint="eastAsia" w:ascii="宋体" w:hAnsi="宋体" w:eastAsia="宋体" w:cs="宋体"/>
          <w:color w:val="auto"/>
          <w:spacing w:val="-1"/>
          <w:sz w:val="24"/>
          <w:szCs w:val="24"/>
          <w:highlight w:val="none"/>
        </w:rPr>
        <w:t>进行投标文件回应，如有</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3"/>
          <w:sz w:val="24"/>
          <w:szCs w:val="24"/>
          <w:highlight w:val="none"/>
        </w:rPr>
        <w:t>；</w:t>
      </w:r>
    </w:p>
    <w:p w14:paraId="02E9B450">
      <w:pPr>
        <w:spacing w:before="118" w:line="297" w:lineRule="auto"/>
        <w:ind w:left="11" w:right="31"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（8）施工现场总平面布置（</w:t>
      </w:r>
      <w:bookmarkStart w:id="56" w:name="OLE_LINK8"/>
      <w:r>
        <w:rPr>
          <w:rFonts w:hint="eastAsia" w:ascii="宋体" w:hAnsi="宋体" w:eastAsia="宋体" w:cs="宋体"/>
          <w:color w:val="auto"/>
          <w:spacing w:val="2"/>
          <w:sz w:val="24"/>
          <w:szCs w:val="24"/>
          <w:highlight w:val="none"/>
        </w:rPr>
        <w:t>投标人应递交一份施工现场总</w:t>
      </w:r>
      <w:r>
        <w:rPr>
          <w:rFonts w:hint="eastAsia" w:ascii="宋体" w:hAnsi="宋体" w:eastAsia="宋体" w:cs="宋体"/>
          <w:color w:val="auto"/>
          <w:spacing w:val="1"/>
          <w:sz w:val="24"/>
          <w:szCs w:val="24"/>
          <w:highlight w:val="none"/>
        </w:rPr>
        <w:t>平面布置图，绘出现</w:t>
      </w:r>
      <w:r>
        <w:rPr>
          <w:rFonts w:hint="eastAsia" w:ascii="宋体" w:hAnsi="宋体" w:eastAsia="宋体" w:cs="宋体"/>
          <w:color w:val="auto"/>
          <w:spacing w:val="-1"/>
          <w:sz w:val="24"/>
          <w:szCs w:val="24"/>
          <w:highlight w:val="none"/>
        </w:rPr>
        <w:t>场临时设施布置图表并附文字说明，说明临时设施、加工车间、</w:t>
      </w:r>
      <w:r>
        <w:rPr>
          <w:rFonts w:hint="eastAsia" w:ascii="宋体" w:hAnsi="宋体" w:eastAsia="宋体" w:cs="宋体"/>
          <w:color w:val="auto"/>
          <w:spacing w:val="-2"/>
          <w:sz w:val="24"/>
          <w:szCs w:val="24"/>
          <w:highlight w:val="none"/>
        </w:rPr>
        <w:t>现场办公、设备及仓</w:t>
      </w:r>
      <w:r>
        <w:rPr>
          <w:rFonts w:hint="eastAsia" w:ascii="宋体" w:hAnsi="宋体" w:eastAsia="宋体" w:cs="宋体"/>
          <w:color w:val="auto"/>
          <w:spacing w:val="-1"/>
          <w:sz w:val="24"/>
          <w:szCs w:val="24"/>
          <w:highlight w:val="none"/>
        </w:rPr>
        <w:t>储、供电、供水、卫生、生活、道路、消防等设施的情况和布置</w:t>
      </w:r>
      <w:bookmarkEnd w:id="56"/>
      <w:r>
        <w:rPr>
          <w:rFonts w:hint="eastAsia" w:ascii="宋体" w:hAnsi="宋体" w:eastAsia="宋体" w:cs="宋体"/>
          <w:color w:val="auto"/>
          <w:spacing w:val="9"/>
          <w:sz w:val="24"/>
          <w:szCs w:val="24"/>
          <w:highlight w:val="none"/>
        </w:rPr>
        <w:t>）；</w:t>
      </w:r>
    </w:p>
    <w:p w14:paraId="5E69FD0B">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（9）项目管理机构。</w:t>
      </w:r>
    </w:p>
    <w:p w14:paraId="10315D49">
      <w:pPr>
        <w:spacing w:before="154" w:line="280" w:lineRule="auto"/>
        <w:ind w:right="211" w:firstLine="47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（10）投标人认为有必要补充的其他内容（例如对总包管理的认识以及对专业分</w:t>
      </w:r>
      <w:r>
        <w:rPr>
          <w:rFonts w:hint="eastAsia" w:ascii="宋体" w:hAnsi="宋体" w:eastAsia="宋体" w:cs="宋体"/>
          <w:color w:val="auto"/>
          <w:spacing w:val="-1"/>
          <w:sz w:val="24"/>
          <w:szCs w:val="24"/>
          <w:highlight w:val="none"/>
        </w:rPr>
        <w:t>包工程的管理、协调、配合、服务方案）。</w:t>
      </w:r>
    </w:p>
    <w:p w14:paraId="33E7EB44">
      <w:pPr>
        <w:spacing w:before="152" w:line="279" w:lineRule="auto"/>
        <w:ind w:right="196" w:firstLine="474"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10.4.3  </w:t>
      </w:r>
      <w:r>
        <w:rPr>
          <w:rFonts w:hint="eastAsia" w:ascii="宋体" w:hAnsi="宋体" w:eastAsia="宋体" w:cs="宋体"/>
          <w:color w:val="auto"/>
          <w:spacing w:val="-2"/>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2"/>
          <w:sz w:val="24"/>
          <w:szCs w:val="24"/>
          <w:highlight w:val="none"/>
        </w:rPr>
        <w:t>10.4.2</w:t>
      </w:r>
      <w:r>
        <w:rPr>
          <w:rFonts w:hint="eastAsia" w:ascii="宋体" w:hAnsi="宋体" w:eastAsia="宋体" w:cs="宋体"/>
          <w:color w:val="auto"/>
          <w:spacing w:val="-2"/>
          <w:sz w:val="24"/>
          <w:szCs w:val="24"/>
          <w:highlight w:val="none"/>
        </w:rPr>
        <w:t>目中所列出</w:t>
      </w:r>
      <w:r>
        <w:rPr>
          <w:rFonts w:hint="eastAsia" w:ascii="宋体" w:hAnsi="宋体" w:eastAsia="宋体" w:cs="宋体"/>
          <w:color w:val="auto"/>
          <w:spacing w:val="-3"/>
          <w:sz w:val="24"/>
          <w:szCs w:val="24"/>
          <w:highlight w:val="none"/>
        </w:rPr>
        <w:t>的施工组织设计组成内容中，第（1）至第（9）</w:t>
      </w:r>
      <w:r>
        <w:rPr>
          <w:rFonts w:hint="eastAsia" w:ascii="宋体" w:hAnsi="宋体" w:eastAsia="宋体" w:cs="宋体"/>
          <w:color w:val="auto"/>
          <w:spacing w:val="-2"/>
          <w:sz w:val="24"/>
          <w:szCs w:val="24"/>
          <w:highlight w:val="none"/>
        </w:rPr>
        <w:t>项所有投标人均应提供。</w:t>
      </w:r>
    </w:p>
    <w:p w14:paraId="56491334">
      <w:pPr>
        <w:spacing w:before="157" w:line="279" w:lineRule="auto"/>
        <w:ind w:right="211" w:firstLine="462" w:firstLineChars="200"/>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5"/>
          <w:sz w:val="24"/>
          <w:szCs w:val="24"/>
          <w:highlight w:val="none"/>
        </w:rPr>
        <w:t xml:space="preserve">10.4.4 </w:t>
      </w:r>
      <w:r>
        <w:rPr>
          <w:rFonts w:hint="eastAsia" w:ascii="宋体" w:hAnsi="宋体" w:eastAsia="宋体" w:cs="宋体"/>
          <w:color w:val="auto"/>
          <w:spacing w:val="-5"/>
          <w:sz w:val="24"/>
          <w:szCs w:val="24"/>
          <w:highlight w:val="none"/>
        </w:rPr>
        <w:t>施工组织设计的组成内容按本节第</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5"/>
          <w:sz w:val="24"/>
          <w:szCs w:val="24"/>
          <w:highlight w:val="none"/>
        </w:rPr>
        <w:t>10.4.2 目规定的顺序整理、编排后，逐</w:t>
      </w:r>
      <w:r>
        <w:rPr>
          <w:rFonts w:hint="eastAsia" w:ascii="宋体" w:hAnsi="宋体" w:eastAsia="宋体" w:cs="宋体"/>
          <w:color w:val="auto"/>
          <w:spacing w:val="-1"/>
          <w:sz w:val="24"/>
          <w:szCs w:val="24"/>
          <w:highlight w:val="none"/>
        </w:rPr>
        <w:t>页（页码起始从封面开始）连续标记页码。</w:t>
      </w:r>
    </w:p>
    <w:p w14:paraId="702A1AEA">
      <w:pPr>
        <w:ind w:firstLine="472"/>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b/>
          <w:bCs/>
          <w:color w:val="auto"/>
          <w:spacing w:val="-1"/>
          <w:sz w:val="24"/>
          <w:szCs w:val="24"/>
          <w:highlight w:val="none"/>
        </w:rPr>
        <w:t>10.4.5</w:t>
      </w:r>
      <w:bookmarkStart w:id="57" w:name="OLE_LINK9"/>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施工组织设计的正文不得超过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150</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页</w:t>
      </w:r>
      <w:r>
        <w:rPr>
          <w:rFonts w:hint="eastAsia" w:ascii="宋体" w:hAnsi="宋体" w:eastAsia="宋体" w:cs="宋体"/>
          <w:color w:val="auto"/>
          <w:spacing w:val="-1"/>
          <w:sz w:val="24"/>
          <w:szCs w:val="24"/>
          <w:highlight w:val="none"/>
          <w:lang w:eastAsia="zh-CN"/>
        </w:rPr>
        <w:t>。</w:t>
      </w:r>
      <w:bookmarkEnd w:id="57"/>
      <w:bookmarkStart w:id="58" w:name="bookmark121"/>
      <w:bookmarkEnd w:id="58"/>
    </w:p>
    <w:p w14:paraId="1EF41116">
      <w:pPr>
        <w:keepNext w:val="0"/>
        <w:keepLines w:val="0"/>
        <w:pageBreakBefore w:val="0"/>
        <w:widowControl w:val="0"/>
        <w:kinsoku/>
        <w:wordWrap w:val="0"/>
        <w:overflowPunct/>
        <w:topLinePunct w:val="0"/>
        <w:autoSpaceDE/>
        <w:autoSpaceDN/>
        <w:bidi w:val="0"/>
        <w:adjustRightInd/>
        <w:snapToGrid/>
        <w:spacing w:line="400" w:lineRule="exact"/>
        <w:ind w:firstLine="482" w:firstLineChars="200"/>
        <w:textAlignment w:val="baseline"/>
        <w:rPr>
          <w:rFonts w:hint="eastAsia" w:ascii="宋体" w:hAnsi="宋体" w:eastAsia="宋体" w:cs="宋体"/>
          <w:b/>
          <w:bCs/>
          <w:snapToGrid w:val="0"/>
          <w:color w:val="auto"/>
          <w:kern w:val="0"/>
          <w:sz w:val="24"/>
          <w:szCs w:val="24"/>
          <w:highlight w:val="none"/>
          <w:lang w:val="en-US" w:eastAsia="zh-CN"/>
        </w:rPr>
      </w:pPr>
      <w:bookmarkStart w:id="59" w:name="_Toc20579"/>
      <w:r>
        <w:rPr>
          <w:rFonts w:hint="eastAsia" w:ascii="宋体" w:hAnsi="宋体" w:eastAsia="宋体" w:cs="宋体"/>
          <w:b/>
          <w:bCs/>
          <w:snapToGrid w:val="0"/>
          <w:color w:val="auto"/>
          <w:kern w:val="0"/>
          <w:sz w:val="24"/>
          <w:szCs w:val="24"/>
          <w:highlight w:val="none"/>
          <w:lang w:val="en-US" w:eastAsia="zh-CN"/>
        </w:rPr>
        <w:t>10.5 定标文件的编制要求：</w:t>
      </w:r>
    </w:p>
    <w:p w14:paraId="21C55D8F">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 xml:space="preserve">.1 </w:t>
      </w:r>
      <w:r>
        <w:rPr>
          <w:rFonts w:hint="eastAsia" w:ascii="宋体" w:hAnsi="宋体" w:eastAsia="宋体" w:cs="宋体"/>
          <w:snapToGrid w:val="0"/>
          <w:color w:val="auto"/>
          <w:kern w:val="0"/>
          <w:sz w:val="24"/>
          <w:szCs w:val="24"/>
          <w:highlight w:val="none"/>
          <w:lang w:val="en-US" w:eastAsia="zh-CN"/>
        </w:rPr>
        <w:t>定标文件</w:t>
      </w:r>
      <w:r>
        <w:rPr>
          <w:rFonts w:hint="eastAsia" w:ascii="宋体" w:hAnsi="宋体" w:eastAsia="宋体" w:cs="宋体"/>
          <w:snapToGrid w:val="0"/>
          <w:color w:val="auto"/>
          <w:kern w:val="0"/>
          <w:sz w:val="24"/>
          <w:szCs w:val="24"/>
          <w:highlight w:val="none"/>
        </w:rPr>
        <w:t>包括以下内容：</w:t>
      </w:r>
    </w:p>
    <w:bookmarkEnd w:id="59"/>
    <w:p w14:paraId="2A004467">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default" w:ascii="宋体" w:hAnsi="宋体" w:eastAsia="宋体" w:cs="宋体"/>
          <w:snapToGrid w:val="0"/>
          <w:color w:val="auto"/>
          <w:kern w:val="0"/>
          <w:sz w:val="24"/>
          <w:szCs w:val="24"/>
          <w:highlight w:val="none"/>
          <w:lang w:val="en-US"/>
        </w:rPr>
      </w:pPr>
      <w:bookmarkStart w:id="60" w:name="_Toc21936"/>
      <w:r>
        <w:rPr>
          <w:rFonts w:hint="eastAsia" w:ascii="宋体" w:hAnsi="宋体" w:eastAsia="宋体" w:cs="宋体"/>
          <w:snapToGrid w:val="0"/>
          <w:color w:val="auto"/>
          <w:kern w:val="0"/>
          <w:sz w:val="24"/>
          <w:szCs w:val="24"/>
          <w:highlight w:val="none"/>
          <w:lang w:eastAsia="zh-CN"/>
        </w:rPr>
        <w:t>（1）</w:t>
      </w:r>
      <w:r>
        <w:rPr>
          <w:rFonts w:hint="eastAsia" w:ascii="宋体" w:hAnsi="宋体" w:eastAsia="宋体" w:cs="宋体"/>
          <w:snapToGrid w:val="0"/>
          <w:color w:val="auto"/>
          <w:kern w:val="0"/>
          <w:sz w:val="24"/>
          <w:szCs w:val="24"/>
          <w:highlight w:val="none"/>
          <w:lang w:val="en-US" w:eastAsia="zh-CN"/>
        </w:rPr>
        <w:t>封面（格式一）；</w:t>
      </w:r>
    </w:p>
    <w:p w14:paraId="3AEDC9A8">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（2）目录；</w:t>
      </w:r>
    </w:p>
    <w:p w14:paraId="57FBAE96">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（3）定标因素评审资料（格式十七）。</w:t>
      </w:r>
    </w:p>
    <w:p w14:paraId="62050842">
      <w:pPr>
        <w:pStyle w:val="9"/>
        <w:ind w:firstLine="482" w:firstLineChars="200"/>
        <w:rPr>
          <w:rFonts w:hint="default"/>
          <w:b/>
          <w:bCs/>
          <w:color w:val="auto"/>
          <w:highlight w:val="none"/>
          <w:lang w:val="en-US"/>
        </w:rPr>
      </w:pPr>
      <w:r>
        <w:rPr>
          <w:rFonts w:hint="eastAsia" w:hAnsi="宋体" w:eastAsia="宋体" w:cs="宋体"/>
          <w:b/>
          <w:bCs/>
          <w:snapToGrid w:val="0"/>
          <w:color w:val="auto"/>
          <w:kern w:val="0"/>
          <w:sz w:val="24"/>
          <w:szCs w:val="24"/>
          <w:highlight w:val="none"/>
          <w:lang w:val="en-US" w:eastAsia="zh-CN"/>
        </w:rPr>
        <w:t xml:space="preserve">10.5.2 </w:t>
      </w:r>
      <w:r>
        <w:rPr>
          <w:rFonts w:hint="eastAsia" w:ascii="宋体" w:hAnsi="宋体" w:eastAsia="宋体" w:cs="宋体"/>
          <w:snapToGrid w:val="0"/>
          <w:color w:val="auto"/>
          <w:kern w:val="0"/>
          <w:sz w:val="24"/>
          <w:szCs w:val="24"/>
          <w:highlight w:val="none"/>
          <w:lang w:val="en-US" w:eastAsia="zh-CN" w:bidi="ar-SA"/>
        </w:rPr>
        <w:t>本节第10.5.1目中所列出的组成内容中，第（1）项所有投标人均应提供。</w:t>
      </w:r>
    </w:p>
    <w:p w14:paraId="02DC3960">
      <w:pPr>
        <w:spacing w:before="78" w:line="221" w:lineRule="auto"/>
        <w:ind w:left="496"/>
        <w:outlineLvl w:val="2"/>
        <w:rPr>
          <w:rFonts w:hint="eastAsia" w:ascii="宋体" w:hAnsi="宋体" w:eastAsia="宋体" w:cs="宋体"/>
          <w:color w:val="auto"/>
          <w:sz w:val="24"/>
          <w:szCs w:val="24"/>
          <w:highlight w:val="none"/>
        </w:rPr>
      </w:pPr>
      <w:bookmarkStart w:id="61" w:name="_Toc17143"/>
      <w:r>
        <w:rPr>
          <w:rFonts w:hint="eastAsia" w:ascii="宋体" w:hAnsi="宋体" w:eastAsia="宋体" w:cs="宋体"/>
          <w:b/>
          <w:bCs/>
          <w:color w:val="auto"/>
          <w:spacing w:val="-9"/>
          <w:sz w:val="24"/>
          <w:szCs w:val="24"/>
          <w:highlight w:val="none"/>
        </w:rPr>
        <w:t>11.</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pacing w:val="-9"/>
          <w:sz w:val="24"/>
          <w:szCs w:val="24"/>
          <w:highlight w:val="none"/>
        </w:rPr>
        <w:t>电子投标</w:t>
      </w:r>
      <w:bookmarkEnd w:id="60"/>
      <w:bookmarkEnd w:id="61"/>
    </w:p>
    <w:p w14:paraId="3D405C38">
      <w:pPr>
        <w:spacing w:before="112" w:line="295" w:lineRule="auto"/>
        <w:ind w:left="10"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11.1 </w:t>
      </w:r>
      <w:r>
        <w:rPr>
          <w:rFonts w:hint="eastAsia" w:ascii="宋体" w:hAnsi="宋体" w:eastAsia="宋体" w:cs="宋体"/>
          <w:color w:val="auto"/>
          <w:spacing w:val="-3"/>
          <w:sz w:val="24"/>
          <w:szCs w:val="24"/>
          <w:highlight w:val="none"/>
        </w:rPr>
        <w:t>在建设工程交易系统上传加盖了电子印章的投标文件</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录入相关信息及标书</w:t>
      </w:r>
      <w:r>
        <w:rPr>
          <w:rFonts w:hint="eastAsia" w:ascii="宋体" w:hAnsi="宋体" w:eastAsia="宋体" w:cs="宋体"/>
          <w:color w:val="auto"/>
          <w:spacing w:val="2"/>
          <w:sz w:val="24"/>
          <w:szCs w:val="24"/>
          <w:highlight w:val="none"/>
        </w:rPr>
        <w:t>页码信息</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
          <w:sz w:val="24"/>
          <w:szCs w:val="24"/>
          <w:highlight w:val="none"/>
        </w:rPr>
        <w:t>页码起始从封面开始）</w:t>
      </w:r>
      <w:r>
        <w:rPr>
          <w:rFonts w:hint="eastAsia" w:ascii="宋体" w:hAnsi="宋体" w:eastAsia="宋体" w:cs="宋体"/>
          <w:color w:val="auto"/>
          <w:spacing w:val="2"/>
          <w:sz w:val="24"/>
          <w:szCs w:val="24"/>
          <w:highlight w:val="none"/>
          <w:lang w:eastAsia="zh-CN"/>
        </w:rPr>
        <w:t>，并</w:t>
      </w:r>
      <w:r>
        <w:rPr>
          <w:rFonts w:hint="eastAsia" w:ascii="宋体" w:hAnsi="宋体" w:eastAsia="宋体" w:cs="宋体"/>
          <w:color w:val="auto"/>
          <w:spacing w:val="2"/>
          <w:sz w:val="24"/>
          <w:szCs w:val="24"/>
          <w:highlight w:val="none"/>
        </w:rPr>
        <w:t>提交投标标书。提交标书为已加密投标文件。</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具体操作参照《韶关市公共资源建设工程交易系统-投标人操</w:t>
      </w:r>
      <w:r>
        <w:rPr>
          <w:rFonts w:hint="eastAsia" w:ascii="宋体" w:hAnsi="宋体" w:eastAsia="宋体" w:cs="宋体"/>
          <w:color w:val="auto"/>
          <w:spacing w:val="-3"/>
          <w:sz w:val="24"/>
          <w:szCs w:val="24"/>
          <w:highlight w:val="none"/>
        </w:rPr>
        <w:t>作指南（电子评标）》。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本项目评标采用全流程电子化进行招标投标（投标人应根据</w:t>
      </w:r>
      <w:r>
        <w:rPr>
          <w:rFonts w:hint="eastAsia" w:ascii="宋体" w:hAnsi="宋体" w:eastAsia="宋体" w:cs="宋体"/>
          <w:color w:val="auto"/>
          <w:spacing w:val="-2"/>
          <w:sz w:val="24"/>
          <w:szCs w:val="24"/>
          <w:highlight w:val="none"/>
        </w:rPr>
        <w:t>韶关市公共资源建设工程</w:t>
      </w:r>
      <w:r>
        <w:rPr>
          <w:rFonts w:hint="eastAsia" w:ascii="宋体" w:hAnsi="宋体" w:eastAsia="宋体" w:cs="宋体"/>
          <w:color w:val="auto"/>
          <w:spacing w:val="-2"/>
          <w:sz w:val="24"/>
          <w:szCs w:val="24"/>
          <w:highlight w:val="none"/>
          <w:lang w:eastAsia="zh-CN"/>
        </w:rPr>
        <w:t>交易系统</w:t>
      </w:r>
      <w:r>
        <w:rPr>
          <w:rFonts w:hint="eastAsia" w:ascii="宋体" w:hAnsi="宋体" w:eastAsia="宋体" w:cs="宋体"/>
          <w:color w:val="auto"/>
          <w:spacing w:val="-1"/>
          <w:sz w:val="24"/>
          <w:szCs w:val="24"/>
          <w:highlight w:val="none"/>
        </w:rPr>
        <w:t>编辑投标相关内容</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按招标文件电子投标要求</w:t>
      </w:r>
      <w:r>
        <w:rPr>
          <w:rFonts w:hint="eastAsia" w:ascii="宋体" w:hAnsi="宋体" w:eastAsia="宋体" w:cs="宋体"/>
          <w:color w:val="auto"/>
          <w:spacing w:val="-2"/>
          <w:sz w:val="24"/>
          <w:szCs w:val="24"/>
          <w:highlight w:val="none"/>
        </w:rPr>
        <w:t>上传已加盖电子印章</w:t>
      </w:r>
      <w:r>
        <w:rPr>
          <w:rFonts w:hint="eastAsia" w:ascii="宋体" w:hAnsi="宋体" w:eastAsia="宋体" w:cs="宋体"/>
          <w:color w:val="auto"/>
          <w:spacing w:val="-2"/>
          <w:sz w:val="24"/>
          <w:szCs w:val="24"/>
          <w:highlight w:val="none"/>
          <w:lang w:eastAsia="zh-CN"/>
        </w:rPr>
        <w:t>的投标</w:t>
      </w:r>
      <w:r>
        <w:rPr>
          <w:rFonts w:hint="eastAsia" w:ascii="宋体" w:hAnsi="宋体" w:eastAsia="宋体" w:cs="宋体"/>
          <w:color w:val="auto"/>
          <w:spacing w:val="-1"/>
          <w:sz w:val="24"/>
          <w:szCs w:val="24"/>
          <w:highlight w:val="none"/>
        </w:rPr>
        <w:t>文件，否则将自行承担不利后果）。投标文件完成上传后，投标人应</w:t>
      </w:r>
      <w:r>
        <w:rPr>
          <w:rFonts w:hint="eastAsia" w:ascii="宋体" w:hAnsi="宋体" w:eastAsia="宋体" w:cs="宋体"/>
          <w:color w:val="auto"/>
          <w:spacing w:val="-2"/>
          <w:sz w:val="24"/>
          <w:szCs w:val="24"/>
          <w:highlight w:val="none"/>
        </w:rPr>
        <w:t>使用 CA 数字证</w:t>
      </w:r>
      <w:r>
        <w:rPr>
          <w:rFonts w:hint="eastAsia" w:ascii="宋体" w:hAnsi="宋体" w:eastAsia="宋体" w:cs="宋体"/>
          <w:color w:val="auto"/>
          <w:spacing w:val="-1"/>
          <w:sz w:val="24"/>
          <w:szCs w:val="24"/>
          <w:highlight w:val="none"/>
        </w:rPr>
        <w:t>书对投标文件进行文件加密，形成加密的投标文件并提交标书。</w:t>
      </w:r>
    </w:p>
    <w:p w14:paraId="6868FCA9">
      <w:pPr>
        <w:spacing w:before="115" w:line="286" w:lineRule="auto"/>
        <w:ind w:left="10" w:right="81" w:firstLine="485"/>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11.2</w:t>
      </w:r>
      <w:r>
        <w:rPr>
          <w:rFonts w:hint="eastAsia" w:ascii="宋体" w:hAnsi="宋体" w:eastAsia="宋体" w:cs="宋体"/>
          <w:b/>
          <w:bCs/>
          <w:color w:val="auto"/>
          <w:spacing w:val="19"/>
          <w:sz w:val="24"/>
          <w:szCs w:val="24"/>
          <w:highlight w:val="none"/>
        </w:rPr>
        <w:t xml:space="preserve">  </w:t>
      </w:r>
      <w:r>
        <w:rPr>
          <w:rFonts w:hint="eastAsia" w:ascii="宋体" w:hAnsi="宋体" w:eastAsia="宋体" w:cs="宋体"/>
          <w:color w:val="auto"/>
          <w:spacing w:val="-4"/>
          <w:sz w:val="24"/>
          <w:szCs w:val="24"/>
          <w:highlight w:val="none"/>
        </w:rPr>
        <w:t>电子投标文件的修改、撤回：在提交投标文件截止时间前，投标人可</w:t>
      </w:r>
      <w:r>
        <w:rPr>
          <w:rFonts w:hint="eastAsia" w:ascii="宋体" w:hAnsi="宋体" w:eastAsia="宋体" w:cs="宋体"/>
          <w:color w:val="auto"/>
          <w:spacing w:val="-5"/>
          <w:sz w:val="24"/>
          <w:szCs w:val="24"/>
          <w:highlight w:val="none"/>
        </w:rPr>
        <w:t>以修改</w:t>
      </w:r>
      <w:r>
        <w:rPr>
          <w:rFonts w:hint="eastAsia" w:ascii="宋体" w:hAnsi="宋体" w:eastAsia="宋体" w:cs="宋体"/>
          <w:color w:val="auto"/>
          <w:spacing w:val="-1"/>
          <w:sz w:val="24"/>
          <w:szCs w:val="24"/>
          <w:highlight w:val="none"/>
        </w:rPr>
        <w:t>或撤回未解密的电子投标文件，并于提交投标文件截止时间</w:t>
      </w:r>
      <w:r>
        <w:rPr>
          <w:rFonts w:hint="eastAsia" w:ascii="宋体" w:hAnsi="宋体" w:eastAsia="宋体" w:cs="宋体"/>
          <w:color w:val="auto"/>
          <w:spacing w:val="-2"/>
          <w:sz w:val="24"/>
          <w:szCs w:val="24"/>
          <w:highlight w:val="none"/>
        </w:rPr>
        <w:t>前将重新上传修改后的电</w:t>
      </w:r>
      <w:r>
        <w:rPr>
          <w:rFonts w:hint="eastAsia" w:ascii="宋体" w:hAnsi="宋体" w:eastAsia="宋体" w:cs="宋体"/>
          <w:color w:val="auto"/>
          <w:spacing w:val="-1"/>
          <w:sz w:val="24"/>
          <w:szCs w:val="24"/>
          <w:highlight w:val="none"/>
        </w:rPr>
        <w:t>子投标文件至系统</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到达投标文件提交截止时间后投标人不</w:t>
      </w:r>
      <w:r>
        <w:rPr>
          <w:rFonts w:hint="eastAsia" w:ascii="宋体" w:hAnsi="宋体" w:eastAsia="宋体" w:cs="宋体"/>
          <w:color w:val="auto"/>
          <w:spacing w:val="-2"/>
          <w:sz w:val="24"/>
          <w:szCs w:val="24"/>
          <w:highlight w:val="none"/>
        </w:rPr>
        <w:t>得撤回、补充、修改和更换投标文件。</w:t>
      </w:r>
    </w:p>
    <w:p w14:paraId="1F5F4AB1">
      <w:pPr>
        <w:numPr>
          <w:ilvl w:val="0"/>
          <w:numId w:val="0"/>
        </w:numPr>
        <w:spacing w:before="78" w:line="220" w:lineRule="auto"/>
        <w:ind w:firstLine="446" w:firstLineChars="200"/>
        <w:outlineLvl w:val="2"/>
        <w:rPr>
          <w:rFonts w:hint="eastAsia" w:ascii="宋体" w:hAnsi="宋体" w:eastAsia="宋体" w:cs="宋体"/>
          <w:b/>
          <w:bCs/>
          <w:color w:val="auto"/>
          <w:spacing w:val="-4"/>
          <w:sz w:val="24"/>
          <w:szCs w:val="24"/>
          <w:highlight w:val="none"/>
        </w:rPr>
      </w:pPr>
      <w:bookmarkStart w:id="62" w:name="_Toc20352"/>
      <w:r>
        <w:rPr>
          <w:rFonts w:hint="eastAsia" w:ascii="宋体" w:hAnsi="宋体" w:eastAsia="宋体" w:cs="宋体"/>
          <w:b/>
          <w:bCs/>
          <w:color w:val="auto"/>
          <w:spacing w:val="-9"/>
          <w:sz w:val="24"/>
          <w:szCs w:val="24"/>
          <w:highlight w:val="none"/>
          <w:lang w:val="en-US" w:eastAsia="zh-CN"/>
        </w:rPr>
        <w:t>12.</w:t>
      </w:r>
      <w:r>
        <w:rPr>
          <w:rFonts w:hint="eastAsia" w:ascii="宋体" w:hAnsi="宋体" w:eastAsia="宋体" w:cs="宋体"/>
          <w:b/>
          <w:bCs/>
          <w:color w:val="auto"/>
          <w:spacing w:val="22"/>
          <w:w w:val="101"/>
          <w:sz w:val="24"/>
          <w:szCs w:val="24"/>
          <w:highlight w:val="none"/>
        </w:rPr>
        <w:t xml:space="preserve"> </w:t>
      </w:r>
      <w:bookmarkStart w:id="63" w:name="_Toc29834"/>
      <w:r>
        <w:rPr>
          <w:rFonts w:hint="eastAsia" w:ascii="宋体" w:hAnsi="宋体" w:eastAsia="宋体" w:cs="宋体"/>
          <w:b/>
          <w:bCs/>
          <w:color w:val="auto"/>
          <w:spacing w:val="-4"/>
          <w:sz w:val="24"/>
          <w:szCs w:val="24"/>
          <w:highlight w:val="none"/>
        </w:rPr>
        <w:t>电子投标及投标解密失败及突发情况的补救方案</w:t>
      </w:r>
      <w:bookmarkEnd w:id="62"/>
      <w:bookmarkEnd w:id="63"/>
    </w:p>
    <w:p w14:paraId="6462F20A">
      <w:pPr>
        <w:keepNext w:val="0"/>
        <w:keepLines w:val="0"/>
        <w:pageBreakBefore w:val="0"/>
        <w:widowControl/>
        <w:kinsoku w:val="0"/>
        <w:wordWrap/>
        <w:overflowPunct/>
        <w:topLinePunct w:val="0"/>
        <w:autoSpaceDE w:val="0"/>
        <w:autoSpaceDN w:val="0"/>
        <w:bidi w:val="0"/>
        <w:adjustRightInd w:val="0"/>
        <w:snapToGrid w:val="0"/>
        <w:spacing w:before="78" w:line="360" w:lineRule="auto"/>
        <w:ind w:firstLine="478"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12.1 </w:t>
      </w:r>
      <w:r>
        <w:rPr>
          <w:rFonts w:hint="eastAsia" w:ascii="宋体" w:hAnsi="宋体" w:eastAsia="宋体" w:cs="宋体"/>
          <w:color w:val="auto"/>
          <w:spacing w:val="-1"/>
          <w:sz w:val="24"/>
          <w:szCs w:val="24"/>
          <w:highlight w:val="none"/>
        </w:rPr>
        <w:t>按照交易平台关于全流程电子化项目的相</w:t>
      </w:r>
      <w:r>
        <w:rPr>
          <w:rFonts w:hint="eastAsia" w:ascii="宋体" w:hAnsi="宋体" w:eastAsia="宋体" w:cs="宋体"/>
          <w:color w:val="auto"/>
          <w:spacing w:val="-2"/>
          <w:sz w:val="24"/>
          <w:szCs w:val="24"/>
          <w:highlight w:val="none"/>
        </w:rPr>
        <w:t>关指南进行操作。详见：全国公共</w:t>
      </w:r>
      <w:r>
        <w:rPr>
          <w:rFonts w:hint="eastAsia" w:ascii="宋体" w:hAnsi="宋体" w:eastAsia="宋体" w:cs="宋体"/>
          <w:color w:val="auto"/>
          <w:spacing w:val="-1"/>
          <w:sz w:val="24"/>
          <w:szCs w:val="24"/>
          <w:highlight w:val="none"/>
        </w:rPr>
        <w:t>资源交易平台（广东省·韶关市</w:t>
      </w:r>
      <w:r>
        <w:rPr>
          <w:rFonts w:hint="eastAsia" w:ascii="宋体" w:hAnsi="宋体" w:eastAsia="宋体" w:cs="宋体"/>
          <w:color w:val="auto"/>
          <w:spacing w:val="-26"/>
          <w:sz w:val="24"/>
          <w:szCs w:val="24"/>
          <w:highlight w:val="none"/>
        </w:rPr>
        <w:t>）（</w:t>
      </w:r>
      <w:r>
        <w:rPr>
          <w:rFonts w:hint="eastAsia" w:ascii="宋体" w:hAnsi="宋体" w:eastAsia="宋体" w:cs="宋体"/>
          <w:color w:val="auto"/>
          <w:spacing w:val="-1"/>
          <w:sz w:val="24"/>
          <w:szCs w:val="24"/>
          <w:highlight w:val="none"/>
        </w:rPr>
        <w:t>https://y</w:t>
      </w:r>
      <w:r>
        <w:rPr>
          <w:rFonts w:hint="eastAsia" w:ascii="宋体" w:hAnsi="宋体" w:eastAsia="宋体" w:cs="宋体"/>
          <w:color w:val="auto"/>
          <w:spacing w:val="-2"/>
          <w:sz w:val="24"/>
          <w:szCs w:val="24"/>
          <w:highlight w:val="none"/>
        </w:rPr>
        <w:t>gp.gdzwfw.gov.cn/ggzy-portal/#/</w:t>
      </w:r>
      <w:r>
        <w:rPr>
          <w:rFonts w:hint="eastAsia" w:ascii="宋体" w:hAnsi="宋体" w:eastAsia="宋体" w:cs="宋体"/>
          <w:color w:val="auto"/>
          <w:spacing w:val="-2"/>
          <w:sz w:val="24"/>
          <w:szCs w:val="24"/>
          <w:highlight w:val="none"/>
          <w:lang w:eastAsia="zh-CN"/>
        </w:rPr>
        <w:t>440200</w:t>
      </w:r>
      <w:r>
        <w:rPr>
          <w:rFonts w:hint="eastAsia" w:ascii="宋体" w:hAnsi="宋体" w:eastAsia="宋体" w:cs="宋体"/>
          <w:color w:val="auto"/>
          <w:spacing w:val="-1"/>
          <w:sz w:val="24"/>
          <w:szCs w:val="24"/>
          <w:highlight w:val="none"/>
        </w:rPr>
        <w:t>/index）服务指南栏目发布的最新版操作指引。</w:t>
      </w:r>
    </w:p>
    <w:p w14:paraId="5443024B">
      <w:pPr>
        <w:spacing w:before="113"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补救方案：</w:t>
      </w:r>
    </w:p>
    <w:p w14:paraId="67019C1A">
      <w:pPr>
        <w:spacing w:before="115"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12.2.1  </w:t>
      </w:r>
      <w:r>
        <w:rPr>
          <w:rFonts w:hint="eastAsia" w:ascii="宋体" w:hAnsi="宋体" w:eastAsia="宋体" w:cs="宋体"/>
          <w:color w:val="auto"/>
          <w:spacing w:val="-1"/>
          <w:sz w:val="24"/>
          <w:szCs w:val="24"/>
          <w:highlight w:val="none"/>
        </w:rPr>
        <w:t>投标文件解密失败的补救方案：</w:t>
      </w:r>
    </w:p>
    <w:p w14:paraId="1EDCE6E7">
      <w:pPr>
        <w:spacing w:before="115" w:line="298" w:lineRule="auto"/>
        <w:ind w:right="81"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在规定时间内，因投标人之外</w:t>
      </w:r>
      <w:r>
        <w:rPr>
          <w:rFonts w:hint="eastAsia" w:ascii="宋体" w:hAnsi="宋体" w:eastAsia="宋体" w:cs="宋体"/>
          <w:color w:val="auto"/>
          <w:spacing w:val="2"/>
          <w:sz w:val="24"/>
          <w:szCs w:val="24"/>
          <w:highlight w:val="none"/>
          <w:lang w:eastAsia="zh-CN"/>
        </w:rPr>
        <w:t>的原因（</w:t>
      </w:r>
      <w:r>
        <w:rPr>
          <w:rFonts w:hint="eastAsia" w:ascii="宋体" w:hAnsi="宋体" w:eastAsia="宋体" w:cs="宋体"/>
          <w:color w:val="auto"/>
          <w:spacing w:val="2"/>
          <w:sz w:val="24"/>
          <w:szCs w:val="24"/>
          <w:highlight w:val="none"/>
        </w:rPr>
        <w:t>指网络瘫痪、服务器损坏、交易系统故障短期无法恢复</w:t>
      </w:r>
      <w:r>
        <w:rPr>
          <w:rFonts w:hint="eastAsia" w:ascii="宋体" w:hAnsi="宋体" w:eastAsia="宋体" w:cs="宋体"/>
          <w:color w:val="auto"/>
          <w:spacing w:val="2"/>
          <w:sz w:val="24"/>
          <w:szCs w:val="24"/>
          <w:highlight w:val="none"/>
          <w:lang w:eastAsia="zh-CN"/>
        </w:rPr>
        <w:t>等）</w:t>
      </w:r>
      <w:r>
        <w:rPr>
          <w:rFonts w:hint="eastAsia" w:ascii="宋体" w:hAnsi="宋体" w:eastAsia="宋体" w:cs="宋体"/>
          <w:color w:val="auto"/>
          <w:spacing w:val="2"/>
          <w:sz w:val="24"/>
          <w:szCs w:val="24"/>
          <w:highlight w:val="none"/>
        </w:rPr>
        <w:t>导致的电子投标文件解密失败，在开标现场解密环节由代理</w:t>
      </w:r>
      <w:r>
        <w:rPr>
          <w:rFonts w:hint="eastAsia" w:ascii="宋体" w:hAnsi="宋体" w:eastAsia="宋体" w:cs="宋体"/>
          <w:color w:val="auto"/>
          <w:spacing w:val="2"/>
          <w:sz w:val="24"/>
          <w:szCs w:val="24"/>
          <w:highlight w:val="none"/>
          <w:lang w:eastAsia="zh-CN"/>
        </w:rPr>
        <w:t>机构授权</w:t>
      </w:r>
      <w:r>
        <w:rPr>
          <w:rFonts w:hint="eastAsia" w:ascii="宋体" w:hAnsi="宋体" w:eastAsia="宋体" w:cs="宋体"/>
          <w:color w:val="auto"/>
          <w:spacing w:val="2"/>
          <w:sz w:val="24"/>
          <w:szCs w:val="24"/>
          <w:highlight w:val="none"/>
        </w:rPr>
        <w:t>后，</w:t>
      </w:r>
      <w:r>
        <w:rPr>
          <w:rFonts w:hint="eastAsia" w:ascii="宋体" w:hAnsi="宋体" w:eastAsia="宋体" w:cs="宋体"/>
          <w:color w:val="auto"/>
          <w:spacing w:val="1"/>
          <w:sz w:val="24"/>
          <w:szCs w:val="24"/>
          <w:highlight w:val="none"/>
        </w:rPr>
        <w:t>解密失败</w:t>
      </w:r>
      <w:r>
        <w:rPr>
          <w:rFonts w:hint="eastAsia" w:ascii="宋体" w:hAnsi="宋体" w:eastAsia="宋体" w:cs="宋体"/>
          <w:color w:val="auto"/>
          <w:spacing w:val="1"/>
          <w:sz w:val="24"/>
          <w:szCs w:val="24"/>
          <w:highlight w:val="none"/>
          <w:lang w:eastAsia="zh-CN"/>
        </w:rPr>
        <w:t>的</w:t>
      </w:r>
      <w:r>
        <w:rPr>
          <w:rFonts w:hint="eastAsia" w:ascii="宋体" w:hAnsi="宋体" w:eastAsia="宋体" w:cs="宋体"/>
          <w:color w:val="auto"/>
          <w:spacing w:val="1"/>
          <w:sz w:val="24"/>
          <w:szCs w:val="24"/>
          <w:highlight w:val="none"/>
        </w:rPr>
        <w:t>投标人可在建设工程交易系统规定时间（代理机构授权后</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1"/>
          <w:sz w:val="24"/>
          <w:szCs w:val="24"/>
          <w:highlight w:val="none"/>
        </w:rPr>
        <w:t>30</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1"/>
          <w:sz w:val="24"/>
          <w:szCs w:val="24"/>
          <w:highlight w:val="none"/>
        </w:rPr>
        <w:t>分钟内）内</w:t>
      </w:r>
      <w:bookmarkStart w:id="64" w:name="bookmark122"/>
      <w:bookmarkEnd w:id="64"/>
      <w:r>
        <w:rPr>
          <w:rFonts w:hint="eastAsia" w:ascii="宋体" w:hAnsi="宋体" w:eastAsia="宋体" w:cs="宋体"/>
          <w:color w:val="auto"/>
          <w:spacing w:val="-1"/>
          <w:sz w:val="24"/>
          <w:szCs w:val="24"/>
          <w:highlight w:val="none"/>
        </w:rPr>
        <w:t>重新提交投标文件</w:t>
      </w:r>
      <w:r>
        <w:rPr>
          <w:rFonts w:hint="eastAsia" w:ascii="宋体" w:hAnsi="宋体" w:eastAsia="宋体" w:cs="宋体"/>
          <w:color w:val="auto"/>
          <w:spacing w:val="-1"/>
          <w:sz w:val="24"/>
          <w:szCs w:val="24"/>
          <w:highlight w:val="none"/>
          <w:lang w:eastAsia="zh-CN"/>
        </w:rPr>
        <w:t>，继续</w:t>
      </w:r>
      <w:r>
        <w:rPr>
          <w:rFonts w:hint="eastAsia" w:ascii="宋体" w:hAnsi="宋体" w:eastAsia="宋体" w:cs="宋体"/>
          <w:color w:val="auto"/>
          <w:spacing w:val="-1"/>
          <w:sz w:val="24"/>
          <w:szCs w:val="24"/>
          <w:highlight w:val="none"/>
        </w:rPr>
        <w:t>开标程序。</w:t>
      </w:r>
    </w:p>
    <w:p w14:paraId="6A128606">
      <w:pPr>
        <w:spacing w:before="114"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12.2.2  </w:t>
      </w:r>
      <w:r>
        <w:rPr>
          <w:rFonts w:hint="eastAsia" w:ascii="宋体" w:hAnsi="宋体" w:eastAsia="宋体" w:cs="宋体"/>
          <w:color w:val="auto"/>
          <w:spacing w:val="-1"/>
          <w:sz w:val="24"/>
          <w:szCs w:val="24"/>
          <w:highlight w:val="none"/>
        </w:rPr>
        <w:t>评标时突发情况的补救</w:t>
      </w:r>
      <w:r>
        <w:rPr>
          <w:rFonts w:hint="eastAsia" w:ascii="宋体" w:hAnsi="宋体" w:eastAsia="宋体" w:cs="宋体"/>
          <w:color w:val="auto"/>
          <w:spacing w:val="-1"/>
          <w:sz w:val="24"/>
          <w:szCs w:val="24"/>
          <w:highlight w:val="none"/>
          <w:lang w:eastAsia="zh-CN"/>
        </w:rPr>
        <w:t>方案：</w:t>
      </w:r>
    </w:p>
    <w:p w14:paraId="389EEFFD">
      <w:pPr>
        <w:spacing w:before="114" w:line="303" w:lineRule="auto"/>
        <w:ind w:right="81" w:firstLine="47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在评标过程中，因主场或副场网络故障、电子设备</w:t>
      </w:r>
      <w:r>
        <w:rPr>
          <w:rFonts w:hint="eastAsia" w:ascii="宋体" w:hAnsi="宋体" w:eastAsia="宋体" w:cs="宋体"/>
          <w:color w:val="auto"/>
          <w:spacing w:val="-1"/>
          <w:sz w:val="24"/>
          <w:szCs w:val="24"/>
          <w:highlight w:val="none"/>
          <w:lang w:eastAsia="zh-CN"/>
        </w:rPr>
        <w:t>故障或者</w:t>
      </w:r>
      <w:r>
        <w:rPr>
          <w:rFonts w:hint="eastAsia" w:ascii="宋体" w:hAnsi="宋体" w:eastAsia="宋体" w:cs="宋体"/>
          <w:color w:val="auto"/>
          <w:spacing w:val="-2"/>
          <w:sz w:val="24"/>
          <w:szCs w:val="24"/>
          <w:highlight w:val="none"/>
        </w:rPr>
        <w:t>评标系统故障，以及其他</w:t>
      </w:r>
      <w:r>
        <w:rPr>
          <w:rFonts w:hint="eastAsia" w:ascii="宋体" w:hAnsi="宋体" w:eastAsia="宋体" w:cs="宋体"/>
          <w:color w:val="auto"/>
          <w:spacing w:val="-3"/>
          <w:sz w:val="24"/>
          <w:szCs w:val="24"/>
          <w:highlight w:val="none"/>
        </w:rPr>
        <w:t>原因导致无法继续进行评标时，在</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小时以内解除故障的可继续评标</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超过</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小时无</w:t>
      </w:r>
      <w:r>
        <w:rPr>
          <w:rFonts w:hint="eastAsia" w:ascii="宋体" w:hAnsi="宋体" w:eastAsia="宋体" w:cs="宋体"/>
          <w:color w:val="auto"/>
          <w:spacing w:val="-1"/>
          <w:sz w:val="24"/>
          <w:szCs w:val="24"/>
          <w:highlight w:val="none"/>
        </w:rPr>
        <w:t>法解除故障的，由招标人确定是否进行评标。如延期评标，</w:t>
      </w:r>
      <w:r>
        <w:rPr>
          <w:rFonts w:hint="eastAsia" w:ascii="宋体" w:hAnsi="宋体" w:eastAsia="宋体" w:cs="宋体"/>
          <w:color w:val="auto"/>
          <w:spacing w:val="-2"/>
          <w:sz w:val="24"/>
          <w:szCs w:val="24"/>
          <w:highlight w:val="none"/>
        </w:rPr>
        <w:t>招标人及参与评标活动的</w:t>
      </w:r>
      <w:r>
        <w:rPr>
          <w:rFonts w:hint="eastAsia" w:ascii="宋体" w:hAnsi="宋体" w:eastAsia="宋体" w:cs="宋体"/>
          <w:color w:val="auto"/>
          <w:spacing w:val="-1"/>
          <w:sz w:val="24"/>
          <w:szCs w:val="24"/>
          <w:highlight w:val="none"/>
        </w:rPr>
        <w:t>各方主体及其有关工作人员应当配合主场、副场做好招投标</w:t>
      </w:r>
      <w:r>
        <w:rPr>
          <w:rFonts w:hint="eastAsia" w:ascii="宋体" w:hAnsi="宋体" w:eastAsia="宋体" w:cs="宋体"/>
          <w:color w:val="auto"/>
          <w:spacing w:val="-2"/>
          <w:sz w:val="24"/>
          <w:szCs w:val="24"/>
          <w:highlight w:val="none"/>
        </w:rPr>
        <w:t>资料的封存和保密工作，</w:t>
      </w:r>
      <w:r>
        <w:rPr>
          <w:rFonts w:hint="eastAsia" w:ascii="宋体" w:hAnsi="宋体" w:eastAsia="宋体" w:cs="宋体"/>
          <w:color w:val="auto"/>
          <w:spacing w:val="-1"/>
          <w:sz w:val="24"/>
          <w:szCs w:val="24"/>
          <w:highlight w:val="none"/>
        </w:rPr>
        <w:t>另行组建评标委员会重新评标。原评标委员会成员应当对评</w:t>
      </w:r>
      <w:r>
        <w:rPr>
          <w:rFonts w:hint="eastAsia" w:ascii="宋体" w:hAnsi="宋体" w:eastAsia="宋体" w:cs="宋体"/>
          <w:color w:val="auto"/>
          <w:spacing w:val="-2"/>
          <w:sz w:val="24"/>
          <w:szCs w:val="24"/>
          <w:highlight w:val="none"/>
        </w:rPr>
        <w:t>标情况保密，不得对外透</w:t>
      </w:r>
      <w:r>
        <w:rPr>
          <w:rFonts w:hint="eastAsia" w:ascii="宋体" w:hAnsi="宋体" w:eastAsia="宋体" w:cs="宋体"/>
          <w:color w:val="auto"/>
          <w:spacing w:val="-1"/>
          <w:sz w:val="24"/>
          <w:szCs w:val="24"/>
          <w:highlight w:val="none"/>
        </w:rPr>
        <w:t>露与评标有关的任何信息与情况。</w:t>
      </w:r>
    </w:p>
    <w:p w14:paraId="432398B9">
      <w:pPr>
        <w:spacing w:before="69" w:line="324" w:lineRule="auto"/>
        <w:ind w:left="11" w:right="81" w:firstLine="484"/>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12.2.3  </w:t>
      </w:r>
      <w:r>
        <w:rPr>
          <w:rFonts w:hint="eastAsia" w:ascii="宋体" w:hAnsi="宋体" w:eastAsia="宋体" w:cs="宋体"/>
          <w:color w:val="auto"/>
          <w:spacing w:val="-1"/>
          <w:sz w:val="24"/>
          <w:szCs w:val="24"/>
          <w:highlight w:val="none"/>
        </w:rPr>
        <w:t>除发生上述情况外，开标评标均以投标人（联合体投标的，由联合体牵头人）通过交易平台网上递交的电子投标文件为准。</w:t>
      </w:r>
    </w:p>
    <w:p w14:paraId="4746E39E">
      <w:pPr>
        <w:spacing w:before="78" w:line="220" w:lineRule="auto"/>
        <w:ind w:left="496"/>
        <w:outlineLvl w:val="2"/>
        <w:rPr>
          <w:rFonts w:hint="eastAsia" w:ascii="宋体" w:hAnsi="宋体" w:eastAsia="宋体" w:cs="宋体"/>
          <w:color w:val="auto"/>
          <w:sz w:val="24"/>
          <w:szCs w:val="24"/>
          <w:highlight w:val="none"/>
        </w:rPr>
      </w:pPr>
      <w:bookmarkStart w:id="65" w:name="_Toc27195"/>
      <w:bookmarkStart w:id="66" w:name="_Toc16412"/>
      <w:r>
        <w:rPr>
          <w:rFonts w:hint="eastAsia" w:ascii="宋体" w:hAnsi="宋体" w:eastAsia="宋体" w:cs="宋体"/>
          <w:b/>
          <w:bCs/>
          <w:color w:val="auto"/>
          <w:spacing w:val="-7"/>
          <w:sz w:val="24"/>
          <w:szCs w:val="24"/>
          <w:highlight w:val="none"/>
        </w:rPr>
        <w:t>13</w:t>
      </w:r>
      <w:r>
        <w:rPr>
          <w:rFonts w:hint="eastAsia" w:ascii="宋体" w:hAnsi="宋体" w:eastAsia="宋体" w:cs="宋体"/>
          <w:b/>
          <w:bCs/>
          <w:color w:val="auto"/>
          <w:spacing w:val="-7"/>
          <w:sz w:val="24"/>
          <w:szCs w:val="24"/>
          <w:highlight w:val="none"/>
          <w:lang w:eastAsia="zh-CN"/>
        </w:rPr>
        <w:t xml:space="preserve">. </w:t>
      </w:r>
      <w:r>
        <w:rPr>
          <w:rFonts w:hint="eastAsia" w:ascii="宋体" w:hAnsi="宋体" w:eastAsia="宋体" w:cs="宋体"/>
          <w:b/>
          <w:bCs/>
          <w:color w:val="auto"/>
          <w:spacing w:val="-7"/>
          <w:sz w:val="24"/>
          <w:szCs w:val="24"/>
          <w:highlight w:val="none"/>
        </w:rPr>
        <w:t>投标文件的提交</w:t>
      </w:r>
      <w:bookmarkEnd w:id="65"/>
      <w:bookmarkEnd w:id="66"/>
    </w:p>
    <w:p w14:paraId="63ACB3FA">
      <w:pPr>
        <w:spacing w:before="123" w:line="278" w:lineRule="auto"/>
        <w:ind w:left="13" w:right="81"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 xml:space="preserve">13.1  </w:t>
      </w:r>
      <w:r>
        <w:rPr>
          <w:rFonts w:hint="eastAsia" w:ascii="宋体" w:hAnsi="宋体" w:eastAsia="宋体" w:cs="宋体"/>
          <w:color w:val="auto"/>
          <w:spacing w:val="-11"/>
          <w:sz w:val="24"/>
          <w:szCs w:val="24"/>
          <w:highlight w:val="none"/>
        </w:rPr>
        <w:t>在投标文件提交截止时间前，投标人通过全国公共资源交易平台（</w:t>
      </w:r>
      <w:r>
        <w:rPr>
          <w:rFonts w:hint="eastAsia" w:ascii="宋体" w:hAnsi="宋体" w:eastAsia="宋体" w:cs="宋体"/>
          <w:color w:val="auto"/>
          <w:spacing w:val="-12"/>
          <w:sz w:val="24"/>
          <w:szCs w:val="24"/>
          <w:highlight w:val="none"/>
        </w:rPr>
        <w:t>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2"/>
          <w:sz w:val="24"/>
          <w:szCs w:val="24"/>
          <w:highlight w:val="none"/>
        </w:rPr>
        <w:t>·韶</w:t>
      </w:r>
      <w:r>
        <w:rPr>
          <w:rFonts w:hint="eastAsia" w:ascii="宋体" w:hAnsi="宋体" w:eastAsia="宋体" w:cs="宋体"/>
          <w:color w:val="auto"/>
          <w:spacing w:val="-1"/>
          <w:sz w:val="24"/>
          <w:szCs w:val="24"/>
          <w:highlight w:val="none"/>
        </w:rPr>
        <w:t>关市）提交已加密投标文件。逾期提交的电子投标文</w:t>
      </w:r>
      <w:r>
        <w:rPr>
          <w:rFonts w:hint="eastAsia" w:ascii="宋体" w:hAnsi="宋体" w:eastAsia="宋体" w:cs="宋体"/>
          <w:color w:val="auto"/>
          <w:spacing w:val="-2"/>
          <w:sz w:val="24"/>
          <w:szCs w:val="24"/>
          <w:highlight w:val="none"/>
        </w:rPr>
        <w:t>件，全国公共资源交易平台（广</w:t>
      </w:r>
      <w:r>
        <w:rPr>
          <w:rFonts w:hint="eastAsia" w:ascii="宋体" w:hAnsi="宋体" w:eastAsia="宋体" w:cs="宋体"/>
          <w:color w:val="auto"/>
          <w:spacing w:val="-9"/>
          <w:sz w:val="24"/>
          <w:szCs w:val="24"/>
          <w:highlight w:val="none"/>
        </w:rPr>
        <w:t>东省</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9"/>
          <w:sz w:val="24"/>
          <w:szCs w:val="24"/>
          <w:highlight w:val="none"/>
        </w:rPr>
        <w:t>·韶关市）将予以拒收。</w:t>
      </w:r>
    </w:p>
    <w:p w14:paraId="6051D660">
      <w:pPr>
        <w:spacing w:before="115"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13.2  </w:t>
      </w:r>
      <w:r>
        <w:rPr>
          <w:rFonts w:hint="eastAsia" w:ascii="宋体" w:hAnsi="宋体" w:eastAsia="宋体" w:cs="宋体"/>
          <w:color w:val="auto"/>
          <w:spacing w:val="2"/>
          <w:sz w:val="24"/>
          <w:szCs w:val="24"/>
          <w:highlight w:val="none"/>
        </w:rPr>
        <w:t>提交时间和地点：见本章第二节“重要事项时间地点一览表</w:t>
      </w:r>
      <w:r>
        <w:rPr>
          <w:rFonts w:hint="eastAsia" w:ascii="宋体" w:hAnsi="宋体" w:eastAsia="宋体" w:cs="宋体"/>
          <w:color w:val="auto"/>
          <w:spacing w:val="-88"/>
          <w:sz w:val="24"/>
          <w:szCs w:val="24"/>
          <w:highlight w:val="none"/>
          <w:lang w:eastAsia="zh-CN"/>
        </w:rPr>
        <w:t>”。</w:t>
      </w:r>
    </w:p>
    <w:p w14:paraId="00486459">
      <w:pPr>
        <w:spacing w:before="113" w:line="279" w:lineRule="auto"/>
        <w:ind w:left="9" w:right="24"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13.3  </w:t>
      </w:r>
      <w:r>
        <w:rPr>
          <w:rFonts w:hint="eastAsia" w:ascii="宋体" w:hAnsi="宋体" w:eastAsia="宋体" w:cs="宋体"/>
          <w:color w:val="auto"/>
          <w:spacing w:val="-1"/>
          <w:sz w:val="24"/>
          <w:szCs w:val="24"/>
          <w:highlight w:val="none"/>
        </w:rPr>
        <w:t>递交时间和地点：投标人如有招标</w:t>
      </w:r>
      <w:r>
        <w:rPr>
          <w:rFonts w:hint="eastAsia" w:ascii="宋体" w:hAnsi="宋体" w:eastAsia="宋体" w:cs="宋体"/>
          <w:color w:val="auto"/>
          <w:spacing w:val="-2"/>
          <w:sz w:val="24"/>
          <w:szCs w:val="24"/>
          <w:highlight w:val="none"/>
        </w:rPr>
        <w:t>文件要求提交的用于评审的证书、证件、证明原件（附一式两份清单</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11"/>
          <w:sz w:val="24"/>
          <w:szCs w:val="24"/>
          <w:highlight w:val="none"/>
          <w:lang w:eastAsia="zh-CN"/>
        </w:rPr>
        <w:t>由</w:t>
      </w:r>
      <w:r>
        <w:rPr>
          <w:rFonts w:hint="eastAsia" w:ascii="宋体" w:hAnsi="宋体" w:eastAsia="宋体" w:cs="宋体"/>
          <w:color w:val="auto"/>
          <w:spacing w:val="-2"/>
          <w:sz w:val="24"/>
          <w:szCs w:val="24"/>
          <w:highlight w:val="none"/>
        </w:rPr>
        <w:t>投标人法定代表人或其委托代理人在指定的时间和</w:t>
      </w:r>
      <w:r>
        <w:rPr>
          <w:rFonts w:hint="eastAsia" w:ascii="宋体" w:hAnsi="宋体" w:eastAsia="宋体" w:cs="宋体"/>
          <w:color w:val="auto"/>
          <w:spacing w:val="-1"/>
          <w:sz w:val="24"/>
          <w:szCs w:val="24"/>
          <w:highlight w:val="none"/>
        </w:rPr>
        <w:t>地点递交（见“重要事项时间地点一览表”</w:t>
      </w:r>
      <w:r>
        <w:rPr>
          <w:rFonts w:hint="eastAsia" w:ascii="宋体" w:hAnsi="宋体" w:eastAsia="宋体" w:cs="宋体"/>
          <w:color w:val="auto"/>
          <w:spacing w:val="-2"/>
          <w:sz w:val="24"/>
          <w:szCs w:val="24"/>
          <w:highlight w:val="none"/>
        </w:rPr>
        <w:t>）。</w:t>
      </w:r>
    </w:p>
    <w:p w14:paraId="3B37374D">
      <w:pPr>
        <w:spacing w:before="112" w:line="219" w:lineRule="auto"/>
        <w:ind w:firstLine="478"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13.4  </w:t>
      </w:r>
      <w:r>
        <w:rPr>
          <w:rFonts w:hint="eastAsia" w:ascii="宋体" w:hAnsi="宋体" w:eastAsia="宋体" w:cs="宋体"/>
          <w:color w:val="auto"/>
          <w:spacing w:val="-1"/>
          <w:sz w:val="24"/>
          <w:szCs w:val="24"/>
          <w:highlight w:val="none"/>
        </w:rPr>
        <w:t>代理机构对因不可抗力事件造成的投</w:t>
      </w:r>
      <w:r>
        <w:rPr>
          <w:rFonts w:hint="eastAsia" w:ascii="宋体" w:hAnsi="宋体" w:eastAsia="宋体" w:cs="宋体"/>
          <w:color w:val="auto"/>
          <w:spacing w:val="-2"/>
          <w:sz w:val="24"/>
          <w:szCs w:val="24"/>
          <w:highlight w:val="none"/>
        </w:rPr>
        <w:t>标文件的损坏、丢失的，不承担责任。</w:t>
      </w:r>
    </w:p>
    <w:p w14:paraId="4AB75F24">
      <w:pPr>
        <w:spacing w:before="116"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13.5</w:t>
      </w:r>
      <w:r>
        <w:rPr>
          <w:rFonts w:hint="eastAsia" w:ascii="宋体" w:hAnsi="宋体" w:eastAsia="宋体" w:cs="宋体"/>
          <w:b/>
          <w:bCs/>
          <w:color w:val="auto"/>
          <w:spacing w:val="15"/>
          <w:sz w:val="24"/>
          <w:szCs w:val="24"/>
          <w:highlight w:val="none"/>
        </w:rPr>
        <w:t xml:space="preserve">  </w:t>
      </w:r>
      <w:r>
        <w:rPr>
          <w:rFonts w:hint="eastAsia" w:ascii="宋体" w:hAnsi="宋体" w:eastAsia="宋体" w:cs="宋体"/>
          <w:color w:val="auto"/>
          <w:spacing w:val="-1"/>
          <w:sz w:val="24"/>
          <w:szCs w:val="24"/>
          <w:highlight w:val="none"/>
        </w:rPr>
        <w:t>出现下述情形之一</w:t>
      </w:r>
      <w:r>
        <w:rPr>
          <w:rFonts w:hint="eastAsia" w:ascii="宋体" w:hAnsi="宋体" w:eastAsia="宋体" w:cs="宋体"/>
          <w:color w:val="auto"/>
          <w:spacing w:val="-1"/>
          <w:sz w:val="24"/>
          <w:szCs w:val="24"/>
          <w:highlight w:val="none"/>
          <w:lang w:eastAsia="zh-CN"/>
        </w:rPr>
        <w:t>的，</w:t>
      </w:r>
      <w:r>
        <w:rPr>
          <w:rFonts w:hint="eastAsia" w:ascii="宋体" w:hAnsi="宋体" w:eastAsia="宋体" w:cs="宋体"/>
          <w:color w:val="auto"/>
          <w:spacing w:val="-1"/>
          <w:sz w:val="24"/>
          <w:szCs w:val="24"/>
          <w:highlight w:val="none"/>
        </w:rPr>
        <w:t>属于未成功提</w:t>
      </w:r>
      <w:r>
        <w:rPr>
          <w:rFonts w:hint="eastAsia" w:ascii="宋体" w:hAnsi="宋体" w:eastAsia="宋体" w:cs="宋体"/>
          <w:color w:val="auto"/>
          <w:spacing w:val="-2"/>
          <w:sz w:val="24"/>
          <w:szCs w:val="24"/>
          <w:highlight w:val="none"/>
        </w:rPr>
        <w:t>交投标文件，按无效投标处理：</w:t>
      </w:r>
    </w:p>
    <w:p w14:paraId="7078EE47">
      <w:pPr>
        <w:spacing w:before="115" w:line="219"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（1）至提交投标文件截止时，投标文件未完整上传</w:t>
      </w:r>
      <w:r>
        <w:rPr>
          <w:rFonts w:hint="eastAsia" w:ascii="宋体" w:hAnsi="宋体" w:eastAsia="宋体" w:cs="宋体"/>
          <w:color w:val="auto"/>
          <w:spacing w:val="-1"/>
          <w:sz w:val="24"/>
          <w:szCs w:val="24"/>
          <w:highlight w:val="none"/>
          <w:lang w:eastAsia="zh-CN"/>
        </w:rPr>
        <w:t>并</w:t>
      </w:r>
      <w:r>
        <w:rPr>
          <w:rFonts w:hint="eastAsia" w:ascii="宋体" w:hAnsi="宋体" w:eastAsia="宋体" w:cs="宋体"/>
          <w:color w:val="auto"/>
          <w:spacing w:val="-1"/>
          <w:sz w:val="24"/>
          <w:szCs w:val="24"/>
          <w:highlight w:val="none"/>
        </w:rPr>
        <w:t>提交标书；</w:t>
      </w:r>
    </w:p>
    <w:p w14:paraId="182F51BA">
      <w:pPr>
        <w:spacing w:before="114" w:line="220"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（2）解密失败且在规定时间内未重新提交投标文件的；</w:t>
      </w:r>
    </w:p>
    <w:p w14:paraId="42D26110">
      <w:pPr>
        <w:spacing w:before="115" w:line="220"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（3）投标文件损坏或格式不正确的；</w:t>
      </w:r>
    </w:p>
    <w:p w14:paraId="375241E2">
      <w:pPr>
        <w:spacing w:before="115"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13.6  </w:t>
      </w:r>
      <w:r>
        <w:rPr>
          <w:rFonts w:hint="eastAsia" w:ascii="宋体" w:hAnsi="宋体" w:eastAsia="宋体" w:cs="宋体"/>
          <w:color w:val="auto"/>
          <w:spacing w:val="-1"/>
          <w:sz w:val="24"/>
          <w:szCs w:val="24"/>
          <w:highlight w:val="none"/>
        </w:rPr>
        <w:t>联合体投标的，由联合体牵头人按以上要求递交相关资料。</w:t>
      </w:r>
    </w:p>
    <w:p w14:paraId="3A0B8A8C">
      <w:pPr>
        <w:spacing w:before="113" w:line="279" w:lineRule="auto"/>
        <w:ind w:left="9" w:right="24" w:firstLine="48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13.7  </w:t>
      </w:r>
      <w:r>
        <w:rPr>
          <w:rFonts w:hint="eastAsia" w:ascii="宋体" w:hAnsi="宋体" w:eastAsia="宋体" w:cs="宋体"/>
          <w:color w:val="auto"/>
          <w:spacing w:val="-2"/>
          <w:sz w:val="24"/>
          <w:szCs w:val="24"/>
          <w:highlight w:val="none"/>
        </w:rPr>
        <w:t>招标人或其授权的招标代理机构核对、接收投标人递交的投标相关资料后，</w:t>
      </w:r>
      <w:r>
        <w:rPr>
          <w:rFonts w:hint="eastAsia" w:ascii="宋体" w:hAnsi="宋体" w:eastAsia="宋体" w:cs="宋体"/>
          <w:color w:val="auto"/>
          <w:spacing w:val="-1"/>
          <w:sz w:val="24"/>
          <w:szCs w:val="24"/>
          <w:highlight w:val="none"/>
        </w:rPr>
        <w:t>应向投标人出具标明签收</w:t>
      </w:r>
      <w:r>
        <w:rPr>
          <w:rFonts w:hint="eastAsia" w:ascii="宋体" w:hAnsi="宋体" w:eastAsia="宋体" w:cs="宋体"/>
          <w:color w:val="auto"/>
          <w:spacing w:val="-2"/>
          <w:sz w:val="24"/>
          <w:szCs w:val="24"/>
          <w:highlight w:val="none"/>
        </w:rPr>
        <w:t>人和签收时间的凭证，并妥善保管。</w:t>
      </w:r>
    </w:p>
    <w:p w14:paraId="4E2CDC3E">
      <w:pPr>
        <w:spacing w:before="113" w:line="279" w:lineRule="auto"/>
        <w:ind w:left="9" w:right="24"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13.8 </w:t>
      </w:r>
      <w:r>
        <w:rPr>
          <w:rFonts w:hint="eastAsia" w:ascii="宋体" w:hAnsi="宋体" w:eastAsia="宋体" w:cs="宋体"/>
          <w:color w:val="auto"/>
          <w:spacing w:val="-2"/>
          <w:sz w:val="24"/>
          <w:szCs w:val="24"/>
          <w:highlight w:val="none"/>
        </w:rPr>
        <w:t xml:space="preserve"> 本次招标投标有效期为</w:t>
      </w:r>
      <w:r>
        <w:rPr>
          <w:rFonts w:hint="eastAsia" w:ascii="宋体" w:hAnsi="宋体" w:eastAsia="宋体" w:cs="宋体"/>
          <w:color w:val="auto"/>
          <w:spacing w:val="-2"/>
          <w:sz w:val="24"/>
          <w:szCs w:val="24"/>
          <w:highlight w:val="none"/>
          <w:u w:val="single"/>
          <w:lang w:eastAsia="zh-CN"/>
        </w:rPr>
        <w:t>90</w:t>
      </w:r>
      <w:r>
        <w:rPr>
          <w:rFonts w:hint="eastAsia" w:ascii="宋体" w:hAnsi="宋体" w:eastAsia="宋体" w:cs="宋体"/>
          <w:color w:val="auto"/>
          <w:spacing w:val="-2"/>
          <w:sz w:val="24"/>
          <w:szCs w:val="24"/>
          <w:highlight w:val="none"/>
        </w:rPr>
        <w:t>个日历天</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投标有效期从提交投标文件的截止之日起计算。在此期间，投标人不得撤销或修改其</w:t>
      </w:r>
      <w:r>
        <w:rPr>
          <w:rFonts w:hint="eastAsia" w:ascii="宋体" w:hAnsi="宋体" w:eastAsia="宋体" w:cs="宋体"/>
          <w:color w:val="auto"/>
          <w:spacing w:val="-7"/>
          <w:sz w:val="24"/>
          <w:szCs w:val="24"/>
          <w:highlight w:val="none"/>
        </w:rPr>
        <w:t>投标文件，否则其投标保证不予退还。</w:t>
      </w:r>
    </w:p>
    <w:p w14:paraId="2A2F821B">
      <w:pPr>
        <w:spacing w:before="145" w:line="221" w:lineRule="auto"/>
        <w:ind w:left="496"/>
        <w:outlineLvl w:val="2"/>
        <w:rPr>
          <w:rFonts w:hint="eastAsia" w:ascii="宋体" w:hAnsi="宋体" w:eastAsia="宋体" w:cs="宋体"/>
          <w:color w:val="auto"/>
          <w:sz w:val="24"/>
          <w:szCs w:val="24"/>
          <w:highlight w:val="none"/>
        </w:rPr>
      </w:pPr>
      <w:bookmarkStart w:id="67" w:name="_Toc22047"/>
      <w:bookmarkStart w:id="68" w:name="_Toc13007"/>
      <w:r>
        <w:rPr>
          <w:rFonts w:hint="eastAsia" w:ascii="宋体" w:hAnsi="宋体" w:eastAsia="宋体" w:cs="宋体"/>
          <w:b/>
          <w:bCs/>
          <w:color w:val="auto"/>
          <w:spacing w:val="-11"/>
          <w:sz w:val="24"/>
          <w:szCs w:val="24"/>
          <w:highlight w:val="none"/>
        </w:rPr>
        <w:t>14</w:t>
      </w:r>
      <w:r>
        <w:rPr>
          <w:rFonts w:hint="eastAsia" w:ascii="宋体" w:hAnsi="宋体" w:eastAsia="宋体" w:cs="宋体"/>
          <w:b/>
          <w:bCs/>
          <w:color w:val="auto"/>
          <w:spacing w:val="-11"/>
          <w:sz w:val="24"/>
          <w:szCs w:val="24"/>
          <w:highlight w:val="none"/>
          <w:lang w:eastAsia="zh-CN"/>
        </w:rPr>
        <w:t xml:space="preserve">. </w:t>
      </w:r>
      <w:r>
        <w:rPr>
          <w:rFonts w:hint="eastAsia" w:ascii="宋体" w:hAnsi="宋体" w:eastAsia="宋体" w:cs="宋体"/>
          <w:b/>
          <w:bCs/>
          <w:color w:val="auto"/>
          <w:spacing w:val="-11"/>
          <w:sz w:val="24"/>
          <w:szCs w:val="24"/>
          <w:highlight w:val="none"/>
        </w:rPr>
        <w:t>开标</w:t>
      </w:r>
      <w:bookmarkEnd w:id="67"/>
      <w:bookmarkEnd w:id="68"/>
    </w:p>
    <w:p w14:paraId="792BE085">
      <w:pPr>
        <w:spacing w:before="155" w:line="329" w:lineRule="auto"/>
        <w:ind w:left="10" w:right="81" w:firstLine="485"/>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14.1  </w:t>
      </w:r>
      <w:r>
        <w:rPr>
          <w:rFonts w:hint="eastAsia" w:ascii="宋体" w:hAnsi="宋体" w:eastAsia="宋体" w:cs="宋体"/>
          <w:color w:val="auto"/>
          <w:spacing w:val="-3"/>
          <w:sz w:val="24"/>
          <w:szCs w:val="24"/>
          <w:highlight w:val="none"/>
        </w:rPr>
        <w:t>招标人邀请所有正确获取招标文件、电子投标、缴纳投标保证的投标人参加</w:t>
      </w:r>
      <w:r>
        <w:rPr>
          <w:rFonts w:hint="eastAsia" w:ascii="宋体" w:hAnsi="宋体" w:eastAsia="宋体" w:cs="宋体"/>
          <w:color w:val="auto"/>
          <w:spacing w:val="-1"/>
          <w:sz w:val="24"/>
          <w:szCs w:val="24"/>
          <w:highlight w:val="none"/>
        </w:rPr>
        <w:t>开标，投标人可自主决定是否参加。投标人可</w:t>
      </w:r>
      <w:r>
        <w:rPr>
          <w:rFonts w:hint="eastAsia" w:ascii="宋体" w:hAnsi="宋体" w:eastAsia="宋体" w:cs="宋体"/>
          <w:color w:val="auto"/>
          <w:spacing w:val="-1"/>
          <w:sz w:val="24"/>
          <w:szCs w:val="24"/>
          <w:highlight w:val="none"/>
          <w:lang w:eastAsia="zh-CN"/>
        </w:rPr>
        <w:t>登录</w:t>
      </w:r>
      <w:r>
        <w:rPr>
          <w:rFonts w:hint="eastAsia" w:ascii="宋体" w:hAnsi="宋体" w:eastAsia="宋体" w:cs="宋体"/>
          <w:color w:val="auto"/>
          <w:spacing w:val="-1"/>
          <w:sz w:val="24"/>
          <w:szCs w:val="24"/>
          <w:highlight w:val="none"/>
        </w:rPr>
        <w:t>交易平台</w:t>
      </w:r>
      <w:r>
        <w:rPr>
          <w:rFonts w:hint="eastAsia" w:ascii="宋体" w:hAnsi="宋体" w:eastAsia="宋体" w:cs="宋体"/>
          <w:color w:val="auto"/>
          <w:spacing w:val="-2"/>
          <w:sz w:val="24"/>
          <w:szCs w:val="24"/>
          <w:highlight w:val="none"/>
        </w:rPr>
        <w:t>观看开标实况、提出异议</w:t>
      </w:r>
      <w:r>
        <w:rPr>
          <w:rFonts w:hint="eastAsia" w:ascii="宋体" w:hAnsi="宋体" w:eastAsia="宋体" w:cs="宋体"/>
          <w:color w:val="auto"/>
          <w:spacing w:val="-1"/>
          <w:sz w:val="24"/>
          <w:szCs w:val="24"/>
          <w:highlight w:val="none"/>
        </w:rPr>
        <w:t>或进行澄清、确认等操作（具体</w:t>
      </w:r>
      <w:r>
        <w:rPr>
          <w:rFonts w:hint="eastAsia" w:ascii="宋体" w:hAnsi="宋体" w:eastAsia="宋体" w:cs="宋体"/>
          <w:color w:val="auto"/>
          <w:spacing w:val="-1"/>
          <w:sz w:val="24"/>
          <w:szCs w:val="24"/>
          <w:highlight w:val="none"/>
          <w:lang w:eastAsia="zh-CN"/>
        </w:rPr>
        <w:t>以</w:t>
      </w:r>
      <w:r>
        <w:rPr>
          <w:rFonts w:hint="eastAsia" w:ascii="宋体" w:hAnsi="宋体" w:eastAsia="宋体" w:cs="宋体"/>
          <w:color w:val="auto"/>
          <w:spacing w:val="-1"/>
          <w:sz w:val="24"/>
          <w:szCs w:val="24"/>
          <w:highlight w:val="none"/>
        </w:rPr>
        <w:t>招标文件和系统操作手册</w:t>
      </w:r>
      <w:r>
        <w:rPr>
          <w:rFonts w:hint="eastAsia" w:ascii="宋体" w:hAnsi="宋体" w:eastAsia="宋体" w:cs="宋体"/>
          <w:color w:val="auto"/>
          <w:spacing w:val="-2"/>
          <w:sz w:val="24"/>
          <w:szCs w:val="24"/>
          <w:highlight w:val="none"/>
        </w:rPr>
        <w:t>为准）。投标人不参加开</w:t>
      </w:r>
      <w:bookmarkStart w:id="69" w:name="bookmark123"/>
      <w:bookmarkEnd w:id="69"/>
      <w:r>
        <w:rPr>
          <w:rFonts w:hint="eastAsia" w:ascii="宋体" w:hAnsi="宋体" w:eastAsia="宋体" w:cs="宋体"/>
          <w:color w:val="auto"/>
          <w:sz w:val="24"/>
          <w:szCs w:val="24"/>
          <w:highlight w:val="none"/>
        </w:rPr>
        <w:t>标的，视其默认开标结果，</w:t>
      </w:r>
      <w:r>
        <w:rPr>
          <w:rFonts w:hint="eastAsia" w:ascii="宋体" w:hAnsi="宋体" w:eastAsia="宋体" w:cs="宋体"/>
          <w:color w:val="auto"/>
          <w:sz w:val="24"/>
          <w:szCs w:val="24"/>
          <w:highlight w:val="none"/>
          <w:lang w:eastAsia="zh-CN"/>
        </w:rPr>
        <w:t>放弃</w:t>
      </w:r>
      <w:r>
        <w:rPr>
          <w:rFonts w:hint="eastAsia" w:ascii="宋体" w:hAnsi="宋体" w:eastAsia="宋体" w:cs="宋体"/>
          <w:color w:val="auto"/>
          <w:sz w:val="24"/>
          <w:szCs w:val="24"/>
          <w:highlight w:val="none"/>
        </w:rPr>
        <w:t>在开标期间见证、</w:t>
      </w:r>
      <w:r>
        <w:rPr>
          <w:rFonts w:hint="eastAsia" w:ascii="宋体" w:hAnsi="宋体" w:eastAsia="宋体" w:cs="宋体"/>
          <w:color w:val="auto"/>
          <w:spacing w:val="-1"/>
          <w:sz w:val="24"/>
          <w:szCs w:val="24"/>
          <w:highlight w:val="none"/>
        </w:rPr>
        <w:t>监督、投诉、</w:t>
      </w:r>
      <w:r>
        <w:rPr>
          <w:rFonts w:hint="eastAsia" w:ascii="宋体" w:hAnsi="宋体" w:eastAsia="宋体" w:cs="宋体"/>
          <w:color w:val="auto"/>
          <w:spacing w:val="-1"/>
          <w:sz w:val="24"/>
          <w:szCs w:val="24"/>
          <w:highlight w:val="none"/>
          <w:lang w:eastAsia="zh-CN"/>
        </w:rPr>
        <w:t>申诉</w:t>
      </w:r>
      <w:r>
        <w:rPr>
          <w:rFonts w:hint="eastAsia" w:ascii="宋体" w:hAnsi="宋体" w:eastAsia="宋体" w:cs="宋体"/>
          <w:color w:val="auto"/>
          <w:spacing w:val="-1"/>
          <w:sz w:val="24"/>
          <w:szCs w:val="24"/>
          <w:highlight w:val="none"/>
        </w:rPr>
        <w:t>的权利。</w:t>
      </w:r>
    </w:p>
    <w:p w14:paraId="3DC2018F">
      <w:pPr>
        <w:spacing w:before="156"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14.1.1  </w:t>
      </w:r>
      <w:r>
        <w:rPr>
          <w:rFonts w:hint="eastAsia" w:ascii="宋体" w:hAnsi="宋体" w:eastAsia="宋体" w:cs="宋体"/>
          <w:color w:val="auto"/>
          <w:sz w:val="24"/>
          <w:szCs w:val="24"/>
          <w:highlight w:val="none"/>
        </w:rPr>
        <w:t>开标时间和地点：见本章第</w:t>
      </w:r>
      <w:r>
        <w:rPr>
          <w:rFonts w:hint="eastAsia" w:ascii="宋体" w:hAnsi="宋体" w:eastAsia="宋体" w:cs="宋体"/>
          <w:color w:val="auto"/>
          <w:spacing w:val="-1"/>
          <w:sz w:val="24"/>
          <w:szCs w:val="24"/>
          <w:highlight w:val="none"/>
        </w:rPr>
        <w:t>二节“重要事项时间地点一览表”。</w:t>
      </w:r>
    </w:p>
    <w:p w14:paraId="652A2E38">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14.1.2</w:t>
      </w:r>
      <w:r>
        <w:rPr>
          <w:rFonts w:hint="eastAsia" w:ascii="宋体" w:hAnsi="宋体" w:eastAsia="宋体" w:cs="宋体"/>
          <w:b/>
          <w:bCs/>
          <w:color w:val="auto"/>
          <w:spacing w:val="-7"/>
          <w:sz w:val="24"/>
          <w:szCs w:val="24"/>
          <w:highlight w:val="none"/>
          <w:lang w:eastAsia="zh-CN"/>
        </w:rPr>
        <w:t xml:space="preserve">  </w:t>
      </w:r>
      <w:r>
        <w:rPr>
          <w:rFonts w:hint="eastAsia" w:ascii="宋体" w:hAnsi="宋体" w:eastAsia="宋体" w:cs="宋体"/>
          <w:color w:val="auto"/>
          <w:spacing w:val="-7"/>
          <w:sz w:val="24"/>
          <w:szCs w:val="24"/>
          <w:highlight w:val="none"/>
        </w:rPr>
        <w:t>开标前24小时，若建设工程交易系统显示缴</w:t>
      </w:r>
      <w:r>
        <w:rPr>
          <w:rFonts w:hint="eastAsia" w:ascii="宋体" w:hAnsi="宋体" w:eastAsia="宋体" w:cs="宋体"/>
          <w:color w:val="auto"/>
          <w:spacing w:val="-8"/>
          <w:sz w:val="24"/>
          <w:szCs w:val="24"/>
          <w:highlight w:val="none"/>
        </w:rPr>
        <w:t>纳投标保证（包括投标保证金、</w:t>
      </w:r>
      <w:r>
        <w:rPr>
          <w:rFonts w:hint="eastAsia" w:ascii="宋体" w:hAnsi="宋体" w:eastAsia="宋体" w:cs="宋体"/>
          <w:color w:val="auto"/>
          <w:spacing w:val="-2"/>
          <w:sz w:val="24"/>
          <w:szCs w:val="24"/>
          <w:highlight w:val="none"/>
        </w:rPr>
        <w:t>投标保证担保、投标保证保险）的投标人数量不足3</w:t>
      </w:r>
      <w:r>
        <w:rPr>
          <w:rFonts w:hint="eastAsia" w:ascii="宋体" w:hAnsi="宋体" w:eastAsia="宋体" w:cs="宋体"/>
          <w:color w:val="auto"/>
          <w:spacing w:val="-2"/>
          <w:sz w:val="24"/>
          <w:szCs w:val="24"/>
          <w:highlight w:val="none"/>
          <w:lang w:eastAsia="zh-CN"/>
        </w:rPr>
        <w:t>个</w:t>
      </w:r>
      <w:r>
        <w:rPr>
          <w:rFonts w:hint="eastAsia" w:ascii="宋体" w:hAnsi="宋体" w:eastAsia="宋体" w:cs="宋体"/>
          <w:color w:val="auto"/>
          <w:spacing w:val="-2"/>
          <w:sz w:val="24"/>
          <w:szCs w:val="24"/>
          <w:highlight w:val="none"/>
        </w:rPr>
        <w:t>，招标人将取消原定于次日</w:t>
      </w:r>
      <w:r>
        <w:rPr>
          <w:rFonts w:hint="eastAsia" w:ascii="宋体" w:hAnsi="宋体" w:eastAsia="宋体" w:cs="宋体"/>
          <w:color w:val="auto"/>
          <w:spacing w:val="-1"/>
          <w:sz w:val="24"/>
          <w:szCs w:val="24"/>
          <w:highlight w:val="none"/>
        </w:rPr>
        <w:t>召开的开标活动。投标人可在投标保证缴纳截止时间（见本章</w:t>
      </w:r>
      <w:r>
        <w:rPr>
          <w:rFonts w:hint="eastAsia" w:ascii="宋体" w:hAnsi="宋体" w:eastAsia="宋体" w:cs="宋体"/>
          <w:color w:val="auto"/>
          <w:spacing w:val="-2"/>
          <w:sz w:val="24"/>
          <w:szCs w:val="24"/>
          <w:highlight w:val="none"/>
        </w:rPr>
        <w:t>第二节“重要事项时间</w:t>
      </w:r>
      <w:r>
        <w:rPr>
          <w:rFonts w:hint="eastAsia" w:ascii="宋体" w:hAnsi="宋体" w:eastAsia="宋体" w:cs="宋体"/>
          <w:color w:val="auto"/>
          <w:spacing w:val="-1"/>
          <w:sz w:val="24"/>
          <w:szCs w:val="24"/>
          <w:highlight w:val="none"/>
        </w:rPr>
        <w:t>地点一览表”）至电子投标截止时间（见本章第二节“重要事项时间地点一览</w:t>
      </w:r>
      <w:r>
        <w:rPr>
          <w:rFonts w:hint="eastAsia" w:ascii="宋体" w:hAnsi="宋体" w:eastAsia="宋体" w:cs="宋体"/>
          <w:color w:val="auto"/>
          <w:spacing w:val="-2"/>
          <w:sz w:val="24"/>
          <w:szCs w:val="24"/>
          <w:highlight w:val="none"/>
        </w:rPr>
        <w:t>表”）期间登录全国公共资源交易平台（广东省韶关市</w:t>
      </w:r>
      <w:r>
        <w:rPr>
          <w:rFonts w:hint="eastAsia" w:ascii="宋体" w:hAnsi="宋体" w:eastAsia="宋体" w:cs="宋体"/>
          <w:color w:val="auto"/>
          <w:spacing w:val="-22"/>
          <w:sz w:val="24"/>
          <w:szCs w:val="24"/>
          <w:highlight w:val="none"/>
        </w:rPr>
        <w:t>）（</w:t>
      </w:r>
      <w:r>
        <w:rPr>
          <w:rFonts w:hint="eastAsia" w:ascii="宋体" w:hAnsi="宋体" w:eastAsia="宋体" w:cs="宋体"/>
          <w:color w:val="auto"/>
          <w:spacing w:val="-2"/>
          <w:sz w:val="24"/>
          <w:szCs w:val="24"/>
          <w:highlight w:val="none"/>
        </w:rPr>
        <w:t>https://ygp.gdzwfw.gov.cn/</w:t>
      </w:r>
      <w:r>
        <w:rPr>
          <w:rFonts w:hint="eastAsia" w:ascii="宋体" w:hAnsi="宋体" w:eastAsia="宋体" w:cs="宋体"/>
          <w:color w:val="auto"/>
          <w:sz w:val="24"/>
          <w:szCs w:val="24"/>
          <w:highlight w:val="none"/>
        </w:rPr>
        <w:t xml:space="preserve"> ggzy-portal/#/440200/index）查询是否发布了取</w:t>
      </w:r>
      <w:r>
        <w:rPr>
          <w:rFonts w:hint="eastAsia" w:ascii="宋体" w:hAnsi="宋体" w:eastAsia="宋体" w:cs="宋体"/>
          <w:color w:val="auto"/>
          <w:spacing w:val="-1"/>
          <w:sz w:val="24"/>
          <w:szCs w:val="24"/>
          <w:highlight w:val="none"/>
        </w:rPr>
        <w:t>消开标活动的相关信息。</w:t>
      </w:r>
    </w:p>
    <w:p w14:paraId="30562814">
      <w:pPr>
        <w:spacing w:before="159" w:line="319" w:lineRule="auto"/>
        <w:ind w:left="10" w:right="80" w:firstLine="49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14.1.3</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本项目实行全流程电子化招标投标，投标人在交易平台按要求上传加盖电</w:t>
      </w:r>
      <w:r>
        <w:rPr>
          <w:rFonts w:hint="eastAsia" w:ascii="宋体" w:hAnsi="宋体" w:eastAsia="宋体" w:cs="宋体"/>
          <w:color w:val="auto"/>
          <w:spacing w:val="-1"/>
          <w:sz w:val="24"/>
          <w:szCs w:val="24"/>
          <w:highlight w:val="none"/>
        </w:rPr>
        <w:t>子印章并经加密的电子投标文件，并在交易平台录入准确的</w:t>
      </w:r>
      <w:r>
        <w:rPr>
          <w:rFonts w:hint="eastAsia" w:ascii="宋体" w:hAnsi="宋体" w:eastAsia="宋体" w:cs="宋体"/>
          <w:color w:val="auto"/>
          <w:spacing w:val="-2"/>
          <w:sz w:val="24"/>
          <w:szCs w:val="24"/>
          <w:highlight w:val="none"/>
        </w:rPr>
        <w:t>页码信息即可完成在线投</w:t>
      </w:r>
      <w:r>
        <w:rPr>
          <w:rFonts w:hint="eastAsia" w:ascii="宋体" w:hAnsi="宋体" w:eastAsia="宋体" w:cs="宋体"/>
          <w:color w:val="auto"/>
          <w:spacing w:val="-1"/>
          <w:sz w:val="24"/>
          <w:szCs w:val="24"/>
          <w:highlight w:val="none"/>
        </w:rPr>
        <w:t>标</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由于投标人原因导致未按投标</w:t>
      </w:r>
      <w:r>
        <w:rPr>
          <w:rFonts w:hint="eastAsia" w:ascii="宋体" w:hAnsi="宋体" w:eastAsia="宋体" w:cs="宋体"/>
          <w:color w:val="auto"/>
          <w:spacing w:val="-1"/>
          <w:sz w:val="24"/>
          <w:szCs w:val="24"/>
          <w:highlight w:val="none"/>
          <w:lang w:eastAsia="zh-CN"/>
        </w:rPr>
        <w:t>截止</w:t>
      </w:r>
      <w:r>
        <w:rPr>
          <w:rFonts w:hint="eastAsia" w:ascii="宋体" w:hAnsi="宋体" w:eastAsia="宋体" w:cs="宋体"/>
          <w:color w:val="auto"/>
          <w:spacing w:val="-1"/>
          <w:sz w:val="24"/>
          <w:szCs w:val="24"/>
          <w:highlight w:val="none"/>
        </w:rPr>
        <w:t>时限上传完整投标文</w:t>
      </w:r>
      <w:r>
        <w:rPr>
          <w:rFonts w:hint="eastAsia" w:ascii="宋体" w:hAnsi="宋体" w:eastAsia="宋体" w:cs="宋体"/>
          <w:color w:val="auto"/>
          <w:spacing w:val="-2"/>
          <w:sz w:val="24"/>
          <w:szCs w:val="24"/>
          <w:highlight w:val="none"/>
        </w:rPr>
        <w:t>件、在交易平台中上传的</w:t>
      </w:r>
      <w:r>
        <w:rPr>
          <w:rFonts w:hint="eastAsia" w:ascii="宋体" w:hAnsi="宋体" w:eastAsia="宋体" w:cs="宋体"/>
          <w:color w:val="auto"/>
          <w:spacing w:val="-1"/>
          <w:sz w:val="24"/>
          <w:szCs w:val="24"/>
          <w:highlight w:val="none"/>
        </w:rPr>
        <w:t>投标文件无法解密、投标文件损坏或格式不正确、投标文件</w:t>
      </w:r>
      <w:r>
        <w:rPr>
          <w:rFonts w:hint="eastAsia" w:ascii="宋体" w:hAnsi="宋体" w:eastAsia="宋体" w:cs="宋体"/>
          <w:color w:val="auto"/>
          <w:spacing w:val="-2"/>
          <w:sz w:val="24"/>
          <w:szCs w:val="24"/>
          <w:highlight w:val="none"/>
        </w:rPr>
        <w:t>未按招标文件要求加盖电</w:t>
      </w:r>
      <w:r>
        <w:rPr>
          <w:rFonts w:hint="eastAsia" w:ascii="宋体" w:hAnsi="宋体" w:eastAsia="宋体" w:cs="宋体"/>
          <w:color w:val="auto"/>
          <w:spacing w:val="-1"/>
          <w:sz w:val="24"/>
          <w:szCs w:val="24"/>
          <w:highlight w:val="none"/>
        </w:rPr>
        <w:t>子印章或电子印章不完整、电子投标文件解密失败且未按要</w:t>
      </w:r>
      <w:r>
        <w:rPr>
          <w:rFonts w:hint="eastAsia" w:ascii="宋体" w:hAnsi="宋体" w:eastAsia="宋体" w:cs="宋体"/>
          <w:color w:val="auto"/>
          <w:spacing w:val="-2"/>
          <w:sz w:val="24"/>
          <w:szCs w:val="24"/>
          <w:highlight w:val="none"/>
        </w:rPr>
        <w:t>求上传备用投标文件等情</w:t>
      </w:r>
      <w:r>
        <w:rPr>
          <w:rFonts w:hint="eastAsia" w:ascii="宋体" w:hAnsi="宋体" w:eastAsia="宋体" w:cs="宋体"/>
          <w:color w:val="auto"/>
          <w:spacing w:val="-1"/>
          <w:sz w:val="24"/>
          <w:szCs w:val="24"/>
          <w:highlight w:val="none"/>
        </w:rPr>
        <w:t>形</w:t>
      </w:r>
      <w:r>
        <w:rPr>
          <w:rFonts w:hint="eastAsia" w:ascii="宋体" w:hAnsi="宋体" w:eastAsia="宋体" w:cs="宋体"/>
          <w:color w:val="auto"/>
          <w:spacing w:val="-1"/>
          <w:sz w:val="24"/>
          <w:szCs w:val="24"/>
          <w:highlight w:val="none"/>
          <w:lang w:eastAsia="zh-CN"/>
        </w:rPr>
        <w:t>，导致</w:t>
      </w:r>
      <w:r>
        <w:rPr>
          <w:rFonts w:hint="eastAsia" w:ascii="宋体" w:hAnsi="宋体" w:eastAsia="宋体" w:cs="宋体"/>
          <w:color w:val="auto"/>
          <w:spacing w:val="-1"/>
          <w:sz w:val="24"/>
          <w:szCs w:val="24"/>
          <w:highlight w:val="none"/>
        </w:rPr>
        <w:t>投标无效的，由投标人自行负责。</w:t>
      </w:r>
    </w:p>
    <w:p w14:paraId="16B5CEF9">
      <w:pPr>
        <w:spacing w:before="152" w:line="221"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14.2  </w:t>
      </w:r>
      <w:r>
        <w:rPr>
          <w:rFonts w:hint="eastAsia" w:ascii="宋体" w:hAnsi="宋体" w:eastAsia="宋体" w:cs="宋体"/>
          <w:color w:val="auto"/>
          <w:spacing w:val="-2"/>
          <w:sz w:val="24"/>
          <w:szCs w:val="24"/>
          <w:highlight w:val="none"/>
        </w:rPr>
        <w:t>开标程序</w:t>
      </w:r>
    </w:p>
    <w:p w14:paraId="497CFDD0">
      <w:pPr>
        <w:spacing w:before="42" w:line="219" w:lineRule="auto"/>
        <w:ind w:left="501"/>
        <w:outlineLvl w:val="9"/>
        <w:rPr>
          <w:rFonts w:hint="eastAsia" w:ascii="宋体" w:hAnsi="宋体" w:eastAsia="宋体" w:cs="宋体"/>
          <w:color w:val="auto"/>
          <w:sz w:val="24"/>
          <w:szCs w:val="24"/>
          <w:highlight w:val="none"/>
        </w:rPr>
      </w:pPr>
      <w:bookmarkStart w:id="70" w:name="_Toc15587"/>
      <w:bookmarkStart w:id="71" w:name="_Toc10291"/>
      <w:bookmarkStart w:id="72" w:name="_Toc10685"/>
      <w:bookmarkStart w:id="73" w:name="_Toc8314"/>
      <w:r>
        <w:rPr>
          <w:rFonts w:hint="eastAsia" w:ascii="宋体" w:hAnsi="宋体" w:eastAsia="宋体" w:cs="宋体"/>
          <w:color w:val="auto"/>
          <w:spacing w:val="-1"/>
          <w:sz w:val="24"/>
          <w:szCs w:val="24"/>
          <w:highlight w:val="none"/>
        </w:rPr>
        <w:t>（1）主持人（招标人代表或招标人授权的招标代理机构人员）宣读开标纪律。</w:t>
      </w:r>
      <w:bookmarkEnd w:id="70"/>
      <w:bookmarkEnd w:id="71"/>
      <w:bookmarkEnd w:id="72"/>
      <w:bookmarkEnd w:id="73"/>
    </w:p>
    <w:p w14:paraId="5EAC246A">
      <w:pPr>
        <w:spacing w:before="181" w:line="219" w:lineRule="auto"/>
        <w:ind w:left="501"/>
        <w:outlineLvl w:val="9"/>
        <w:rPr>
          <w:rFonts w:hint="eastAsia" w:ascii="宋体" w:hAnsi="宋体" w:eastAsia="宋体" w:cs="宋体"/>
          <w:color w:val="auto"/>
          <w:sz w:val="24"/>
          <w:szCs w:val="24"/>
          <w:highlight w:val="none"/>
        </w:rPr>
      </w:pPr>
      <w:bookmarkStart w:id="74" w:name="_Toc2011"/>
      <w:bookmarkStart w:id="75" w:name="_Toc30853"/>
      <w:bookmarkStart w:id="76" w:name="_Toc16292"/>
      <w:bookmarkStart w:id="77" w:name="_Toc20238"/>
      <w:r>
        <w:rPr>
          <w:rFonts w:hint="eastAsia" w:ascii="宋体" w:hAnsi="宋体" w:eastAsia="宋体" w:cs="宋体"/>
          <w:color w:val="auto"/>
          <w:spacing w:val="-1"/>
          <w:sz w:val="24"/>
          <w:szCs w:val="24"/>
          <w:highlight w:val="none"/>
        </w:rPr>
        <w:t>（2）主持人宣布唱标人、记录人、见证人、监督人等有关人员姓名。</w:t>
      </w:r>
      <w:bookmarkEnd w:id="74"/>
      <w:bookmarkEnd w:id="75"/>
      <w:bookmarkEnd w:id="76"/>
      <w:bookmarkEnd w:id="77"/>
    </w:p>
    <w:p w14:paraId="7443DF73">
      <w:pPr>
        <w:spacing w:before="183" w:line="219" w:lineRule="auto"/>
        <w:ind w:left="501"/>
        <w:outlineLvl w:val="9"/>
        <w:rPr>
          <w:rFonts w:hint="eastAsia" w:ascii="宋体" w:hAnsi="宋体" w:eastAsia="宋体" w:cs="宋体"/>
          <w:color w:val="auto"/>
          <w:sz w:val="24"/>
          <w:szCs w:val="24"/>
          <w:highlight w:val="none"/>
          <w:lang w:eastAsia="zh-CN"/>
        </w:rPr>
      </w:pPr>
      <w:bookmarkStart w:id="78" w:name="_Toc26494"/>
      <w:bookmarkStart w:id="79" w:name="_Toc1974"/>
      <w:bookmarkStart w:id="80" w:name="_Toc17462"/>
      <w:bookmarkStart w:id="81" w:name="_Toc31716"/>
      <w:r>
        <w:rPr>
          <w:rFonts w:hint="eastAsia" w:ascii="宋体" w:hAnsi="宋体" w:eastAsia="宋体" w:cs="宋体"/>
          <w:color w:val="auto"/>
          <w:spacing w:val="-1"/>
          <w:sz w:val="24"/>
          <w:szCs w:val="24"/>
          <w:highlight w:val="none"/>
        </w:rPr>
        <w:t>（3）唱标人公布在投标截止时间前</w:t>
      </w:r>
      <w:r>
        <w:rPr>
          <w:rFonts w:hint="eastAsia" w:ascii="宋体" w:hAnsi="宋体" w:eastAsia="宋体" w:cs="宋体"/>
          <w:color w:val="auto"/>
          <w:spacing w:val="-1"/>
          <w:sz w:val="24"/>
          <w:szCs w:val="24"/>
          <w:highlight w:val="none"/>
          <w:lang w:eastAsia="zh-CN"/>
        </w:rPr>
        <w:t>递交</w:t>
      </w:r>
      <w:r>
        <w:rPr>
          <w:rFonts w:hint="eastAsia" w:ascii="宋体" w:hAnsi="宋体" w:eastAsia="宋体" w:cs="宋体"/>
          <w:color w:val="auto"/>
          <w:spacing w:val="-1"/>
          <w:sz w:val="24"/>
          <w:szCs w:val="24"/>
          <w:highlight w:val="none"/>
        </w:rPr>
        <w:t>投标文件的投标人数量和名称</w:t>
      </w:r>
      <w:bookmarkEnd w:id="78"/>
      <w:bookmarkEnd w:id="79"/>
      <w:bookmarkEnd w:id="80"/>
      <w:bookmarkEnd w:id="81"/>
      <w:r>
        <w:rPr>
          <w:rFonts w:hint="eastAsia" w:ascii="宋体" w:hAnsi="宋体" w:eastAsia="宋体" w:cs="宋体"/>
          <w:color w:val="auto"/>
          <w:spacing w:val="-1"/>
          <w:sz w:val="24"/>
          <w:szCs w:val="24"/>
          <w:highlight w:val="none"/>
          <w:lang w:eastAsia="zh-CN"/>
        </w:rPr>
        <w:t>。</w:t>
      </w:r>
    </w:p>
    <w:p w14:paraId="3324CC32">
      <w:pPr>
        <w:spacing w:before="181" w:line="219" w:lineRule="auto"/>
        <w:ind w:left="501"/>
        <w:outlineLvl w:val="9"/>
        <w:rPr>
          <w:rFonts w:hint="eastAsia" w:ascii="宋体" w:hAnsi="宋体" w:eastAsia="宋体" w:cs="宋体"/>
          <w:color w:val="auto"/>
          <w:sz w:val="24"/>
          <w:szCs w:val="24"/>
          <w:highlight w:val="none"/>
        </w:rPr>
      </w:pPr>
      <w:bookmarkStart w:id="82" w:name="_Toc8179"/>
      <w:bookmarkStart w:id="83" w:name="_Toc27967"/>
      <w:bookmarkStart w:id="84" w:name="_Toc20559"/>
      <w:bookmarkStart w:id="85" w:name="_Toc15860"/>
      <w:r>
        <w:rPr>
          <w:rFonts w:hint="eastAsia" w:ascii="宋体" w:hAnsi="宋体" w:eastAsia="宋体" w:cs="宋体"/>
          <w:color w:val="auto"/>
          <w:spacing w:val="2"/>
          <w:sz w:val="24"/>
          <w:szCs w:val="24"/>
          <w:highlight w:val="none"/>
        </w:rPr>
        <w:t>（4）招标代理机构会同交易场所工作人员对投标人的</w:t>
      </w:r>
      <w:r>
        <w:rPr>
          <w:rFonts w:hint="eastAsia" w:ascii="宋体" w:hAnsi="宋体" w:eastAsia="宋体" w:cs="宋体"/>
          <w:color w:val="auto"/>
          <w:spacing w:val="1"/>
          <w:sz w:val="24"/>
          <w:szCs w:val="24"/>
          <w:highlight w:val="none"/>
        </w:rPr>
        <w:t>电子投标信息进行解密</w:t>
      </w:r>
      <w:r>
        <w:rPr>
          <w:rFonts w:hint="eastAsia" w:ascii="宋体" w:hAnsi="宋体" w:eastAsia="宋体" w:cs="宋体"/>
          <w:color w:val="auto"/>
          <w:spacing w:val="1"/>
          <w:sz w:val="24"/>
          <w:szCs w:val="24"/>
          <w:highlight w:val="none"/>
          <w:lang w:eastAsia="zh-CN"/>
        </w:rPr>
        <w:t>。</w:t>
      </w:r>
      <w:bookmarkEnd w:id="82"/>
      <w:bookmarkEnd w:id="83"/>
      <w:bookmarkEnd w:id="84"/>
      <w:bookmarkEnd w:id="85"/>
    </w:p>
    <w:p w14:paraId="2BAFEA97">
      <w:pPr>
        <w:spacing w:before="183" w:line="220" w:lineRule="auto"/>
        <w:ind w:left="1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建设工程交易系统自动生成《投标保证缴纳情况表》和《开标一览表》</w:t>
      </w:r>
      <w:r>
        <w:rPr>
          <w:rFonts w:hint="eastAsia" w:ascii="宋体" w:hAnsi="宋体" w:eastAsia="宋体" w:cs="宋体"/>
          <w:color w:val="auto"/>
          <w:spacing w:val="-1"/>
          <w:sz w:val="24"/>
          <w:szCs w:val="24"/>
          <w:highlight w:val="none"/>
          <w:lang w:eastAsia="zh-CN"/>
        </w:rPr>
        <w:t>。</w:t>
      </w:r>
    </w:p>
    <w:p w14:paraId="03A06962">
      <w:pPr>
        <w:spacing w:before="182" w:line="360" w:lineRule="auto"/>
        <w:ind w:firstLine="466" w:firstLineChars="200"/>
        <w:outlineLvl w:val="9"/>
        <w:rPr>
          <w:rFonts w:hint="eastAsia" w:ascii="宋体" w:hAnsi="宋体" w:eastAsia="宋体" w:cs="宋体"/>
          <w:color w:val="auto"/>
          <w:sz w:val="24"/>
          <w:szCs w:val="24"/>
          <w:highlight w:val="none"/>
        </w:rPr>
      </w:pPr>
      <w:bookmarkStart w:id="86" w:name="_Toc28812"/>
      <w:bookmarkStart w:id="87" w:name="_Toc28266"/>
      <w:bookmarkStart w:id="88" w:name="_Toc2199"/>
      <w:bookmarkStart w:id="89" w:name="_Toc26216"/>
      <w:r>
        <w:rPr>
          <w:rFonts w:hint="eastAsia" w:ascii="宋体" w:hAnsi="宋体" w:eastAsia="宋体" w:cs="宋体"/>
          <w:b/>
          <w:bCs/>
          <w:color w:val="auto"/>
          <w:spacing w:val="-4"/>
          <w:sz w:val="24"/>
          <w:szCs w:val="24"/>
          <w:highlight w:val="none"/>
        </w:rPr>
        <w:t>温馨提示：因本项目实行全流程电子化招标投标，投标人无须进行现场签到，可</w:t>
      </w:r>
      <w:bookmarkEnd w:id="86"/>
      <w:bookmarkEnd w:id="87"/>
      <w:bookmarkEnd w:id="88"/>
      <w:r>
        <w:rPr>
          <w:rFonts w:hint="eastAsia" w:ascii="宋体" w:hAnsi="宋体" w:eastAsia="宋体" w:cs="宋体"/>
          <w:b/>
          <w:bCs/>
          <w:color w:val="auto"/>
          <w:spacing w:val="-4"/>
          <w:sz w:val="24"/>
          <w:szCs w:val="24"/>
          <w:highlight w:val="none"/>
        </w:rPr>
        <w:t>登录交易平台观看开标实况、提出异议或进行澄清、确认等操作，对开标事项的异议</w:t>
      </w:r>
      <w:r>
        <w:rPr>
          <w:rFonts w:hint="eastAsia" w:ascii="宋体" w:hAnsi="宋体" w:eastAsia="宋体" w:cs="宋体"/>
          <w:b/>
          <w:bCs/>
          <w:color w:val="auto"/>
          <w:spacing w:val="-2"/>
          <w:sz w:val="24"/>
          <w:szCs w:val="24"/>
          <w:highlight w:val="none"/>
        </w:rPr>
        <w:t>未在开标期间提出的，招标</w:t>
      </w:r>
      <w:r>
        <w:rPr>
          <w:rFonts w:hint="eastAsia" w:ascii="宋体" w:hAnsi="宋体" w:eastAsia="宋体" w:cs="宋体"/>
          <w:b/>
          <w:bCs/>
          <w:color w:val="auto"/>
          <w:spacing w:val="-2"/>
          <w:sz w:val="24"/>
          <w:szCs w:val="24"/>
          <w:highlight w:val="none"/>
          <w:lang w:eastAsia="zh-CN"/>
        </w:rPr>
        <w:t>人不</w:t>
      </w:r>
      <w:r>
        <w:rPr>
          <w:rFonts w:hint="eastAsia" w:ascii="宋体" w:hAnsi="宋体" w:eastAsia="宋体" w:cs="宋体"/>
          <w:b/>
          <w:bCs/>
          <w:color w:val="auto"/>
          <w:spacing w:val="-2"/>
          <w:sz w:val="24"/>
          <w:szCs w:val="24"/>
          <w:highlight w:val="none"/>
        </w:rPr>
        <w:t>予受理。具体</w:t>
      </w:r>
      <w:r>
        <w:rPr>
          <w:rFonts w:hint="eastAsia" w:ascii="宋体" w:hAnsi="宋体" w:eastAsia="宋体" w:cs="宋体"/>
          <w:b/>
          <w:bCs/>
          <w:color w:val="auto"/>
          <w:spacing w:val="-2"/>
          <w:sz w:val="24"/>
          <w:szCs w:val="24"/>
          <w:highlight w:val="none"/>
          <w:lang w:eastAsia="zh-CN"/>
        </w:rPr>
        <w:t>以</w:t>
      </w:r>
      <w:r>
        <w:rPr>
          <w:rFonts w:hint="eastAsia" w:ascii="宋体" w:hAnsi="宋体" w:eastAsia="宋体" w:cs="宋体"/>
          <w:b/>
          <w:bCs/>
          <w:color w:val="auto"/>
          <w:spacing w:val="-2"/>
          <w:sz w:val="24"/>
          <w:szCs w:val="24"/>
          <w:highlight w:val="none"/>
        </w:rPr>
        <w:t>招标文件和系统操作手册为</w:t>
      </w:r>
      <w:r>
        <w:rPr>
          <w:rFonts w:hint="eastAsia" w:ascii="宋体" w:hAnsi="宋体" w:eastAsia="宋体" w:cs="宋体"/>
          <w:b/>
          <w:bCs/>
          <w:color w:val="auto"/>
          <w:spacing w:val="-3"/>
          <w:sz w:val="24"/>
          <w:szCs w:val="24"/>
          <w:highlight w:val="none"/>
        </w:rPr>
        <w:t>准。</w:t>
      </w:r>
      <w:bookmarkEnd w:id="89"/>
    </w:p>
    <w:p w14:paraId="40440713">
      <w:pPr>
        <w:spacing w:before="143" w:line="299" w:lineRule="auto"/>
        <w:ind w:left="11" w:right="80"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14.3  </w:t>
      </w:r>
      <w:r>
        <w:rPr>
          <w:rFonts w:hint="eastAsia" w:ascii="宋体" w:hAnsi="宋体" w:eastAsia="宋体" w:cs="宋体"/>
          <w:color w:val="auto"/>
          <w:spacing w:val="-3"/>
          <w:sz w:val="24"/>
          <w:szCs w:val="24"/>
          <w:highlight w:val="none"/>
        </w:rPr>
        <w:t>投标人对开标相关事项（如开标程序等）有异议的，必须在开标期间和开标</w:t>
      </w:r>
      <w:r>
        <w:rPr>
          <w:rFonts w:hint="eastAsia" w:ascii="宋体" w:hAnsi="宋体" w:eastAsia="宋体" w:cs="宋体"/>
          <w:color w:val="auto"/>
          <w:spacing w:val="-1"/>
          <w:sz w:val="24"/>
          <w:szCs w:val="24"/>
          <w:highlight w:val="none"/>
        </w:rPr>
        <w:t>现场提出，招标人或其授权的招标代理机构应当场作出答</w:t>
      </w:r>
      <w:r>
        <w:rPr>
          <w:rFonts w:hint="eastAsia" w:ascii="宋体" w:hAnsi="宋体" w:eastAsia="宋体" w:cs="宋体"/>
          <w:color w:val="auto"/>
          <w:spacing w:val="-2"/>
          <w:sz w:val="24"/>
          <w:szCs w:val="24"/>
          <w:highlight w:val="none"/>
        </w:rPr>
        <w:t>复，并记录在案。对开标事</w:t>
      </w:r>
      <w:r>
        <w:rPr>
          <w:rFonts w:hint="eastAsia" w:ascii="宋体" w:hAnsi="宋体" w:eastAsia="宋体" w:cs="宋体"/>
          <w:color w:val="auto"/>
          <w:spacing w:val="-1"/>
          <w:sz w:val="24"/>
          <w:szCs w:val="24"/>
          <w:highlight w:val="none"/>
        </w:rPr>
        <w:t>项的异议未在开标期间和开标现场提出的，招标人不予受理。</w:t>
      </w:r>
    </w:p>
    <w:p w14:paraId="203FF0F7">
      <w:pPr>
        <w:spacing w:before="155" w:line="279" w:lineRule="auto"/>
        <w:ind w:left="8" w:right="82" w:firstLine="487"/>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14.4</w:t>
      </w:r>
      <w:r>
        <w:rPr>
          <w:rFonts w:hint="eastAsia" w:ascii="宋体" w:hAnsi="宋体" w:eastAsia="宋体" w:cs="宋体"/>
          <w:b/>
          <w:bCs/>
          <w:color w:val="auto"/>
          <w:spacing w:val="-1"/>
          <w:sz w:val="24"/>
          <w:szCs w:val="24"/>
          <w:highlight w:val="none"/>
          <w:lang w:eastAsia="zh-CN"/>
        </w:rPr>
        <w:t xml:space="preserve">  </w:t>
      </w:r>
      <w:r>
        <w:rPr>
          <w:rFonts w:hint="eastAsia" w:ascii="宋体" w:hAnsi="宋体" w:eastAsia="宋体" w:cs="宋体"/>
          <w:color w:val="auto"/>
          <w:spacing w:val="-1"/>
          <w:sz w:val="24"/>
          <w:szCs w:val="24"/>
          <w:highlight w:val="none"/>
        </w:rPr>
        <w:t>招标代理机构将资料原件（如有）</w:t>
      </w:r>
      <w:r>
        <w:rPr>
          <w:rFonts w:hint="eastAsia" w:ascii="宋体" w:hAnsi="宋体" w:eastAsia="宋体" w:cs="宋体"/>
          <w:color w:val="auto"/>
          <w:spacing w:val="-2"/>
          <w:sz w:val="24"/>
          <w:szCs w:val="24"/>
          <w:highlight w:val="none"/>
        </w:rPr>
        <w:t>、《开标一览表》以及其他有关资料移交评标委员会。</w:t>
      </w:r>
    </w:p>
    <w:p w14:paraId="47BF78F2">
      <w:pPr>
        <w:spacing w:before="78" w:line="221" w:lineRule="auto"/>
        <w:ind w:left="496"/>
        <w:outlineLvl w:val="2"/>
        <w:rPr>
          <w:rFonts w:hint="eastAsia" w:ascii="宋体" w:hAnsi="宋体" w:eastAsia="宋体" w:cs="宋体"/>
          <w:color w:val="auto"/>
          <w:highlight w:val="none"/>
        </w:rPr>
      </w:pPr>
      <w:bookmarkStart w:id="90" w:name="_Toc14223"/>
      <w:bookmarkStart w:id="91" w:name="_Toc961"/>
      <w:r>
        <w:rPr>
          <w:rFonts w:hint="eastAsia" w:ascii="宋体" w:hAnsi="宋体" w:eastAsia="宋体" w:cs="宋体"/>
          <w:b/>
          <w:bCs/>
          <w:color w:val="auto"/>
          <w:spacing w:val="-11"/>
          <w:sz w:val="24"/>
          <w:szCs w:val="24"/>
          <w:highlight w:val="none"/>
        </w:rPr>
        <w:t>15</w:t>
      </w:r>
      <w:r>
        <w:rPr>
          <w:rFonts w:hint="eastAsia" w:ascii="宋体" w:hAnsi="宋体" w:eastAsia="宋体" w:cs="宋体"/>
          <w:b/>
          <w:bCs/>
          <w:color w:val="auto"/>
          <w:spacing w:val="-11"/>
          <w:sz w:val="24"/>
          <w:szCs w:val="24"/>
          <w:highlight w:val="none"/>
          <w:lang w:eastAsia="zh-CN"/>
        </w:rPr>
        <w:t xml:space="preserve">. </w:t>
      </w:r>
      <w:r>
        <w:rPr>
          <w:rFonts w:hint="eastAsia" w:ascii="宋体" w:hAnsi="宋体" w:eastAsia="宋体" w:cs="宋体"/>
          <w:b/>
          <w:bCs/>
          <w:color w:val="auto"/>
          <w:spacing w:val="-11"/>
          <w:sz w:val="24"/>
          <w:szCs w:val="24"/>
          <w:highlight w:val="none"/>
        </w:rPr>
        <w:t>评标</w:t>
      </w:r>
      <w:bookmarkEnd w:id="90"/>
      <w:bookmarkEnd w:id="91"/>
    </w:p>
    <w:p w14:paraId="5CEBE6C5">
      <w:pPr>
        <w:keepNext w:val="0"/>
        <w:keepLines w:val="0"/>
        <w:pageBreakBefore w:val="0"/>
        <w:widowControl w:val="0"/>
        <w:kinsoku/>
        <w:wordWrap w:val="0"/>
        <w:overflowPunct/>
        <w:topLinePunct w:val="0"/>
        <w:autoSpaceDE w:val="0"/>
        <w:autoSpaceDN w:val="0"/>
        <w:bidi w:val="0"/>
        <w:adjustRightInd/>
        <w:snapToGrid/>
        <w:spacing w:before="0" w:beforeLines="50" w:line="360" w:lineRule="auto"/>
        <w:ind w:firstLine="480" w:firstLineChars="200"/>
        <w:textAlignment w:val="baseline"/>
        <w:rPr>
          <w:rFonts w:hint="eastAsia" w:ascii="宋体" w:hAnsi="宋体" w:eastAsia="宋体" w:cs="宋体"/>
          <w:snapToGrid w:val="0"/>
          <w:color w:val="auto"/>
          <w:kern w:val="0"/>
          <w:sz w:val="24"/>
          <w:szCs w:val="24"/>
          <w:highlight w:val="none"/>
        </w:rPr>
      </w:pPr>
      <w:bookmarkStart w:id="92" w:name="bookmark124"/>
      <w:bookmarkEnd w:id="92"/>
      <w:r>
        <w:rPr>
          <w:rFonts w:hint="eastAsia" w:ascii="宋体" w:hAnsi="宋体" w:eastAsia="宋体" w:cs="宋体"/>
          <w:snapToGrid w:val="0"/>
          <w:color w:val="auto"/>
          <w:kern w:val="0"/>
          <w:sz w:val="24"/>
          <w:szCs w:val="24"/>
          <w:highlight w:val="none"/>
        </w:rPr>
        <w:t>评标分为初步评审和详细评审两个阶段，由评标委员会在有关部门的监督下，严格按照本招标文件指定的评标方法，对投标人的投标文件进行审查、评审。评标委员会完成评标后，</w:t>
      </w:r>
      <w:r>
        <w:rPr>
          <w:rFonts w:hint="eastAsia" w:ascii="宋体" w:hAnsi="宋体" w:eastAsia="宋体" w:cs="宋体"/>
          <w:snapToGrid w:val="0"/>
          <w:color w:val="auto"/>
          <w:kern w:val="0"/>
          <w:sz w:val="24"/>
          <w:szCs w:val="24"/>
          <w:highlight w:val="none"/>
          <w:lang w:eastAsia="zh-CN"/>
        </w:rPr>
        <w:t>按照投标人</w:t>
      </w:r>
      <w:r>
        <w:rPr>
          <w:rFonts w:hint="eastAsia" w:ascii="宋体" w:hAnsi="宋体" w:eastAsia="宋体" w:cs="宋体"/>
          <w:snapToGrid w:val="0"/>
          <w:color w:val="auto"/>
          <w:kern w:val="0"/>
          <w:sz w:val="24"/>
          <w:szCs w:val="24"/>
          <w:highlight w:val="none"/>
        </w:rPr>
        <w:t>评审综合总得分</w:t>
      </w:r>
      <w:r>
        <w:rPr>
          <w:rFonts w:hint="eastAsia" w:ascii="宋体" w:hAnsi="宋体" w:eastAsia="宋体" w:cs="宋体"/>
          <w:snapToGrid w:val="0"/>
          <w:color w:val="auto"/>
          <w:kern w:val="0"/>
          <w:sz w:val="24"/>
          <w:szCs w:val="24"/>
          <w:highlight w:val="none"/>
          <w:lang w:eastAsia="zh-CN"/>
        </w:rPr>
        <w:t>由</w:t>
      </w:r>
      <w:r>
        <w:rPr>
          <w:rFonts w:hint="eastAsia" w:ascii="宋体" w:hAnsi="宋体" w:eastAsia="宋体" w:cs="宋体"/>
          <w:snapToGrid w:val="0"/>
          <w:color w:val="auto"/>
          <w:kern w:val="0"/>
          <w:sz w:val="24"/>
          <w:szCs w:val="24"/>
          <w:highlight w:val="none"/>
        </w:rPr>
        <w:t>高</w:t>
      </w:r>
      <w:r>
        <w:rPr>
          <w:rFonts w:hint="eastAsia" w:ascii="宋体" w:hAnsi="宋体" w:eastAsia="宋体" w:cs="宋体"/>
          <w:snapToGrid w:val="0"/>
          <w:color w:val="auto"/>
          <w:kern w:val="0"/>
          <w:sz w:val="24"/>
          <w:szCs w:val="24"/>
          <w:highlight w:val="none"/>
          <w:lang w:eastAsia="zh-CN"/>
        </w:rPr>
        <w:t>到</w:t>
      </w:r>
      <w:r>
        <w:rPr>
          <w:rFonts w:hint="eastAsia" w:ascii="宋体" w:hAnsi="宋体" w:eastAsia="宋体" w:cs="宋体"/>
          <w:snapToGrid w:val="0"/>
          <w:color w:val="auto"/>
          <w:kern w:val="0"/>
          <w:sz w:val="24"/>
          <w:szCs w:val="24"/>
          <w:highlight w:val="none"/>
        </w:rPr>
        <w:t>低的</w:t>
      </w:r>
      <w:r>
        <w:rPr>
          <w:rFonts w:hint="eastAsia" w:ascii="宋体" w:hAnsi="宋体" w:eastAsia="宋体" w:cs="宋体"/>
          <w:snapToGrid w:val="0"/>
          <w:color w:val="auto"/>
          <w:kern w:val="0"/>
          <w:sz w:val="24"/>
          <w:szCs w:val="24"/>
          <w:highlight w:val="none"/>
          <w:lang w:eastAsia="zh-CN"/>
        </w:rPr>
        <w:t>原则，</w:t>
      </w:r>
      <w:r>
        <w:rPr>
          <w:rFonts w:hint="eastAsia" w:ascii="宋体" w:hAnsi="宋体" w:eastAsia="宋体" w:cs="宋体"/>
          <w:snapToGrid w:val="0"/>
          <w:color w:val="auto"/>
          <w:kern w:val="0"/>
          <w:sz w:val="24"/>
          <w:szCs w:val="24"/>
          <w:highlight w:val="none"/>
        </w:rPr>
        <w:t>向招标人推荐</w:t>
      </w:r>
      <w:r>
        <w:rPr>
          <w:rFonts w:hint="eastAsia" w:ascii="宋体" w:hAnsi="宋体" w:eastAsia="宋体" w:cs="宋体"/>
          <w:snapToGrid w:val="0"/>
          <w:color w:val="auto"/>
          <w:kern w:val="0"/>
          <w:sz w:val="24"/>
          <w:szCs w:val="24"/>
          <w:highlight w:val="none"/>
          <w:lang w:val="en-US" w:eastAsia="zh-CN"/>
        </w:rPr>
        <w:t>已明确的</w:t>
      </w:r>
      <w:r>
        <w:rPr>
          <w:rFonts w:hint="eastAsia" w:ascii="宋体" w:hAnsi="宋体" w:eastAsia="宋体" w:cs="宋体"/>
          <w:snapToGrid w:val="0"/>
          <w:color w:val="auto"/>
          <w:kern w:val="0"/>
          <w:sz w:val="24"/>
          <w:szCs w:val="24"/>
          <w:highlight w:val="none"/>
        </w:rPr>
        <w:t>定标候选人</w:t>
      </w:r>
      <w:r>
        <w:rPr>
          <w:rFonts w:hint="eastAsia" w:ascii="宋体" w:hAnsi="宋体" w:eastAsia="宋体" w:cs="宋体"/>
          <w:snapToGrid w:val="0"/>
          <w:color w:val="auto"/>
          <w:kern w:val="0"/>
          <w:sz w:val="24"/>
          <w:szCs w:val="24"/>
          <w:highlight w:val="none"/>
          <w:lang w:eastAsia="zh-CN"/>
        </w:rPr>
        <w:t>数量</w:t>
      </w:r>
      <w:r>
        <w:rPr>
          <w:rFonts w:hint="eastAsia" w:ascii="宋体" w:hAnsi="宋体" w:eastAsia="宋体" w:cs="宋体"/>
          <w:snapToGrid w:val="0"/>
          <w:color w:val="auto"/>
          <w:kern w:val="0"/>
          <w:sz w:val="24"/>
          <w:szCs w:val="24"/>
          <w:highlight w:val="none"/>
        </w:rPr>
        <w:t>（不</w:t>
      </w:r>
      <w:r>
        <w:rPr>
          <w:rFonts w:hint="eastAsia" w:ascii="宋体" w:hAnsi="宋体" w:eastAsia="宋体" w:cs="宋体"/>
          <w:snapToGrid w:val="0"/>
          <w:color w:val="auto"/>
          <w:kern w:val="0"/>
          <w:sz w:val="24"/>
          <w:szCs w:val="24"/>
          <w:highlight w:val="none"/>
          <w:lang w:val="en-US" w:eastAsia="zh-CN"/>
        </w:rPr>
        <w:t>标明</w:t>
      </w:r>
      <w:r>
        <w:rPr>
          <w:rFonts w:hint="eastAsia" w:ascii="宋体" w:hAnsi="宋体" w:eastAsia="宋体" w:cs="宋体"/>
          <w:snapToGrid w:val="0"/>
          <w:color w:val="auto"/>
          <w:kern w:val="0"/>
          <w:sz w:val="24"/>
          <w:szCs w:val="24"/>
          <w:highlight w:val="none"/>
        </w:rPr>
        <w:t>排序），并向招标人提交由全体评标委员会成员签字的评标报告。</w:t>
      </w:r>
    </w:p>
    <w:p w14:paraId="74FE6A41">
      <w:pPr>
        <w:spacing w:before="38"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15.1  </w:t>
      </w:r>
      <w:r>
        <w:rPr>
          <w:rFonts w:hint="eastAsia" w:ascii="宋体" w:hAnsi="宋体" w:eastAsia="宋体" w:cs="宋体"/>
          <w:color w:val="auto"/>
          <w:spacing w:val="-2"/>
          <w:sz w:val="24"/>
          <w:szCs w:val="24"/>
          <w:highlight w:val="none"/>
        </w:rPr>
        <w:t>评标委员会</w:t>
      </w:r>
    </w:p>
    <w:p w14:paraId="6FF11D03">
      <w:pPr>
        <w:wordWrap w:val="0"/>
        <w:adjustRightInd w:val="0"/>
        <w:snapToGrid w:val="0"/>
        <w:spacing w:line="360" w:lineRule="auto"/>
        <w:ind w:firstLine="478" w:firstLineChars="200"/>
        <w:rPr>
          <w:rFonts w:hint="eastAsia" w:ascii="宋体" w:hAnsi="宋体" w:eastAsia="宋体" w:cs="宋体"/>
          <w:snapToGrid w:val="0"/>
          <w:color w:val="auto"/>
          <w:kern w:val="0"/>
          <w:sz w:val="24"/>
          <w:highlight w:val="none"/>
        </w:rPr>
      </w:pPr>
      <w:r>
        <w:rPr>
          <w:rFonts w:hint="eastAsia" w:ascii="宋体" w:hAnsi="宋体" w:eastAsia="宋体" w:cs="宋体"/>
          <w:b/>
          <w:bCs/>
          <w:color w:val="auto"/>
          <w:spacing w:val="-1"/>
          <w:sz w:val="24"/>
          <w:szCs w:val="24"/>
          <w:highlight w:val="none"/>
        </w:rPr>
        <w:t>15.1.1</w:t>
      </w:r>
      <w:r>
        <w:rPr>
          <w:rFonts w:hint="eastAsia" w:ascii="宋体" w:hAnsi="宋体" w:eastAsia="宋体" w:cs="宋体"/>
          <w:b/>
          <w:bCs/>
          <w:color w:val="auto"/>
          <w:spacing w:val="-1"/>
          <w:sz w:val="24"/>
          <w:szCs w:val="24"/>
          <w:highlight w:val="none"/>
          <w:lang w:eastAsia="zh-CN"/>
        </w:rPr>
        <w:t xml:space="preserve">  </w:t>
      </w:r>
      <w:r>
        <w:rPr>
          <w:rFonts w:hint="eastAsia" w:ascii="宋体" w:hAnsi="宋体" w:eastAsia="宋体" w:cs="宋体"/>
          <w:color w:val="auto"/>
          <w:sz w:val="24"/>
          <w:szCs w:val="24"/>
          <w:highlight w:val="none"/>
        </w:rPr>
        <w:t>评标委员会由</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人组成，其中招标人代表</w:t>
      </w:r>
      <w:r>
        <w:rPr>
          <w:rFonts w:hint="eastAsia" w:ascii="宋体" w:hAnsi="宋体" w:eastAsia="宋体" w:cs="宋体"/>
          <w:color w:val="auto"/>
          <w:sz w:val="24"/>
          <w:szCs w:val="24"/>
          <w:highlight w:val="none"/>
          <w:u w:val="single"/>
        </w:rPr>
        <w:t xml:space="preserve"> 0 </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人。专家从</w:t>
      </w:r>
      <w:r>
        <w:rPr>
          <w:rFonts w:hint="eastAsia" w:ascii="宋体" w:hAnsi="宋体" w:eastAsia="宋体" w:cs="宋体"/>
          <w:color w:val="auto"/>
          <w:sz w:val="24"/>
          <w:szCs w:val="24"/>
          <w:highlight w:val="none"/>
          <w:u w:val="single"/>
        </w:rPr>
        <w:t>广东省综合评标评审专家库</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韶关区域</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中随机抽取，其中技术类专家</w:t>
      </w:r>
      <w:r>
        <w:rPr>
          <w:rFonts w:hint="eastAsia" w:ascii="宋体" w:hAnsi="宋体" w:eastAsia="宋体" w:cs="宋体"/>
          <w:color w:val="auto"/>
          <w:sz w:val="24"/>
          <w:szCs w:val="24"/>
          <w:highlight w:val="none"/>
          <w:u w:val="single"/>
        </w:rPr>
        <w:t xml:space="preserve"> 3 </w:t>
      </w:r>
      <w:r>
        <w:rPr>
          <w:rFonts w:hint="eastAsia" w:ascii="宋体" w:hAnsi="宋体" w:eastAsia="宋体" w:cs="宋体"/>
          <w:color w:val="auto"/>
          <w:sz w:val="24"/>
          <w:szCs w:val="24"/>
          <w:highlight w:val="none"/>
        </w:rPr>
        <w:t>人，经济类专家</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人。</w:t>
      </w:r>
      <w:r>
        <w:rPr>
          <w:rFonts w:hint="eastAsia" w:ascii="宋体" w:hAnsi="宋体" w:eastAsia="宋体" w:cs="宋体"/>
          <w:color w:val="auto"/>
          <w:spacing w:val="-1"/>
          <w:sz w:val="24"/>
          <w:szCs w:val="24"/>
          <w:highlight w:val="none"/>
        </w:rPr>
        <w:t>评标委员会设负责人，由评标委员会成员推举产生</w:t>
      </w:r>
      <w:r>
        <w:rPr>
          <w:rFonts w:hint="eastAsia" w:ascii="宋体" w:hAnsi="宋体" w:eastAsia="宋体" w:cs="宋体"/>
          <w:color w:val="auto"/>
          <w:spacing w:val="-2"/>
          <w:sz w:val="24"/>
          <w:szCs w:val="24"/>
          <w:highlight w:val="none"/>
        </w:rPr>
        <w:t>。评标委员会负责人与评</w:t>
      </w:r>
      <w:r>
        <w:rPr>
          <w:rFonts w:hint="eastAsia" w:ascii="宋体" w:hAnsi="宋体" w:eastAsia="宋体" w:cs="宋体"/>
          <w:color w:val="auto"/>
          <w:spacing w:val="-1"/>
          <w:sz w:val="24"/>
          <w:szCs w:val="24"/>
          <w:highlight w:val="none"/>
        </w:rPr>
        <w:t>标委员会的其他成员有同等的表决权。</w:t>
      </w:r>
    </w:p>
    <w:p w14:paraId="4CE798F0">
      <w:pPr>
        <w:wordWrap w:val="0"/>
        <w:adjustRightInd w:val="0"/>
        <w:snapToGrid w:val="0"/>
        <w:spacing w:line="360" w:lineRule="auto"/>
        <w:ind w:firstLine="474" w:firstLineChars="200"/>
        <w:rPr>
          <w:rFonts w:hint="eastAsia" w:ascii="宋体" w:hAnsi="宋体" w:eastAsia="宋体" w:cs="宋体"/>
          <w:snapToGrid w:val="0"/>
          <w:color w:val="auto"/>
          <w:kern w:val="0"/>
          <w:sz w:val="24"/>
          <w:highlight w:val="none"/>
        </w:rPr>
      </w:pPr>
      <w:r>
        <w:rPr>
          <w:rFonts w:hint="eastAsia" w:ascii="宋体" w:hAnsi="宋体" w:eastAsia="宋体" w:cs="宋体"/>
          <w:b/>
          <w:bCs/>
          <w:color w:val="auto"/>
          <w:spacing w:val="-2"/>
          <w:sz w:val="24"/>
          <w:szCs w:val="24"/>
          <w:highlight w:val="none"/>
        </w:rPr>
        <w:t>15.1.2</w:t>
      </w:r>
      <w:r>
        <w:rPr>
          <w:rFonts w:hint="eastAsia" w:ascii="宋体" w:hAnsi="宋体" w:eastAsia="宋体" w:cs="宋体"/>
          <w:snapToGrid w:val="0"/>
          <w:color w:val="auto"/>
          <w:kern w:val="0"/>
          <w:sz w:val="24"/>
          <w:highlight w:val="none"/>
        </w:rPr>
        <w:t xml:space="preserve"> </w:t>
      </w:r>
      <w:r>
        <w:rPr>
          <w:rFonts w:hint="eastAsia" w:ascii="宋体" w:hAnsi="宋体" w:eastAsia="宋体" w:cs="宋体"/>
          <w:snapToGrid w:val="0"/>
          <w:color w:val="auto"/>
          <w:kern w:val="0"/>
          <w:sz w:val="24"/>
          <w:highlight w:val="none"/>
          <w:lang w:eastAsia="zh-CN"/>
        </w:rPr>
        <w:t>评标专家</w:t>
      </w:r>
      <w:r>
        <w:rPr>
          <w:rFonts w:hint="eastAsia" w:ascii="宋体" w:hAnsi="宋体" w:eastAsia="宋体" w:cs="宋体"/>
          <w:snapToGrid w:val="0"/>
          <w:color w:val="auto"/>
          <w:kern w:val="0"/>
          <w:sz w:val="24"/>
          <w:highlight w:val="none"/>
        </w:rPr>
        <w:t>应按时参加评标活动，自觉遵守工作纪律</w:t>
      </w:r>
      <w:r>
        <w:rPr>
          <w:rFonts w:hint="eastAsia" w:ascii="宋体" w:hAnsi="宋体" w:eastAsia="宋体" w:cs="宋体"/>
          <w:snapToGrid w:val="0"/>
          <w:color w:val="auto"/>
          <w:kern w:val="0"/>
          <w:sz w:val="24"/>
          <w:highlight w:val="none"/>
          <w:lang w:eastAsia="zh-CN"/>
        </w:rPr>
        <w:t>，</w:t>
      </w:r>
      <w:r>
        <w:rPr>
          <w:rFonts w:hint="eastAsia" w:ascii="宋体" w:hAnsi="宋体" w:eastAsia="宋体" w:cs="宋体"/>
          <w:snapToGrid w:val="0"/>
          <w:color w:val="auto"/>
          <w:kern w:val="0"/>
          <w:sz w:val="24"/>
          <w:highlight w:val="none"/>
        </w:rPr>
        <w:t>服从现场管理</w:t>
      </w:r>
      <w:r>
        <w:rPr>
          <w:rFonts w:hint="eastAsia" w:ascii="宋体" w:hAnsi="宋体" w:eastAsia="宋体" w:cs="宋体"/>
          <w:snapToGrid w:val="0"/>
          <w:color w:val="auto"/>
          <w:kern w:val="0"/>
          <w:sz w:val="24"/>
          <w:highlight w:val="none"/>
          <w:lang w:eastAsia="zh-CN"/>
        </w:rPr>
        <w:t>。</w:t>
      </w:r>
      <w:r>
        <w:rPr>
          <w:rFonts w:hint="eastAsia" w:ascii="宋体" w:hAnsi="宋体" w:eastAsia="宋体" w:cs="宋体"/>
          <w:snapToGrid w:val="0"/>
          <w:color w:val="auto"/>
          <w:kern w:val="0"/>
          <w:sz w:val="24"/>
          <w:highlight w:val="none"/>
        </w:rPr>
        <w:t>采用远程异地评标方式评标的</w:t>
      </w:r>
      <w:r>
        <w:rPr>
          <w:rFonts w:hint="eastAsia" w:ascii="宋体" w:hAnsi="宋体" w:eastAsia="宋体" w:cs="宋体"/>
          <w:snapToGrid w:val="0"/>
          <w:color w:val="auto"/>
          <w:kern w:val="0"/>
          <w:sz w:val="24"/>
          <w:highlight w:val="none"/>
          <w:lang w:eastAsia="zh-CN"/>
        </w:rPr>
        <w:t>，</w:t>
      </w:r>
      <w:r>
        <w:rPr>
          <w:rFonts w:hint="eastAsia" w:ascii="宋体" w:hAnsi="宋体" w:eastAsia="宋体" w:cs="宋体"/>
          <w:snapToGrid w:val="0"/>
          <w:color w:val="auto"/>
          <w:kern w:val="0"/>
          <w:sz w:val="24"/>
          <w:highlight w:val="none"/>
        </w:rPr>
        <w:t>主场、副场各自负责本场所</w:t>
      </w:r>
      <w:r>
        <w:rPr>
          <w:rFonts w:hint="eastAsia" w:ascii="宋体" w:hAnsi="宋体" w:eastAsia="宋体" w:cs="宋体"/>
          <w:snapToGrid w:val="0"/>
          <w:color w:val="auto"/>
          <w:kern w:val="0"/>
          <w:sz w:val="24"/>
          <w:highlight w:val="none"/>
          <w:lang w:eastAsia="zh-CN"/>
        </w:rPr>
        <w:t>评标委员会</w:t>
      </w:r>
      <w:r>
        <w:rPr>
          <w:rFonts w:hint="eastAsia" w:ascii="宋体" w:hAnsi="宋体" w:eastAsia="宋体" w:cs="宋体"/>
          <w:snapToGrid w:val="0"/>
          <w:color w:val="auto"/>
          <w:kern w:val="0"/>
          <w:sz w:val="24"/>
          <w:highlight w:val="none"/>
        </w:rPr>
        <w:t>成员身份核验和签到工作，统一保管其通讯工具，指引评标专家至远程异地评标室，并为其提供技术协助和服务。在评标过程中如遇评标专家对投标文件存在疑问或意见分歧的，应由</w:t>
      </w:r>
      <w:r>
        <w:rPr>
          <w:rFonts w:hint="eastAsia" w:ascii="宋体" w:hAnsi="宋体" w:eastAsia="宋体" w:cs="宋体"/>
          <w:snapToGrid w:val="0"/>
          <w:color w:val="auto"/>
          <w:kern w:val="0"/>
          <w:sz w:val="24"/>
          <w:highlight w:val="none"/>
          <w:lang w:eastAsia="zh-CN"/>
        </w:rPr>
        <w:t>评标委员会</w:t>
      </w:r>
      <w:r>
        <w:rPr>
          <w:rFonts w:hint="eastAsia" w:ascii="宋体" w:hAnsi="宋体" w:eastAsia="宋体" w:cs="宋体"/>
          <w:snapToGrid w:val="0"/>
          <w:color w:val="auto"/>
          <w:kern w:val="0"/>
          <w:sz w:val="24"/>
          <w:highlight w:val="none"/>
        </w:rPr>
        <w:t>成员推举产生</w:t>
      </w:r>
      <w:r>
        <w:rPr>
          <w:rFonts w:hint="eastAsia" w:ascii="宋体" w:hAnsi="宋体" w:eastAsia="宋体" w:cs="宋体"/>
          <w:snapToGrid w:val="0"/>
          <w:color w:val="auto"/>
          <w:kern w:val="0"/>
          <w:sz w:val="24"/>
          <w:highlight w:val="none"/>
          <w:lang w:eastAsia="zh-CN"/>
        </w:rPr>
        <w:t>的评标委员会组长</w:t>
      </w:r>
      <w:r>
        <w:rPr>
          <w:rFonts w:hint="eastAsia" w:ascii="宋体" w:hAnsi="宋体" w:eastAsia="宋体" w:cs="宋体"/>
          <w:snapToGrid w:val="0"/>
          <w:color w:val="auto"/>
          <w:kern w:val="0"/>
          <w:sz w:val="24"/>
          <w:highlight w:val="none"/>
        </w:rPr>
        <w:t>组织</w:t>
      </w:r>
      <w:r>
        <w:rPr>
          <w:rFonts w:hint="eastAsia" w:ascii="宋体" w:hAnsi="宋体" w:eastAsia="宋体" w:cs="宋体"/>
          <w:snapToGrid w:val="0"/>
          <w:color w:val="auto"/>
          <w:kern w:val="0"/>
          <w:sz w:val="24"/>
          <w:highlight w:val="none"/>
          <w:lang w:eastAsia="zh-CN"/>
        </w:rPr>
        <w:t>各</w:t>
      </w:r>
      <w:r>
        <w:rPr>
          <w:rFonts w:hint="eastAsia" w:ascii="宋体" w:hAnsi="宋体" w:eastAsia="宋体" w:cs="宋体"/>
          <w:snapToGrid w:val="0"/>
          <w:color w:val="auto"/>
          <w:kern w:val="0"/>
          <w:sz w:val="24"/>
          <w:highlight w:val="none"/>
        </w:rPr>
        <w:t>成员协商讨论。在评标过程中需要进行讨论或者通过实名投票方式表决意见的，应当通过视频会议系统进行，并做好相关记录。</w:t>
      </w:r>
    </w:p>
    <w:p w14:paraId="34609F4C">
      <w:pPr>
        <w:keepNext w:val="0"/>
        <w:keepLines w:val="0"/>
        <w:pageBreakBefore w:val="0"/>
        <w:shd w:val="clear" w:color="auto" w:fill="auto"/>
        <w:kinsoku/>
        <w:wordWrap/>
        <w:overflowPunct/>
        <w:topLinePunct w:val="0"/>
        <w:bidi w:val="0"/>
        <w:adjustRightInd/>
        <w:snapToGrid/>
        <w:spacing w:line="340" w:lineRule="exact"/>
        <w:ind w:left="0" w:leftChars="0" w:firstLine="474"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b/>
          <w:bCs/>
          <w:color w:val="auto"/>
          <w:sz w:val="24"/>
          <w:highlight w:val="none"/>
          <w:lang w:val="en-US" w:eastAsia="zh-CN"/>
        </w:rPr>
        <w:t>15.1.3 评</w:t>
      </w:r>
      <w:r>
        <w:rPr>
          <w:rFonts w:hint="eastAsia" w:ascii="宋体" w:hAnsi="宋体" w:eastAsia="宋体" w:cs="宋体"/>
          <w:color w:val="auto"/>
          <w:sz w:val="24"/>
          <w:highlight w:val="none"/>
          <w:lang w:eastAsia="zh-CN"/>
        </w:rPr>
        <w:t>标委员会应</w:t>
      </w:r>
      <w:r>
        <w:rPr>
          <w:rFonts w:hint="eastAsia" w:ascii="宋体" w:hAnsi="宋体" w:eastAsia="宋体" w:cs="宋体"/>
          <w:color w:val="auto"/>
          <w:sz w:val="24"/>
          <w:highlight w:val="none"/>
        </w:rPr>
        <w:t>严格按照招标文件的评标办法规定的评标程序、评标标准和方法进行评标，招标文件没有规定的评标标准和方法不得作为评标的依据。</w:t>
      </w:r>
      <w:r>
        <w:rPr>
          <w:rFonts w:hint="eastAsia" w:ascii="宋体" w:hAnsi="宋体" w:eastAsia="宋体" w:cs="宋体"/>
          <w:color w:val="auto"/>
          <w:sz w:val="24"/>
          <w:highlight w:val="none"/>
          <w:lang w:eastAsia="zh-CN"/>
        </w:rPr>
        <w:t>评标委员会应</w:t>
      </w:r>
      <w:r>
        <w:rPr>
          <w:rFonts w:hint="eastAsia" w:ascii="宋体" w:hAnsi="宋体" w:eastAsia="宋体" w:cs="宋体"/>
          <w:color w:val="auto"/>
          <w:sz w:val="24"/>
          <w:highlight w:val="none"/>
        </w:rPr>
        <w:t>自觉接受有关行政部门监督，</w:t>
      </w:r>
      <w:r>
        <w:rPr>
          <w:rFonts w:hint="eastAsia" w:ascii="宋体" w:hAnsi="宋体" w:eastAsia="宋体" w:cs="宋体"/>
          <w:color w:val="auto"/>
          <w:sz w:val="24"/>
          <w:highlight w:val="none"/>
          <w:lang w:eastAsia="zh-CN"/>
        </w:rPr>
        <w:t>配合处理</w:t>
      </w:r>
      <w:r>
        <w:rPr>
          <w:rFonts w:hint="eastAsia" w:ascii="宋体" w:hAnsi="宋体" w:eastAsia="宋体" w:cs="宋体"/>
          <w:color w:val="auto"/>
          <w:sz w:val="24"/>
          <w:highlight w:val="none"/>
        </w:rPr>
        <w:t>有关异议和</w:t>
      </w:r>
      <w:r>
        <w:rPr>
          <w:rFonts w:hint="eastAsia" w:ascii="宋体" w:hAnsi="宋体" w:eastAsia="宋体" w:cs="宋体"/>
          <w:color w:val="auto"/>
          <w:sz w:val="24"/>
          <w:highlight w:val="none"/>
          <w:lang w:eastAsia="zh-CN"/>
        </w:rPr>
        <w:t>投诉</w:t>
      </w:r>
      <w:r>
        <w:rPr>
          <w:rFonts w:hint="eastAsia" w:ascii="宋体" w:hAnsi="宋体" w:eastAsia="宋体" w:cs="宋体"/>
          <w:color w:val="auto"/>
          <w:sz w:val="24"/>
          <w:highlight w:val="none"/>
        </w:rPr>
        <w:t>。采用远程异地评标方式评标的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主场、副场评标专家在评标过程中具有同等权利和</w:t>
      </w:r>
      <w:r>
        <w:rPr>
          <w:rFonts w:hint="eastAsia" w:ascii="宋体" w:hAnsi="宋体" w:eastAsia="宋体" w:cs="宋体"/>
          <w:color w:val="auto"/>
          <w:sz w:val="24"/>
          <w:highlight w:val="none"/>
          <w:lang w:eastAsia="zh-CN"/>
        </w:rPr>
        <w:t>义务。</w:t>
      </w:r>
    </w:p>
    <w:p w14:paraId="15C81B7D">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val="en-US" w:eastAsia="zh-CN"/>
        </w:rPr>
        <w:t>15.1.4</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应切实履行评标职责，对同一个问题不一致的，按程序要求记录。</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实行少数服从多数的原则，以记名投票方式表决，评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结果经</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全体成员过半数通过有效。</w:t>
      </w:r>
    </w:p>
    <w:p w14:paraId="2691AA18">
      <w:pPr>
        <w:wordWrap w:val="0"/>
        <w:adjustRightInd w:val="0"/>
        <w:snapToGrid w:val="0"/>
        <w:spacing w:line="360" w:lineRule="auto"/>
        <w:ind w:firstLine="560"/>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val="en-US" w:eastAsia="zh-CN"/>
        </w:rPr>
        <w:t>15.1.5 评</w:t>
      </w:r>
      <w:r>
        <w:rPr>
          <w:rFonts w:hint="eastAsia" w:ascii="宋体" w:hAnsi="宋体" w:eastAsia="宋体" w:cs="宋体"/>
          <w:color w:val="auto"/>
          <w:sz w:val="24"/>
          <w:highlight w:val="none"/>
          <w:lang w:eastAsia="zh-CN"/>
        </w:rPr>
        <w:t>标委员会</w:t>
      </w:r>
      <w:r>
        <w:rPr>
          <w:rFonts w:hint="eastAsia" w:ascii="宋体" w:hAnsi="宋体" w:eastAsia="宋体" w:cs="宋体"/>
          <w:color w:val="auto"/>
          <w:sz w:val="24"/>
          <w:highlight w:val="none"/>
        </w:rPr>
        <w:t>成员应当独立、客观、公正地对投标文件提出评审意见，对评审结果签字确认，并对所提出的评审意见承担个人责任。禁止</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成员将个人意见强加给他人，影响正常评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秩序和妨碍评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结论的公正性。对评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结果有不同意见的</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成员应当以书面形式说明其不同意见和理由，</w:t>
      </w:r>
      <w:r>
        <w:rPr>
          <w:rFonts w:hint="eastAsia" w:ascii="宋体" w:hAnsi="宋体" w:eastAsia="宋体" w:cs="宋体"/>
          <w:color w:val="auto"/>
          <w:sz w:val="24"/>
          <w:highlight w:val="none"/>
          <w:lang w:eastAsia="zh-CN"/>
        </w:rPr>
        <w:t>资格后审报告（</w:t>
      </w:r>
      <w:r>
        <w:rPr>
          <w:rFonts w:hint="eastAsia" w:ascii="宋体" w:hAnsi="宋体" w:eastAsia="宋体" w:cs="宋体"/>
          <w:color w:val="auto"/>
          <w:sz w:val="24"/>
          <w:highlight w:val="none"/>
        </w:rPr>
        <w:t>评标报告</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应当注明该不同意见。</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成员拒绝在</w:t>
      </w:r>
      <w:r>
        <w:rPr>
          <w:rFonts w:hint="eastAsia" w:ascii="宋体" w:hAnsi="宋体" w:eastAsia="宋体" w:cs="宋体"/>
          <w:color w:val="auto"/>
          <w:sz w:val="24"/>
          <w:highlight w:val="none"/>
          <w:lang w:eastAsia="zh-CN"/>
        </w:rPr>
        <w:t>资格后审报告（</w:t>
      </w:r>
      <w:r>
        <w:rPr>
          <w:rFonts w:hint="eastAsia" w:ascii="宋体" w:hAnsi="宋体" w:eastAsia="宋体" w:cs="宋体"/>
          <w:color w:val="auto"/>
          <w:sz w:val="24"/>
          <w:highlight w:val="none"/>
        </w:rPr>
        <w:t>评标报告</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上签字又不书面说明其不同意见和理由的，视为同意评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结果。</w:t>
      </w:r>
    </w:p>
    <w:p w14:paraId="71525F17">
      <w:pPr>
        <w:wordWrap w:val="0"/>
        <w:adjustRightInd w:val="0"/>
        <w:snapToGrid w:val="0"/>
        <w:spacing w:line="360" w:lineRule="auto"/>
        <w:ind w:firstLine="560"/>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15.2 评</w:t>
      </w:r>
      <w:r>
        <w:rPr>
          <w:rFonts w:hint="eastAsia" w:ascii="宋体" w:hAnsi="宋体" w:eastAsia="宋体" w:cs="宋体"/>
          <w:b/>
          <w:color w:val="auto"/>
          <w:sz w:val="24"/>
          <w:highlight w:val="none"/>
        </w:rPr>
        <w:t>标过程的回避</w:t>
      </w:r>
    </w:p>
    <w:p w14:paraId="6E04259D">
      <w:pPr>
        <w:spacing w:before="32" w:line="280" w:lineRule="auto"/>
        <w:ind w:left="13" w:right="7" w:firstLine="56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lang w:val="en-US" w:eastAsia="zh-CN"/>
        </w:rPr>
        <w:t>15.2.1 评</w:t>
      </w:r>
      <w:r>
        <w:rPr>
          <w:rFonts w:hint="eastAsia" w:ascii="宋体" w:hAnsi="宋体" w:eastAsia="宋体" w:cs="宋体"/>
          <w:color w:val="auto"/>
          <w:spacing w:val="-2"/>
          <w:sz w:val="24"/>
          <w:szCs w:val="24"/>
          <w:highlight w:val="none"/>
        </w:rPr>
        <w:t>标委员会应认真、公正、诚实、廉洁地履行职责。有下列情形之一的，不得担任评标委员会成员：</w:t>
      </w:r>
    </w:p>
    <w:p w14:paraId="5B6D30EB">
      <w:pPr>
        <w:spacing w:before="154" w:line="220"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（1）投标人或投标人主要负责人的近亲属；</w:t>
      </w:r>
    </w:p>
    <w:p w14:paraId="311A3C6A">
      <w:pPr>
        <w:spacing w:before="153" w:line="220"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（2）项目主管部门或者行政监督部门的人员；</w:t>
      </w:r>
    </w:p>
    <w:p w14:paraId="5160DFA2">
      <w:pPr>
        <w:spacing w:before="155" w:line="221"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（3）与投标人有经济利益关系，可能影响对投标公正评审的；</w:t>
      </w:r>
    </w:p>
    <w:p w14:paraId="62119D0A">
      <w:pPr>
        <w:spacing w:before="153" w:line="279" w:lineRule="auto"/>
        <w:ind w:left="8" w:right="65" w:firstLine="57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（4）曾因在招标、评标以及其他与招标投标有关活动中从事违法行为而受过行政处罚或刑事处罚的。</w:t>
      </w:r>
    </w:p>
    <w:p w14:paraId="39AEDCC3">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15.2.2 评</w:t>
      </w:r>
      <w:r>
        <w:rPr>
          <w:rFonts w:hint="eastAsia" w:ascii="宋体" w:hAnsi="宋体" w:eastAsia="宋体" w:cs="宋体"/>
          <w:b w:val="0"/>
          <w:bCs w:val="0"/>
          <w:color w:val="auto"/>
          <w:sz w:val="24"/>
          <w:highlight w:val="none"/>
          <w:lang w:eastAsia="zh-CN"/>
        </w:rPr>
        <w:t>标委员会</w:t>
      </w:r>
      <w:r>
        <w:rPr>
          <w:rFonts w:hint="eastAsia" w:ascii="宋体" w:hAnsi="宋体" w:eastAsia="宋体" w:cs="宋体"/>
          <w:color w:val="auto"/>
          <w:sz w:val="24"/>
          <w:highlight w:val="none"/>
        </w:rPr>
        <w:t>专家不主动提出回避的，一经发现，应立即终止其评标活动，已完成评标活动的，其评标结果无效。</w:t>
      </w:r>
    </w:p>
    <w:p w14:paraId="1642B4B0">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b/>
          <w:color w:val="auto"/>
          <w:sz w:val="24"/>
          <w:highlight w:val="none"/>
        </w:rPr>
      </w:pPr>
      <w:r>
        <w:rPr>
          <w:rFonts w:hint="eastAsia" w:ascii="宋体" w:hAnsi="宋体" w:cs="宋体"/>
          <w:b/>
          <w:bCs/>
          <w:snapToGrid w:val="0"/>
          <w:color w:val="auto"/>
          <w:kern w:val="0"/>
          <w:sz w:val="24"/>
          <w:highlight w:val="none"/>
          <w:lang w:val="en-US" w:eastAsia="zh-CN"/>
        </w:rPr>
        <w:t>15.3</w:t>
      </w:r>
      <w:r>
        <w:rPr>
          <w:rFonts w:hint="eastAsia" w:ascii="宋体" w:hAnsi="宋体" w:cs="宋体"/>
          <w:snapToGrid w:val="0"/>
          <w:color w:val="auto"/>
          <w:kern w:val="0"/>
          <w:sz w:val="24"/>
          <w:highlight w:val="none"/>
        </w:rPr>
        <w:t xml:space="preserve"> </w:t>
      </w:r>
      <w:r>
        <w:rPr>
          <w:rFonts w:hint="eastAsia" w:ascii="宋体" w:hAnsi="宋体" w:eastAsia="宋体" w:cs="宋体"/>
          <w:b/>
          <w:color w:val="auto"/>
          <w:sz w:val="24"/>
          <w:highlight w:val="none"/>
        </w:rPr>
        <w:t>评标过程的保密</w:t>
      </w:r>
    </w:p>
    <w:p w14:paraId="163002D0">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15.3.1</w:t>
      </w:r>
      <w:r>
        <w:rPr>
          <w:rFonts w:hint="eastAsia" w:ascii="宋体" w:hAnsi="宋体" w:eastAsia="宋体" w:cs="宋体"/>
          <w:color w:val="auto"/>
          <w:kern w:val="0"/>
          <w:sz w:val="24"/>
          <w:highlight w:val="none"/>
        </w:rPr>
        <w:t xml:space="preserve"> 开标后，直至授予中标人合同为止，凡属于对</w:t>
      </w:r>
      <w:r>
        <w:rPr>
          <w:rFonts w:hint="eastAsia" w:ascii="宋体" w:hAnsi="宋体" w:eastAsia="宋体" w:cs="宋体"/>
          <w:color w:val="auto"/>
          <w:kern w:val="0"/>
          <w:sz w:val="24"/>
          <w:highlight w:val="none"/>
          <w:lang w:eastAsia="zh-CN"/>
        </w:rPr>
        <w:t>投标</w:t>
      </w:r>
      <w:r>
        <w:rPr>
          <w:rFonts w:hint="eastAsia" w:ascii="宋体" w:hAnsi="宋体" w:eastAsia="宋体" w:cs="宋体"/>
          <w:color w:val="auto"/>
          <w:kern w:val="0"/>
          <w:sz w:val="24"/>
          <w:highlight w:val="none"/>
        </w:rPr>
        <w:t>文件的审查、澄清、评价和比较有关的资料</w:t>
      </w:r>
      <w:r>
        <w:rPr>
          <w:rFonts w:hint="eastAsia" w:ascii="宋体" w:hAnsi="宋体" w:eastAsia="宋体" w:cs="宋体"/>
          <w:color w:val="auto"/>
          <w:kern w:val="0"/>
          <w:sz w:val="24"/>
          <w:highlight w:val="none"/>
          <w:lang w:eastAsia="zh-CN"/>
        </w:rPr>
        <w:t>，以及</w:t>
      </w:r>
      <w:r>
        <w:rPr>
          <w:rFonts w:hint="eastAsia" w:ascii="宋体" w:hAnsi="宋体" w:eastAsia="宋体" w:cs="宋体"/>
          <w:color w:val="auto"/>
          <w:kern w:val="0"/>
          <w:sz w:val="24"/>
          <w:highlight w:val="none"/>
        </w:rPr>
        <w:t>与中标候选人的推荐情况</w:t>
      </w:r>
      <w:r>
        <w:rPr>
          <w:rFonts w:hint="eastAsia" w:ascii="宋体" w:hAnsi="宋体" w:eastAsia="宋体" w:cs="宋体"/>
          <w:color w:val="auto"/>
          <w:kern w:val="0"/>
          <w:sz w:val="24"/>
          <w:highlight w:val="none"/>
          <w:lang w:eastAsia="zh-CN"/>
        </w:rPr>
        <w:t>和</w:t>
      </w:r>
      <w:r>
        <w:rPr>
          <w:rFonts w:hint="eastAsia" w:ascii="宋体" w:hAnsi="宋体" w:eastAsia="宋体" w:cs="宋体"/>
          <w:color w:val="auto"/>
          <w:kern w:val="0"/>
          <w:sz w:val="24"/>
          <w:highlight w:val="none"/>
        </w:rPr>
        <w:t>与评标有关的</w:t>
      </w:r>
      <w:r>
        <w:rPr>
          <w:rFonts w:hint="eastAsia" w:ascii="宋体" w:hAnsi="宋体" w:eastAsia="宋体" w:cs="宋体"/>
          <w:color w:val="auto"/>
          <w:kern w:val="0"/>
          <w:sz w:val="24"/>
          <w:highlight w:val="none"/>
          <w:lang w:eastAsia="zh-CN"/>
        </w:rPr>
        <w:t>其他</w:t>
      </w:r>
      <w:r>
        <w:rPr>
          <w:rFonts w:hint="eastAsia" w:ascii="宋体" w:hAnsi="宋体" w:eastAsia="宋体" w:cs="宋体"/>
          <w:color w:val="auto"/>
          <w:kern w:val="0"/>
          <w:sz w:val="24"/>
          <w:highlight w:val="none"/>
          <w:lang w:val="en-US" w:eastAsia="zh-CN"/>
        </w:rPr>
        <w:t>任何</w:t>
      </w:r>
      <w:r>
        <w:rPr>
          <w:rFonts w:hint="eastAsia" w:ascii="宋体" w:hAnsi="宋体" w:eastAsia="宋体" w:cs="宋体"/>
          <w:color w:val="auto"/>
          <w:kern w:val="0"/>
          <w:sz w:val="24"/>
          <w:highlight w:val="none"/>
        </w:rPr>
        <w:t>情况</w:t>
      </w:r>
      <w:r>
        <w:rPr>
          <w:rFonts w:hint="eastAsia" w:ascii="宋体" w:hAnsi="宋体" w:eastAsia="宋体" w:cs="宋体"/>
          <w:color w:val="auto"/>
          <w:kern w:val="0"/>
          <w:sz w:val="24"/>
          <w:highlight w:val="none"/>
          <w:lang w:eastAsia="zh-CN"/>
        </w:rPr>
        <w:t>，均</w:t>
      </w:r>
      <w:r>
        <w:rPr>
          <w:rFonts w:hint="eastAsia" w:ascii="宋体" w:hAnsi="宋体" w:eastAsia="宋体" w:cs="宋体"/>
          <w:color w:val="auto"/>
          <w:kern w:val="0"/>
          <w:sz w:val="24"/>
          <w:highlight w:val="none"/>
        </w:rPr>
        <w:t>应严格保密。</w:t>
      </w:r>
    </w:p>
    <w:p w14:paraId="4694A313">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15.3.2</w:t>
      </w:r>
      <w:r>
        <w:rPr>
          <w:rFonts w:hint="eastAsia" w:ascii="宋体" w:hAnsi="宋体" w:eastAsia="宋体" w:cs="宋体"/>
          <w:color w:val="auto"/>
          <w:kern w:val="0"/>
          <w:sz w:val="24"/>
          <w:highlight w:val="none"/>
        </w:rPr>
        <w:t xml:space="preserve"> 在投标文件的评审和比较、中标候选人推荐以及授予合同的过程中，投标人向招标人和评标委员会施加影响的任何行为，都将会导致其投标被拒绝。</w:t>
      </w:r>
    </w:p>
    <w:p w14:paraId="3745944F">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15.3.3 中标人</w:t>
      </w:r>
      <w:r>
        <w:rPr>
          <w:rFonts w:hint="eastAsia" w:ascii="宋体" w:hAnsi="宋体" w:eastAsia="宋体" w:cs="宋体"/>
          <w:color w:val="auto"/>
          <w:kern w:val="0"/>
          <w:sz w:val="24"/>
          <w:highlight w:val="none"/>
        </w:rPr>
        <w:t>确定后，招标人不对未中标人就评标过程以及未能中标原因作出任何解释。未中标人不得向评标委员会组成人员或其他有关人员索问评标过程的情况和材料。</w:t>
      </w:r>
    </w:p>
    <w:p w14:paraId="4433A9EB">
      <w:pPr>
        <w:spacing w:before="154" w:line="279" w:lineRule="auto"/>
        <w:ind w:left="8" w:right="65"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lang w:val="en-US" w:eastAsia="zh-CN"/>
        </w:rPr>
        <w:t>15.3.4</w:t>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评标全过程实行封闭式管理，在中标结果公</w:t>
      </w:r>
      <w:r>
        <w:rPr>
          <w:rFonts w:hint="eastAsia" w:ascii="宋体" w:hAnsi="宋体" w:eastAsia="宋体" w:cs="宋体"/>
          <w:color w:val="auto"/>
          <w:spacing w:val="-2"/>
          <w:sz w:val="24"/>
          <w:szCs w:val="24"/>
          <w:highlight w:val="none"/>
        </w:rPr>
        <w:t>布前，禁止评标委员会成员以</w:t>
      </w:r>
      <w:r>
        <w:rPr>
          <w:rFonts w:hint="eastAsia" w:ascii="宋体" w:hAnsi="宋体" w:eastAsia="宋体" w:cs="宋体"/>
          <w:color w:val="auto"/>
          <w:spacing w:val="-1"/>
          <w:sz w:val="24"/>
          <w:szCs w:val="24"/>
          <w:highlight w:val="none"/>
        </w:rPr>
        <w:t>任何方式私下接触投标人。</w:t>
      </w:r>
    </w:p>
    <w:p w14:paraId="103791E4">
      <w:pPr>
        <w:spacing w:before="157" w:line="298" w:lineRule="auto"/>
        <w:ind w:left="11" w:right="65"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15.</w:t>
      </w:r>
      <w:r>
        <w:rPr>
          <w:rFonts w:hint="eastAsia" w:ascii="宋体" w:hAnsi="宋体" w:eastAsia="宋体" w:cs="宋体"/>
          <w:b/>
          <w:bCs/>
          <w:color w:val="auto"/>
          <w:spacing w:val="-1"/>
          <w:sz w:val="24"/>
          <w:szCs w:val="24"/>
          <w:highlight w:val="none"/>
          <w:lang w:val="en-US" w:eastAsia="zh-CN"/>
        </w:rPr>
        <w:t>3.5 在</w:t>
      </w:r>
      <w:r>
        <w:rPr>
          <w:rFonts w:hint="eastAsia" w:ascii="宋体" w:hAnsi="宋体" w:eastAsia="宋体" w:cs="宋体"/>
          <w:color w:val="auto"/>
          <w:spacing w:val="-1"/>
          <w:sz w:val="24"/>
          <w:szCs w:val="24"/>
          <w:highlight w:val="none"/>
        </w:rPr>
        <w:t>评标过程中，评标委员会可以书面形式要</w:t>
      </w:r>
      <w:r>
        <w:rPr>
          <w:rFonts w:hint="eastAsia" w:ascii="宋体" w:hAnsi="宋体" w:eastAsia="宋体" w:cs="宋体"/>
          <w:color w:val="auto"/>
          <w:spacing w:val="-2"/>
          <w:sz w:val="24"/>
          <w:szCs w:val="24"/>
          <w:highlight w:val="none"/>
        </w:rPr>
        <w:t>求投标人对所提交的投标文件</w:t>
      </w:r>
      <w:r>
        <w:rPr>
          <w:rFonts w:hint="eastAsia" w:ascii="宋体" w:hAnsi="宋体" w:eastAsia="宋体" w:cs="宋体"/>
          <w:color w:val="auto"/>
          <w:spacing w:val="-1"/>
          <w:sz w:val="24"/>
          <w:szCs w:val="24"/>
          <w:highlight w:val="none"/>
        </w:rPr>
        <w:t>中不明确的内容进行书面澄清或说明，但不接受投标人主</w:t>
      </w:r>
      <w:r>
        <w:rPr>
          <w:rFonts w:hint="eastAsia" w:ascii="宋体" w:hAnsi="宋体" w:eastAsia="宋体" w:cs="宋体"/>
          <w:color w:val="auto"/>
          <w:spacing w:val="-2"/>
          <w:sz w:val="24"/>
          <w:szCs w:val="24"/>
          <w:highlight w:val="none"/>
        </w:rPr>
        <w:t>动提出的澄清或说明。投标</w:t>
      </w:r>
      <w:r>
        <w:rPr>
          <w:rFonts w:hint="eastAsia" w:ascii="宋体" w:hAnsi="宋体" w:eastAsia="宋体" w:cs="宋体"/>
          <w:color w:val="auto"/>
          <w:spacing w:val="-1"/>
          <w:sz w:val="24"/>
          <w:szCs w:val="24"/>
          <w:highlight w:val="none"/>
        </w:rPr>
        <w:t>人的书面澄清或说明不得改变投标文件的实质性内容，并</w:t>
      </w:r>
      <w:r>
        <w:rPr>
          <w:rFonts w:hint="eastAsia" w:ascii="宋体" w:hAnsi="宋体" w:eastAsia="宋体" w:cs="宋体"/>
          <w:color w:val="auto"/>
          <w:spacing w:val="-2"/>
          <w:sz w:val="24"/>
          <w:szCs w:val="24"/>
          <w:highlight w:val="none"/>
        </w:rPr>
        <w:t>作为投标文件的组成部分。</w:t>
      </w:r>
    </w:p>
    <w:p w14:paraId="4EE9F1E7">
      <w:pPr>
        <w:spacing w:before="156" w:line="309" w:lineRule="auto"/>
        <w:ind w:left="8" w:right="65" w:firstLine="569"/>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3.6</w:t>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在任何评标环节中，当评标委员会就某</w:t>
      </w:r>
      <w:r>
        <w:rPr>
          <w:rFonts w:hint="eastAsia" w:ascii="宋体" w:hAnsi="宋体" w:eastAsia="宋体" w:cs="宋体"/>
          <w:color w:val="auto"/>
          <w:spacing w:val="-4"/>
          <w:sz w:val="24"/>
          <w:szCs w:val="24"/>
          <w:highlight w:val="none"/>
        </w:rPr>
        <w:t>项定性的评审结论不统一、需要做</w:t>
      </w:r>
      <w:r>
        <w:rPr>
          <w:rFonts w:hint="eastAsia" w:ascii="宋体" w:hAnsi="宋体" w:eastAsia="宋体" w:cs="宋体"/>
          <w:color w:val="auto"/>
          <w:spacing w:val="-1"/>
          <w:sz w:val="24"/>
          <w:szCs w:val="24"/>
          <w:highlight w:val="none"/>
        </w:rPr>
        <w:t>出表决时，由评标委员会全体成员按照少数服从多数的原则，以</w:t>
      </w:r>
      <w:r>
        <w:rPr>
          <w:rFonts w:hint="eastAsia" w:ascii="宋体" w:hAnsi="宋体" w:eastAsia="宋体" w:cs="宋体"/>
          <w:color w:val="auto"/>
          <w:spacing w:val="-2"/>
          <w:sz w:val="24"/>
          <w:szCs w:val="24"/>
          <w:highlight w:val="none"/>
        </w:rPr>
        <w:t>记名投票方式表决。</w:t>
      </w:r>
      <w:r>
        <w:rPr>
          <w:rFonts w:hint="eastAsia" w:ascii="宋体" w:hAnsi="宋体" w:eastAsia="宋体" w:cs="宋体"/>
          <w:color w:val="auto"/>
          <w:spacing w:val="-1"/>
          <w:sz w:val="24"/>
          <w:szCs w:val="24"/>
          <w:highlight w:val="none"/>
        </w:rPr>
        <w:t>评标委员会全体成员应共同遵守和执行表决结果，严禁评标委员</w:t>
      </w:r>
      <w:r>
        <w:rPr>
          <w:rFonts w:hint="eastAsia" w:ascii="宋体" w:hAnsi="宋体" w:eastAsia="宋体" w:cs="宋体"/>
          <w:color w:val="auto"/>
          <w:spacing w:val="-2"/>
          <w:sz w:val="24"/>
          <w:szCs w:val="24"/>
          <w:highlight w:val="none"/>
        </w:rPr>
        <w:t>会任何成员将个人意</w:t>
      </w:r>
      <w:r>
        <w:rPr>
          <w:rFonts w:hint="eastAsia" w:ascii="宋体" w:hAnsi="宋体" w:eastAsia="宋体" w:cs="宋体"/>
          <w:color w:val="auto"/>
          <w:spacing w:val="-1"/>
          <w:sz w:val="24"/>
          <w:szCs w:val="24"/>
          <w:highlight w:val="none"/>
        </w:rPr>
        <w:t>见强加给他人</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影响评标正常秩序</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妨碍评审结论的公正性。</w:t>
      </w:r>
    </w:p>
    <w:p w14:paraId="43D102BA">
      <w:pPr>
        <w:spacing w:before="79" w:line="221" w:lineRule="auto"/>
        <w:ind w:left="577"/>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2"/>
          <w:sz w:val="24"/>
          <w:szCs w:val="24"/>
          <w:highlight w:val="none"/>
          <w:lang w:eastAsia="zh-CN"/>
        </w:rPr>
        <w:t>4</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评标方法</w:t>
      </w:r>
    </w:p>
    <w:p w14:paraId="6D924BEF">
      <w:pPr>
        <w:spacing w:before="78" w:line="326" w:lineRule="auto"/>
        <w:ind w:left="231" w:right="181" w:firstLine="560"/>
        <w:rPr>
          <w:rFonts w:hint="eastAsia" w:ascii="宋体" w:hAnsi="宋体" w:eastAsia="宋体" w:cs="宋体"/>
          <w:color w:val="auto"/>
          <w:highlight w:val="none"/>
        </w:rPr>
      </w:pPr>
      <w:bookmarkStart w:id="93" w:name="bookmark125"/>
      <w:bookmarkEnd w:id="93"/>
      <w:r>
        <w:rPr>
          <w:rFonts w:hint="eastAsia" w:ascii="宋体" w:hAnsi="宋体" w:eastAsia="宋体" w:cs="宋体"/>
          <w:color w:val="auto"/>
          <w:spacing w:val="-4"/>
          <w:sz w:val="24"/>
          <w:szCs w:val="24"/>
          <w:highlight w:val="none"/>
        </w:rPr>
        <w:t>根据有关</w:t>
      </w:r>
      <w:r>
        <w:rPr>
          <w:rFonts w:hint="eastAsia" w:ascii="宋体" w:hAnsi="宋体" w:eastAsia="宋体" w:cs="宋体"/>
          <w:color w:val="auto"/>
          <w:spacing w:val="-4"/>
          <w:sz w:val="24"/>
          <w:szCs w:val="24"/>
          <w:highlight w:val="none"/>
          <w:lang w:eastAsia="zh-CN"/>
        </w:rPr>
        <w:t>法律法规</w:t>
      </w:r>
      <w:r>
        <w:rPr>
          <w:rFonts w:hint="eastAsia" w:ascii="宋体" w:hAnsi="宋体" w:eastAsia="宋体" w:cs="宋体"/>
          <w:color w:val="auto"/>
          <w:spacing w:val="-4"/>
          <w:sz w:val="24"/>
          <w:szCs w:val="24"/>
          <w:highlight w:val="none"/>
        </w:rPr>
        <w:t>的相关规定，结合本招标项目资金来源和规模特点，本次招</w:t>
      </w:r>
      <w:r>
        <w:rPr>
          <w:rFonts w:hint="eastAsia" w:ascii="宋体" w:hAnsi="宋体" w:eastAsia="宋体" w:cs="宋体"/>
          <w:color w:val="auto"/>
          <w:spacing w:val="-1"/>
          <w:sz w:val="24"/>
          <w:szCs w:val="24"/>
          <w:highlight w:val="none"/>
        </w:rPr>
        <w:t>标采用</w:t>
      </w:r>
      <w:r>
        <w:rPr>
          <w:rFonts w:hint="eastAsia" w:ascii="宋体" w:hAnsi="宋体" w:eastAsia="宋体" w:cs="宋体"/>
          <w:b/>
          <w:bCs/>
          <w:color w:val="auto"/>
          <w:spacing w:val="-4"/>
          <w:sz w:val="24"/>
          <w:szCs w:val="24"/>
          <w:highlight w:val="none"/>
          <w:u w:val="single"/>
          <w:lang w:eastAsia="zh-CN"/>
        </w:rPr>
        <w:t>综合评分法</w:t>
      </w:r>
      <w:r>
        <w:rPr>
          <w:rFonts w:hint="eastAsia" w:ascii="宋体" w:hAnsi="宋体" w:eastAsia="宋体" w:cs="宋体"/>
          <w:color w:val="auto"/>
          <w:spacing w:val="-1"/>
          <w:sz w:val="24"/>
          <w:szCs w:val="24"/>
          <w:highlight w:val="none"/>
        </w:rPr>
        <w:t>进行评标。</w:t>
      </w:r>
    </w:p>
    <w:p w14:paraId="083CCE6C">
      <w:pPr>
        <w:spacing w:before="154" w:line="269" w:lineRule="auto"/>
        <w:ind w:left="220" w:right="33" w:firstLine="496"/>
        <w:rPr>
          <w:rFonts w:hint="eastAsia" w:ascii="宋体" w:hAnsi="宋体" w:eastAsia="宋体" w:cs="宋体"/>
          <w:color w:val="auto"/>
          <w:sz w:val="25"/>
          <w:szCs w:val="25"/>
          <w:highlight w:val="none"/>
        </w:rPr>
      </w:pPr>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5</w:t>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评审范围：评标委员会应对所有投标人的投标文件进行评审。</w:t>
      </w:r>
    </w:p>
    <w:p w14:paraId="49E70C10">
      <w:pPr>
        <w:spacing w:before="153" w:line="220" w:lineRule="auto"/>
        <w:ind w:left="71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2"/>
          <w:sz w:val="24"/>
          <w:szCs w:val="24"/>
          <w:highlight w:val="none"/>
          <w:lang w:val="en-US" w:eastAsia="zh-CN"/>
        </w:rPr>
        <w:t>6</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初步评审阶段</w:t>
      </w:r>
    </w:p>
    <w:p w14:paraId="5B763A9F">
      <w:pPr>
        <w:spacing w:before="153" w:line="220" w:lineRule="auto"/>
        <w:ind w:left="70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初步评审阶段分为资格评审、形式评审和响应性评审三个环节。</w:t>
      </w:r>
    </w:p>
    <w:p w14:paraId="5EFB8E43">
      <w:pPr>
        <w:spacing w:before="155" w:line="279" w:lineRule="auto"/>
        <w:ind w:left="719" w:right="6303" w:hanging="3"/>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6</w:t>
      </w:r>
      <w:r>
        <w:rPr>
          <w:rFonts w:hint="eastAsia" w:ascii="宋体" w:hAnsi="宋体" w:eastAsia="宋体" w:cs="宋体"/>
          <w:b/>
          <w:bCs/>
          <w:color w:val="auto"/>
          <w:spacing w:val="-3"/>
          <w:sz w:val="24"/>
          <w:szCs w:val="24"/>
          <w:highlight w:val="none"/>
        </w:rPr>
        <w:t>.1</w:t>
      </w:r>
      <w:r>
        <w:rPr>
          <w:rFonts w:hint="eastAsia" w:ascii="宋体" w:hAnsi="宋体" w:eastAsia="宋体" w:cs="宋体"/>
          <w:color w:val="auto"/>
          <w:spacing w:val="-2"/>
          <w:sz w:val="24"/>
          <w:szCs w:val="24"/>
          <w:highlight w:val="none"/>
        </w:rPr>
        <w:t xml:space="preserve"> 资格评审环</w:t>
      </w:r>
      <w:r>
        <w:rPr>
          <w:rFonts w:hint="eastAsia" w:ascii="宋体" w:hAnsi="宋体" w:eastAsia="宋体" w:cs="宋体"/>
          <w:color w:val="auto"/>
          <w:spacing w:val="-3"/>
          <w:sz w:val="24"/>
          <w:szCs w:val="24"/>
          <w:highlight w:val="none"/>
        </w:rPr>
        <w:t>节</w:t>
      </w:r>
      <w:r>
        <w:rPr>
          <w:rFonts w:hint="eastAsia" w:ascii="宋体" w:hAnsi="宋体" w:eastAsia="宋体" w:cs="宋体"/>
          <w:color w:val="auto"/>
          <w:spacing w:val="1"/>
          <w:sz w:val="24"/>
          <w:szCs w:val="24"/>
          <w:highlight w:val="none"/>
        </w:rPr>
        <w:t xml:space="preserve"> </w:t>
      </w:r>
    </w:p>
    <w:p w14:paraId="12AA72C0">
      <w:pPr>
        <w:spacing w:before="155" w:line="279" w:lineRule="auto"/>
        <w:ind w:left="719" w:right="6303" w:hanging="3"/>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资格评审事项包括：</w:t>
      </w:r>
    </w:p>
    <w:p w14:paraId="3C2A7C1E">
      <w:pPr>
        <w:keepNext w:val="0"/>
        <w:keepLines w:val="0"/>
        <w:pageBreakBefore w:val="0"/>
        <w:widowControl/>
        <w:kinsoku w:val="0"/>
        <w:wordWrap/>
        <w:overflowPunct/>
        <w:topLinePunct w:val="0"/>
        <w:autoSpaceDE w:val="0"/>
        <w:autoSpaceDN w:val="0"/>
        <w:bidi w:val="0"/>
        <w:adjustRightInd w:val="0"/>
        <w:snapToGrid w:val="0"/>
        <w:spacing w:line="360" w:lineRule="auto"/>
        <w:ind w:left="232" w:firstLine="488"/>
        <w:textAlignment w:val="baseline"/>
        <w:rPr>
          <w:rFonts w:hint="eastAsia" w:asciiTheme="minorEastAsia" w:hAnsiTheme="minorEastAsia" w:eastAsiaTheme="minorEastAsia" w:cstheme="minorEastAsia"/>
          <w:color w:val="auto"/>
          <w:spacing w:val="-4"/>
          <w:sz w:val="24"/>
          <w:szCs w:val="24"/>
          <w:highlight w:val="none"/>
        </w:rPr>
      </w:pPr>
      <w:bookmarkStart w:id="94" w:name="_Toc22778"/>
      <w:r>
        <w:rPr>
          <w:rFonts w:hint="eastAsia" w:asciiTheme="minorEastAsia" w:hAnsiTheme="minorEastAsia" w:eastAsiaTheme="minorEastAsia" w:cstheme="minorEastAsia"/>
          <w:color w:val="auto"/>
          <w:spacing w:val="-4"/>
          <w:sz w:val="24"/>
          <w:szCs w:val="24"/>
          <w:highlight w:val="none"/>
        </w:rPr>
        <w:t>（1）投标人是否符合本章第三节第2.4条“禁止投标条款”</w:t>
      </w:r>
      <w:r>
        <w:rPr>
          <w:rFonts w:hint="eastAsia" w:asciiTheme="minorEastAsia" w:hAnsiTheme="minorEastAsia" w:eastAsiaTheme="minorEastAsia" w:cstheme="minorEastAsia"/>
          <w:color w:val="auto"/>
          <w:spacing w:val="-4"/>
          <w:sz w:val="24"/>
          <w:szCs w:val="24"/>
          <w:highlight w:val="none"/>
          <w:lang w:eastAsia="zh-CN"/>
        </w:rPr>
        <w:t>的规定</w:t>
      </w:r>
      <w:r>
        <w:rPr>
          <w:rFonts w:hint="eastAsia" w:asciiTheme="minorEastAsia" w:hAnsiTheme="minorEastAsia" w:eastAsiaTheme="minorEastAsia" w:cstheme="minorEastAsia"/>
          <w:color w:val="auto"/>
          <w:spacing w:val="-4"/>
          <w:sz w:val="24"/>
          <w:szCs w:val="24"/>
          <w:highlight w:val="none"/>
        </w:rPr>
        <w:t>。</w:t>
      </w:r>
    </w:p>
    <w:p w14:paraId="0BE4BA4B">
      <w:pPr>
        <w:keepNext w:val="0"/>
        <w:keepLines w:val="0"/>
        <w:pageBreakBefore w:val="0"/>
        <w:widowControl/>
        <w:kinsoku w:val="0"/>
        <w:overflowPunct/>
        <w:topLinePunct w:val="0"/>
        <w:autoSpaceDE w:val="0"/>
        <w:autoSpaceDN w:val="0"/>
        <w:bidi w:val="0"/>
        <w:adjustRightInd w:val="0"/>
        <w:snapToGrid w:val="0"/>
        <w:spacing w:line="360" w:lineRule="auto"/>
        <w:ind w:left="721"/>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（2）投标人名称是否与营业执照、资质证书、安全生产许可证一致。</w:t>
      </w:r>
    </w:p>
    <w:p w14:paraId="5C81E7D4">
      <w:pPr>
        <w:keepNext w:val="0"/>
        <w:keepLines w:val="0"/>
        <w:pageBreakBefore w:val="0"/>
        <w:widowControl/>
        <w:kinsoku w:val="0"/>
        <w:wordWrap w:val="0"/>
        <w:overflowPunct/>
        <w:topLinePunct w:val="0"/>
        <w:autoSpaceDE w:val="0"/>
        <w:autoSpaceDN w:val="0"/>
        <w:bidi w:val="0"/>
        <w:adjustRightInd w:val="0"/>
        <w:snapToGrid w:val="0"/>
        <w:spacing w:line="360" w:lineRule="auto"/>
        <w:ind w:left="232" w:right="96" w:firstLine="488"/>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（3）投标人的资质是否符合招标文件规定；其营业执照、资质证书、安全生产许可证（含实时网页查询页，可参考网址 https://zlaq.mohurd.gov.cn/fwmh/bjxcjgl/fwm</w:t>
      </w:r>
      <w:bookmarkStart w:id="95" w:name="bookmark126"/>
      <w:bookmarkEnd w:id="95"/>
      <w:r>
        <w:rPr>
          <w:rFonts w:hint="eastAsia" w:asciiTheme="minorEastAsia" w:hAnsiTheme="minorEastAsia" w:eastAsiaTheme="minorEastAsia" w:cstheme="minorEastAsia"/>
          <w:color w:val="auto"/>
          <w:spacing w:val="2"/>
          <w:sz w:val="24"/>
          <w:szCs w:val="24"/>
          <w:highlight w:val="none"/>
        </w:rPr>
        <w:t>h/pages/construction_safety/qyaqscxkz/qyaqscxkz）是否合法、有效、准确</w:t>
      </w:r>
      <w:r>
        <w:rPr>
          <w:rFonts w:hint="eastAsia" w:asciiTheme="minorEastAsia" w:hAnsiTheme="minorEastAsia" w:eastAsiaTheme="minorEastAsia" w:cstheme="minorEastAsia"/>
          <w:color w:val="auto"/>
          <w:spacing w:val="-1"/>
          <w:position w:val="3"/>
          <w:sz w:val="24"/>
          <w:szCs w:val="24"/>
          <w:highlight w:val="none"/>
        </w:rPr>
        <w:t>。</w:t>
      </w:r>
    </w:p>
    <w:p w14:paraId="46BDDC87">
      <w:pPr>
        <w:keepNext w:val="0"/>
        <w:keepLines w:val="0"/>
        <w:pageBreakBefore w:val="0"/>
        <w:widowControl/>
        <w:kinsoku w:val="0"/>
        <w:overflowPunct/>
        <w:topLinePunct w:val="0"/>
        <w:autoSpaceDE w:val="0"/>
        <w:autoSpaceDN w:val="0"/>
        <w:bidi w:val="0"/>
        <w:adjustRightInd w:val="0"/>
        <w:snapToGrid w:val="0"/>
        <w:spacing w:line="360" w:lineRule="auto"/>
        <w:ind w:left="501"/>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（4）《项目经理简历表》中拟派项目经理是否与《开标一览表》一致。</w:t>
      </w:r>
    </w:p>
    <w:p w14:paraId="3040E94A">
      <w:pPr>
        <w:keepNext w:val="0"/>
        <w:keepLines w:val="0"/>
        <w:pageBreakBefore w:val="0"/>
        <w:widowControl/>
        <w:kinsoku w:val="0"/>
        <w:overflowPunct/>
        <w:topLinePunct w:val="0"/>
        <w:autoSpaceDE w:val="0"/>
        <w:autoSpaceDN w:val="0"/>
        <w:bidi w:val="0"/>
        <w:adjustRightInd w:val="0"/>
        <w:snapToGrid w:val="0"/>
        <w:spacing w:line="360" w:lineRule="auto"/>
        <w:ind w:left="11" w:firstLine="489"/>
        <w:textAlignment w:val="baseline"/>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2"/>
          <w:sz w:val="24"/>
          <w:szCs w:val="24"/>
          <w:highlight w:val="none"/>
        </w:rPr>
        <w:t>（5）拟派项目经理、项目技术负责人、专职安全员的条件</w:t>
      </w:r>
      <w:r>
        <w:rPr>
          <w:rFonts w:hint="eastAsia" w:asciiTheme="minorEastAsia" w:hAnsiTheme="minorEastAsia" w:eastAsiaTheme="minorEastAsia" w:cstheme="minorEastAsia"/>
          <w:color w:val="auto"/>
          <w:spacing w:val="1"/>
          <w:sz w:val="24"/>
          <w:szCs w:val="24"/>
          <w:highlight w:val="none"/>
        </w:rPr>
        <w:t>是否符合招标文件规</w:t>
      </w:r>
      <w:r>
        <w:rPr>
          <w:rFonts w:hint="eastAsia" w:asciiTheme="minorEastAsia" w:hAnsiTheme="minorEastAsia" w:eastAsiaTheme="minorEastAsia" w:cstheme="minorEastAsia"/>
          <w:color w:val="auto"/>
          <w:spacing w:val="-1"/>
          <w:sz w:val="24"/>
          <w:szCs w:val="24"/>
          <w:highlight w:val="none"/>
        </w:rPr>
        <w:t>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27910BA3">
      <w:pPr>
        <w:keepNext w:val="0"/>
        <w:keepLines w:val="0"/>
        <w:pageBreakBefore w:val="0"/>
        <w:widowControl/>
        <w:kinsoku w:val="0"/>
        <w:overflowPunct/>
        <w:topLinePunct w:val="0"/>
        <w:autoSpaceDE w:val="0"/>
        <w:autoSpaceDN w:val="0"/>
        <w:bidi w:val="0"/>
        <w:adjustRightInd w:val="0"/>
        <w:snapToGrid w:val="0"/>
        <w:spacing w:line="360" w:lineRule="auto"/>
        <w:ind w:left="8" w:right="2" w:firstLine="492"/>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pacing w:val="2"/>
          <w:sz w:val="24"/>
          <w:szCs w:val="24"/>
          <w:highlight w:val="none"/>
          <w:lang w:val="en-US" w:eastAsia="zh-CN"/>
        </w:rPr>
        <w:t>6</w:t>
      </w:r>
      <w:r>
        <w:rPr>
          <w:rFonts w:hint="eastAsia" w:asciiTheme="minorEastAsia" w:hAnsiTheme="minorEastAsia" w:eastAsiaTheme="minorEastAsia" w:cstheme="minorEastAsia"/>
          <w:color w:val="auto"/>
          <w:spacing w:val="2"/>
          <w:sz w:val="24"/>
          <w:szCs w:val="24"/>
          <w:highlight w:val="none"/>
        </w:rPr>
        <w:t>）投标人为外省建筑企业的，是否按规定在“进粤</w:t>
      </w:r>
      <w:r>
        <w:rPr>
          <w:rFonts w:hint="eastAsia" w:asciiTheme="minorEastAsia" w:hAnsiTheme="minorEastAsia" w:eastAsiaTheme="minorEastAsia" w:cstheme="minorEastAsia"/>
          <w:color w:val="auto"/>
          <w:spacing w:val="1"/>
          <w:sz w:val="24"/>
          <w:szCs w:val="24"/>
          <w:highlight w:val="none"/>
        </w:rPr>
        <w:t>企业和人员诚信信息登记</w:t>
      </w:r>
      <w:r>
        <w:rPr>
          <w:rFonts w:hint="eastAsia" w:asciiTheme="minorEastAsia" w:hAnsiTheme="minorEastAsia" w:eastAsiaTheme="minorEastAsia" w:cstheme="minorEastAsia"/>
          <w:color w:val="auto"/>
          <w:spacing w:val="-2"/>
          <w:sz w:val="24"/>
          <w:szCs w:val="24"/>
          <w:highlight w:val="none"/>
        </w:rPr>
        <w:t>平台”录入企业及其拟派人员有关信息并通过数据规范检查。</w:t>
      </w:r>
    </w:p>
    <w:p w14:paraId="5E3A3AD8">
      <w:pPr>
        <w:spacing w:before="15" w:line="360" w:lineRule="auto"/>
        <w:ind w:right="2" w:firstLine="474"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2"/>
          <w:sz w:val="24"/>
          <w:szCs w:val="24"/>
          <w:highlight w:val="none"/>
          <w:lang w:val="en-US" w:eastAsia="zh-CN"/>
        </w:rPr>
        <w:t>6</w:t>
      </w:r>
      <w:r>
        <w:rPr>
          <w:rFonts w:hint="eastAsia" w:ascii="宋体" w:hAnsi="宋体" w:eastAsia="宋体" w:cs="宋体"/>
          <w:b/>
          <w:bCs/>
          <w:color w:val="auto"/>
          <w:spacing w:val="-2"/>
          <w:sz w:val="24"/>
          <w:szCs w:val="24"/>
          <w:highlight w:val="none"/>
        </w:rPr>
        <w:t xml:space="preserve">.2 </w:t>
      </w:r>
      <w:r>
        <w:rPr>
          <w:rFonts w:hint="eastAsia" w:ascii="宋体" w:hAnsi="宋体" w:eastAsia="宋体" w:cs="宋体"/>
          <w:color w:val="auto"/>
          <w:spacing w:val="1"/>
          <w:sz w:val="24"/>
          <w:szCs w:val="24"/>
          <w:highlight w:val="none"/>
        </w:rPr>
        <w:t xml:space="preserve"> 形式评审环节</w:t>
      </w:r>
    </w:p>
    <w:p w14:paraId="720A176D">
      <w:pPr>
        <w:spacing w:before="15" w:line="360" w:lineRule="auto"/>
        <w:ind w:right="2" w:firstLine="484" w:firstLineChars="200"/>
        <w:jc w:val="both"/>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形式评审事</w:t>
      </w:r>
      <w:r>
        <w:rPr>
          <w:rFonts w:hint="eastAsia" w:ascii="宋体" w:hAnsi="宋体" w:eastAsia="宋体" w:cs="宋体"/>
          <w:color w:val="auto"/>
          <w:spacing w:val="1"/>
          <w:sz w:val="24"/>
          <w:szCs w:val="24"/>
          <w:highlight w:val="none"/>
          <w:lang w:eastAsia="zh-CN"/>
        </w:rPr>
        <w:t>项包括：</w:t>
      </w:r>
      <w:bookmarkEnd w:id="94"/>
    </w:p>
    <w:p w14:paraId="540DEAA8">
      <w:pPr>
        <w:spacing w:before="40" w:line="360" w:lineRule="auto"/>
        <w:ind w:left="501"/>
        <w:outlineLvl w:val="9"/>
        <w:rPr>
          <w:rFonts w:hint="eastAsia" w:ascii="宋体" w:hAnsi="宋体" w:eastAsia="宋体" w:cs="宋体"/>
          <w:color w:val="auto"/>
          <w:sz w:val="24"/>
          <w:szCs w:val="24"/>
          <w:highlight w:val="none"/>
        </w:rPr>
      </w:pPr>
      <w:bookmarkStart w:id="96" w:name="_Toc23632"/>
      <w:bookmarkStart w:id="97" w:name="_Toc13304"/>
      <w:bookmarkStart w:id="98" w:name="_Toc4914"/>
      <w:bookmarkStart w:id="99" w:name="_Toc20481"/>
      <w:r>
        <w:rPr>
          <w:rFonts w:hint="eastAsia" w:ascii="宋体" w:hAnsi="宋体" w:eastAsia="宋体" w:cs="宋体"/>
          <w:color w:val="auto"/>
          <w:spacing w:val="-1"/>
          <w:sz w:val="24"/>
          <w:szCs w:val="24"/>
          <w:highlight w:val="none"/>
        </w:rPr>
        <w:t>（1）各分册是否按招标文件规定加盖电子印章。</w:t>
      </w:r>
      <w:bookmarkEnd w:id="96"/>
      <w:bookmarkEnd w:id="97"/>
      <w:bookmarkEnd w:id="98"/>
      <w:bookmarkEnd w:id="99"/>
    </w:p>
    <w:p w14:paraId="64C926F3">
      <w:pPr>
        <w:spacing w:before="15" w:line="360" w:lineRule="auto"/>
        <w:ind w:firstLine="464" w:firstLineChars="200"/>
        <w:outlineLvl w:val="9"/>
        <w:rPr>
          <w:rFonts w:hint="eastAsia" w:ascii="宋体" w:hAnsi="宋体" w:eastAsia="宋体" w:cs="宋体"/>
          <w:color w:val="auto"/>
          <w:spacing w:val="-1"/>
          <w:sz w:val="24"/>
          <w:szCs w:val="24"/>
          <w:highlight w:val="none"/>
        </w:rPr>
      </w:pPr>
      <w:bookmarkStart w:id="100" w:name="_Toc27432"/>
      <w:bookmarkStart w:id="101" w:name="_Toc10806"/>
      <w:bookmarkStart w:id="102" w:name="_Toc28409"/>
      <w:bookmarkStart w:id="103" w:name="_Toc12756"/>
      <w:r>
        <w:rPr>
          <w:rFonts w:hint="eastAsia" w:ascii="宋体" w:hAnsi="宋体" w:eastAsia="宋体" w:cs="宋体"/>
          <w:color w:val="auto"/>
          <w:spacing w:val="-4"/>
          <w:sz w:val="24"/>
          <w:szCs w:val="24"/>
          <w:highlight w:val="none"/>
        </w:rPr>
        <w:t>（2）本节第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10.2.2 目、第</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4"/>
          <w:sz w:val="24"/>
          <w:szCs w:val="24"/>
          <w:highlight w:val="none"/>
        </w:rPr>
        <w:t>10.3.2 目、第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10.4.</w:t>
      </w:r>
      <w:r>
        <w:rPr>
          <w:rFonts w:hint="eastAsia" w:ascii="宋体" w:hAnsi="宋体" w:eastAsia="宋体" w:cs="宋体"/>
          <w:color w:val="auto"/>
          <w:spacing w:val="-4"/>
          <w:sz w:val="24"/>
          <w:szCs w:val="24"/>
          <w:highlight w:val="none"/>
          <w:lang w:val="en-US" w:eastAsia="zh-CN"/>
        </w:rPr>
        <w:t>3</w:t>
      </w:r>
      <w:r>
        <w:rPr>
          <w:rFonts w:hint="eastAsia" w:ascii="宋体" w:hAnsi="宋体" w:eastAsia="宋体" w:cs="宋体"/>
          <w:color w:val="auto"/>
          <w:spacing w:val="-4"/>
          <w:sz w:val="24"/>
          <w:szCs w:val="24"/>
          <w:highlight w:val="none"/>
        </w:rPr>
        <w:t>目中规定</w:t>
      </w:r>
      <w:r>
        <w:rPr>
          <w:rFonts w:hint="eastAsia" w:ascii="宋体" w:hAnsi="宋体" w:eastAsia="宋体" w:cs="宋体"/>
          <w:color w:val="auto"/>
          <w:spacing w:val="-5"/>
          <w:sz w:val="24"/>
          <w:szCs w:val="24"/>
          <w:highlight w:val="none"/>
        </w:rPr>
        <w:t>的“所有投标人均应提</w:t>
      </w:r>
      <w:bookmarkEnd w:id="100"/>
      <w:bookmarkEnd w:id="101"/>
      <w:bookmarkEnd w:id="102"/>
      <w:r>
        <w:rPr>
          <w:rFonts w:hint="eastAsia" w:ascii="宋体" w:hAnsi="宋体" w:eastAsia="宋体" w:cs="宋体"/>
          <w:color w:val="auto"/>
          <w:spacing w:val="-1"/>
          <w:sz w:val="24"/>
          <w:szCs w:val="24"/>
          <w:highlight w:val="none"/>
        </w:rPr>
        <w:t>供</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”的组成内容（包括该组成内容的所附资料）是否完整、齐全</w:t>
      </w:r>
      <w:r>
        <w:rPr>
          <w:rFonts w:hint="eastAsia" w:ascii="宋体" w:hAnsi="宋体" w:eastAsia="宋体" w:cs="宋体"/>
          <w:color w:val="auto"/>
          <w:spacing w:val="-1"/>
          <w:sz w:val="24"/>
          <w:szCs w:val="24"/>
          <w:highlight w:val="none"/>
          <w:lang w:eastAsia="zh-CN"/>
        </w:rPr>
        <w:t>。</w:t>
      </w:r>
      <w:bookmarkEnd w:id="103"/>
    </w:p>
    <w:p w14:paraId="127DFB0D">
      <w:pPr>
        <w:spacing w:before="15" w:line="360" w:lineRule="auto"/>
        <w:ind w:right="2" w:firstLine="474" w:firstLineChars="200"/>
        <w:jc w:val="both"/>
        <w:outlineLvl w:val="9"/>
        <w:rPr>
          <w:rFonts w:hint="eastAsia" w:ascii="宋体" w:hAnsi="宋体" w:eastAsia="宋体" w:cs="宋体"/>
          <w:color w:val="auto"/>
          <w:spacing w:val="2"/>
          <w:sz w:val="24"/>
          <w:szCs w:val="24"/>
          <w:highlight w:val="none"/>
        </w:rPr>
      </w:pPr>
      <w:bookmarkStart w:id="104" w:name="_Toc22642"/>
      <w:bookmarkStart w:id="105" w:name="_Toc14202"/>
      <w:bookmarkStart w:id="106" w:name="_Toc22562"/>
      <w:bookmarkStart w:id="107" w:name="_Toc16645"/>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2"/>
          <w:sz w:val="24"/>
          <w:szCs w:val="24"/>
          <w:highlight w:val="none"/>
          <w:lang w:val="en-US" w:eastAsia="zh-CN"/>
        </w:rPr>
        <w:t>6</w:t>
      </w:r>
      <w:r>
        <w:rPr>
          <w:rFonts w:hint="eastAsia" w:ascii="宋体" w:hAnsi="宋体" w:eastAsia="宋体" w:cs="宋体"/>
          <w:b/>
          <w:bCs/>
          <w:color w:val="auto"/>
          <w:spacing w:val="-2"/>
          <w:sz w:val="24"/>
          <w:szCs w:val="24"/>
          <w:highlight w:val="none"/>
        </w:rPr>
        <w:t xml:space="preserve">.3  </w:t>
      </w:r>
      <w:r>
        <w:rPr>
          <w:rFonts w:hint="eastAsia" w:ascii="宋体" w:hAnsi="宋体" w:eastAsia="宋体" w:cs="宋体"/>
          <w:color w:val="auto"/>
          <w:spacing w:val="2"/>
          <w:sz w:val="24"/>
          <w:szCs w:val="24"/>
          <w:highlight w:val="none"/>
        </w:rPr>
        <w:t xml:space="preserve">响应性评审环节 </w:t>
      </w:r>
    </w:p>
    <w:p w14:paraId="746226A2">
      <w:pPr>
        <w:spacing w:before="15" w:line="360" w:lineRule="auto"/>
        <w:ind w:right="2" w:firstLine="488"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响应性</w:t>
      </w:r>
      <w:r>
        <w:rPr>
          <w:rFonts w:hint="eastAsia" w:ascii="宋体" w:hAnsi="宋体" w:eastAsia="宋体" w:cs="宋体"/>
          <w:color w:val="auto"/>
          <w:spacing w:val="2"/>
          <w:sz w:val="24"/>
          <w:szCs w:val="24"/>
          <w:highlight w:val="none"/>
          <w:lang w:eastAsia="zh-CN"/>
        </w:rPr>
        <w:t>评审</w:t>
      </w:r>
      <w:r>
        <w:rPr>
          <w:rFonts w:hint="eastAsia" w:ascii="宋体" w:hAnsi="宋体" w:eastAsia="宋体" w:cs="宋体"/>
          <w:color w:val="auto"/>
          <w:spacing w:val="2"/>
          <w:sz w:val="24"/>
          <w:szCs w:val="24"/>
          <w:highlight w:val="none"/>
          <w:lang w:val="en-US" w:eastAsia="zh-CN"/>
        </w:rPr>
        <w:t>事项</w:t>
      </w:r>
      <w:r>
        <w:rPr>
          <w:rFonts w:hint="eastAsia" w:ascii="宋体" w:hAnsi="宋体" w:eastAsia="宋体" w:cs="宋体"/>
          <w:color w:val="auto"/>
          <w:spacing w:val="2"/>
          <w:sz w:val="24"/>
          <w:szCs w:val="24"/>
          <w:highlight w:val="none"/>
        </w:rPr>
        <w:t>包括：</w:t>
      </w:r>
      <w:bookmarkEnd w:id="104"/>
      <w:bookmarkEnd w:id="105"/>
      <w:bookmarkEnd w:id="106"/>
      <w:bookmarkEnd w:id="107"/>
    </w:p>
    <w:p w14:paraId="7C2C97F5">
      <w:pPr>
        <w:keepNext w:val="0"/>
        <w:keepLines w:val="0"/>
        <w:pageBreakBefore w:val="0"/>
        <w:widowControl/>
        <w:kinsoku w:val="0"/>
        <w:wordWrap/>
        <w:overflowPunct/>
        <w:topLinePunct w:val="0"/>
        <w:autoSpaceDE w:val="0"/>
        <w:autoSpaceDN w:val="0"/>
        <w:bidi w:val="0"/>
        <w:adjustRightInd w:val="0"/>
        <w:snapToGrid w:val="0"/>
        <w:spacing w:line="360" w:lineRule="auto"/>
        <w:ind w:left="11"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（1）投标有效期、质量标准、工期等是否响应招标文件实</w:t>
      </w:r>
      <w:r>
        <w:rPr>
          <w:rFonts w:hint="eastAsia" w:ascii="宋体" w:hAnsi="宋体" w:eastAsia="宋体" w:cs="宋体"/>
          <w:color w:val="auto"/>
          <w:spacing w:val="1"/>
          <w:sz w:val="24"/>
          <w:szCs w:val="24"/>
          <w:highlight w:val="none"/>
        </w:rPr>
        <w:t>质性要求；是否擅自</w:t>
      </w:r>
      <w:r>
        <w:rPr>
          <w:rFonts w:hint="eastAsia" w:ascii="宋体" w:hAnsi="宋体" w:eastAsia="宋体" w:cs="宋体"/>
          <w:color w:val="auto"/>
          <w:spacing w:val="-1"/>
          <w:sz w:val="24"/>
          <w:szCs w:val="24"/>
          <w:highlight w:val="none"/>
        </w:rPr>
        <w:t>修改、遗漏《投标函》《各项承诺一览表》的实质性内容。</w:t>
      </w:r>
    </w:p>
    <w:p w14:paraId="0FC3EBE0">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（2）编制《投标总价》的造价工程师，其注册证书是否合法、有效。</w:t>
      </w:r>
    </w:p>
    <w:p w14:paraId="7272F12D">
      <w:pPr>
        <w:keepNext w:val="0"/>
        <w:keepLines w:val="0"/>
        <w:pageBreakBefore w:val="0"/>
        <w:widowControl/>
        <w:kinsoku w:val="0"/>
        <w:wordWrap/>
        <w:overflowPunct/>
        <w:topLinePunct w:val="0"/>
        <w:autoSpaceDE w:val="0"/>
        <w:autoSpaceDN w:val="0"/>
        <w:bidi w:val="0"/>
        <w:adjustRightInd w:val="0"/>
        <w:snapToGrid w:val="0"/>
        <w:spacing w:line="360" w:lineRule="auto"/>
        <w:ind w:left="23" w:right="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（3）投标人委托造价咨询单位编制《投标总价》的，是否在《投标总价扉页》“投标人”栏目加盖造价咨询人公章；是否提供</w:t>
      </w:r>
      <w:r>
        <w:rPr>
          <w:rFonts w:hint="eastAsia" w:ascii="宋体" w:hAnsi="宋体" w:eastAsia="宋体" w:cs="宋体"/>
          <w:color w:val="auto"/>
          <w:sz w:val="24"/>
          <w:szCs w:val="24"/>
          <w:highlight w:val="none"/>
        </w:rPr>
        <w:t>造价咨询人的营业执照</w:t>
      </w:r>
      <w:r>
        <w:rPr>
          <w:rFonts w:hint="eastAsia" w:ascii="宋体" w:hAnsi="宋体" w:eastAsia="宋体" w:cs="宋体"/>
          <w:color w:val="auto"/>
          <w:spacing w:val="-2"/>
          <w:sz w:val="24"/>
          <w:szCs w:val="24"/>
          <w:highlight w:val="none"/>
        </w:rPr>
        <w:t>副本彩色扫描件；</w:t>
      </w:r>
    </w:p>
    <w:p w14:paraId="1684033F">
      <w:pPr>
        <w:keepNext w:val="0"/>
        <w:keepLines w:val="0"/>
        <w:pageBreakBefore w:val="0"/>
        <w:widowControl/>
        <w:kinsoku w:val="0"/>
        <w:wordWrap/>
        <w:overflowPunct/>
        <w:topLinePunct w:val="0"/>
        <w:autoSpaceDE w:val="0"/>
        <w:autoSpaceDN w:val="0"/>
        <w:bidi w:val="0"/>
        <w:adjustRightInd w:val="0"/>
        <w:snapToGrid w:val="0"/>
        <w:spacing w:line="360" w:lineRule="auto"/>
        <w:ind w:left="11"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（4）投标总价是否唯一；投标总价是否超出</w:t>
      </w:r>
      <w:r>
        <w:rPr>
          <w:rFonts w:hint="eastAsia" w:ascii="宋体" w:hAnsi="宋体" w:eastAsia="宋体" w:cs="宋体"/>
          <w:b/>
          <w:bCs/>
          <w:color w:val="auto"/>
          <w:spacing w:val="1"/>
          <w:sz w:val="24"/>
          <w:szCs w:val="24"/>
          <w:highlight w:val="none"/>
          <w:lang w:val="en-US" w:eastAsia="zh-CN"/>
        </w:rPr>
        <w:t>最高投标限价</w:t>
      </w:r>
      <w:r>
        <w:rPr>
          <w:rFonts w:hint="eastAsia" w:ascii="宋体" w:hAnsi="宋体" w:eastAsia="宋体" w:cs="宋体"/>
          <w:color w:val="auto"/>
          <w:spacing w:val="1"/>
          <w:sz w:val="24"/>
          <w:szCs w:val="24"/>
          <w:highlight w:val="none"/>
        </w:rPr>
        <w:t>；</w:t>
      </w:r>
      <w:r>
        <w:rPr>
          <w:rFonts w:hint="eastAsia" w:ascii="宋体" w:hAnsi="宋体" w:eastAsia="宋体" w:cs="宋体"/>
          <w:b/>
          <w:bCs/>
          <w:color w:val="auto"/>
          <w:spacing w:val="1"/>
          <w:sz w:val="24"/>
          <w:szCs w:val="24"/>
          <w:highlight w:val="none"/>
        </w:rPr>
        <w:t>安全生产措施费</w:t>
      </w:r>
      <w:r>
        <w:rPr>
          <w:rFonts w:hint="eastAsia" w:ascii="宋体" w:hAnsi="宋体" w:eastAsia="宋体" w:cs="宋体"/>
          <w:color w:val="auto"/>
          <w:spacing w:val="-1"/>
          <w:sz w:val="24"/>
          <w:szCs w:val="24"/>
          <w:highlight w:val="none"/>
        </w:rPr>
        <w:t>是否达到最低要求；暂列金额、暂估价是否按照招标工</w:t>
      </w:r>
      <w:r>
        <w:rPr>
          <w:rFonts w:hint="eastAsia" w:ascii="宋体" w:hAnsi="宋体" w:eastAsia="宋体" w:cs="宋体"/>
          <w:color w:val="auto"/>
          <w:spacing w:val="-2"/>
          <w:sz w:val="24"/>
          <w:szCs w:val="24"/>
          <w:highlight w:val="none"/>
        </w:rPr>
        <w:t>程量清单统一报价；投</w:t>
      </w:r>
      <w:r>
        <w:rPr>
          <w:rFonts w:hint="eastAsia" w:ascii="宋体" w:hAnsi="宋体" w:eastAsia="宋体" w:cs="宋体"/>
          <w:color w:val="auto"/>
          <w:spacing w:val="-1"/>
          <w:sz w:val="24"/>
          <w:szCs w:val="24"/>
          <w:highlight w:val="none"/>
        </w:rPr>
        <w:t>标人是否以低于成本的价格竞标。</w:t>
      </w:r>
    </w:p>
    <w:p w14:paraId="07EB7BBE">
      <w:pPr>
        <w:spacing w:before="38" w:line="360" w:lineRule="auto"/>
        <w:ind w:right="2" w:firstLine="474" w:firstLineChars="200"/>
        <w:jc w:val="both"/>
        <w:rPr>
          <w:rFonts w:hint="eastAsia" w:ascii="宋体" w:hAnsi="宋体" w:eastAsia="宋体" w:cs="宋体"/>
          <w:color w:val="auto"/>
          <w:position w:val="-8"/>
          <w:sz w:val="24"/>
          <w:szCs w:val="24"/>
          <w:highlight w:val="none"/>
        </w:rPr>
      </w:pPr>
      <w:r>
        <w:rPr>
          <w:rFonts w:hint="eastAsia" w:ascii="宋体" w:hAnsi="宋体" w:eastAsia="宋体" w:cs="宋体"/>
          <w:b/>
          <w:bCs/>
          <w:color w:val="auto"/>
          <w:spacing w:val="-2"/>
          <w:sz w:val="24"/>
          <w:szCs w:val="24"/>
          <w:highlight w:val="none"/>
        </w:rPr>
        <w:t>注：如果某投标人的投标总价下浮率超过</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2"/>
          <w:sz w:val="24"/>
          <w:szCs w:val="24"/>
          <w:highlight w:val="none"/>
        </w:rPr>
        <w:t>15%，又未提供</w:t>
      </w:r>
      <w:r>
        <w:rPr>
          <w:rFonts w:hint="eastAsia" w:ascii="宋体" w:hAnsi="宋体" w:eastAsia="宋体" w:cs="宋体"/>
          <w:b/>
          <w:bCs/>
          <w:color w:val="auto"/>
          <w:spacing w:val="-3"/>
          <w:sz w:val="24"/>
          <w:szCs w:val="24"/>
          <w:highlight w:val="none"/>
        </w:rPr>
        <w:t>相应书面说明和佐证</w:t>
      </w:r>
      <w:bookmarkStart w:id="108" w:name="bookmark127"/>
      <w:bookmarkEnd w:id="108"/>
      <w:r>
        <w:rPr>
          <w:rFonts w:hint="eastAsia" w:ascii="宋体" w:hAnsi="宋体" w:eastAsia="宋体" w:cs="宋体"/>
          <w:b/>
          <w:bCs/>
          <w:color w:val="auto"/>
          <w:spacing w:val="-4"/>
          <w:sz w:val="24"/>
          <w:szCs w:val="24"/>
          <w:highlight w:val="none"/>
        </w:rPr>
        <w:t>材料或提供的书面说明和佐证材料不能令人信服的，评标委员会应认定其以低于成本</w:t>
      </w:r>
      <w:r>
        <w:rPr>
          <w:rFonts w:hint="eastAsia" w:ascii="宋体" w:hAnsi="宋体" w:eastAsia="宋体" w:cs="宋体"/>
          <w:b/>
          <w:bCs/>
          <w:color w:val="auto"/>
          <w:spacing w:val="-9"/>
          <w:sz w:val="24"/>
          <w:szCs w:val="24"/>
          <w:highlight w:val="none"/>
        </w:rPr>
        <w:t>的价格竞标，并否决其投标。评</w:t>
      </w:r>
      <w:r>
        <w:rPr>
          <w:rFonts w:hint="eastAsia" w:ascii="宋体" w:hAnsi="宋体" w:eastAsia="宋体" w:cs="宋体"/>
          <w:b/>
          <w:bCs/>
          <w:color w:val="auto"/>
          <w:spacing w:val="-4"/>
          <w:sz w:val="24"/>
          <w:szCs w:val="24"/>
          <w:highlight w:val="none"/>
        </w:rPr>
        <w:t>标委员会接受该投标人的投标总价而未否决其投标的，应在评标报告中说明判断理由。投标总价下浮率＝（1－投标总价÷</w:t>
      </w:r>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）×100%。</w:t>
      </w:r>
    </w:p>
    <w:p w14:paraId="1B4A1888">
      <w:pPr>
        <w:spacing w:before="157" w:line="360" w:lineRule="auto"/>
        <w:ind w:left="11" w:right="114" w:firstLine="505" w:firstLineChars="20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（5）施工组织设计的质量、进度保障措施是否符合国</w:t>
      </w:r>
      <w:r>
        <w:rPr>
          <w:rFonts w:hint="eastAsia" w:ascii="宋体" w:hAnsi="宋体" w:eastAsia="宋体" w:cs="宋体"/>
          <w:color w:val="auto"/>
          <w:sz w:val="24"/>
          <w:szCs w:val="24"/>
          <w:highlight w:val="none"/>
        </w:rPr>
        <w:t>家和省市现行有关规</w:t>
      </w:r>
      <w:r>
        <w:rPr>
          <w:rFonts w:hint="eastAsia" w:ascii="宋体" w:hAnsi="宋体" w:eastAsia="宋体" w:cs="宋体"/>
          <w:color w:val="auto"/>
          <w:spacing w:val="-1"/>
          <w:sz w:val="24"/>
          <w:szCs w:val="24"/>
          <w:highlight w:val="none"/>
        </w:rPr>
        <w:t>范、规定、标准，是否能实现工程质量、进度管理目标。</w:t>
      </w:r>
    </w:p>
    <w:p w14:paraId="123D5255">
      <w:pPr>
        <w:spacing w:before="82" w:line="211" w:lineRule="auto"/>
        <w:ind w:left="580"/>
        <w:outlineLvl w:val="9"/>
        <w:rPr>
          <w:rFonts w:hint="eastAsia" w:ascii="宋体" w:hAnsi="宋体" w:eastAsia="宋体" w:cs="宋体"/>
          <w:color w:val="auto"/>
          <w:sz w:val="25"/>
          <w:szCs w:val="25"/>
          <w:highlight w:val="none"/>
        </w:rPr>
      </w:pPr>
      <w:bookmarkStart w:id="109" w:name="_Toc32114"/>
      <w:bookmarkStart w:id="110" w:name="_Toc19814"/>
      <w:bookmarkStart w:id="111" w:name="_Toc18204"/>
      <w:bookmarkStart w:id="112" w:name="_Toc15367"/>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6</w:t>
      </w:r>
      <w:r>
        <w:rPr>
          <w:rFonts w:hint="eastAsia" w:ascii="宋体" w:hAnsi="宋体" w:eastAsia="宋体" w:cs="宋体"/>
          <w:b/>
          <w:bCs/>
          <w:color w:val="auto"/>
          <w:spacing w:val="-3"/>
          <w:sz w:val="24"/>
          <w:szCs w:val="24"/>
          <w:highlight w:val="none"/>
        </w:rPr>
        <w:t xml:space="preserve">.4  </w:t>
      </w:r>
      <w:r>
        <w:rPr>
          <w:rFonts w:hint="eastAsia" w:ascii="宋体" w:hAnsi="宋体" w:eastAsia="宋体" w:cs="宋体"/>
          <w:color w:val="auto"/>
          <w:spacing w:val="-3"/>
          <w:sz w:val="24"/>
          <w:szCs w:val="24"/>
          <w:highlight w:val="none"/>
        </w:rPr>
        <w:t>否决投标说明</w:t>
      </w:r>
      <w:bookmarkEnd w:id="109"/>
      <w:bookmarkEnd w:id="110"/>
      <w:bookmarkEnd w:id="111"/>
      <w:bookmarkEnd w:id="112"/>
    </w:p>
    <w:p w14:paraId="0A7D0F98">
      <w:pPr>
        <w:spacing w:before="152" w:line="333" w:lineRule="auto"/>
        <w:ind w:left="11" w:right="175" w:firstLine="561"/>
        <w:rPr>
          <w:rFonts w:hint="eastAsia" w:ascii="宋体" w:hAnsi="宋体" w:eastAsia="宋体" w:cs="宋体"/>
          <w:color w:val="auto"/>
          <w:highlight w:val="none"/>
        </w:rPr>
      </w:pPr>
      <w:r>
        <w:rPr>
          <w:rFonts w:hint="eastAsia" w:ascii="宋体" w:hAnsi="宋体" w:eastAsia="宋体" w:cs="宋体"/>
          <w:color w:val="auto"/>
          <w:spacing w:val="-5"/>
          <w:sz w:val="24"/>
          <w:szCs w:val="24"/>
          <w:highlight w:val="none"/>
        </w:rPr>
        <w:t>初步评审阶段各个环节否决投标的全部条件，在本章第四节“否决投标条件”第</w:t>
      </w:r>
      <w:r>
        <w:rPr>
          <w:rFonts w:hint="eastAsia" w:ascii="宋体" w:hAnsi="宋体" w:eastAsia="宋体" w:cs="宋体"/>
          <w:b/>
          <w:bCs/>
          <w:color w:val="auto"/>
          <w:sz w:val="24"/>
          <w:szCs w:val="24"/>
          <w:highlight w:val="none"/>
        </w:rPr>
        <w:t>1</w:t>
      </w:r>
      <w:r>
        <w:rPr>
          <w:rFonts w:hint="eastAsia" w:ascii="宋体" w:hAnsi="宋体" w:eastAsia="宋体" w:cs="宋体"/>
          <w:color w:val="auto"/>
          <w:sz w:val="24"/>
          <w:szCs w:val="24"/>
          <w:highlight w:val="none"/>
        </w:rPr>
        <w:t>条至第</w:t>
      </w:r>
      <w:r>
        <w:rPr>
          <w:rFonts w:hint="eastAsia" w:ascii="宋体" w:hAnsi="宋体" w:eastAsia="宋体" w:cs="宋体"/>
          <w:b/>
          <w:bCs/>
          <w:color w:val="auto"/>
          <w:sz w:val="24"/>
          <w:szCs w:val="24"/>
          <w:highlight w:val="none"/>
        </w:rPr>
        <w:t>4</w:t>
      </w:r>
      <w:r>
        <w:rPr>
          <w:rFonts w:hint="eastAsia" w:ascii="宋体" w:hAnsi="宋体" w:eastAsia="宋体" w:cs="宋体"/>
          <w:color w:val="auto"/>
          <w:sz w:val="24"/>
          <w:szCs w:val="24"/>
          <w:highlight w:val="none"/>
        </w:rPr>
        <w:t>条中集中列示。投标人有其中所列任何一种情形的，由评标委员会否决其</w:t>
      </w:r>
      <w:r>
        <w:rPr>
          <w:rFonts w:hint="eastAsia" w:ascii="宋体" w:hAnsi="宋体" w:eastAsia="宋体" w:cs="宋体"/>
          <w:color w:val="auto"/>
          <w:spacing w:val="-1"/>
          <w:sz w:val="24"/>
          <w:szCs w:val="24"/>
          <w:highlight w:val="none"/>
        </w:rPr>
        <w:t>投标。在初步评审阶段任何环节被否决的投标人，不进入下一环</w:t>
      </w:r>
      <w:r>
        <w:rPr>
          <w:rFonts w:hint="eastAsia" w:ascii="宋体" w:hAnsi="宋体" w:eastAsia="宋体" w:cs="宋体"/>
          <w:color w:val="auto"/>
          <w:spacing w:val="-2"/>
          <w:sz w:val="24"/>
          <w:szCs w:val="24"/>
          <w:highlight w:val="none"/>
        </w:rPr>
        <w:t>节（或阶段）评审。</w:t>
      </w:r>
      <w:r>
        <w:rPr>
          <w:rFonts w:hint="eastAsia" w:ascii="宋体" w:hAnsi="宋体" w:eastAsia="宋体" w:cs="宋体"/>
          <w:color w:val="auto"/>
          <w:spacing w:val="-1"/>
          <w:sz w:val="24"/>
          <w:szCs w:val="24"/>
          <w:highlight w:val="none"/>
        </w:rPr>
        <w:t>在初步评审阶段任何环节</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z w:val="24"/>
          <w:szCs w:val="24"/>
          <w:highlight w:val="none"/>
        </w:rPr>
        <w:t>评标委员会经评审，认为所有投标都不符合招标文件要求的，可否决所有投标，项目的所有投标被否决的，招标人应依法重新组织招标。</w:t>
      </w:r>
    </w:p>
    <w:p w14:paraId="4AB68C11">
      <w:pPr>
        <w:spacing w:before="78" w:line="221" w:lineRule="auto"/>
        <w:ind w:left="577"/>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61312"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25"/>
                    <a:stretch>
                      <a:fillRect/>
                    </a:stretch>
                  </pic:blipFill>
                  <pic:spPr>
                    <a:xfrm>
                      <a:off x="0" y="0"/>
                      <a:ext cx="6350" cy="279400"/>
                    </a:xfrm>
                    <a:prstGeom prst="rect">
                      <a:avLst/>
                    </a:prstGeom>
                    <a:noFill/>
                    <a:ln>
                      <a:noFill/>
                    </a:ln>
                  </pic:spPr>
                </pic:pic>
              </a:graphicData>
            </a:graphic>
          </wp:anchor>
        </w:drawing>
      </w:r>
      <w:bookmarkStart w:id="113" w:name="bookmark128"/>
      <w:bookmarkEnd w:id="113"/>
      <w:r>
        <w:rPr>
          <w:rFonts w:hint="eastAsia" w:ascii="宋体" w:hAnsi="宋体" w:eastAsia="宋体" w:cs="宋体"/>
          <w:b/>
          <w:bCs/>
          <w:color w:val="auto"/>
          <w:spacing w:val="-2"/>
          <w:sz w:val="24"/>
          <w:szCs w:val="24"/>
          <w:highlight w:val="none"/>
        </w:rPr>
        <w:t>1</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w:t>
      </w:r>
      <w:r>
        <w:rPr>
          <w:rFonts w:hint="eastAsia" w:ascii="宋体" w:hAnsi="宋体" w:eastAsia="宋体" w:cs="宋体"/>
          <w:b/>
          <w:bCs/>
          <w:color w:val="auto"/>
          <w:spacing w:val="-2"/>
          <w:sz w:val="24"/>
          <w:szCs w:val="24"/>
          <w:highlight w:val="none"/>
          <w:lang w:val="en-US" w:eastAsia="zh-CN"/>
        </w:rPr>
        <w:t>7</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详细评审阶段</w:t>
      </w:r>
    </w:p>
    <w:p w14:paraId="21AA4981">
      <w:pPr>
        <w:spacing w:before="81" w:line="211" w:lineRule="auto"/>
        <w:ind w:left="498"/>
        <w:outlineLvl w:val="9"/>
        <w:rPr>
          <w:rFonts w:hint="eastAsia" w:ascii="宋体" w:hAnsi="宋体" w:eastAsia="宋体" w:cs="宋体"/>
          <w:color w:val="auto"/>
          <w:sz w:val="25"/>
          <w:szCs w:val="25"/>
          <w:highlight w:val="none"/>
        </w:rPr>
      </w:pPr>
      <w:bookmarkStart w:id="114" w:name="_Toc4119"/>
      <w:bookmarkStart w:id="115" w:name="_Toc14991"/>
      <w:bookmarkStart w:id="116" w:name="_Toc10503"/>
      <w:bookmarkStart w:id="117" w:name="_Toc28572"/>
      <w:r>
        <w:rPr>
          <w:rFonts w:hint="eastAsia" w:ascii="宋体" w:hAnsi="宋体" w:eastAsia="宋体" w:cs="宋体"/>
          <w:b/>
          <w:bCs/>
          <w:color w:val="auto"/>
          <w:spacing w:val="-3"/>
          <w:sz w:val="24"/>
          <w:szCs w:val="24"/>
          <w:highlight w:val="none"/>
          <w:lang w:val="en-US" w:eastAsia="zh-CN"/>
        </w:rPr>
        <w:t>15</w:t>
      </w:r>
      <w:r>
        <w:rPr>
          <w:rFonts w:hint="eastAsia" w:ascii="宋体" w:hAnsi="宋体" w:eastAsia="宋体" w:cs="宋体"/>
          <w:b/>
          <w:bCs/>
          <w:color w:val="auto"/>
          <w:spacing w:val="-3"/>
          <w:sz w:val="24"/>
          <w:szCs w:val="24"/>
          <w:highlight w:val="none"/>
        </w:rPr>
        <w:t>.</w:t>
      </w:r>
      <w:r>
        <w:rPr>
          <w:rFonts w:hint="eastAsia" w:ascii="宋体" w:hAnsi="宋体" w:eastAsia="宋体" w:cs="宋体"/>
          <w:b/>
          <w:bCs/>
          <w:color w:val="auto"/>
          <w:spacing w:val="-3"/>
          <w:sz w:val="24"/>
          <w:szCs w:val="24"/>
          <w:highlight w:val="none"/>
          <w:lang w:val="en-US" w:eastAsia="zh-CN"/>
        </w:rPr>
        <w:t>7</w:t>
      </w:r>
      <w:r>
        <w:rPr>
          <w:rFonts w:hint="eastAsia" w:ascii="宋体" w:hAnsi="宋体" w:eastAsia="宋体" w:cs="宋体"/>
          <w:b/>
          <w:bCs/>
          <w:color w:val="auto"/>
          <w:spacing w:val="-3"/>
          <w:sz w:val="24"/>
          <w:szCs w:val="24"/>
          <w:highlight w:val="none"/>
        </w:rPr>
        <w:t xml:space="preserve">.1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3"/>
          <w:sz w:val="24"/>
          <w:szCs w:val="24"/>
          <w:highlight w:val="none"/>
          <w:lang w:eastAsia="zh-CN"/>
        </w:rPr>
        <w:t>综合评分法</w:t>
      </w:r>
      <w:r>
        <w:rPr>
          <w:rFonts w:hint="eastAsia" w:ascii="宋体" w:hAnsi="宋体" w:eastAsia="宋体" w:cs="宋体"/>
          <w:color w:val="auto"/>
          <w:spacing w:val="-3"/>
          <w:sz w:val="24"/>
          <w:szCs w:val="24"/>
          <w:highlight w:val="none"/>
        </w:rPr>
        <w:t>”评审程序</w:t>
      </w:r>
      <w:bookmarkEnd w:id="114"/>
      <w:bookmarkEnd w:id="115"/>
      <w:bookmarkEnd w:id="116"/>
      <w:bookmarkEnd w:id="117"/>
    </w:p>
    <w:p w14:paraId="5801B40B">
      <w:pPr>
        <w:spacing w:before="152" w:line="329" w:lineRule="auto"/>
        <w:ind w:left="14" w:right="81" w:firstLine="47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评审内容分为商务技术和投标报价两大部分。其中，商</w:t>
      </w:r>
      <w:r>
        <w:rPr>
          <w:rFonts w:hint="eastAsia" w:ascii="宋体" w:hAnsi="宋体" w:eastAsia="宋体" w:cs="宋体"/>
          <w:color w:val="auto"/>
          <w:spacing w:val="-2"/>
          <w:sz w:val="24"/>
          <w:szCs w:val="24"/>
          <w:highlight w:val="none"/>
        </w:rPr>
        <w:t>务技术合计满分</w:t>
      </w:r>
      <w:r>
        <w:rPr>
          <w:rFonts w:hint="eastAsia" w:ascii="宋体" w:hAnsi="宋体" w:eastAsia="宋体" w:cs="宋体"/>
          <w:color w:val="auto"/>
          <w:spacing w:val="-2"/>
          <w:sz w:val="24"/>
          <w:szCs w:val="24"/>
          <w:highlight w:val="none"/>
          <w:lang w:eastAsia="zh-CN"/>
        </w:rPr>
        <w:t>100</w:t>
      </w:r>
      <w:r>
        <w:rPr>
          <w:rFonts w:hint="eastAsia" w:ascii="宋体" w:hAnsi="宋体" w:eastAsia="宋体" w:cs="宋体"/>
          <w:color w:val="auto"/>
          <w:spacing w:val="-2"/>
          <w:sz w:val="24"/>
          <w:szCs w:val="24"/>
          <w:highlight w:val="none"/>
        </w:rPr>
        <w:t>分，权重</w:t>
      </w:r>
      <w:r>
        <w:rPr>
          <w:rFonts w:hint="eastAsia" w:ascii="宋体" w:hAnsi="宋体" w:eastAsia="宋体" w:cs="宋体"/>
          <w:color w:val="auto"/>
          <w:spacing w:val="-3"/>
          <w:sz w:val="24"/>
          <w:szCs w:val="24"/>
          <w:highlight w:val="none"/>
        </w:rPr>
        <w:t>为</w:t>
      </w:r>
      <w:r>
        <w:rPr>
          <w:rFonts w:hint="eastAsia" w:ascii="宋体" w:hAnsi="宋体" w:eastAsia="宋体" w:cs="宋体"/>
          <w:color w:val="auto"/>
          <w:spacing w:val="-3"/>
          <w:sz w:val="24"/>
          <w:szCs w:val="24"/>
          <w:highlight w:val="none"/>
          <w:lang w:eastAsia="zh-CN"/>
        </w:rPr>
        <w:t>40</w:t>
      </w:r>
      <w:r>
        <w:rPr>
          <w:rFonts w:hint="eastAsia" w:ascii="宋体" w:hAnsi="宋体" w:eastAsia="宋体" w:cs="宋体"/>
          <w:color w:val="auto"/>
          <w:spacing w:val="-3"/>
          <w:sz w:val="24"/>
          <w:szCs w:val="24"/>
          <w:highlight w:val="none"/>
        </w:rPr>
        <w:t>%；投标报价满分</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3"/>
          <w:sz w:val="24"/>
          <w:szCs w:val="24"/>
          <w:highlight w:val="none"/>
        </w:rPr>
        <w:t>100 分，权重为</w:t>
      </w:r>
      <w:r>
        <w:rPr>
          <w:rFonts w:hint="eastAsia" w:ascii="宋体" w:hAnsi="宋体" w:eastAsia="宋体" w:cs="宋体"/>
          <w:color w:val="auto"/>
          <w:spacing w:val="-3"/>
          <w:sz w:val="24"/>
          <w:szCs w:val="24"/>
          <w:highlight w:val="none"/>
          <w:lang w:eastAsia="zh-CN"/>
        </w:rPr>
        <w:t xml:space="preserve"> 60%</w:t>
      </w:r>
      <w:r>
        <w:rPr>
          <w:rFonts w:hint="eastAsia" w:ascii="宋体" w:hAnsi="宋体" w:eastAsia="宋体" w:cs="宋体"/>
          <w:color w:val="auto"/>
          <w:spacing w:val="-3"/>
          <w:sz w:val="24"/>
          <w:szCs w:val="24"/>
          <w:highlight w:val="none"/>
        </w:rPr>
        <w:t>。两大部分权重之和应为</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100%。</w:t>
      </w:r>
    </w:p>
    <w:p w14:paraId="7F93F86E">
      <w:pPr>
        <w:spacing w:before="153" w:line="324" w:lineRule="auto"/>
        <w:ind w:left="14" w:right="81"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除特别注明外，综合得分以及商务技术得分、投标报价得分的中间过程计算值和</w:t>
      </w:r>
      <w:r>
        <w:rPr>
          <w:rFonts w:hint="eastAsia" w:ascii="宋体" w:hAnsi="宋体" w:eastAsia="宋体" w:cs="宋体"/>
          <w:color w:val="auto"/>
          <w:spacing w:val="-4"/>
          <w:sz w:val="24"/>
          <w:szCs w:val="24"/>
          <w:highlight w:val="none"/>
        </w:rPr>
        <w:t>最终值，均按“四舍五入”原则精确到两位小数。</w:t>
      </w:r>
    </w:p>
    <w:p w14:paraId="1F4AF271">
      <w:pPr>
        <w:spacing w:before="38" w:line="220" w:lineRule="auto"/>
        <w:ind w:left="503"/>
        <w:outlineLvl w:val="9"/>
        <w:rPr>
          <w:rFonts w:hint="eastAsia" w:ascii="宋体" w:hAnsi="宋体" w:eastAsia="宋体" w:cs="宋体"/>
          <w:color w:val="auto"/>
          <w:sz w:val="24"/>
          <w:szCs w:val="24"/>
          <w:highlight w:val="none"/>
        </w:rPr>
      </w:pPr>
      <w:bookmarkStart w:id="118" w:name="_Toc17510"/>
      <w:bookmarkStart w:id="119" w:name="_Toc10398"/>
      <w:bookmarkStart w:id="120" w:name="_Toc18029"/>
      <w:bookmarkStart w:id="121" w:name="_Toc22949"/>
      <w:r>
        <w:rPr>
          <w:rFonts w:hint="eastAsia" w:ascii="宋体" w:hAnsi="宋体" w:eastAsia="宋体" w:cs="宋体"/>
          <w:color w:val="auto"/>
          <w:spacing w:val="-3"/>
          <w:sz w:val="24"/>
          <w:szCs w:val="24"/>
          <w:highlight w:val="none"/>
        </w:rPr>
        <w:t>（1）商务技术得分</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M</w:t>
      </w:r>
      <w:bookmarkEnd w:id="118"/>
      <w:bookmarkEnd w:id="119"/>
      <w:bookmarkEnd w:id="120"/>
      <w:bookmarkEnd w:id="121"/>
    </w:p>
    <w:p w14:paraId="392026E4">
      <w:pPr>
        <w:spacing w:before="153" w:line="279" w:lineRule="auto"/>
        <w:ind w:left="15" w:right="81"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1"/>
          <w:sz w:val="24"/>
          <w:szCs w:val="24"/>
          <w:highlight w:val="none"/>
          <w:lang w:eastAsia="zh-CN"/>
        </w:rPr>
        <w:t xml:space="preserve">. </w:t>
      </w:r>
      <w:r>
        <w:rPr>
          <w:rFonts w:hint="eastAsia" w:ascii="宋体" w:hAnsi="宋体" w:eastAsia="宋体" w:cs="宋体"/>
          <w:color w:val="auto"/>
          <w:spacing w:val="1"/>
          <w:sz w:val="24"/>
          <w:szCs w:val="24"/>
          <w:highlight w:val="none"/>
        </w:rPr>
        <w:t>评标委员会按照《综合评分表》商务部分指定的评分标准对各评分因素进行</w:t>
      </w:r>
      <w:r>
        <w:rPr>
          <w:rFonts w:hint="eastAsia" w:ascii="宋体" w:hAnsi="宋体" w:eastAsia="宋体" w:cs="宋体"/>
          <w:color w:val="auto"/>
          <w:spacing w:val="-1"/>
          <w:sz w:val="24"/>
          <w:szCs w:val="24"/>
          <w:highlight w:val="none"/>
        </w:rPr>
        <w:t>打分。各评分因素得分之和即为某投标人的商务得分</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1"/>
          <w:sz w:val="24"/>
          <w:szCs w:val="24"/>
          <w:highlight w:val="none"/>
        </w:rPr>
        <w:t>。</w:t>
      </w:r>
    </w:p>
    <w:p w14:paraId="2881815B">
      <w:pPr>
        <w:spacing w:before="154" w:line="299" w:lineRule="auto"/>
        <w:ind w:left="12" w:right="8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b</w:t>
      </w:r>
      <w:r>
        <w:rPr>
          <w:rFonts w:hint="eastAsia" w:ascii="宋体" w:hAnsi="宋体" w:eastAsia="宋体" w:cs="宋体"/>
          <w:b/>
          <w:bCs/>
          <w:color w:val="auto"/>
          <w:spacing w:val="1"/>
          <w:sz w:val="24"/>
          <w:szCs w:val="24"/>
          <w:highlight w:val="none"/>
          <w:lang w:eastAsia="zh-CN"/>
        </w:rPr>
        <w:t xml:space="preserve">. </w:t>
      </w:r>
      <w:r>
        <w:rPr>
          <w:rFonts w:hint="eastAsia" w:ascii="宋体" w:hAnsi="宋体" w:eastAsia="宋体" w:cs="宋体"/>
          <w:color w:val="auto"/>
          <w:spacing w:val="1"/>
          <w:sz w:val="24"/>
          <w:szCs w:val="24"/>
          <w:highlight w:val="none"/>
        </w:rPr>
        <w:t>评标委员会各成员独立按照《综合评分表》技术部分（施工组织设</w:t>
      </w:r>
      <w:r>
        <w:rPr>
          <w:rFonts w:hint="eastAsia" w:ascii="宋体" w:hAnsi="宋体" w:eastAsia="宋体" w:cs="宋体"/>
          <w:color w:val="auto"/>
          <w:sz w:val="24"/>
          <w:szCs w:val="24"/>
          <w:highlight w:val="none"/>
        </w:rPr>
        <w:t>计）指定</w:t>
      </w:r>
      <w:r>
        <w:rPr>
          <w:rFonts w:hint="eastAsia" w:ascii="宋体" w:hAnsi="宋体" w:eastAsia="宋体" w:cs="宋体"/>
          <w:color w:val="auto"/>
          <w:spacing w:val="-1"/>
          <w:sz w:val="24"/>
          <w:szCs w:val="24"/>
          <w:highlight w:val="none"/>
        </w:rPr>
        <w:t>的评分标准对各评分因素进行打分，累加后得出技术评分。</w:t>
      </w:r>
      <w:r>
        <w:rPr>
          <w:rFonts w:hint="eastAsia" w:ascii="宋体" w:hAnsi="宋体" w:eastAsia="宋体" w:cs="宋体"/>
          <w:color w:val="auto"/>
          <w:spacing w:val="-2"/>
          <w:sz w:val="24"/>
          <w:szCs w:val="24"/>
          <w:highlight w:val="none"/>
        </w:rPr>
        <w:t>将评标委员会所有成员的</w:t>
      </w:r>
      <w:r>
        <w:rPr>
          <w:rFonts w:hint="eastAsia" w:ascii="宋体" w:hAnsi="宋体" w:eastAsia="宋体" w:cs="宋体"/>
          <w:color w:val="auto"/>
          <w:sz w:val="24"/>
          <w:szCs w:val="24"/>
          <w:highlight w:val="none"/>
        </w:rPr>
        <w:t>技术评分去掉最高分和最低分后，取算术平均值，即</w:t>
      </w:r>
      <w:r>
        <w:rPr>
          <w:rFonts w:hint="eastAsia" w:ascii="宋体" w:hAnsi="宋体" w:eastAsia="宋体" w:cs="宋体"/>
          <w:color w:val="auto"/>
          <w:spacing w:val="-1"/>
          <w:sz w:val="24"/>
          <w:szCs w:val="24"/>
          <w:highlight w:val="none"/>
        </w:rPr>
        <w:t>为某投标人的技术得分</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15"/>
          <w:szCs w:val="15"/>
          <w:highlight w:val="none"/>
        </w:rPr>
        <w:t>2</w:t>
      </w:r>
      <w:r>
        <w:rPr>
          <w:rFonts w:hint="eastAsia" w:ascii="宋体" w:hAnsi="宋体" w:eastAsia="宋体" w:cs="宋体"/>
          <w:color w:val="auto"/>
          <w:spacing w:val="-1"/>
          <w:sz w:val="24"/>
          <w:szCs w:val="24"/>
          <w:highlight w:val="none"/>
        </w:rPr>
        <w:t>。</w:t>
      </w:r>
    </w:p>
    <w:p w14:paraId="16A785CF">
      <w:pPr>
        <w:spacing w:before="155" w:line="231" w:lineRule="auto"/>
        <w:ind w:left="491"/>
        <w:rPr>
          <w:rFonts w:hint="eastAsia" w:ascii="宋体" w:hAnsi="宋体" w:eastAsia="宋体" w:cs="宋体"/>
          <w:color w:val="auto"/>
          <w:sz w:val="15"/>
          <w:szCs w:val="15"/>
          <w:highlight w:val="none"/>
        </w:rPr>
      </w:pPr>
      <w:r>
        <w:rPr>
          <w:rFonts w:hint="eastAsia" w:ascii="宋体" w:hAnsi="宋体" w:eastAsia="宋体" w:cs="宋体"/>
          <w:b/>
          <w:bCs/>
          <w:color w:val="auto"/>
          <w:spacing w:val="-12"/>
          <w:sz w:val="24"/>
          <w:szCs w:val="24"/>
          <w:highlight w:val="none"/>
        </w:rPr>
        <w:t>c</w:t>
      </w:r>
      <w:r>
        <w:rPr>
          <w:rFonts w:hint="eastAsia" w:ascii="宋体" w:hAnsi="宋体" w:eastAsia="宋体" w:cs="宋体"/>
          <w:b/>
          <w:bCs/>
          <w:color w:val="auto"/>
          <w:spacing w:val="-12"/>
          <w:sz w:val="24"/>
          <w:szCs w:val="24"/>
          <w:highlight w:val="none"/>
          <w:lang w:eastAsia="zh-CN"/>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27"/>
          <w:sz w:val="24"/>
          <w:szCs w:val="24"/>
          <w:highlight w:val="none"/>
          <w:lang w:eastAsia="zh-CN"/>
        </w:rPr>
        <w:t>=</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12"/>
          <w:position w:val="-1"/>
          <w:sz w:val="15"/>
          <w:szCs w:val="15"/>
          <w:highlight w:val="none"/>
        </w:rPr>
        <w:t>1</w:t>
      </w:r>
      <w:r>
        <w:rPr>
          <w:rFonts w:hint="eastAsia" w:ascii="宋体" w:hAnsi="宋体" w:eastAsia="宋体" w:cs="宋体"/>
          <w:color w:val="auto"/>
          <w:spacing w:val="-12"/>
          <w:position w:val="-1"/>
          <w:sz w:val="15"/>
          <w:szCs w:val="15"/>
          <w:highlight w:val="none"/>
          <w:lang w:eastAsia="zh-CN"/>
        </w:rPr>
        <w:t>+</w:t>
      </w:r>
      <w:r>
        <w:rPr>
          <w:rFonts w:hint="eastAsia" w:ascii="宋体" w:hAnsi="宋体" w:eastAsia="宋体" w:cs="宋体"/>
          <w:color w:val="auto"/>
          <w:sz w:val="24"/>
          <w:szCs w:val="24"/>
          <w:highlight w:val="none"/>
        </w:rPr>
        <w:t>M</w:t>
      </w:r>
      <w:r>
        <w:rPr>
          <w:rFonts w:hint="eastAsia" w:ascii="宋体" w:hAnsi="宋体" w:eastAsia="宋体" w:cs="宋体"/>
          <w:color w:val="auto"/>
          <w:position w:val="-1"/>
          <w:sz w:val="15"/>
          <w:szCs w:val="15"/>
          <w:highlight w:val="none"/>
        </w:rPr>
        <w:t>2</w:t>
      </w:r>
    </w:p>
    <w:p w14:paraId="0A2F9F5C">
      <w:pPr>
        <w:spacing w:before="139" w:line="220" w:lineRule="auto"/>
        <w:ind w:left="49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12"/>
          <w:w w:val="101"/>
          <w:position w:val="-1"/>
          <w:sz w:val="15"/>
          <w:szCs w:val="15"/>
          <w:highlight w:val="none"/>
        </w:rPr>
        <w:t xml:space="preserve"> </w:t>
      </w:r>
      <w:r>
        <w:rPr>
          <w:rFonts w:hint="eastAsia" w:ascii="宋体" w:hAnsi="宋体" w:eastAsia="宋体" w:cs="宋体"/>
          <w:color w:val="auto"/>
          <w:spacing w:val="-1"/>
          <w:sz w:val="24"/>
          <w:szCs w:val="24"/>
          <w:highlight w:val="none"/>
        </w:rPr>
        <w:t>为某投标人的商务得分，M</w:t>
      </w:r>
      <w:r>
        <w:rPr>
          <w:rFonts w:hint="eastAsia" w:ascii="宋体" w:hAnsi="宋体" w:eastAsia="宋体" w:cs="宋体"/>
          <w:color w:val="auto"/>
          <w:spacing w:val="-1"/>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1"/>
          <w:sz w:val="24"/>
          <w:szCs w:val="24"/>
          <w:highlight w:val="none"/>
        </w:rPr>
        <w:t>为某投标人的</w:t>
      </w:r>
      <w:r>
        <w:rPr>
          <w:rFonts w:hint="eastAsia" w:ascii="宋体" w:hAnsi="宋体" w:eastAsia="宋体" w:cs="宋体"/>
          <w:color w:val="auto"/>
          <w:spacing w:val="-2"/>
          <w:sz w:val="24"/>
          <w:szCs w:val="24"/>
          <w:highlight w:val="none"/>
        </w:rPr>
        <w:t>技术得分。</w:t>
      </w:r>
    </w:p>
    <w:p w14:paraId="48783CD0">
      <w:pPr>
        <w:spacing w:before="153" w:line="219" w:lineRule="auto"/>
        <w:ind w:left="503"/>
        <w:outlineLvl w:val="9"/>
        <w:rPr>
          <w:rFonts w:hint="eastAsia" w:ascii="宋体" w:hAnsi="宋体" w:eastAsia="宋体" w:cs="宋体"/>
          <w:color w:val="auto"/>
          <w:sz w:val="24"/>
          <w:szCs w:val="24"/>
          <w:highlight w:val="none"/>
        </w:rPr>
      </w:pPr>
      <w:bookmarkStart w:id="122" w:name="_Toc3958"/>
      <w:bookmarkStart w:id="123" w:name="_Toc14059"/>
      <w:bookmarkStart w:id="124" w:name="_Toc16136"/>
      <w:bookmarkStart w:id="125" w:name="_Toc27609"/>
      <w:r>
        <w:rPr>
          <w:rFonts w:hint="eastAsia" w:ascii="宋体" w:hAnsi="宋体" w:eastAsia="宋体" w:cs="宋体"/>
          <w:color w:val="auto"/>
          <w:spacing w:val="-2"/>
          <w:sz w:val="24"/>
          <w:szCs w:val="24"/>
          <w:highlight w:val="none"/>
        </w:rPr>
        <w:t>（2）投标报价得分</w:t>
      </w:r>
      <w:r>
        <w:rPr>
          <w:rFonts w:hint="eastAsia" w:ascii="宋体" w:hAnsi="宋体" w:eastAsia="宋体" w:cs="宋体"/>
          <w:color w:val="auto"/>
          <w:spacing w:val="-62"/>
          <w:sz w:val="24"/>
          <w:szCs w:val="24"/>
          <w:highlight w:val="none"/>
        </w:rPr>
        <w:t xml:space="preserve"> </w:t>
      </w:r>
      <w:r>
        <w:rPr>
          <w:rFonts w:hint="eastAsia" w:ascii="宋体" w:hAnsi="宋体" w:eastAsia="宋体" w:cs="宋体"/>
          <w:color w:val="auto"/>
          <w:spacing w:val="-2"/>
          <w:sz w:val="24"/>
          <w:szCs w:val="24"/>
          <w:highlight w:val="none"/>
        </w:rPr>
        <w:t>N</w:t>
      </w:r>
      <w:bookmarkEnd w:id="122"/>
      <w:bookmarkEnd w:id="123"/>
      <w:bookmarkEnd w:id="124"/>
      <w:bookmarkEnd w:id="125"/>
    </w:p>
    <w:p w14:paraId="32CC3A83">
      <w:pPr>
        <w:spacing w:before="157" w:line="219" w:lineRule="auto"/>
        <w:ind w:firstLine="470"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a</w:t>
      </w:r>
      <w:r>
        <w:rPr>
          <w:rFonts w:hint="eastAsia" w:ascii="宋体" w:hAnsi="宋体" w:eastAsia="宋体" w:cs="宋体"/>
          <w:b/>
          <w:bCs/>
          <w:color w:val="auto"/>
          <w:spacing w:val="-3"/>
          <w:sz w:val="24"/>
          <w:szCs w:val="24"/>
          <w:highlight w:val="none"/>
          <w:lang w:eastAsia="zh-CN"/>
        </w:rPr>
        <w:t xml:space="preserve">. </w:t>
      </w:r>
      <w:r>
        <w:rPr>
          <w:rFonts w:hint="eastAsia" w:ascii="宋体" w:hAnsi="宋体" w:eastAsia="宋体" w:cs="宋体"/>
          <w:color w:val="auto"/>
          <w:spacing w:val="-3"/>
          <w:sz w:val="24"/>
          <w:szCs w:val="24"/>
          <w:highlight w:val="none"/>
        </w:rPr>
        <w:t>评标委员会按照《综合评分表》投标报价部分指定的方法计</w:t>
      </w:r>
      <w:r>
        <w:rPr>
          <w:rFonts w:hint="eastAsia" w:ascii="宋体" w:hAnsi="宋体" w:eastAsia="宋体" w:cs="宋体"/>
          <w:color w:val="auto"/>
          <w:spacing w:val="-4"/>
          <w:sz w:val="24"/>
          <w:szCs w:val="24"/>
          <w:highlight w:val="none"/>
        </w:rPr>
        <w:t>算评标基准价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pacing w:val="-4"/>
          <w:sz w:val="24"/>
          <w:szCs w:val="24"/>
          <w:highlight w:val="none"/>
        </w:rPr>
        <w:t>D。</w:t>
      </w:r>
    </w:p>
    <w:p w14:paraId="244C81B9">
      <w:pPr>
        <w:spacing w:before="155" w:line="299" w:lineRule="auto"/>
        <w:ind w:left="12" w:right="83"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b</w:t>
      </w:r>
      <w:r>
        <w:rPr>
          <w:rFonts w:hint="eastAsia" w:ascii="宋体" w:hAnsi="宋体" w:eastAsia="宋体" w:cs="宋体"/>
          <w:b/>
          <w:bCs/>
          <w:color w:val="auto"/>
          <w:sz w:val="24"/>
          <w:szCs w:val="24"/>
          <w:highlight w:val="none"/>
          <w:lang w:eastAsia="zh-CN"/>
        </w:rPr>
        <w:t xml:space="preserve">. </w:t>
      </w:r>
      <w:r>
        <w:rPr>
          <w:rFonts w:hint="eastAsia" w:ascii="宋体" w:hAnsi="宋体" w:eastAsia="宋体" w:cs="宋体"/>
          <w:color w:val="auto"/>
          <w:sz w:val="24"/>
          <w:szCs w:val="24"/>
          <w:highlight w:val="none"/>
        </w:rPr>
        <w:t>采用内插法计算某投标人的投标报价得分</w:t>
      </w:r>
      <w:r>
        <w:rPr>
          <w:rFonts w:hint="eastAsia" w:ascii="宋体" w:hAnsi="宋体" w:eastAsia="宋体" w:cs="宋体"/>
          <w:color w:val="auto"/>
          <w:spacing w:val="-60"/>
          <w:sz w:val="24"/>
          <w:szCs w:val="24"/>
          <w:highlight w:val="none"/>
        </w:rPr>
        <w:t xml:space="preserve"> </w:t>
      </w:r>
      <w:r>
        <w:rPr>
          <w:rFonts w:hint="eastAsia" w:ascii="宋体" w:hAnsi="宋体" w:eastAsia="宋体" w:cs="宋体"/>
          <w:color w:val="auto"/>
          <w:sz w:val="24"/>
          <w:szCs w:val="24"/>
          <w:highlight w:val="none"/>
        </w:rPr>
        <w:t>N</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z w:val="24"/>
          <w:szCs w:val="24"/>
          <w:highlight w:val="none"/>
        </w:rPr>
        <w:t>，即当投标人的投标总价等于评</w:t>
      </w:r>
      <w:r>
        <w:rPr>
          <w:rFonts w:hint="eastAsia" w:ascii="宋体" w:hAnsi="宋体" w:eastAsia="宋体" w:cs="宋体"/>
          <w:color w:val="auto"/>
          <w:spacing w:val="-1"/>
          <w:sz w:val="24"/>
          <w:szCs w:val="24"/>
          <w:highlight w:val="none"/>
        </w:rPr>
        <w:t>标基准价时得</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1"/>
          <w:sz w:val="24"/>
          <w:szCs w:val="24"/>
          <w:highlight w:val="none"/>
        </w:rPr>
        <w:t>100分，每高于评标基准价一个百分点扣</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1"/>
          <w:sz w:val="24"/>
          <w:szCs w:val="24"/>
          <w:highlight w:val="none"/>
          <w:lang w:eastAsia="zh-CN"/>
        </w:rPr>
        <w:t>3</w:t>
      </w:r>
      <w:r>
        <w:rPr>
          <w:rFonts w:hint="eastAsia" w:ascii="宋体" w:hAnsi="宋体" w:eastAsia="宋体" w:cs="宋体"/>
          <w:b/>
          <w:bCs/>
          <w:color w:val="auto"/>
          <w:spacing w:val="-1"/>
          <w:sz w:val="24"/>
          <w:szCs w:val="24"/>
          <w:highlight w:val="none"/>
        </w:rPr>
        <w:t>分</w:t>
      </w:r>
      <w:r>
        <w:rPr>
          <w:rFonts w:hint="eastAsia" w:ascii="宋体" w:hAnsi="宋体" w:eastAsia="宋体" w:cs="宋体"/>
          <w:b/>
          <w:bCs/>
          <w:color w:val="auto"/>
          <w:spacing w:val="-1"/>
          <w:sz w:val="24"/>
          <w:szCs w:val="24"/>
          <w:highlight w:val="none"/>
          <w:lang w:eastAsia="zh-CN"/>
        </w:rPr>
        <w:t>，</w:t>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2"/>
          <w:sz w:val="24"/>
          <w:szCs w:val="24"/>
          <w:highlight w:val="none"/>
        </w:rPr>
        <w:t>每低于评标基准价一个百分点扣</w:t>
      </w:r>
      <w:r>
        <w:rPr>
          <w:rFonts w:hint="eastAsia" w:ascii="宋体" w:hAnsi="宋体" w:eastAsia="宋体" w:cs="宋体"/>
          <w:color w:val="auto"/>
          <w:spacing w:val="-34"/>
          <w:sz w:val="24"/>
          <w:szCs w:val="24"/>
          <w:highlight w:val="none"/>
        </w:rPr>
        <w:t xml:space="preserve"> </w:t>
      </w:r>
      <w:r>
        <w:rPr>
          <w:rFonts w:hint="eastAsia" w:ascii="宋体" w:hAnsi="宋体" w:eastAsia="宋体" w:cs="宋体"/>
          <w:b/>
          <w:bCs/>
          <w:color w:val="auto"/>
          <w:spacing w:val="-2"/>
          <w:sz w:val="24"/>
          <w:szCs w:val="24"/>
          <w:highlight w:val="none"/>
          <w:lang w:eastAsia="zh-CN"/>
        </w:rPr>
        <w:t>1</w:t>
      </w:r>
      <w:r>
        <w:rPr>
          <w:rFonts w:hint="eastAsia" w:ascii="宋体" w:hAnsi="宋体" w:eastAsia="宋体" w:cs="宋体"/>
          <w:b/>
          <w:bCs/>
          <w:color w:val="auto"/>
          <w:spacing w:val="-2"/>
          <w:sz w:val="24"/>
          <w:szCs w:val="24"/>
          <w:highlight w:val="none"/>
        </w:rPr>
        <w:t>分</w:t>
      </w:r>
      <w:r>
        <w:rPr>
          <w:rFonts w:hint="eastAsia" w:ascii="宋体" w:hAnsi="宋体" w:eastAsia="宋体" w:cs="宋体"/>
          <w:color w:val="auto"/>
          <w:spacing w:val="-2"/>
          <w:sz w:val="24"/>
          <w:szCs w:val="24"/>
          <w:highlight w:val="none"/>
        </w:rPr>
        <w:t>，扣完为止。公式如下：</w:t>
      </w:r>
    </w:p>
    <w:p w14:paraId="7BBB0CF5">
      <w:pPr>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N</w:t>
      </w:r>
      <w:r>
        <w:rPr>
          <w:rFonts w:hint="eastAsia" w:ascii="宋体" w:hAnsi="宋体" w:eastAsia="宋体" w:cs="宋体"/>
          <w:color w:val="auto"/>
          <w:spacing w:val="-2"/>
          <w:sz w:val="24"/>
          <w:szCs w:val="24"/>
          <w:highlight w:val="none"/>
          <w:lang w:eastAsia="zh-CN"/>
        </w:rPr>
        <w:t>=</w:t>
      </w:r>
      <w:r>
        <w:rPr>
          <w:rFonts w:hint="eastAsia" w:ascii="宋体" w:hAnsi="宋体" w:eastAsia="宋体" w:cs="宋体"/>
          <w:snapToGrid w:val="0"/>
          <w:color w:val="auto"/>
          <w:kern w:val="0"/>
          <w:sz w:val="24"/>
          <w:highlight w:val="none"/>
          <w:u w:val="single"/>
          <w:lang w:val="en-US" w:eastAsia="zh-CN"/>
        </w:rPr>
        <w:t>50-(</w:t>
      </w:r>
      <w:r>
        <w:rPr>
          <w:rFonts w:hint="eastAsia" w:ascii="宋体" w:hAnsi="宋体" w:eastAsia="宋体" w:cs="宋体"/>
          <w:snapToGrid w:val="0"/>
          <w:color w:val="auto"/>
          <w:kern w:val="0"/>
          <w:sz w:val="24"/>
          <w:highlight w:val="none"/>
        </w:rPr>
        <w:t>| Di</w:t>
      </w:r>
      <w:r>
        <w:rPr>
          <w:rFonts w:hint="eastAsia" w:ascii="宋体" w:hAnsi="宋体" w:eastAsia="宋体" w:cs="宋体"/>
          <w:snapToGrid w:val="0"/>
          <w:color w:val="auto"/>
          <w:kern w:val="0"/>
          <w:sz w:val="24"/>
          <w:highlight w:val="none"/>
          <w:lang w:eastAsia="zh-CN"/>
        </w:rPr>
        <w:t>-</w:t>
      </w:r>
      <w:r>
        <w:rPr>
          <w:rFonts w:hint="eastAsia" w:ascii="宋体" w:hAnsi="宋体" w:eastAsia="宋体" w:cs="宋体"/>
          <w:snapToGrid w:val="0"/>
          <w:color w:val="auto"/>
          <w:kern w:val="0"/>
          <w:sz w:val="24"/>
          <w:highlight w:val="none"/>
        </w:rPr>
        <w:t>D | ÷D</w:t>
      </w:r>
      <w:r>
        <w:rPr>
          <w:rFonts w:hint="eastAsia" w:ascii="宋体" w:hAnsi="宋体" w:eastAsia="宋体" w:cs="宋体"/>
          <w:snapToGrid w:val="0"/>
          <w:color w:val="auto"/>
          <w:kern w:val="0"/>
          <w:sz w:val="24"/>
          <w:highlight w:val="none"/>
          <w:lang w:eastAsia="zh-CN"/>
        </w:rPr>
        <w:t>)</w:t>
      </w:r>
      <w:r>
        <w:rPr>
          <w:rFonts w:hint="eastAsia" w:ascii="宋体" w:hAnsi="宋体" w:eastAsia="宋体" w:cs="宋体"/>
          <w:snapToGrid w:val="0"/>
          <w:color w:val="auto"/>
          <w:kern w:val="0"/>
          <w:sz w:val="24"/>
          <w:highlight w:val="none"/>
        </w:rPr>
        <w:t>×100×E</w:t>
      </w:r>
    </w:p>
    <w:p w14:paraId="2D2C5A9B">
      <w:pPr>
        <w:spacing w:before="106" w:line="316" w:lineRule="auto"/>
        <w:ind w:left="7" w:right="17" w:firstLine="489"/>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式中：D 为评标基准价；Di</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为某投标人的投标总价；E</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9"/>
          <w:sz w:val="24"/>
          <w:szCs w:val="24"/>
          <w:highlight w:val="none"/>
        </w:rPr>
        <w:t>为扣分因子，当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9"/>
          <w:sz w:val="24"/>
          <w:szCs w:val="24"/>
          <w:highlight w:val="none"/>
        </w:rPr>
        <w:t>Di＞D</w:t>
      </w:r>
      <w:r>
        <w:rPr>
          <w:rFonts w:hint="eastAsia" w:ascii="宋体" w:hAnsi="宋体" w:eastAsia="宋体" w:cs="宋体"/>
          <w:color w:val="auto"/>
          <w:spacing w:val="22"/>
          <w:w w:val="101"/>
          <w:sz w:val="24"/>
          <w:szCs w:val="24"/>
          <w:highlight w:val="none"/>
        </w:rPr>
        <w:t xml:space="preserve"> </w:t>
      </w:r>
      <w:r>
        <w:rPr>
          <w:rFonts w:hint="eastAsia" w:ascii="宋体" w:hAnsi="宋体" w:eastAsia="宋体" w:cs="宋体"/>
          <w:color w:val="auto"/>
          <w:spacing w:val="-10"/>
          <w:sz w:val="24"/>
          <w:szCs w:val="24"/>
          <w:highlight w:val="none"/>
        </w:rPr>
        <w:t>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E</w:t>
      </w:r>
      <w:r>
        <w:rPr>
          <w:rFonts w:hint="eastAsia" w:ascii="宋体" w:hAnsi="宋体" w:eastAsia="宋体" w:cs="宋体"/>
          <w:color w:val="auto"/>
          <w:spacing w:val="-24"/>
          <w:sz w:val="24"/>
          <w:szCs w:val="24"/>
          <w:highlight w:val="none"/>
        </w:rPr>
        <w:t xml:space="preserve"> </w:t>
      </w:r>
      <w:r>
        <w:rPr>
          <w:rFonts w:hint="eastAsia" w:ascii="宋体" w:hAnsi="宋体" w:eastAsia="宋体" w:cs="宋体"/>
          <w:color w:val="auto"/>
          <w:spacing w:val="-8"/>
          <w:sz w:val="24"/>
          <w:szCs w:val="24"/>
          <w:highlight w:val="none"/>
        </w:rPr>
        <w:t>＝</w:t>
      </w:r>
      <w:r>
        <w:rPr>
          <w:rFonts w:hint="eastAsia" w:ascii="宋体" w:hAnsi="宋体" w:eastAsia="宋体" w:cs="宋体"/>
          <w:b/>
          <w:bCs/>
          <w:color w:val="auto"/>
          <w:spacing w:val="-8"/>
          <w:sz w:val="24"/>
          <w:szCs w:val="24"/>
          <w:highlight w:val="none"/>
          <w:lang w:eastAsia="zh-CN"/>
        </w:rPr>
        <w:t>3</w:t>
      </w:r>
      <w:r>
        <w:rPr>
          <w:rFonts w:hint="eastAsia" w:ascii="宋体" w:hAnsi="宋体" w:eastAsia="宋体" w:cs="宋体"/>
          <w:b/>
          <w:bCs/>
          <w:color w:val="auto"/>
          <w:spacing w:val="-30"/>
          <w:sz w:val="24"/>
          <w:szCs w:val="24"/>
          <w:highlight w:val="none"/>
        </w:rPr>
        <w:t xml:space="preserve"> </w:t>
      </w:r>
      <w:r>
        <w:rPr>
          <w:rFonts w:hint="eastAsia" w:ascii="宋体" w:hAnsi="宋体" w:eastAsia="宋体" w:cs="宋体"/>
          <w:b/>
          <w:bCs/>
          <w:color w:val="auto"/>
          <w:spacing w:val="-8"/>
          <w:sz w:val="24"/>
          <w:szCs w:val="24"/>
          <w:highlight w:val="none"/>
        </w:rPr>
        <w:t>；</w:t>
      </w:r>
      <w:r>
        <w:rPr>
          <w:rFonts w:hint="eastAsia" w:ascii="宋体" w:hAnsi="宋体" w:eastAsia="宋体" w:cs="宋体"/>
          <w:color w:val="auto"/>
          <w:spacing w:val="-8"/>
          <w:sz w:val="24"/>
          <w:szCs w:val="24"/>
          <w:highlight w:val="none"/>
        </w:rPr>
        <w:t>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8"/>
          <w:sz w:val="24"/>
          <w:szCs w:val="24"/>
          <w:highlight w:val="none"/>
        </w:rPr>
        <w:t>Di＜D</w:t>
      </w:r>
      <w:r>
        <w:rPr>
          <w:rFonts w:hint="eastAsia" w:ascii="宋体" w:hAnsi="宋体" w:eastAsia="宋体" w:cs="宋体"/>
          <w:color w:val="auto"/>
          <w:spacing w:val="20"/>
          <w:w w:val="101"/>
          <w:sz w:val="24"/>
          <w:szCs w:val="24"/>
          <w:highlight w:val="none"/>
        </w:rPr>
        <w:t xml:space="preserve"> </w:t>
      </w:r>
      <w:r>
        <w:rPr>
          <w:rFonts w:hint="eastAsia" w:ascii="宋体" w:hAnsi="宋体" w:eastAsia="宋体" w:cs="宋体"/>
          <w:color w:val="auto"/>
          <w:spacing w:val="-8"/>
          <w:sz w:val="24"/>
          <w:szCs w:val="24"/>
          <w:highlight w:val="none"/>
        </w:rPr>
        <w:t>时，E</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8"/>
          <w:sz w:val="24"/>
          <w:szCs w:val="24"/>
          <w:highlight w:val="none"/>
        </w:rPr>
        <w:t>＝</w:t>
      </w:r>
      <w:r>
        <w:rPr>
          <w:rFonts w:hint="eastAsia" w:ascii="宋体" w:hAnsi="宋体" w:eastAsia="宋体" w:cs="宋体"/>
          <w:b/>
          <w:bCs/>
          <w:color w:val="auto"/>
          <w:spacing w:val="-8"/>
          <w:sz w:val="24"/>
          <w:szCs w:val="24"/>
          <w:highlight w:val="none"/>
          <w:lang w:val="en-US" w:eastAsia="zh-CN"/>
        </w:rPr>
        <w:t>1</w:t>
      </w:r>
      <w:r>
        <w:rPr>
          <w:rFonts w:hint="eastAsia" w:ascii="宋体" w:hAnsi="宋体" w:eastAsia="宋体" w:cs="宋体"/>
          <w:b/>
          <w:bCs/>
          <w:color w:val="auto"/>
          <w:spacing w:val="-8"/>
          <w:sz w:val="24"/>
          <w:szCs w:val="24"/>
          <w:highlight w:val="none"/>
        </w:rPr>
        <w:t>。</w:t>
      </w:r>
    </w:p>
    <w:p w14:paraId="25245EA0">
      <w:pPr>
        <w:spacing w:before="95" w:line="220" w:lineRule="auto"/>
        <w:ind w:left="503"/>
        <w:outlineLvl w:val="9"/>
        <w:rPr>
          <w:rFonts w:hint="eastAsia" w:ascii="宋体" w:hAnsi="宋体" w:eastAsia="宋体" w:cs="宋体"/>
          <w:color w:val="auto"/>
          <w:sz w:val="24"/>
          <w:szCs w:val="24"/>
          <w:highlight w:val="none"/>
        </w:rPr>
      </w:pPr>
      <w:bookmarkStart w:id="126" w:name="_Toc3861"/>
      <w:bookmarkStart w:id="127" w:name="_Toc576"/>
      <w:bookmarkStart w:id="128" w:name="_Toc7915"/>
      <w:bookmarkStart w:id="129" w:name="_Toc4990"/>
      <w:r>
        <w:rPr>
          <w:rFonts w:hint="eastAsia" w:ascii="宋体" w:hAnsi="宋体" w:eastAsia="宋体" w:cs="宋体"/>
          <w:color w:val="auto"/>
          <w:spacing w:val="-3"/>
          <w:sz w:val="24"/>
          <w:szCs w:val="24"/>
          <w:highlight w:val="none"/>
        </w:rPr>
        <w:t>（3）综合得分</w:t>
      </w:r>
      <w:bookmarkEnd w:id="126"/>
      <w:bookmarkEnd w:id="127"/>
      <w:bookmarkEnd w:id="128"/>
      <w:bookmarkEnd w:id="129"/>
    </w:p>
    <w:p w14:paraId="0F362937">
      <w:pPr>
        <w:spacing w:before="153" w:line="220" w:lineRule="auto"/>
        <w:ind w:left="49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综合得分换算为百分制，满分</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2"/>
          <w:sz w:val="24"/>
          <w:szCs w:val="24"/>
          <w:highlight w:val="none"/>
        </w:rPr>
        <w:t>100 分，公式如下：</w:t>
      </w:r>
    </w:p>
    <w:p w14:paraId="0C5D7075">
      <w:pPr>
        <w:spacing w:before="155" w:line="324" w:lineRule="auto"/>
        <w:ind w:left="496" w:right="532" w:hanging="33"/>
        <w:rPr>
          <w:rFonts w:hint="eastAsia" w:ascii="宋体" w:hAnsi="宋体" w:eastAsia="宋体" w:cs="宋体"/>
          <w:color w:val="auto"/>
          <w:spacing w:val="-1"/>
          <w:sz w:val="24"/>
          <w:szCs w:val="24"/>
          <w:highlight w:val="none"/>
        </w:rPr>
      </w:pPr>
      <w:r>
        <w:rPr>
          <w:rFonts w:hint="eastAsia" w:ascii="宋体" w:hAnsi="宋体" w:eastAsia="宋体" w:cs="宋体"/>
          <w:color w:val="auto"/>
          <w:sz w:val="24"/>
          <w:szCs w:val="24"/>
          <w:highlight w:val="none"/>
        </w:rPr>
        <w:t>综合得分＝M÷商务技术合计满分×100</w:t>
      </w:r>
      <w:r>
        <w:rPr>
          <w:rFonts w:hint="eastAsia" w:ascii="宋体" w:hAnsi="宋体" w:eastAsia="宋体" w:cs="宋体"/>
          <w:color w:val="auto"/>
          <w:spacing w:val="-1"/>
          <w:sz w:val="24"/>
          <w:szCs w:val="24"/>
          <w:highlight w:val="none"/>
        </w:rPr>
        <w:t>×商务技术权重＋N×投标报价权重</w:t>
      </w:r>
    </w:p>
    <w:p w14:paraId="22FAA7C0">
      <w:pPr>
        <w:spacing w:before="155" w:line="324" w:lineRule="auto"/>
        <w:ind w:left="496" w:right="532" w:hanging="3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 为商务技术得分，N 为投标报价得分。</w:t>
      </w:r>
    </w:p>
    <w:p w14:paraId="31F4B4FC">
      <w:pPr>
        <w:spacing w:before="78" w:line="329" w:lineRule="auto"/>
        <w:ind w:left="0" w:right="263" w:firstLine="490" w:firstLineChars="200"/>
        <w:jc w:val="both"/>
        <w:rPr>
          <w:rFonts w:hint="eastAsia" w:ascii="宋体" w:hAnsi="宋体" w:eastAsia="宋体" w:cs="宋体"/>
          <w:b/>
          <w:bCs/>
          <w:color w:val="auto"/>
          <w:spacing w:val="2"/>
          <w:sz w:val="24"/>
          <w:szCs w:val="24"/>
          <w:highlight w:val="none"/>
        </w:rPr>
      </w:pPr>
      <w:bookmarkStart w:id="130" w:name="_Toc32384"/>
      <w:bookmarkStart w:id="131" w:name="_Toc2885"/>
      <w:bookmarkStart w:id="132" w:name="_Toc30671"/>
      <w:bookmarkStart w:id="133" w:name="_Toc25214"/>
      <w:r>
        <w:rPr>
          <w:rFonts w:hint="eastAsia" w:ascii="宋体" w:hAnsi="宋体" w:eastAsia="宋体" w:cs="宋体"/>
          <w:b/>
          <w:bCs/>
          <w:color w:val="auto"/>
          <w:spacing w:val="2"/>
          <w:sz w:val="24"/>
          <w:szCs w:val="24"/>
          <w:highlight w:val="none"/>
        </w:rPr>
        <w:t>（4）</w:t>
      </w:r>
      <w:bookmarkEnd w:id="130"/>
      <w:bookmarkEnd w:id="131"/>
      <w:bookmarkEnd w:id="132"/>
      <w:bookmarkEnd w:id="133"/>
      <w:r>
        <w:rPr>
          <w:rFonts w:hint="eastAsia" w:ascii="宋体" w:hAnsi="宋体" w:eastAsia="宋体" w:cs="宋体"/>
          <w:b/>
          <w:bCs/>
          <w:color w:val="auto"/>
          <w:spacing w:val="2"/>
          <w:sz w:val="24"/>
          <w:szCs w:val="24"/>
          <w:highlight w:val="none"/>
        </w:rPr>
        <w:t>评标委员会根据招标文件规定的评分细则，对招标文件中的各评审因素进行评审、比较、打分，将得分前5名不排序（按企业统一社会信用代码后4位由大到小排位，如统一社会信用代码后4位出现字母情况的，字母以“0”进行代替）的投标人作为定标候选人推荐给招标人，并对每个定标候选人的优势、风险等评审情况进行说明。当投标人综合总得分相同时，以报价低</w:t>
      </w:r>
      <w:r>
        <w:rPr>
          <w:rFonts w:hint="eastAsia" w:ascii="宋体" w:hAnsi="宋体" w:eastAsia="宋体" w:cs="宋体"/>
          <w:b/>
          <w:bCs/>
          <w:color w:val="auto"/>
          <w:spacing w:val="2"/>
          <w:sz w:val="24"/>
          <w:szCs w:val="24"/>
          <w:highlight w:val="none"/>
          <w:lang w:eastAsia="zh-CN"/>
        </w:rPr>
        <w:t>者为</w:t>
      </w:r>
      <w:r>
        <w:rPr>
          <w:rFonts w:hint="eastAsia" w:ascii="宋体" w:hAnsi="宋体" w:eastAsia="宋体" w:cs="宋体"/>
          <w:b/>
          <w:bCs/>
          <w:color w:val="auto"/>
          <w:spacing w:val="2"/>
          <w:sz w:val="24"/>
          <w:szCs w:val="24"/>
          <w:highlight w:val="none"/>
        </w:rPr>
        <w:t>前；当投标人综合总得分相同且报价相同时，由评标委员会投票确定</w:t>
      </w:r>
      <w:r>
        <w:rPr>
          <w:rFonts w:hint="eastAsia" w:ascii="宋体" w:hAnsi="宋体" w:eastAsia="宋体" w:cs="宋体"/>
          <w:b/>
          <w:bCs/>
          <w:color w:val="auto"/>
          <w:spacing w:val="2"/>
          <w:sz w:val="24"/>
          <w:szCs w:val="24"/>
          <w:highlight w:val="none"/>
          <w:lang w:eastAsia="zh-CN"/>
        </w:rPr>
        <w:t>排名</w:t>
      </w:r>
      <w:r>
        <w:rPr>
          <w:rFonts w:hint="eastAsia" w:ascii="宋体" w:hAnsi="宋体" w:eastAsia="宋体" w:cs="宋体"/>
          <w:b/>
          <w:bCs/>
          <w:color w:val="auto"/>
          <w:spacing w:val="2"/>
          <w:sz w:val="24"/>
          <w:szCs w:val="24"/>
          <w:highlight w:val="none"/>
        </w:rPr>
        <w:t>。</w:t>
      </w:r>
    </w:p>
    <w:p w14:paraId="70C32CE3">
      <w:pPr>
        <w:spacing w:before="78" w:line="329" w:lineRule="auto"/>
        <w:ind w:right="263" w:firstLine="490" w:firstLineChars="20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018D3E19">
      <w:pPr>
        <w:pStyle w:val="6"/>
        <w:spacing w:line="304" w:lineRule="auto"/>
        <w:rPr>
          <w:rFonts w:hint="eastAsia" w:ascii="宋体" w:hAnsi="宋体" w:eastAsia="宋体" w:cs="宋体"/>
          <w:color w:val="auto"/>
          <w:highlight w:val="none"/>
        </w:rPr>
      </w:pPr>
    </w:p>
    <w:p w14:paraId="2C7B650C">
      <w:pPr>
        <w:rPr>
          <w:rFonts w:hint="eastAsia"/>
          <w:color w:val="auto"/>
          <w:highlight w:val="none"/>
        </w:rPr>
      </w:pPr>
    </w:p>
    <w:p w14:paraId="003265E2">
      <w:pPr>
        <w:pStyle w:val="4"/>
        <w:rPr>
          <w:rFonts w:hint="eastAsia"/>
          <w:color w:val="auto"/>
          <w:highlight w:val="none"/>
        </w:rPr>
      </w:pPr>
    </w:p>
    <w:p w14:paraId="52A60899">
      <w:pPr>
        <w:rPr>
          <w:rFonts w:hint="eastAsia"/>
          <w:color w:val="auto"/>
          <w:highlight w:val="none"/>
        </w:rPr>
      </w:pPr>
    </w:p>
    <w:p w14:paraId="30A664AA">
      <w:pPr>
        <w:pStyle w:val="4"/>
        <w:rPr>
          <w:rFonts w:hint="eastAsia"/>
          <w:color w:val="auto"/>
          <w:highlight w:val="none"/>
        </w:rPr>
      </w:pPr>
    </w:p>
    <w:p w14:paraId="4B640883">
      <w:pPr>
        <w:rPr>
          <w:rFonts w:hint="eastAsia"/>
          <w:color w:val="auto"/>
          <w:highlight w:val="none"/>
        </w:rPr>
      </w:pPr>
    </w:p>
    <w:p w14:paraId="1FADA1FB">
      <w:pPr>
        <w:pStyle w:val="4"/>
        <w:rPr>
          <w:rFonts w:hint="eastAsia"/>
          <w:color w:val="auto"/>
          <w:highlight w:val="none"/>
        </w:rPr>
      </w:pPr>
    </w:p>
    <w:p w14:paraId="7EBA89AE">
      <w:pPr>
        <w:rPr>
          <w:rFonts w:hint="eastAsia"/>
          <w:color w:val="auto"/>
          <w:highlight w:val="none"/>
        </w:rPr>
      </w:pPr>
    </w:p>
    <w:p w14:paraId="2EEAE1CF">
      <w:pPr>
        <w:rPr>
          <w:rFonts w:hint="eastAsia"/>
          <w:color w:val="auto"/>
          <w:highlight w:val="none"/>
        </w:rPr>
      </w:pPr>
    </w:p>
    <w:p w14:paraId="64D0C39F">
      <w:pPr>
        <w:rPr>
          <w:rFonts w:hint="eastAsia"/>
          <w:color w:val="auto"/>
          <w:highlight w:val="none"/>
        </w:rPr>
      </w:pPr>
    </w:p>
    <w:p w14:paraId="1DAED1C9">
      <w:pPr>
        <w:rPr>
          <w:rFonts w:hint="eastAsia" w:ascii="宋体" w:hAnsi="宋体" w:eastAsia="宋体" w:cs="宋体"/>
          <w:b/>
          <w:bCs/>
          <w:color w:val="auto"/>
          <w:spacing w:val="-6"/>
          <w:sz w:val="30"/>
          <w:szCs w:val="30"/>
          <w:highlight w:val="none"/>
        </w:rPr>
      </w:pPr>
      <w:bookmarkStart w:id="134" w:name="_Toc16801"/>
      <w:bookmarkStart w:id="135" w:name="_Toc17375"/>
      <w:bookmarkStart w:id="136" w:name="_Toc3020"/>
    </w:p>
    <w:p w14:paraId="613895E9">
      <w:pPr>
        <w:pStyle w:val="4"/>
        <w:rPr>
          <w:rFonts w:hint="eastAsia" w:ascii="宋体" w:hAnsi="宋体" w:eastAsia="宋体" w:cs="宋体"/>
          <w:b/>
          <w:bCs/>
          <w:color w:val="auto"/>
          <w:spacing w:val="-6"/>
          <w:sz w:val="30"/>
          <w:szCs w:val="30"/>
          <w:highlight w:val="none"/>
        </w:rPr>
      </w:pPr>
    </w:p>
    <w:p w14:paraId="036BB121">
      <w:pPr>
        <w:rPr>
          <w:rFonts w:hint="eastAsia" w:ascii="宋体" w:hAnsi="宋体" w:eastAsia="宋体" w:cs="宋体"/>
          <w:b/>
          <w:bCs/>
          <w:color w:val="auto"/>
          <w:spacing w:val="-6"/>
          <w:sz w:val="30"/>
          <w:szCs w:val="30"/>
          <w:highlight w:val="none"/>
        </w:rPr>
      </w:pPr>
    </w:p>
    <w:p w14:paraId="65AD637B">
      <w:pPr>
        <w:pStyle w:val="4"/>
        <w:rPr>
          <w:rFonts w:hint="eastAsia" w:ascii="宋体" w:hAnsi="宋体" w:eastAsia="宋体" w:cs="宋体"/>
          <w:b/>
          <w:bCs/>
          <w:color w:val="auto"/>
          <w:spacing w:val="-6"/>
          <w:sz w:val="30"/>
          <w:szCs w:val="30"/>
          <w:highlight w:val="none"/>
        </w:rPr>
      </w:pPr>
    </w:p>
    <w:p w14:paraId="6F3324ED">
      <w:pPr>
        <w:rPr>
          <w:rFonts w:hint="eastAsia" w:ascii="宋体" w:hAnsi="宋体" w:eastAsia="宋体" w:cs="宋体"/>
          <w:b/>
          <w:bCs/>
          <w:color w:val="auto"/>
          <w:spacing w:val="-6"/>
          <w:sz w:val="30"/>
          <w:szCs w:val="30"/>
          <w:highlight w:val="none"/>
        </w:rPr>
      </w:pPr>
    </w:p>
    <w:p w14:paraId="5A3D2AF4">
      <w:pPr>
        <w:pStyle w:val="4"/>
        <w:rPr>
          <w:rFonts w:hint="eastAsia" w:ascii="宋体" w:hAnsi="宋体" w:eastAsia="宋体" w:cs="宋体"/>
          <w:b/>
          <w:bCs/>
          <w:color w:val="auto"/>
          <w:spacing w:val="-6"/>
          <w:sz w:val="30"/>
          <w:szCs w:val="30"/>
          <w:highlight w:val="none"/>
        </w:rPr>
      </w:pPr>
    </w:p>
    <w:p w14:paraId="36DBBB72">
      <w:pPr>
        <w:rPr>
          <w:rFonts w:hint="eastAsia" w:ascii="宋体" w:hAnsi="宋体" w:eastAsia="宋体" w:cs="宋体"/>
          <w:b/>
          <w:bCs/>
          <w:color w:val="auto"/>
          <w:spacing w:val="-6"/>
          <w:sz w:val="30"/>
          <w:szCs w:val="30"/>
          <w:highlight w:val="none"/>
        </w:rPr>
      </w:pPr>
    </w:p>
    <w:p w14:paraId="031B0D09">
      <w:pPr>
        <w:pStyle w:val="4"/>
        <w:rPr>
          <w:rFonts w:hint="eastAsia" w:ascii="宋体" w:hAnsi="宋体" w:eastAsia="宋体" w:cs="宋体"/>
          <w:b/>
          <w:bCs/>
          <w:color w:val="auto"/>
          <w:spacing w:val="-6"/>
          <w:sz w:val="30"/>
          <w:szCs w:val="30"/>
          <w:highlight w:val="none"/>
        </w:rPr>
      </w:pPr>
    </w:p>
    <w:p w14:paraId="665E275A">
      <w:pPr>
        <w:rPr>
          <w:rFonts w:hint="eastAsia" w:ascii="宋体" w:hAnsi="宋体" w:eastAsia="宋体" w:cs="宋体"/>
          <w:b/>
          <w:bCs/>
          <w:color w:val="auto"/>
          <w:spacing w:val="-6"/>
          <w:sz w:val="30"/>
          <w:szCs w:val="30"/>
          <w:highlight w:val="none"/>
          <w:lang w:eastAsia="zh-CN"/>
        </w:rPr>
      </w:pPr>
      <w:r>
        <w:rPr>
          <w:rFonts w:hint="eastAsia" w:ascii="宋体" w:hAnsi="宋体" w:eastAsia="宋体" w:cs="宋体"/>
          <w:b/>
          <w:bCs/>
          <w:color w:val="auto"/>
          <w:spacing w:val="-6"/>
          <w:sz w:val="30"/>
          <w:szCs w:val="30"/>
          <w:highlight w:val="none"/>
          <w:lang w:eastAsia="zh-CN"/>
        </w:rPr>
        <w:t>、</w:t>
      </w:r>
    </w:p>
    <w:p w14:paraId="514E113E">
      <w:pPr>
        <w:rPr>
          <w:rFonts w:hint="eastAsia" w:ascii="宋体" w:hAnsi="宋体" w:eastAsia="宋体" w:cs="宋体"/>
          <w:b/>
          <w:bCs/>
          <w:color w:val="auto"/>
          <w:spacing w:val="-6"/>
          <w:sz w:val="30"/>
          <w:szCs w:val="30"/>
          <w:highlight w:val="none"/>
          <w:lang w:eastAsia="zh-CN"/>
        </w:rPr>
      </w:pPr>
    </w:p>
    <w:p w14:paraId="47A09DAC">
      <w:pPr>
        <w:rPr>
          <w:rFonts w:hint="eastAsia" w:ascii="宋体" w:hAnsi="宋体" w:eastAsia="宋体" w:cs="宋体"/>
          <w:b/>
          <w:bCs/>
          <w:color w:val="auto"/>
          <w:spacing w:val="-6"/>
          <w:sz w:val="30"/>
          <w:szCs w:val="30"/>
          <w:highlight w:val="none"/>
          <w:lang w:eastAsia="zh-CN"/>
        </w:rPr>
      </w:pPr>
    </w:p>
    <w:p w14:paraId="7BDEAEFD">
      <w:pPr>
        <w:rPr>
          <w:rFonts w:hint="eastAsia" w:ascii="宋体" w:hAnsi="宋体" w:eastAsia="宋体" w:cs="宋体"/>
          <w:b/>
          <w:bCs/>
          <w:color w:val="auto"/>
          <w:spacing w:val="-6"/>
          <w:sz w:val="30"/>
          <w:szCs w:val="30"/>
          <w:highlight w:val="none"/>
          <w:lang w:eastAsia="zh-CN"/>
        </w:rPr>
      </w:pPr>
    </w:p>
    <w:p w14:paraId="58532F3B">
      <w:pPr>
        <w:pStyle w:val="4"/>
        <w:rPr>
          <w:rFonts w:hint="eastAsia" w:ascii="宋体" w:hAnsi="宋体" w:eastAsia="宋体" w:cs="宋体"/>
          <w:b/>
          <w:bCs/>
          <w:color w:val="auto"/>
          <w:spacing w:val="-6"/>
          <w:sz w:val="30"/>
          <w:szCs w:val="30"/>
          <w:highlight w:val="none"/>
        </w:rPr>
      </w:pPr>
    </w:p>
    <w:p w14:paraId="35C1EA78">
      <w:pPr>
        <w:rPr>
          <w:rFonts w:hint="eastAsia" w:ascii="宋体" w:hAnsi="宋体" w:eastAsia="宋体" w:cs="宋体"/>
          <w:b/>
          <w:bCs/>
          <w:color w:val="auto"/>
          <w:spacing w:val="-6"/>
          <w:sz w:val="30"/>
          <w:szCs w:val="30"/>
          <w:highlight w:val="none"/>
        </w:rPr>
      </w:pPr>
    </w:p>
    <w:p w14:paraId="707D491D">
      <w:pPr>
        <w:pStyle w:val="4"/>
        <w:rPr>
          <w:rFonts w:hint="eastAsia"/>
        </w:rPr>
      </w:pPr>
    </w:p>
    <w:p w14:paraId="2E9FA34F">
      <w:pPr>
        <w:rPr>
          <w:rFonts w:hint="eastAsia"/>
        </w:rPr>
      </w:pPr>
    </w:p>
    <w:p w14:paraId="40D4E59D">
      <w:pPr>
        <w:spacing w:before="98" w:line="221" w:lineRule="auto"/>
        <w:ind w:left="4248"/>
        <w:outlineLvl w:val="9"/>
        <w:rPr>
          <w:rFonts w:hint="eastAsia" w:ascii="宋体" w:hAnsi="宋体" w:eastAsia="宋体" w:cs="宋体"/>
          <w:b/>
          <w:bCs/>
          <w:color w:val="auto"/>
          <w:spacing w:val="-6"/>
          <w:sz w:val="30"/>
          <w:szCs w:val="30"/>
          <w:highlight w:val="none"/>
        </w:rPr>
      </w:pPr>
      <w:r>
        <w:rPr>
          <w:rFonts w:hint="eastAsia" w:ascii="宋体" w:hAnsi="宋体" w:eastAsia="宋体" w:cs="宋体"/>
          <w:b/>
          <w:bCs/>
          <w:color w:val="auto"/>
          <w:spacing w:val="-6"/>
          <w:sz w:val="30"/>
          <w:szCs w:val="30"/>
          <w:highlight w:val="none"/>
        </w:rPr>
        <w:t>综合评分表</w:t>
      </w:r>
      <w:bookmarkEnd w:id="134"/>
      <w:bookmarkEnd w:id="135"/>
      <w:bookmarkEnd w:id="136"/>
    </w:p>
    <w:tbl>
      <w:tblPr>
        <w:tblStyle w:val="17"/>
        <w:tblW w:w="104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1"/>
        <w:gridCol w:w="3868"/>
        <w:gridCol w:w="5065"/>
      </w:tblGrid>
      <w:tr w14:paraId="5FB65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0424" w:type="dxa"/>
            <w:gridSpan w:val="3"/>
            <w:tcBorders>
              <w:top w:val="single" w:color="auto" w:sz="4" w:space="0"/>
              <w:left w:val="single" w:color="auto" w:sz="4" w:space="0"/>
              <w:bottom w:val="single" w:color="auto" w:sz="4" w:space="0"/>
              <w:right w:val="single" w:color="auto" w:sz="4" w:space="0"/>
            </w:tcBorders>
            <w:shd w:val="clear" w:color="auto" w:fill="D7D7D7"/>
            <w:noWrap w:val="0"/>
            <w:vAlign w:val="center"/>
          </w:tcPr>
          <w:p w14:paraId="248FBA9C">
            <w:pPr>
              <w:pStyle w:val="6"/>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both"/>
              <w:textAlignment w:val="auto"/>
              <w:rPr>
                <w:rFonts w:hint="eastAsia" w:ascii="宋体" w:hAnsi="宋体" w:eastAsia="宋体" w:cs="宋体"/>
                <w:b/>
                <w:bCs/>
                <w:caps w:val="0"/>
                <w:smallCaps w:val="0"/>
                <w:snapToGrid w:val="0"/>
                <w:color w:val="auto"/>
                <w:spacing w:val="0"/>
                <w:kern w:val="0"/>
                <w:sz w:val="21"/>
                <w:szCs w:val="21"/>
                <w:highlight w:val="none"/>
                <w:lang w:eastAsia="zh-CN"/>
              </w:rPr>
            </w:pPr>
            <w:bookmarkStart w:id="137" w:name="_Toc5769"/>
            <w:bookmarkStart w:id="138" w:name="_Toc9725"/>
            <w:bookmarkStart w:id="139" w:name="_Toc17436"/>
            <w:bookmarkStart w:id="140" w:name="_Toc31744"/>
            <w:r>
              <w:rPr>
                <w:rFonts w:hint="eastAsia" w:ascii="宋体" w:hAnsi="宋体" w:eastAsia="宋体" w:cs="宋体"/>
                <w:b/>
                <w:bCs/>
                <w:caps w:val="0"/>
                <w:smallCaps w:val="0"/>
                <w:snapToGrid w:val="0"/>
                <w:color w:val="auto"/>
                <w:spacing w:val="0"/>
                <w:kern w:val="0"/>
                <w:sz w:val="21"/>
                <w:szCs w:val="21"/>
                <w:highlight w:val="none"/>
                <w:lang w:eastAsia="zh-CN"/>
              </w:rPr>
              <w:t>商务部分，满分：</w:t>
            </w:r>
            <w:r>
              <w:rPr>
                <w:rFonts w:hint="eastAsia" w:ascii="宋体" w:hAnsi="宋体" w:eastAsia="宋体" w:cs="宋体"/>
                <w:b/>
                <w:bCs/>
                <w:caps w:val="0"/>
                <w:smallCaps w:val="0"/>
                <w:snapToGrid w:val="0"/>
                <w:color w:val="auto"/>
                <w:spacing w:val="0"/>
                <w:kern w:val="0"/>
                <w:sz w:val="21"/>
                <w:szCs w:val="21"/>
                <w:highlight w:val="none"/>
                <w:u w:val="single"/>
                <w:lang w:val="en-US" w:eastAsia="zh-CN"/>
              </w:rPr>
              <w:t xml:space="preserve"> 60 </w:t>
            </w:r>
            <w:r>
              <w:rPr>
                <w:rFonts w:hint="eastAsia" w:ascii="宋体" w:hAnsi="宋体" w:eastAsia="宋体" w:cs="宋体"/>
                <w:b/>
                <w:bCs/>
                <w:caps w:val="0"/>
                <w:smallCaps w:val="0"/>
                <w:snapToGrid w:val="0"/>
                <w:color w:val="auto"/>
                <w:spacing w:val="0"/>
                <w:kern w:val="0"/>
                <w:sz w:val="21"/>
                <w:szCs w:val="21"/>
                <w:highlight w:val="none"/>
                <w:lang w:val="en-US" w:eastAsia="zh-CN"/>
              </w:rPr>
              <w:t>分。</w:t>
            </w:r>
          </w:p>
        </w:tc>
      </w:tr>
      <w:tr w14:paraId="33626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7835041F">
            <w:pPr>
              <w:pStyle w:val="6"/>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rPr>
                <w:rFonts w:hint="eastAsia" w:ascii="宋体" w:hAnsi="宋体" w:eastAsia="宋体" w:cs="宋体"/>
                <w:b/>
                <w:bCs/>
                <w:caps w:val="0"/>
                <w:smallCaps w:val="0"/>
                <w:snapToGrid w:val="0"/>
                <w:color w:val="auto"/>
                <w:spacing w:val="0"/>
                <w:kern w:val="0"/>
                <w:sz w:val="21"/>
                <w:szCs w:val="21"/>
                <w:highlight w:val="none"/>
                <w:lang w:eastAsia="zh-CN"/>
              </w:rPr>
            </w:pPr>
            <w:r>
              <w:rPr>
                <w:rFonts w:hint="eastAsia" w:ascii="宋体" w:hAnsi="宋体" w:eastAsia="宋体" w:cs="宋体"/>
                <w:b/>
                <w:bCs/>
                <w:caps w:val="0"/>
                <w:smallCaps w:val="0"/>
                <w:snapToGrid w:val="0"/>
                <w:color w:val="auto"/>
                <w:spacing w:val="0"/>
                <w:kern w:val="0"/>
                <w:sz w:val="21"/>
                <w:szCs w:val="21"/>
                <w:highlight w:val="none"/>
                <w:lang w:eastAsia="zh-CN"/>
              </w:rPr>
              <w:t>评分因素</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5109D750">
            <w:pPr>
              <w:pStyle w:val="6"/>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rPr>
                <w:rFonts w:hint="eastAsia" w:ascii="宋体" w:hAnsi="宋体" w:eastAsia="宋体" w:cs="宋体"/>
                <w:b/>
                <w:bCs/>
                <w:caps w:val="0"/>
                <w:smallCaps w:val="0"/>
                <w:snapToGrid w:val="0"/>
                <w:color w:val="auto"/>
                <w:spacing w:val="0"/>
                <w:kern w:val="0"/>
                <w:sz w:val="21"/>
                <w:szCs w:val="21"/>
                <w:highlight w:val="none"/>
                <w:lang w:eastAsia="zh-CN"/>
              </w:rPr>
            </w:pPr>
            <w:r>
              <w:rPr>
                <w:rFonts w:hint="eastAsia" w:ascii="宋体" w:hAnsi="宋体" w:eastAsia="宋体" w:cs="宋体"/>
                <w:b/>
                <w:bCs/>
                <w:caps w:val="0"/>
                <w:smallCaps w:val="0"/>
                <w:snapToGrid w:val="0"/>
                <w:color w:val="auto"/>
                <w:spacing w:val="0"/>
                <w:kern w:val="0"/>
                <w:sz w:val="21"/>
                <w:szCs w:val="21"/>
                <w:highlight w:val="none"/>
                <w:lang w:eastAsia="zh-CN"/>
              </w:rPr>
              <w:t>评分标准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72014B04">
            <w:pPr>
              <w:pStyle w:val="6"/>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rPr>
                <w:rFonts w:hint="eastAsia" w:ascii="宋体" w:hAnsi="宋体" w:eastAsia="宋体" w:cs="宋体"/>
                <w:b/>
                <w:bCs/>
                <w:caps w:val="0"/>
                <w:smallCaps w:val="0"/>
                <w:snapToGrid w:val="0"/>
                <w:color w:val="auto"/>
                <w:spacing w:val="0"/>
                <w:kern w:val="0"/>
                <w:sz w:val="21"/>
                <w:szCs w:val="21"/>
                <w:highlight w:val="none"/>
                <w:lang w:val="en-US" w:eastAsia="zh-CN"/>
              </w:rPr>
            </w:pPr>
            <w:r>
              <w:rPr>
                <w:rFonts w:hint="eastAsia" w:ascii="宋体" w:hAnsi="宋体" w:eastAsia="宋体" w:cs="宋体"/>
                <w:b/>
                <w:bCs/>
                <w:caps w:val="0"/>
                <w:smallCaps w:val="0"/>
                <w:snapToGrid w:val="0"/>
                <w:color w:val="auto"/>
                <w:spacing w:val="0"/>
                <w:kern w:val="0"/>
                <w:sz w:val="21"/>
                <w:szCs w:val="21"/>
                <w:highlight w:val="none"/>
                <w:lang w:val="en-US" w:eastAsia="zh-CN"/>
              </w:rPr>
              <w:t>备注</w:t>
            </w:r>
          </w:p>
        </w:tc>
      </w:tr>
      <w:tr w14:paraId="5BE33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7819ADA1">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企业奖项</w:t>
            </w:r>
          </w:p>
          <w:p w14:paraId="796CA053">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10</w:t>
            </w:r>
            <w:r>
              <w:rPr>
                <w:rFonts w:hint="eastAsia" w:ascii="宋体" w:hAnsi="宋体" w:eastAsia="宋体" w:cs="宋体"/>
                <w:snapToGrid w:val="0"/>
                <w:color w:val="auto"/>
                <w:kern w:val="0"/>
                <w:sz w:val="21"/>
                <w:szCs w:val="21"/>
                <w:highlight w:val="none"/>
              </w:rPr>
              <w:t>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67D85537">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企业近</w:t>
            </w:r>
            <w:r>
              <w:rPr>
                <w:rFonts w:hint="eastAsia" w:ascii="宋体" w:hAnsi="宋体" w:eastAsia="宋体" w:cs="宋体"/>
                <w:snapToGrid w:val="0"/>
                <w:color w:val="auto"/>
                <w:kern w:val="0"/>
                <w:sz w:val="21"/>
                <w:szCs w:val="21"/>
                <w:highlight w:val="none"/>
                <w:u w:val="single"/>
              </w:rPr>
              <w:t xml:space="preserve"> 5 </w:t>
            </w:r>
            <w:r>
              <w:rPr>
                <w:rFonts w:hint="eastAsia" w:ascii="宋体" w:hAnsi="宋体" w:eastAsia="宋体" w:cs="宋体"/>
                <w:snapToGrid w:val="0"/>
                <w:color w:val="auto"/>
                <w:kern w:val="0"/>
                <w:sz w:val="21"/>
                <w:szCs w:val="21"/>
                <w:highlight w:val="none"/>
              </w:rPr>
              <w:t>年来（20</w:t>
            </w:r>
            <w:r>
              <w:rPr>
                <w:rFonts w:hint="eastAsia" w:ascii="宋体" w:hAnsi="宋体" w:eastAsia="宋体" w:cs="宋体"/>
                <w:snapToGrid w:val="0"/>
                <w:color w:val="auto"/>
                <w:kern w:val="0"/>
                <w:sz w:val="21"/>
                <w:szCs w:val="21"/>
                <w:highlight w:val="none"/>
                <w:lang w:val="en-US" w:eastAsia="zh-CN"/>
              </w:rPr>
              <w:t>21</w:t>
            </w:r>
            <w:r>
              <w:rPr>
                <w:rFonts w:hint="eastAsia" w:ascii="宋体" w:hAnsi="宋体" w:eastAsia="宋体" w:cs="宋体"/>
                <w:snapToGrid w:val="0"/>
                <w:color w:val="auto"/>
                <w:kern w:val="0"/>
                <w:sz w:val="21"/>
                <w:szCs w:val="21"/>
                <w:highlight w:val="none"/>
              </w:rPr>
              <w:t>年1月1</w:t>
            </w:r>
            <w:r>
              <w:rPr>
                <w:rFonts w:hint="eastAsia" w:ascii="宋体" w:hAnsi="宋体" w:eastAsia="宋体" w:cs="宋体"/>
                <w:snapToGrid w:val="0"/>
                <w:color w:val="auto"/>
                <w:kern w:val="0"/>
                <w:sz w:val="21"/>
                <w:szCs w:val="21"/>
                <w:highlight w:val="none"/>
                <w:lang w:eastAsia="zh-CN"/>
              </w:rPr>
              <w:t>日</w:t>
            </w:r>
            <w:r>
              <w:rPr>
                <w:rFonts w:hint="eastAsia" w:ascii="宋体" w:hAnsi="宋体" w:eastAsia="宋体" w:cs="宋体"/>
                <w:color w:val="auto"/>
                <w:spacing w:val="0"/>
                <w:sz w:val="21"/>
                <w:szCs w:val="21"/>
                <w:highlight w:val="none"/>
                <w:lang w:eastAsia="zh-CN"/>
              </w:rPr>
              <w:t>至2026</w:t>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rPr>
              <w:t>日</w:t>
            </w:r>
            <w:r>
              <w:rPr>
                <w:rFonts w:hint="eastAsia" w:ascii="宋体" w:hAnsi="宋体" w:eastAsia="宋体" w:cs="宋体"/>
                <w:snapToGrid w:val="0"/>
                <w:color w:val="auto"/>
                <w:kern w:val="0"/>
                <w:sz w:val="21"/>
                <w:szCs w:val="21"/>
                <w:highlight w:val="none"/>
              </w:rPr>
              <w:t>）获得</w:t>
            </w:r>
            <w:r>
              <w:rPr>
                <w:rFonts w:hint="eastAsia" w:ascii="宋体" w:hAnsi="宋体" w:eastAsia="宋体" w:cs="宋体"/>
                <w:snapToGrid w:val="0"/>
                <w:color w:val="auto"/>
                <w:kern w:val="0"/>
                <w:sz w:val="21"/>
                <w:szCs w:val="21"/>
                <w:highlight w:val="none"/>
                <w:u w:val="single"/>
                <w:lang w:val="en-US" w:eastAsia="zh-CN"/>
              </w:rPr>
              <w:t>市政公用或石油化工类</w:t>
            </w:r>
            <w:r>
              <w:rPr>
                <w:rFonts w:hint="eastAsia" w:ascii="宋体" w:hAnsi="宋体" w:eastAsia="宋体" w:cs="宋体"/>
                <w:snapToGrid w:val="0"/>
                <w:color w:val="auto"/>
                <w:kern w:val="0"/>
                <w:sz w:val="21"/>
                <w:szCs w:val="21"/>
                <w:highlight w:val="none"/>
              </w:rPr>
              <w:t>奖项情况：</w:t>
            </w:r>
          </w:p>
          <w:p w14:paraId="18FD29C8">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1.</w:t>
            </w:r>
            <w:r>
              <w:rPr>
                <w:rFonts w:hint="eastAsia" w:ascii="宋体" w:hAnsi="宋体" w:eastAsia="宋体" w:cs="宋体"/>
                <w:snapToGrid w:val="0"/>
                <w:color w:val="auto"/>
                <w:kern w:val="0"/>
                <w:sz w:val="21"/>
                <w:szCs w:val="21"/>
                <w:highlight w:val="none"/>
              </w:rPr>
              <w:t>获得省级奖项</w:t>
            </w:r>
            <w:r>
              <w:rPr>
                <w:rFonts w:hint="eastAsia" w:ascii="宋体" w:hAnsi="宋体" w:eastAsia="宋体" w:cs="宋体"/>
                <w:snapToGrid w:val="0"/>
                <w:color w:val="auto"/>
                <w:kern w:val="0"/>
                <w:sz w:val="21"/>
                <w:szCs w:val="21"/>
                <w:highlight w:val="none"/>
                <w:lang w:val="en-US" w:eastAsia="zh-CN"/>
              </w:rPr>
              <w:t>或以上</w:t>
            </w:r>
            <w:r>
              <w:rPr>
                <w:rFonts w:hint="eastAsia" w:ascii="宋体" w:hAnsi="宋体" w:eastAsia="宋体" w:cs="宋体"/>
                <w:snapToGrid w:val="0"/>
                <w:color w:val="auto"/>
                <w:kern w:val="0"/>
                <w:sz w:val="21"/>
                <w:szCs w:val="21"/>
                <w:highlight w:val="none"/>
              </w:rPr>
              <w:t>的，每个得</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snapToGrid w:val="0"/>
                <w:color w:val="auto"/>
                <w:kern w:val="0"/>
                <w:sz w:val="21"/>
                <w:szCs w:val="21"/>
                <w:highlight w:val="none"/>
                <w:u w:val="single"/>
                <w:lang w:val="en-US" w:eastAsia="zh-CN"/>
              </w:rPr>
              <w:t>5</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snapToGrid w:val="0"/>
                <w:color w:val="auto"/>
                <w:kern w:val="0"/>
                <w:sz w:val="21"/>
                <w:szCs w:val="21"/>
                <w:highlight w:val="none"/>
              </w:rPr>
              <w:t>分。</w:t>
            </w:r>
          </w:p>
          <w:p w14:paraId="0810E912">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2.</w:t>
            </w:r>
            <w:r>
              <w:rPr>
                <w:rFonts w:hint="eastAsia" w:ascii="宋体" w:hAnsi="宋体" w:eastAsia="宋体" w:cs="宋体"/>
                <w:snapToGrid w:val="0"/>
                <w:color w:val="auto"/>
                <w:kern w:val="0"/>
                <w:sz w:val="21"/>
                <w:szCs w:val="21"/>
                <w:highlight w:val="none"/>
              </w:rPr>
              <w:t>获得地市级奖项的，每个得</w:t>
            </w:r>
            <w:r>
              <w:rPr>
                <w:rFonts w:hint="eastAsia" w:ascii="宋体" w:hAnsi="宋体" w:eastAsia="宋体" w:cs="宋体"/>
                <w:snapToGrid w:val="0"/>
                <w:color w:val="auto"/>
                <w:kern w:val="0"/>
                <w:sz w:val="21"/>
                <w:szCs w:val="21"/>
                <w:highlight w:val="none"/>
                <w:u w:val="single"/>
                <w:lang w:val="en-US" w:eastAsia="zh-CN"/>
              </w:rPr>
              <w:t xml:space="preserve"> 3 </w:t>
            </w:r>
            <w:r>
              <w:rPr>
                <w:rFonts w:hint="eastAsia" w:ascii="宋体" w:hAnsi="宋体" w:eastAsia="宋体" w:cs="宋体"/>
                <w:snapToGrid w:val="0"/>
                <w:color w:val="auto"/>
                <w:kern w:val="0"/>
                <w:sz w:val="21"/>
                <w:szCs w:val="21"/>
                <w:highlight w:val="none"/>
              </w:rPr>
              <w:t>分。</w:t>
            </w:r>
          </w:p>
          <w:p w14:paraId="57445F94">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3.</w:t>
            </w:r>
            <w:r>
              <w:rPr>
                <w:rFonts w:hint="eastAsia" w:ascii="宋体" w:hAnsi="宋体" w:eastAsia="宋体" w:cs="宋体"/>
                <w:snapToGrid w:val="0"/>
                <w:color w:val="auto"/>
                <w:kern w:val="0"/>
                <w:sz w:val="21"/>
                <w:szCs w:val="21"/>
                <w:highlight w:val="none"/>
              </w:rPr>
              <w:t>以上奖项均未获得的，不予计分。</w:t>
            </w:r>
          </w:p>
          <w:p w14:paraId="4551473D">
            <w:pPr>
              <w:wordWrap w:val="0"/>
              <w:adjustRightInd w:val="0"/>
              <w:snapToGrid w:val="0"/>
              <w:spacing w:line="36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eastAsia="zh-CN"/>
              </w:rPr>
              <w:t>4.</w:t>
            </w:r>
            <w:r>
              <w:rPr>
                <w:rFonts w:hint="eastAsia" w:ascii="宋体" w:hAnsi="宋体" w:eastAsia="宋体" w:cs="宋体"/>
                <w:snapToGrid w:val="0"/>
                <w:color w:val="auto"/>
                <w:kern w:val="0"/>
                <w:sz w:val="21"/>
                <w:szCs w:val="21"/>
                <w:highlight w:val="none"/>
              </w:rPr>
              <w:t>本项最高得10分。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467BEB31">
            <w:pPr>
              <w:wordWrap w:val="0"/>
              <w:adjustRightInd w:val="0"/>
              <w:snapToGrid w:val="0"/>
              <w:spacing w:line="360" w:lineRule="auto"/>
              <w:rPr>
                <w:rFonts w:hint="eastAsia" w:ascii="宋体" w:hAnsi="宋体" w:eastAsia="宋体" w:cs="宋体"/>
                <w:strike/>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1.</w:t>
            </w:r>
            <w:r>
              <w:rPr>
                <w:rFonts w:hint="eastAsia" w:ascii="宋体" w:hAnsi="宋体" w:eastAsia="宋体" w:cs="宋体"/>
                <w:snapToGrid w:val="0"/>
                <w:color w:val="auto"/>
                <w:kern w:val="0"/>
                <w:sz w:val="21"/>
                <w:szCs w:val="21"/>
                <w:highlight w:val="none"/>
              </w:rPr>
              <w:t>允许投标人提交多个业绩，不同业绩可以累加，但同一业绩只按最高级别奖项计分一次。</w:t>
            </w:r>
          </w:p>
          <w:p w14:paraId="0ACB362F">
            <w:pPr>
              <w:wordWrap w:val="0"/>
              <w:adjustRightInd w:val="0"/>
              <w:snapToGrid w:val="0"/>
              <w:spacing w:line="360" w:lineRule="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2.</w:t>
            </w:r>
            <w:r>
              <w:rPr>
                <w:rFonts w:hint="eastAsia" w:ascii="宋体" w:hAnsi="宋体" w:eastAsia="宋体" w:cs="宋体"/>
                <w:spacing w:val="9"/>
                <w:sz w:val="21"/>
                <w:szCs w:val="21"/>
                <w:highlight w:val="none"/>
              </w:rPr>
              <w:t>需附有关奖项证明彩色扫描件</w:t>
            </w:r>
            <w:r>
              <w:rPr>
                <w:rFonts w:hint="eastAsia" w:ascii="宋体" w:hAnsi="宋体" w:eastAsia="宋体" w:cs="宋体"/>
                <w:spacing w:val="9"/>
                <w:sz w:val="21"/>
                <w:szCs w:val="21"/>
                <w:highlight w:val="none"/>
                <w:lang w:eastAsia="zh-CN"/>
              </w:rPr>
              <w:t>。</w:t>
            </w:r>
          </w:p>
          <w:p w14:paraId="72FF6848">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3.</w:t>
            </w:r>
            <w:r>
              <w:rPr>
                <w:rFonts w:hint="eastAsia" w:ascii="宋体" w:hAnsi="宋体" w:eastAsia="宋体" w:cs="宋体"/>
                <w:snapToGrid w:val="0"/>
                <w:color w:val="auto"/>
                <w:kern w:val="0"/>
                <w:sz w:val="21"/>
                <w:szCs w:val="21"/>
                <w:highlight w:val="none"/>
              </w:rPr>
              <w:t>颁发机构限定以下范围：</w:t>
            </w:r>
          </w:p>
          <w:p w14:paraId="10B9FCDA">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①省级奖项：</w:t>
            </w:r>
            <w:r>
              <w:rPr>
                <w:rFonts w:hint="eastAsia" w:ascii="宋体" w:hAnsi="宋体" w:eastAsia="宋体" w:cs="宋体"/>
                <w:snapToGrid w:val="0"/>
                <w:color w:val="auto"/>
                <w:kern w:val="0"/>
                <w:sz w:val="21"/>
                <w:szCs w:val="21"/>
                <w:highlight w:val="none"/>
                <w:u w:val="single"/>
              </w:rPr>
              <w:t>省级人民政府、省级住建部门、省级建筑业协会</w:t>
            </w:r>
            <w:r>
              <w:rPr>
                <w:rFonts w:hint="eastAsia" w:ascii="宋体" w:hAnsi="宋体" w:eastAsia="宋体" w:cs="宋体"/>
                <w:snapToGrid w:val="0"/>
                <w:color w:val="auto"/>
                <w:kern w:val="0"/>
                <w:sz w:val="21"/>
                <w:szCs w:val="21"/>
                <w:highlight w:val="none"/>
              </w:rPr>
              <w:t>（相关协会需经民政部门备案）；</w:t>
            </w:r>
          </w:p>
          <w:p w14:paraId="7CEC041A">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②地市级奖项：</w:t>
            </w:r>
            <w:r>
              <w:rPr>
                <w:rFonts w:hint="eastAsia" w:ascii="宋体" w:hAnsi="宋体" w:eastAsia="宋体" w:cs="宋体"/>
                <w:snapToGrid w:val="0"/>
                <w:color w:val="auto"/>
                <w:kern w:val="0"/>
                <w:sz w:val="21"/>
                <w:szCs w:val="21"/>
                <w:highlight w:val="none"/>
                <w:u w:val="single"/>
              </w:rPr>
              <w:t>地市级人民政府、地市级住建部门、地市级建筑协会</w:t>
            </w:r>
            <w:r>
              <w:rPr>
                <w:rFonts w:hint="eastAsia" w:ascii="宋体" w:hAnsi="宋体" w:eastAsia="宋体" w:cs="宋体"/>
                <w:snapToGrid w:val="0"/>
                <w:color w:val="auto"/>
                <w:kern w:val="0"/>
                <w:sz w:val="21"/>
                <w:szCs w:val="21"/>
                <w:highlight w:val="none"/>
                <w:u w:val="single"/>
                <w:lang w:eastAsia="zh-CN"/>
              </w:rPr>
              <w:t>（相关协会需经民政部门备案）。</w:t>
            </w:r>
          </w:p>
          <w:p w14:paraId="3641B364">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4.</w:t>
            </w:r>
            <w:r>
              <w:rPr>
                <w:rFonts w:hint="eastAsia" w:ascii="宋体" w:hAnsi="宋体" w:eastAsia="宋体" w:cs="宋体"/>
                <w:snapToGrid w:val="0"/>
                <w:color w:val="auto"/>
                <w:kern w:val="0"/>
                <w:sz w:val="21"/>
                <w:szCs w:val="21"/>
                <w:highlight w:val="none"/>
              </w:rPr>
              <w:t>获奖时间以奖项证明的落款日期为准。</w:t>
            </w:r>
          </w:p>
          <w:p w14:paraId="02130C87">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5.</w:t>
            </w:r>
            <w:r>
              <w:rPr>
                <w:rFonts w:hint="eastAsia" w:ascii="宋体" w:hAnsi="宋体" w:eastAsia="宋体" w:cs="宋体"/>
                <w:snapToGrid w:val="0"/>
                <w:color w:val="auto"/>
                <w:kern w:val="0"/>
                <w:sz w:val="21"/>
                <w:szCs w:val="21"/>
                <w:highlight w:val="none"/>
              </w:rPr>
              <w:t>任一奖项有以下情形之一的，该奖项视为无效，不予计分：</w:t>
            </w:r>
          </w:p>
          <w:p w14:paraId="7AFD5228">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①奖项不属于指定类别的；</w:t>
            </w:r>
          </w:p>
          <w:p w14:paraId="16C8DF58">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②颁发机构不符合要求的；</w:t>
            </w:r>
          </w:p>
          <w:p w14:paraId="3821ADD3">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③获奖时间不符合要求的。</w:t>
            </w:r>
          </w:p>
          <w:p w14:paraId="733D7827">
            <w:pPr>
              <w:wordWrap w:val="0"/>
              <w:adjustRightInd w:val="0"/>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b/>
                <w:bCs/>
                <w:snapToGrid w:val="0"/>
                <w:color w:val="auto"/>
                <w:kern w:val="0"/>
                <w:sz w:val="21"/>
                <w:szCs w:val="21"/>
                <w:highlight w:val="none"/>
              </w:rPr>
              <w:t>说明：以上所称“要求”均指本表评分标准及备注的要求，下同。</w:t>
            </w:r>
          </w:p>
        </w:tc>
      </w:tr>
      <w:tr w14:paraId="48A4B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4"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570DD20">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p w14:paraId="3981C759">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综合素质</w:t>
            </w:r>
          </w:p>
          <w:p w14:paraId="59BC31CC">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（10分）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2B57F3E1">
            <w:pPr>
              <w:wordWrap w:val="0"/>
              <w:spacing w:before="0" w:line="360" w:lineRule="auto"/>
              <w:ind w:left="0" w:right="0" w:firstLine="0"/>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项目经理工程类技术职称及近</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5</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rPr>
              <w:t>年来（</w:t>
            </w:r>
            <w:r>
              <w:rPr>
                <w:rFonts w:hint="eastAsia" w:ascii="宋体" w:hAnsi="宋体" w:eastAsia="宋体" w:cs="宋体"/>
                <w:color w:val="auto"/>
                <w:sz w:val="21"/>
                <w:szCs w:val="21"/>
                <w:highlight w:val="none"/>
                <w:lang w:val="en-US" w:eastAsia="zh-CN"/>
              </w:rPr>
              <w:t>2021</w:t>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u w:val="none"/>
                <w:lang w:eastAsia="zh-CN"/>
              </w:rPr>
              <w:t>日起至2026</w:t>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rPr>
              <w:t>日）业绩情况：</w:t>
            </w:r>
          </w:p>
          <w:p w14:paraId="4AAC4BD1">
            <w:pPr>
              <w:wordWrap w:val="0"/>
              <w:spacing w:before="0" w:line="360" w:lineRule="auto"/>
              <w:ind w:left="0" w:right="0" w:firstLine="0"/>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lang w:eastAsia="zh-CN"/>
              </w:rPr>
              <w:t>1.</w:t>
            </w:r>
            <w:r>
              <w:rPr>
                <w:rFonts w:hint="eastAsia" w:ascii="宋体" w:hAnsi="宋体" w:eastAsia="宋体" w:cs="宋体"/>
                <w:color w:val="auto"/>
                <w:spacing w:val="0"/>
                <w:sz w:val="21"/>
                <w:szCs w:val="21"/>
                <w:highlight w:val="none"/>
              </w:rPr>
              <w:t>具备工程师职称</w:t>
            </w:r>
            <w:r>
              <w:rPr>
                <w:rFonts w:hint="eastAsia" w:ascii="宋体" w:hAnsi="宋体" w:eastAsia="宋体" w:cs="宋体"/>
                <w:color w:val="auto"/>
                <w:spacing w:val="0"/>
                <w:sz w:val="21"/>
                <w:szCs w:val="21"/>
                <w:highlight w:val="none"/>
                <w:lang w:val="en-US" w:eastAsia="zh-CN"/>
              </w:rPr>
              <w:t>或以上职称</w:t>
            </w:r>
            <w:r>
              <w:rPr>
                <w:rFonts w:hint="eastAsia" w:ascii="宋体" w:hAnsi="宋体" w:eastAsia="宋体" w:cs="宋体"/>
                <w:color w:val="auto"/>
                <w:spacing w:val="0"/>
                <w:sz w:val="21"/>
                <w:szCs w:val="21"/>
                <w:highlight w:val="none"/>
              </w:rPr>
              <w:t>且担任过类似工程项目经理的，</w:t>
            </w:r>
            <w:r>
              <w:rPr>
                <w:rFonts w:hint="eastAsia" w:ascii="宋体" w:hAnsi="宋体" w:eastAsia="宋体" w:cs="宋体"/>
                <w:b w:val="0"/>
                <w:bCs w:val="0"/>
                <w:color w:val="auto"/>
                <w:spacing w:val="0"/>
                <w:sz w:val="21"/>
                <w:szCs w:val="21"/>
                <w:highlight w:val="none"/>
              </w:rPr>
              <w:t>得</w:t>
            </w:r>
            <w:r>
              <w:rPr>
                <w:rFonts w:hint="eastAsia" w:ascii="宋体" w:hAnsi="宋体" w:eastAsia="宋体" w:cs="宋体"/>
                <w:b w:val="0"/>
                <w:bCs w:val="0"/>
                <w:color w:val="auto"/>
                <w:spacing w:val="0"/>
                <w:sz w:val="21"/>
                <w:szCs w:val="21"/>
                <w:highlight w:val="none"/>
                <w:u w:val="single" w:color="auto"/>
                <w:lang w:val="en-US" w:eastAsia="zh-CN"/>
              </w:rPr>
              <w:t>10</w:t>
            </w:r>
            <w:r>
              <w:rPr>
                <w:rFonts w:hint="eastAsia" w:ascii="宋体" w:hAnsi="宋体" w:eastAsia="宋体" w:cs="宋体"/>
                <w:b w:val="0"/>
                <w:bCs w:val="0"/>
                <w:color w:val="auto"/>
                <w:spacing w:val="0"/>
                <w:sz w:val="21"/>
                <w:szCs w:val="21"/>
                <w:highlight w:val="none"/>
              </w:rPr>
              <w:t>分。</w:t>
            </w:r>
          </w:p>
          <w:p w14:paraId="58FF1CF2">
            <w:pPr>
              <w:wordWrap w:val="0"/>
              <w:spacing w:before="0" w:line="360" w:lineRule="auto"/>
              <w:ind w:left="0" w:right="0" w:firstLine="0"/>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lang w:val="en-US" w:eastAsia="zh-CN"/>
              </w:rPr>
              <w:t>2</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具备助理工程师职称且担任过类似工程项目经理的，得</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7</w:t>
            </w:r>
            <w:r>
              <w:rPr>
                <w:rFonts w:hint="eastAsia" w:ascii="宋体" w:hAnsi="宋体" w:eastAsia="宋体" w:cs="宋体"/>
                <w:color w:val="auto"/>
                <w:spacing w:val="0"/>
                <w:w w:val="100"/>
                <w:sz w:val="21"/>
                <w:szCs w:val="21"/>
                <w:highlight w:val="none"/>
                <w:u w:val="single" w:color="auto"/>
              </w:rPr>
              <w:t xml:space="preserve"> </w:t>
            </w:r>
            <w:r>
              <w:rPr>
                <w:rFonts w:hint="eastAsia" w:ascii="宋体" w:hAnsi="宋体" w:eastAsia="宋体" w:cs="宋体"/>
                <w:color w:val="auto"/>
                <w:spacing w:val="0"/>
                <w:sz w:val="21"/>
                <w:szCs w:val="21"/>
                <w:highlight w:val="none"/>
              </w:rPr>
              <w:t>分。</w:t>
            </w:r>
          </w:p>
          <w:p w14:paraId="007BB71E">
            <w:pPr>
              <w:wordWrap w:val="0"/>
              <w:spacing w:before="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lang w:val="en-US" w:eastAsia="zh-CN"/>
              </w:rPr>
              <w:t>3</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具备工程师职称</w:t>
            </w:r>
            <w:r>
              <w:rPr>
                <w:rFonts w:hint="eastAsia" w:ascii="宋体" w:hAnsi="宋体" w:eastAsia="宋体" w:cs="宋体"/>
                <w:color w:val="auto"/>
                <w:spacing w:val="0"/>
                <w:sz w:val="21"/>
                <w:szCs w:val="21"/>
                <w:highlight w:val="none"/>
                <w:lang w:val="en-US" w:eastAsia="zh-CN"/>
              </w:rPr>
              <w:t>或以上职称</w:t>
            </w:r>
            <w:r>
              <w:rPr>
                <w:rFonts w:hint="eastAsia" w:ascii="宋体" w:hAnsi="宋体" w:eastAsia="宋体" w:cs="宋体"/>
                <w:color w:val="auto"/>
                <w:spacing w:val="0"/>
                <w:sz w:val="21"/>
                <w:szCs w:val="21"/>
                <w:highlight w:val="none"/>
              </w:rPr>
              <w:t>但未担任过类似工程项目经理的，得</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5</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分。</w:t>
            </w:r>
          </w:p>
          <w:p w14:paraId="2F66E47B">
            <w:pPr>
              <w:wordWrap w:val="0"/>
              <w:spacing w:before="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lang w:val="en-US" w:eastAsia="zh-CN"/>
              </w:rPr>
              <w:t>4</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具备助理工程师职称但未担任过类似工程项目经理的，得</w:t>
            </w:r>
            <w:r>
              <w:rPr>
                <w:rFonts w:hint="eastAsia" w:ascii="宋体" w:hAnsi="宋体" w:eastAsia="宋体" w:cs="宋体"/>
                <w:color w:val="auto"/>
                <w:spacing w:val="0"/>
                <w:w w:val="10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2</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分。</w:t>
            </w:r>
          </w:p>
          <w:p w14:paraId="332C1673">
            <w:pPr>
              <w:wordWrap w:val="0"/>
              <w:spacing w:before="0" w:line="360" w:lineRule="auto"/>
              <w:ind w:left="0" w:right="0" w:firstLine="0"/>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lang w:val="en-US" w:eastAsia="zh-CN"/>
              </w:rPr>
              <w:t>5</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以上条件均不符合的</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不予计分。</w:t>
            </w:r>
          </w:p>
          <w:p w14:paraId="5F025F00">
            <w:pPr>
              <w:tabs>
                <w:tab w:val="left" w:pos="312"/>
              </w:tabs>
              <w:wordWrap w:val="0"/>
              <w:adjustRightInd w:val="0"/>
              <w:snapToGrid w:val="0"/>
              <w:spacing w:line="360" w:lineRule="auto"/>
              <w:rPr>
                <w:rFonts w:hint="eastAsia" w:ascii="宋体" w:hAnsi="宋体" w:eastAsia="宋体" w:cs="宋体"/>
                <w:caps w:val="0"/>
                <w:smallCaps w:val="0"/>
                <w:snapToGrid w:val="0"/>
                <w:color w:val="auto"/>
                <w:spacing w:val="0"/>
                <w:kern w:val="0"/>
                <w:sz w:val="21"/>
                <w:szCs w:val="21"/>
                <w:highlight w:val="none"/>
                <w:lang w:val="en-US" w:eastAsia="zh-CN" w:bidi="ar-SA"/>
              </w:rPr>
            </w:pPr>
          </w:p>
        </w:tc>
        <w:tc>
          <w:tcPr>
            <w:tcW w:w="5065" w:type="dxa"/>
            <w:tcBorders>
              <w:top w:val="single" w:color="auto" w:sz="4" w:space="0"/>
              <w:left w:val="single" w:color="auto" w:sz="4" w:space="0"/>
              <w:bottom w:val="single" w:color="auto" w:sz="4" w:space="0"/>
              <w:right w:val="single" w:color="auto" w:sz="4" w:space="0"/>
            </w:tcBorders>
            <w:noWrap w:val="0"/>
            <w:vAlign w:val="center"/>
          </w:tcPr>
          <w:p w14:paraId="2830AEB4">
            <w:pPr>
              <w:wordWrap w:val="0"/>
              <w:spacing w:line="360" w:lineRule="auto"/>
              <w:rPr>
                <w:rFonts w:hint="eastAsia" w:ascii="宋体" w:hAnsi="宋体" w:eastAsia="宋体" w:cs="宋体"/>
                <w:color w:val="auto"/>
                <w:highlight w:val="none"/>
              </w:rPr>
            </w:pPr>
            <w:r>
              <w:rPr>
                <w:rFonts w:hint="eastAsia" w:ascii="宋体" w:hAnsi="宋体" w:eastAsia="宋体" w:cs="宋体"/>
                <w:color w:val="auto"/>
                <w:spacing w:val="0"/>
                <w:position w:val="0"/>
                <w:sz w:val="21"/>
                <w:szCs w:val="21"/>
                <w:highlight w:val="none"/>
                <w:lang w:eastAsia="zh-CN"/>
              </w:rPr>
              <w:t>1.</w:t>
            </w:r>
            <w:r>
              <w:rPr>
                <w:rFonts w:hint="eastAsia" w:ascii="宋体" w:hAnsi="宋体" w:eastAsia="宋体" w:cs="宋体"/>
                <w:snapToGrid w:val="0"/>
                <w:color w:val="auto"/>
                <w:kern w:val="0"/>
                <w:sz w:val="21"/>
                <w:szCs w:val="21"/>
                <w:highlight w:val="none"/>
              </w:rPr>
              <w:t>类似工程指：</w:t>
            </w:r>
            <w:r>
              <w:rPr>
                <w:rFonts w:hint="eastAsia" w:ascii="宋体" w:hAnsi="宋体" w:eastAsia="宋体" w:cs="宋体"/>
                <w:snapToGrid w:val="0"/>
                <w:color w:val="auto"/>
                <w:kern w:val="0"/>
                <w:sz w:val="21"/>
                <w:szCs w:val="21"/>
                <w:highlight w:val="none"/>
                <w:lang w:val="en-US" w:eastAsia="zh-CN"/>
              </w:rPr>
              <w:t>合同金额</w:t>
            </w:r>
            <w:r>
              <w:rPr>
                <w:rFonts w:hint="eastAsia" w:ascii="宋体" w:hAnsi="宋体" w:eastAsia="宋体" w:cs="宋体"/>
                <w:snapToGrid w:val="0"/>
                <w:color w:val="auto"/>
                <w:kern w:val="0"/>
                <w:sz w:val="21"/>
                <w:szCs w:val="21"/>
                <w:highlight w:val="none"/>
                <w:u w:val="none"/>
                <w:lang w:val="en-US" w:eastAsia="zh-CN"/>
              </w:rPr>
              <w:t>不低于500万元、设计压力大于0.2MPa的市政燃气管道安装工程。</w:t>
            </w:r>
          </w:p>
          <w:p w14:paraId="03D8387F">
            <w:pPr>
              <w:wordWrap w:val="0"/>
              <w:spacing w:line="360" w:lineRule="auto"/>
              <w:ind w:left="0" w:right="0" w:firstLine="0"/>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lang w:eastAsia="zh-CN"/>
              </w:rPr>
              <w:t>2.</w:t>
            </w:r>
            <w:r>
              <w:rPr>
                <w:rFonts w:hint="eastAsia" w:ascii="宋体" w:hAnsi="宋体" w:eastAsia="宋体" w:cs="宋体"/>
                <w:color w:val="auto"/>
                <w:spacing w:val="0"/>
                <w:sz w:val="21"/>
                <w:szCs w:val="21"/>
                <w:highlight w:val="none"/>
              </w:rPr>
              <w:t>需附职称证彩色扫描件。</w:t>
            </w:r>
          </w:p>
          <w:p w14:paraId="18D4918D">
            <w:pPr>
              <w:wordWrap w:val="0"/>
              <w:spacing w:before="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lang w:eastAsia="zh-CN"/>
              </w:rPr>
              <w:t>3.</w:t>
            </w:r>
            <w:r>
              <w:rPr>
                <w:rFonts w:hint="eastAsia" w:ascii="宋体" w:hAnsi="宋体" w:eastAsia="宋体" w:cs="宋体"/>
                <w:color w:val="auto"/>
                <w:spacing w:val="0"/>
                <w:sz w:val="21"/>
                <w:szCs w:val="21"/>
                <w:highlight w:val="none"/>
              </w:rPr>
              <w:t>需附有关业绩（仅限于以项目经理身份参与</w:t>
            </w:r>
            <w:r>
              <w:rPr>
                <w:rFonts w:hint="eastAsia" w:ascii="宋体" w:hAnsi="宋体" w:eastAsia="宋体" w:cs="宋体"/>
                <w:color w:val="auto"/>
                <w:spacing w:val="0"/>
                <w:sz w:val="21"/>
                <w:szCs w:val="21"/>
                <w:highlight w:val="none"/>
                <w:lang w:eastAsia="zh-CN"/>
              </w:rPr>
              <w:t>且</w:t>
            </w:r>
            <w:r>
              <w:rPr>
                <w:rFonts w:hint="eastAsia" w:ascii="宋体" w:hAnsi="宋体" w:eastAsia="宋体" w:cs="宋体"/>
                <w:color w:val="auto"/>
                <w:spacing w:val="0"/>
                <w:sz w:val="21"/>
                <w:szCs w:val="21"/>
                <w:highlight w:val="none"/>
              </w:rPr>
              <w:t>已竣工验收的项目）合同协议书和竣工验收报告的彩色扫描件</w:t>
            </w:r>
            <w:r>
              <w:rPr>
                <w:rFonts w:hint="eastAsia" w:ascii="宋体" w:hAnsi="宋体" w:eastAsia="宋体" w:cs="宋体"/>
                <w:b w:val="0"/>
                <w:bCs w:val="0"/>
                <w:color w:val="auto"/>
                <w:spacing w:val="0"/>
                <w:sz w:val="21"/>
                <w:szCs w:val="21"/>
                <w:highlight w:val="none"/>
              </w:rPr>
              <w:t>。</w:t>
            </w:r>
          </w:p>
          <w:p w14:paraId="44D3698E">
            <w:pPr>
              <w:wordWrap w:val="0"/>
              <w:spacing w:before="0" w:line="360" w:lineRule="auto"/>
              <w:ind w:left="0"/>
              <w:rPr>
                <w:rFonts w:hint="eastAsia" w:ascii="宋体" w:hAnsi="宋体" w:eastAsia="宋体" w:cs="宋体"/>
                <w:color w:val="auto"/>
                <w:sz w:val="21"/>
                <w:szCs w:val="21"/>
                <w:highlight w:val="none"/>
              </w:rPr>
            </w:pPr>
            <w:r>
              <w:rPr>
                <w:rFonts w:hint="eastAsia" w:ascii="宋体" w:hAnsi="宋体" w:eastAsia="宋体" w:cs="宋体"/>
                <w:color w:val="auto"/>
                <w:spacing w:val="0"/>
                <w:position w:val="0"/>
                <w:sz w:val="21"/>
                <w:szCs w:val="21"/>
                <w:highlight w:val="none"/>
                <w:lang w:eastAsia="zh-CN"/>
              </w:rPr>
              <w:t>4.</w:t>
            </w:r>
            <w:r>
              <w:rPr>
                <w:rFonts w:hint="eastAsia" w:ascii="宋体" w:hAnsi="宋体" w:eastAsia="宋体" w:cs="宋体"/>
                <w:color w:val="auto"/>
                <w:spacing w:val="0"/>
                <w:position w:val="0"/>
                <w:sz w:val="21"/>
                <w:szCs w:val="21"/>
                <w:highlight w:val="none"/>
              </w:rPr>
              <w:t>业绩时间以竣工验收报告日期为准。</w:t>
            </w:r>
          </w:p>
          <w:p w14:paraId="2DDDC70B">
            <w:pPr>
              <w:wordWrap w:val="0"/>
              <w:spacing w:before="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5</w:t>
            </w:r>
            <w:r>
              <w:rPr>
                <w:rFonts w:hint="eastAsia" w:ascii="宋体" w:hAnsi="宋体" w:eastAsia="宋体" w:cs="宋体"/>
                <w:color w:val="auto"/>
                <w:spacing w:val="0"/>
                <w:sz w:val="21"/>
                <w:szCs w:val="21"/>
                <w:highlight w:val="none"/>
                <w:lang w:eastAsia="zh-CN"/>
              </w:rPr>
              <w:t xml:space="preserve"> </w:t>
            </w:r>
            <w:r>
              <w:rPr>
                <w:rFonts w:hint="eastAsia" w:ascii="宋体" w:hAnsi="宋体" w:eastAsia="宋体" w:cs="宋体"/>
                <w:color w:val="auto"/>
                <w:spacing w:val="0"/>
                <w:sz w:val="21"/>
                <w:szCs w:val="21"/>
                <w:highlight w:val="none"/>
              </w:rPr>
              <w:t>业绩有以下情形之一的，视为未担任过类似工程项目经理：</w:t>
            </w:r>
          </w:p>
          <w:p w14:paraId="4189C54B">
            <w:pPr>
              <w:wordWrap w:val="0"/>
              <w:spacing w:before="0" w:line="360" w:lineRule="auto"/>
              <w:ind w:left="0"/>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①业绩不属于类似工程的；</w:t>
            </w:r>
          </w:p>
          <w:p w14:paraId="7D21CD0C">
            <w:pPr>
              <w:wordWrap w:val="0"/>
              <w:spacing w:before="0" w:line="360" w:lineRule="auto"/>
              <w:ind w:left="0"/>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②不是以指定身份</w:t>
            </w:r>
            <w:r>
              <w:rPr>
                <w:rFonts w:hint="eastAsia" w:ascii="宋体" w:hAnsi="宋体" w:eastAsia="宋体" w:cs="宋体"/>
                <w:color w:val="auto"/>
                <w:spacing w:val="0"/>
                <w:sz w:val="21"/>
                <w:szCs w:val="21"/>
                <w:highlight w:val="none"/>
                <w:lang w:eastAsia="zh-CN"/>
              </w:rPr>
              <w:t>参建</w:t>
            </w:r>
            <w:r>
              <w:rPr>
                <w:rFonts w:hint="eastAsia" w:ascii="宋体" w:hAnsi="宋体" w:eastAsia="宋体" w:cs="宋体"/>
                <w:color w:val="auto"/>
                <w:spacing w:val="0"/>
                <w:sz w:val="21"/>
                <w:szCs w:val="21"/>
                <w:highlight w:val="none"/>
              </w:rPr>
              <w:t>的；</w:t>
            </w:r>
          </w:p>
          <w:p w14:paraId="365DF8B3">
            <w:pPr>
              <w:wordWrap w:val="0"/>
              <w:spacing w:before="0" w:line="360" w:lineRule="auto"/>
              <w:ind w:left="0"/>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③业绩时间不符合要求的；</w:t>
            </w:r>
          </w:p>
          <w:p w14:paraId="054270A2">
            <w:pPr>
              <w:wordWrap w:val="0"/>
              <w:spacing w:before="0" w:line="360" w:lineRule="auto"/>
              <w:ind w:left="0"/>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olor w:val="auto"/>
                <w:spacing w:val="0"/>
                <w:sz w:val="21"/>
                <w:szCs w:val="21"/>
                <w:highlight w:val="none"/>
              </w:rPr>
              <w:t>④业绩未竣工验收的。</w:t>
            </w:r>
          </w:p>
        </w:tc>
      </w:tr>
      <w:tr w14:paraId="6DE8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78E2C2C">
            <w:pPr>
              <w:pStyle w:val="45"/>
              <w:keepNext w:val="0"/>
              <w:keepLines w:val="0"/>
              <w:pageBreakBefore w:val="0"/>
              <w:widowControl w:val="0"/>
              <w:kinsoku/>
              <w:wordWrap w:val="0"/>
              <w:overflowPunct/>
              <w:topLinePunct w:val="0"/>
              <w:autoSpaceDE/>
              <w:autoSpaceDN/>
              <w:bidi w:val="0"/>
              <w:adjustRightInd w:val="0"/>
              <w:snapToGrid w:val="0"/>
              <w:spacing w:after="0" w:line="360" w:lineRule="auto"/>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企业业绩</w:t>
            </w:r>
          </w:p>
          <w:p w14:paraId="4A686DF9">
            <w:pPr>
              <w:pStyle w:val="45"/>
              <w:keepNext w:val="0"/>
              <w:keepLines w:val="0"/>
              <w:pageBreakBefore w:val="0"/>
              <w:widowControl w:val="0"/>
              <w:kinsoku/>
              <w:wordWrap w:val="0"/>
              <w:overflowPunct/>
              <w:topLinePunct w:val="0"/>
              <w:autoSpaceDE/>
              <w:autoSpaceDN/>
              <w:bidi w:val="0"/>
              <w:adjustRightInd w:val="0"/>
              <w:snapToGrid w:val="0"/>
              <w:spacing w:after="0" w:line="360" w:lineRule="auto"/>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10</w:t>
            </w:r>
            <w:r>
              <w:rPr>
                <w:rFonts w:hint="eastAsia" w:ascii="宋体" w:hAnsi="宋体" w:eastAsia="宋体" w:cs="宋体"/>
                <w:snapToGrid w:val="0"/>
                <w:color w:val="auto"/>
                <w:kern w:val="0"/>
                <w:sz w:val="21"/>
                <w:szCs w:val="21"/>
                <w:highlight w:val="none"/>
              </w:rPr>
              <w:t>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32236993">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企业近</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b w:val="0"/>
                <w:bCs w:val="0"/>
                <w:snapToGrid w:val="0"/>
                <w:color w:val="auto"/>
                <w:kern w:val="0"/>
                <w:sz w:val="21"/>
                <w:szCs w:val="21"/>
                <w:highlight w:val="none"/>
                <w:u w:val="single"/>
              </w:rPr>
              <w:t>5</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snapToGrid w:val="0"/>
                <w:color w:val="auto"/>
                <w:kern w:val="0"/>
                <w:sz w:val="21"/>
                <w:szCs w:val="21"/>
                <w:highlight w:val="none"/>
              </w:rPr>
              <w:t>年来（20</w:t>
            </w:r>
            <w:r>
              <w:rPr>
                <w:rFonts w:hint="eastAsia" w:ascii="宋体" w:hAnsi="宋体" w:eastAsia="宋体" w:cs="宋体"/>
                <w:snapToGrid w:val="0"/>
                <w:color w:val="auto"/>
                <w:kern w:val="0"/>
                <w:sz w:val="21"/>
                <w:szCs w:val="21"/>
                <w:highlight w:val="none"/>
                <w:lang w:val="en-US" w:eastAsia="zh-CN"/>
              </w:rPr>
              <w:t>21</w:t>
            </w:r>
            <w:r>
              <w:rPr>
                <w:rFonts w:hint="eastAsia" w:ascii="宋体" w:hAnsi="宋体" w:eastAsia="宋体" w:cs="宋体"/>
                <w:snapToGrid w:val="0"/>
                <w:color w:val="auto"/>
                <w:kern w:val="0"/>
                <w:sz w:val="21"/>
                <w:szCs w:val="21"/>
                <w:highlight w:val="none"/>
              </w:rPr>
              <w:t>年1月1</w:t>
            </w:r>
            <w:r>
              <w:rPr>
                <w:rFonts w:hint="eastAsia" w:ascii="宋体" w:hAnsi="宋体" w:eastAsia="宋体" w:cs="宋体"/>
                <w:snapToGrid w:val="0"/>
                <w:color w:val="auto"/>
                <w:kern w:val="0"/>
                <w:sz w:val="21"/>
                <w:szCs w:val="21"/>
                <w:highlight w:val="none"/>
                <w:lang w:eastAsia="zh-CN"/>
              </w:rPr>
              <w:t>日</w:t>
            </w:r>
            <w:r>
              <w:rPr>
                <w:rFonts w:hint="eastAsia" w:ascii="宋体" w:hAnsi="宋体" w:eastAsia="宋体" w:cs="宋体"/>
                <w:snapToGrid w:val="0"/>
                <w:color w:val="auto"/>
                <w:kern w:val="0"/>
                <w:sz w:val="21"/>
                <w:szCs w:val="21"/>
                <w:highlight w:val="none"/>
                <w:lang w:val="en-US" w:eastAsia="zh-CN"/>
              </w:rPr>
              <w:t>起</w:t>
            </w:r>
            <w:r>
              <w:rPr>
                <w:rFonts w:hint="eastAsia" w:ascii="宋体" w:hAnsi="宋体" w:eastAsia="宋体" w:cs="宋体"/>
                <w:color w:val="auto"/>
                <w:spacing w:val="0"/>
                <w:sz w:val="21"/>
                <w:szCs w:val="21"/>
                <w:highlight w:val="none"/>
                <w:lang w:eastAsia="zh-CN"/>
              </w:rPr>
              <w:t>至2026</w:t>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rPr>
              <w:t>日</w:t>
            </w:r>
            <w:r>
              <w:rPr>
                <w:rFonts w:hint="eastAsia" w:ascii="宋体" w:hAnsi="宋体" w:eastAsia="宋体" w:cs="宋体"/>
                <w:snapToGrid w:val="0"/>
                <w:color w:val="auto"/>
                <w:kern w:val="0"/>
                <w:sz w:val="21"/>
                <w:szCs w:val="21"/>
                <w:highlight w:val="none"/>
              </w:rPr>
              <w:t>）业绩情况：</w:t>
            </w:r>
          </w:p>
          <w:p w14:paraId="451922D9">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1.</w:t>
            </w:r>
            <w:r>
              <w:rPr>
                <w:rFonts w:hint="eastAsia" w:ascii="宋体" w:hAnsi="宋体" w:eastAsia="宋体" w:cs="宋体"/>
                <w:snapToGrid w:val="0"/>
                <w:color w:val="auto"/>
                <w:kern w:val="0"/>
                <w:sz w:val="21"/>
                <w:szCs w:val="21"/>
                <w:highlight w:val="none"/>
                <w:u w:val="single"/>
              </w:rPr>
              <w:t xml:space="preserve"> 承接</w:t>
            </w:r>
            <w:r>
              <w:rPr>
                <w:rFonts w:hint="eastAsia" w:ascii="宋体" w:hAnsi="宋体" w:eastAsia="宋体" w:cs="宋体"/>
                <w:snapToGrid w:val="0"/>
                <w:color w:val="auto"/>
                <w:kern w:val="0"/>
                <w:sz w:val="21"/>
                <w:szCs w:val="21"/>
                <w:highlight w:val="none"/>
              </w:rPr>
              <w:t>过类似工程的，每个得</w:t>
            </w:r>
            <w:r>
              <w:rPr>
                <w:rFonts w:hint="eastAsia" w:ascii="宋体" w:hAnsi="宋体" w:eastAsia="宋体" w:cs="宋体"/>
                <w:snapToGrid w:val="0"/>
                <w:color w:val="auto"/>
                <w:kern w:val="0"/>
                <w:sz w:val="21"/>
                <w:szCs w:val="21"/>
                <w:highlight w:val="none"/>
                <w:u w:val="single"/>
                <w:lang w:val="en-US" w:eastAsia="zh-CN"/>
              </w:rPr>
              <w:t xml:space="preserve"> 5 </w:t>
            </w:r>
            <w:r>
              <w:rPr>
                <w:rFonts w:hint="eastAsia" w:ascii="宋体" w:hAnsi="宋体" w:eastAsia="宋体" w:cs="宋体"/>
                <w:snapToGrid w:val="0"/>
                <w:color w:val="auto"/>
                <w:kern w:val="0"/>
                <w:sz w:val="21"/>
                <w:szCs w:val="21"/>
                <w:highlight w:val="none"/>
              </w:rPr>
              <w:t>分。</w:t>
            </w:r>
          </w:p>
          <w:p w14:paraId="50942DB3">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2. 未</w:t>
            </w:r>
            <w:r>
              <w:rPr>
                <w:rFonts w:hint="eastAsia" w:ascii="宋体" w:hAnsi="宋体" w:eastAsia="宋体" w:cs="宋体"/>
                <w:snapToGrid w:val="0"/>
                <w:color w:val="auto"/>
                <w:kern w:val="0"/>
                <w:sz w:val="21"/>
                <w:szCs w:val="21"/>
                <w:highlight w:val="none"/>
                <w:u w:val="single"/>
              </w:rPr>
              <w:t>承接</w:t>
            </w:r>
            <w:r>
              <w:rPr>
                <w:rFonts w:hint="eastAsia" w:ascii="宋体" w:hAnsi="宋体" w:eastAsia="宋体" w:cs="宋体"/>
                <w:snapToGrid w:val="0"/>
                <w:color w:val="auto"/>
                <w:kern w:val="0"/>
                <w:sz w:val="21"/>
                <w:szCs w:val="21"/>
                <w:highlight w:val="none"/>
              </w:rPr>
              <w:t>过类似工程的，不予计分。</w:t>
            </w:r>
          </w:p>
          <w:p w14:paraId="40D80808">
            <w:pPr>
              <w:wordWrap w:val="0"/>
              <w:adjustRightInd w:val="0"/>
              <w:snapToGrid w:val="0"/>
              <w:spacing w:line="36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eastAsia="zh-CN"/>
              </w:rPr>
              <w:t>3.</w:t>
            </w:r>
            <w:r>
              <w:rPr>
                <w:rFonts w:hint="eastAsia" w:ascii="宋体" w:hAnsi="宋体" w:eastAsia="宋体" w:cs="宋体"/>
                <w:snapToGrid w:val="0"/>
                <w:color w:val="auto"/>
                <w:kern w:val="0"/>
                <w:sz w:val="21"/>
                <w:szCs w:val="21"/>
                <w:highlight w:val="none"/>
              </w:rPr>
              <w:t xml:space="preserve">本项最高得10分。 </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293E29DD">
            <w:pPr>
              <w:wordWrap w:val="0"/>
              <w:adjustRightInd w:val="0"/>
              <w:snapToGrid w:val="0"/>
              <w:spacing w:line="360" w:lineRule="auto"/>
              <w:rPr>
                <w:rFonts w:hint="eastAsia" w:ascii="宋体" w:hAnsi="宋体" w:eastAsia="宋体" w:cs="宋体"/>
                <w:snapToGrid w:val="0"/>
                <w:color w:val="auto"/>
                <w:kern w:val="0"/>
                <w:sz w:val="21"/>
                <w:szCs w:val="21"/>
                <w:highlight w:val="none"/>
                <w:u w:val="single"/>
              </w:rPr>
            </w:pPr>
            <w:r>
              <w:rPr>
                <w:rFonts w:hint="eastAsia" w:ascii="宋体" w:hAnsi="宋体" w:eastAsia="宋体" w:cs="宋体"/>
                <w:snapToGrid w:val="0"/>
                <w:color w:val="auto"/>
                <w:kern w:val="0"/>
                <w:sz w:val="21"/>
                <w:szCs w:val="21"/>
                <w:highlight w:val="none"/>
                <w:lang w:eastAsia="zh-CN"/>
              </w:rPr>
              <w:t>1.</w:t>
            </w:r>
            <w:r>
              <w:rPr>
                <w:rFonts w:hint="eastAsia" w:ascii="宋体" w:hAnsi="宋体" w:eastAsia="宋体" w:cs="宋体"/>
                <w:snapToGrid w:val="0"/>
                <w:color w:val="auto"/>
                <w:kern w:val="0"/>
                <w:sz w:val="21"/>
                <w:szCs w:val="21"/>
                <w:highlight w:val="none"/>
              </w:rPr>
              <w:t>类似工程指：</w:t>
            </w:r>
            <w:r>
              <w:rPr>
                <w:rFonts w:hint="eastAsia" w:ascii="宋体" w:hAnsi="宋体" w:eastAsia="宋体" w:cs="宋体"/>
                <w:snapToGrid w:val="0"/>
                <w:color w:val="auto"/>
                <w:kern w:val="0"/>
                <w:sz w:val="21"/>
                <w:szCs w:val="21"/>
                <w:highlight w:val="none"/>
                <w:lang w:val="en-US" w:eastAsia="zh-CN"/>
              </w:rPr>
              <w:t>合同金额</w:t>
            </w:r>
            <w:r>
              <w:rPr>
                <w:rFonts w:hint="eastAsia" w:ascii="宋体" w:hAnsi="宋体" w:eastAsia="宋体" w:cs="宋体"/>
                <w:snapToGrid w:val="0"/>
                <w:color w:val="auto"/>
                <w:kern w:val="0"/>
                <w:sz w:val="21"/>
                <w:szCs w:val="21"/>
                <w:highlight w:val="none"/>
                <w:u w:val="single"/>
                <w:lang w:val="en-US" w:eastAsia="zh-CN"/>
              </w:rPr>
              <w:t>不低于500万元、设计压力大于0.2MPa的市政燃气管道安装工程。</w:t>
            </w:r>
          </w:p>
          <w:p w14:paraId="58FF24FE">
            <w:pPr>
              <w:wordWrap w:val="0"/>
              <w:adjustRightInd w:val="0"/>
              <w:snapToGrid w:val="0"/>
              <w:spacing w:line="360" w:lineRule="auto"/>
              <w:rPr>
                <w:rFonts w:hint="eastAsia" w:ascii="宋体" w:hAnsi="宋体" w:eastAsia="宋体" w:cs="宋体"/>
                <w:strike/>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2.</w:t>
            </w:r>
            <w:r>
              <w:rPr>
                <w:rFonts w:hint="eastAsia" w:ascii="宋体" w:hAnsi="宋体" w:eastAsia="宋体" w:cs="宋体"/>
                <w:snapToGrid w:val="0"/>
                <w:color w:val="auto"/>
                <w:kern w:val="0"/>
                <w:sz w:val="21"/>
                <w:szCs w:val="21"/>
                <w:highlight w:val="none"/>
              </w:rPr>
              <w:t>需附有关业绩合同协议书关键页</w:t>
            </w:r>
            <w:r>
              <w:rPr>
                <w:rFonts w:hint="eastAsia" w:ascii="宋体" w:hAnsi="宋体" w:eastAsia="宋体" w:cs="宋体"/>
                <w:snapToGrid w:val="0"/>
                <w:color w:val="auto"/>
                <w:kern w:val="0"/>
                <w:sz w:val="21"/>
                <w:szCs w:val="21"/>
                <w:highlight w:val="none"/>
                <w:lang w:eastAsia="zh-CN"/>
              </w:rPr>
              <w:t>彩色</w:t>
            </w:r>
            <w:r>
              <w:rPr>
                <w:rFonts w:hint="eastAsia" w:ascii="宋体" w:hAnsi="宋体" w:eastAsia="宋体" w:cs="宋体"/>
                <w:snapToGrid w:val="0"/>
                <w:color w:val="auto"/>
                <w:kern w:val="0"/>
                <w:sz w:val="21"/>
                <w:szCs w:val="21"/>
                <w:highlight w:val="none"/>
              </w:rPr>
              <w:t>扫描件。</w:t>
            </w:r>
          </w:p>
          <w:p w14:paraId="57245DFA">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3.</w:t>
            </w:r>
            <w:r>
              <w:rPr>
                <w:rFonts w:hint="eastAsia" w:ascii="宋体" w:hAnsi="宋体" w:eastAsia="宋体" w:cs="宋体"/>
                <w:snapToGrid w:val="0"/>
                <w:color w:val="auto"/>
                <w:kern w:val="0"/>
                <w:sz w:val="21"/>
                <w:szCs w:val="21"/>
                <w:highlight w:val="none"/>
              </w:rPr>
              <w:t>业绩时间以合同协议书日期为准。</w:t>
            </w:r>
          </w:p>
          <w:p w14:paraId="41445CC1">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4.</w:t>
            </w:r>
            <w:r>
              <w:rPr>
                <w:rFonts w:hint="eastAsia" w:ascii="宋体" w:hAnsi="宋体" w:eastAsia="宋体" w:cs="宋体"/>
                <w:snapToGrid w:val="0"/>
                <w:color w:val="auto"/>
                <w:kern w:val="0"/>
                <w:sz w:val="21"/>
                <w:szCs w:val="21"/>
                <w:highlight w:val="none"/>
              </w:rPr>
              <w:t>任一业绩有以下情形之一的，该业绩视为无效，不予计分：</w:t>
            </w:r>
          </w:p>
          <w:p w14:paraId="7F977B50">
            <w:pPr>
              <w:spacing w:before="156" w:line="226" w:lineRule="auto"/>
              <w:ind w:left="112"/>
              <w:rPr>
                <w:rFonts w:hint="eastAsia" w:ascii="宋体" w:hAnsi="宋体" w:eastAsia="宋体" w:cs="宋体"/>
                <w:sz w:val="21"/>
                <w:szCs w:val="21"/>
              </w:rPr>
            </w:pPr>
            <w:r>
              <w:rPr>
                <w:rFonts w:hint="eastAsia" w:ascii="宋体" w:hAnsi="宋体" w:eastAsia="宋体" w:cs="宋体"/>
                <w:spacing w:val="8"/>
                <w:sz w:val="21"/>
                <w:szCs w:val="21"/>
              </w:rPr>
              <w:t>①业绩不属于类似工程的；</w:t>
            </w:r>
          </w:p>
          <w:p w14:paraId="547AF41B">
            <w:pPr>
              <w:spacing w:before="154" w:line="226" w:lineRule="auto"/>
              <w:ind w:left="112"/>
              <w:rPr>
                <w:rFonts w:hint="eastAsia" w:ascii="宋体" w:hAnsi="宋体" w:eastAsia="宋体" w:cs="宋体"/>
                <w:sz w:val="21"/>
                <w:szCs w:val="21"/>
              </w:rPr>
            </w:pPr>
            <w:r>
              <w:rPr>
                <w:rFonts w:hint="eastAsia" w:ascii="宋体" w:hAnsi="宋体" w:eastAsia="宋体" w:cs="宋体"/>
                <w:spacing w:val="8"/>
                <w:sz w:val="21"/>
                <w:szCs w:val="21"/>
              </w:rPr>
              <w:t>②不是以指定身份参建的；</w:t>
            </w:r>
          </w:p>
          <w:p w14:paraId="42E8695F">
            <w:pPr>
              <w:spacing w:before="156" w:line="226" w:lineRule="auto"/>
              <w:ind w:left="112"/>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pacing w:val="8"/>
                <w:sz w:val="21"/>
                <w:szCs w:val="21"/>
              </w:rPr>
              <w:t>③业绩时间不符合要求的</w:t>
            </w:r>
            <w:r>
              <w:rPr>
                <w:rFonts w:hint="eastAsia" w:ascii="宋体" w:hAnsi="宋体" w:eastAsia="宋体" w:cs="宋体"/>
                <w:spacing w:val="8"/>
                <w:sz w:val="21"/>
                <w:szCs w:val="21"/>
                <w:lang w:eastAsia="zh-CN"/>
              </w:rPr>
              <w:t>。</w:t>
            </w:r>
          </w:p>
        </w:tc>
      </w:tr>
      <w:tr w14:paraId="2BFAC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2"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217244E3">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企业银行</w:t>
            </w:r>
          </w:p>
          <w:p w14:paraId="43D7AE70">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资信评级</w:t>
            </w:r>
          </w:p>
          <w:p w14:paraId="76B9E02E">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rPr>
              <w:t>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73043DBE">
            <w:pPr>
              <w:pStyle w:val="6"/>
              <w:keepNext w:val="0"/>
              <w:keepLines w:val="0"/>
              <w:pageBreakBefore w:val="0"/>
              <w:widowControl w:val="0"/>
              <w:kinsoku/>
              <w:wordWrap w:val="0"/>
              <w:overflowPunct/>
              <w:topLinePunct w:val="0"/>
              <w:autoSpaceDE/>
              <w:autoSpaceDN/>
              <w:bidi w:val="0"/>
              <w:adjustRightInd w:val="0"/>
              <w:snapToGrid w:val="0"/>
              <w:spacing w:after="0" w:line="360" w:lineRule="auto"/>
              <w:ind w:firstLine="0" w:firstLineChars="0"/>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1.银行资信评级AAA的，得</w:t>
            </w:r>
            <w:r>
              <w:rPr>
                <w:rFonts w:hint="eastAsia" w:ascii="宋体" w:hAnsi="宋体" w:eastAsia="宋体" w:cs="宋体"/>
                <w:snapToGrid w:val="0"/>
                <w:color w:val="auto"/>
                <w:kern w:val="0"/>
                <w:sz w:val="21"/>
                <w:szCs w:val="21"/>
                <w:highlight w:val="none"/>
                <w:u w:val="single"/>
                <w:lang w:val="en-US" w:eastAsia="zh-CN" w:bidi="ar"/>
              </w:rPr>
              <w:t xml:space="preserve"> 5 </w:t>
            </w:r>
            <w:r>
              <w:rPr>
                <w:rFonts w:hint="eastAsia" w:ascii="宋体" w:hAnsi="宋体" w:eastAsia="宋体" w:cs="宋体"/>
                <w:snapToGrid w:val="0"/>
                <w:color w:val="auto"/>
                <w:kern w:val="0"/>
                <w:sz w:val="21"/>
                <w:szCs w:val="21"/>
                <w:highlight w:val="none"/>
                <w:lang w:val="en-US" w:eastAsia="zh-CN" w:bidi="ar"/>
              </w:rPr>
              <w:t>分。</w:t>
            </w:r>
          </w:p>
          <w:p w14:paraId="41254A7C">
            <w:pPr>
              <w:pStyle w:val="6"/>
              <w:keepNext w:val="0"/>
              <w:keepLines w:val="0"/>
              <w:pageBreakBefore w:val="0"/>
              <w:widowControl w:val="0"/>
              <w:kinsoku/>
              <w:wordWrap w:val="0"/>
              <w:overflowPunct/>
              <w:topLinePunct w:val="0"/>
              <w:autoSpaceDE/>
              <w:autoSpaceDN/>
              <w:bidi w:val="0"/>
              <w:adjustRightInd w:val="0"/>
              <w:snapToGrid w:val="0"/>
              <w:spacing w:after="0" w:line="360" w:lineRule="auto"/>
              <w:ind w:firstLine="0" w:firstLineChars="0"/>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2.银行资信评级AA（含AA+、AA-）的，得</w:t>
            </w:r>
            <w:r>
              <w:rPr>
                <w:rFonts w:hint="eastAsia" w:ascii="宋体" w:hAnsi="宋体" w:eastAsia="宋体" w:cs="宋体"/>
                <w:snapToGrid w:val="0"/>
                <w:color w:val="auto"/>
                <w:kern w:val="0"/>
                <w:sz w:val="21"/>
                <w:szCs w:val="21"/>
                <w:highlight w:val="none"/>
                <w:u w:val="single"/>
                <w:lang w:val="en-US" w:eastAsia="zh-CN" w:bidi="ar"/>
              </w:rPr>
              <w:t xml:space="preserve"> 3 </w:t>
            </w:r>
            <w:r>
              <w:rPr>
                <w:rFonts w:hint="eastAsia" w:ascii="宋体" w:hAnsi="宋体" w:eastAsia="宋体" w:cs="宋体"/>
                <w:snapToGrid w:val="0"/>
                <w:color w:val="auto"/>
                <w:kern w:val="0"/>
                <w:sz w:val="21"/>
                <w:szCs w:val="21"/>
                <w:highlight w:val="none"/>
                <w:lang w:val="en-US" w:eastAsia="zh-CN" w:bidi="ar"/>
              </w:rPr>
              <w:t>分。</w:t>
            </w:r>
          </w:p>
          <w:p w14:paraId="06D9B2E6">
            <w:pPr>
              <w:pStyle w:val="6"/>
              <w:keepNext w:val="0"/>
              <w:keepLines w:val="0"/>
              <w:pageBreakBefore w:val="0"/>
              <w:widowControl w:val="0"/>
              <w:kinsoku/>
              <w:wordWrap w:val="0"/>
              <w:overflowPunct/>
              <w:topLinePunct w:val="0"/>
              <w:autoSpaceDE/>
              <w:autoSpaceDN/>
              <w:bidi w:val="0"/>
              <w:adjustRightInd w:val="0"/>
              <w:snapToGrid w:val="0"/>
              <w:spacing w:after="0" w:line="360" w:lineRule="auto"/>
              <w:ind w:firstLine="0" w:firstLineChars="0"/>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 xml:space="preserve">3.银行资信评级A（含A+、A-）的，得 </w:t>
            </w:r>
            <w:r>
              <w:rPr>
                <w:rFonts w:hint="eastAsia" w:ascii="宋体" w:hAnsi="宋体" w:eastAsia="宋体" w:cs="宋体"/>
                <w:snapToGrid w:val="0"/>
                <w:color w:val="auto"/>
                <w:kern w:val="0"/>
                <w:sz w:val="21"/>
                <w:szCs w:val="21"/>
                <w:highlight w:val="none"/>
                <w:u w:val="none"/>
                <w:lang w:val="en-US" w:eastAsia="zh-CN" w:bidi="ar"/>
              </w:rPr>
              <w:t>1</w:t>
            </w:r>
            <w:r>
              <w:rPr>
                <w:rFonts w:hint="eastAsia" w:ascii="宋体" w:hAnsi="宋体" w:eastAsia="宋体" w:cs="宋体"/>
                <w:snapToGrid w:val="0"/>
                <w:color w:val="auto"/>
                <w:kern w:val="0"/>
                <w:sz w:val="21"/>
                <w:szCs w:val="21"/>
                <w:highlight w:val="none"/>
                <w:lang w:val="en-US" w:eastAsia="zh-CN" w:bidi="ar"/>
              </w:rPr>
              <w:t xml:space="preserve"> 分。</w:t>
            </w:r>
          </w:p>
          <w:p w14:paraId="7EB98415">
            <w:pPr>
              <w:pStyle w:val="6"/>
              <w:keepNext w:val="0"/>
              <w:keepLines w:val="0"/>
              <w:pageBreakBefore w:val="0"/>
              <w:widowControl w:val="0"/>
              <w:kinsoku/>
              <w:wordWrap w:val="0"/>
              <w:overflowPunct/>
              <w:topLinePunct w:val="0"/>
              <w:autoSpaceDE/>
              <w:autoSpaceDN/>
              <w:bidi w:val="0"/>
              <w:adjustRightInd w:val="0"/>
              <w:snapToGrid w:val="0"/>
              <w:spacing w:after="0" w:line="360" w:lineRule="auto"/>
              <w:ind w:firstLine="0" w:firstLineChars="0"/>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4.未获得过以上评级的，或评级证书（证明）无效的，不予计分。</w:t>
            </w:r>
          </w:p>
          <w:p w14:paraId="0A055C47">
            <w:pPr>
              <w:pStyle w:val="6"/>
              <w:keepNext w:val="0"/>
              <w:keepLines w:val="0"/>
              <w:pageBreakBefore w:val="0"/>
              <w:widowControl w:val="0"/>
              <w:kinsoku/>
              <w:wordWrap w:val="0"/>
              <w:overflowPunct/>
              <w:topLinePunct w:val="0"/>
              <w:autoSpaceDE/>
              <w:autoSpaceDN/>
              <w:bidi w:val="0"/>
              <w:adjustRightInd w:val="0"/>
              <w:snapToGrid w:val="0"/>
              <w:spacing w:after="0" w:line="360" w:lineRule="auto"/>
              <w:ind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
              </w:rPr>
              <w:t>5.本项最高得5分。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707759F0">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1.</w:t>
            </w:r>
            <w:r>
              <w:rPr>
                <w:rFonts w:hint="eastAsia" w:ascii="宋体" w:hAnsi="宋体" w:eastAsia="宋体" w:cs="宋体"/>
                <w:snapToGrid w:val="0"/>
                <w:color w:val="auto"/>
                <w:kern w:val="0"/>
                <w:sz w:val="21"/>
                <w:szCs w:val="21"/>
                <w:highlight w:val="none"/>
              </w:rPr>
              <w:t>需附在有效期内的资信评级证书（证明）</w:t>
            </w:r>
            <w:r>
              <w:rPr>
                <w:rFonts w:hint="eastAsia" w:ascii="宋体" w:hAnsi="宋体" w:eastAsia="宋体" w:cs="宋体"/>
                <w:snapToGrid w:val="0"/>
                <w:color w:val="auto"/>
                <w:kern w:val="0"/>
                <w:sz w:val="21"/>
                <w:szCs w:val="21"/>
                <w:highlight w:val="none"/>
                <w:lang w:eastAsia="zh-CN"/>
              </w:rPr>
              <w:t>彩色</w:t>
            </w:r>
            <w:r>
              <w:rPr>
                <w:rFonts w:hint="eastAsia" w:ascii="宋体" w:hAnsi="宋体" w:eastAsia="宋体" w:cs="宋体"/>
                <w:snapToGrid w:val="0"/>
                <w:color w:val="auto"/>
                <w:kern w:val="0"/>
                <w:sz w:val="21"/>
                <w:szCs w:val="21"/>
                <w:highlight w:val="none"/>
              </w:rPr>
              <w:t>扫描件。</w:t>
            </w:r>
          </w:p>
          <w:p w14:paraId="36F262FC">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2.</w:t>
            </w:r>
            <w:r>
              <w:rPr>
                <w:rFonts w:hint="eastAsia" w:ascii="宋体" w:hAnsi="宋体" w:eastAsia="宋体" w:cs="宋体"/>
                <w:snapToGrid w:val="0"/>
                <w:color w:val="auto"/>
                <w:kern w:val="0"/>
                <w:sz w:val="21"/>
                <w:szCs w:val="21"/>
                <w:highlight w:val="none"/>
              </w:rPr>
              <w:t>评级证书（证明）须由</w:t>
            </w:r>
            <w:r>
              <w:rPr>
                <w:rFonts w:hint="eastAsia" w:ascii="宋体" w:hAnsi="宋体" w:eastAsia="宋体" w:cs="宋体"/>
                <w:snapToGrid w:val="0"/>
                <w:color w:val="auto"/>
                <w:kern w:val="0"/>
                <w:sz w:val="21"/>
                <w:szCs w:val="21"/>
                <w:highlight w:val="none"/>
                <w:u w:val="single"/>
              </w:rPr>
              <w:t xml:space="preserve">  企业基本账户开户银行/</w:t>
            </w:r>
            <w:r>
              <w:rPr>
                <w:rFonts w:hint="eastAsia" w:ascii="宋体" w:hAnsi="宋体" w:eastAsia="宋体" w:cs="宋体"/>
                <w:snapToGrid w:val="0"/>
                <w:color w:val="auto"/>
                <w:kern w:val="0"/>
                <w:sz w:val="21"/>
                <w:szCs w:val="21"/>
                <w:highlight w:val="none"/>
                <w:u w:val="single"/>
                <w:lang w:val="en-US" w:eastAsia="zh-CN"/>
              </w:rPr>
              <w:t xml:space="preserve">市级或以上金融机构 </w:t>
            </w:r>
            <w:r>
              <w:rPr>
                <w:rFonts w:hint="eastAsia" w:ascii="宋体" w:hAnsi="宋体" w:eastAsia="宋体" w:cs="宋体"/>
                <w:snapToGrid w:val="0"/>
                <w:color w:val="auto"/>
                <w:kern w:val="0"/>
                <w:sz w:val="21"/>
                <w:szCs w:val="21"/>
                <w:highlight w:val="none"/>
              </w:rPr>
              <w:t>出具。</w:t>
            </w:r>
          </w:p>
          <w:p w14:paraId="5C8900FA">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3.</w:t>
            </w:r>
            <w:r>
              <w:rPr>
                <w:rFonts w:hint="eastAsia" w:ascii="宋体" w:hAnsi="宋体" w:eastAsia="宋体" w:cs="宋体"/>
                <w:snapToGrid w:val="0"/>
                <w:color w:val="auto"/>
                <w:kern w:val="0"/>
                <w:sz w:val="21"/>
                <w:szCs w:val="21"/>
                <w:highlight w:val="none"/>
              </w:rPr>
              <w:t>评级证书（证明）有以下情形之一的，视为无效：</w:t>
            </w:r>
          </w:p>
          <w:p w14:paraId="2096C029">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①评级证书（证明）不在有效期内的；</w:t>
            </w:r>
          </w:p>
          <w:p w14:paraId="64C5DC89">
            <w:pPr>
              <w:wordWrap w:val="0"/>
              <w:adjustRightInd w:val="0"/>
              <w:snapToGrid w:val="0"/>
              <w:spacing w:line="360" w:lineRule="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②出具机构不符合要求的。</w:t>
            </w:r>
          </w:p>
        </w:tc>
      </w:tr>
      <w:tr w14:paraId="7B3EB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4"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5F1EEC61">
            <w:pPr>
              <w:pStyle w:val="6"/>
              <w:wordWrap w:val="0"/>
              <w:adjustRightInd w:val="0"/>
              <w:snapToGrid w:val="0"/>
              <w:spacing w:after="0" w:line="400" w:lineRule="exact"/>
              <w:jc w:val="center"/>
              <w:rPr>
                <w:rFonts w:hint="eastAsia" w:ascii="宋体" w:hAnsi="宋体" w:eastAsia="宋体" w:cs="宋体"/>
                <w:snapToGrid w:val="0"/>
                <w:color w:val="auto"/>
                <w:kern w:val="0"/>
                <w:sz w:val="21"/>
                <w:szCs w:val="21"/>
                <w:highlight w:val="none"/>
                <w:shd w:val="clear" w:color="auto" w:fill="auto"/>
                <w:lang w:bidi="ar"/>
              </w:rPr>
            </w:pPr>
            <w:r>
              <w:rPr>
                <w:rFonts w:hint="eastAsia" w:ascii="宋体" w:hAnsi="宋体" w:eastAsia="宋体" w:cs="宋体"/>
                <w:snapToGrid w:val="0"/>
                <w:color w:val="auto"/>
                <w:kern w:val="0"/>
                <w:sz w:val="21"/>
                <w:szCs w:val="21"/>
                <w:highlight w:val="none"/>
                <w:shd w:val="clear" w:color="auto" w:fill="auto"/>
                <w:lang w:bidi="ar"/>
              </w:rPr>
              <w:t>企业管理</w:t>
            </w:r>
          </w:p>
          <w:p w14:paraId="7D2B305C">
            <w:pPr>
              <w:pStyle w:val="6"/>
              <w:wordWrap w:val="0"/>
              <w:adjustRightInd w:val="0"/>
              <w:snapToGrid w:val="0"/>
              <w:spacing w:after="0" w:line="400" w:lineRule="exact"/>
              <w:jc w:val="center"/>
              <w:rPr>
                <w:rFonts w:hint="eastAsia" w:ascii="宋体" w:hAnsi="宋体" w:eastAsia="宋体" w:cs="宋体"/>
                <w:snapToGrid w:val="0"/>
                <w:color w:val="auto"/>
                <w:kern w:val="0"/>
                <w:sz w:val="21"/>
                <w:szCs w:val="21"/>
                <w:highlight w:val="none"/>
                <w:shd w:val="clear" w:color="auto" w:fill="auto"/>
                <w:lang w:bidi="ar"/>
              </w:rPr>
            </w:pPr>
            <w:r>
              <w:rPr>
                <w:rFonts w:hint="eastAsia" w:ascii="宋体" w:hAnsi="宋体" w:eastAsia="宋体" w:cs="宋体"/>
                <w:snapToGrid w:val="0"/>
                <w:color w:val="auto"/>
                <w:kern w:val="0"/>
                <w:sz w:val="21"/>
                <w:szCs w:val="21"/>
                <w:highlight w:val="none"/>
                <w:shd w:val="clear" w:color="auto" w:fill="auto"/>
                <w:lang w:bidi="ar"/>
              </w:rPr>
              <w:t>体系认证</w:t>
            </w:r>
          </w:p>
          <w:p w14:paraId="166D692A">
            <w:pPr>
              <w:pStyle w:val="6"/>
              <w:wordWrap w:val="0"/>
              <w:adjustRightInd w:val="0"/>
              <w:snapToGrid w:val="0"/>
              <w:spacing w:after="0" w:line="400" w:lineRule="exact"/>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shd w:val="clear" w:color="auto" w:fill="auto"/>
                <w:lang w:bidi="ar"/>
              </w:rPr>
              <w:t>（</w:t>
            </w:r>
            <w:r>
              <w:rPr>
                <w:rFonts w:hint="eastAsia" w:ascii="宋体" w:hAnsi="宋体" w:eastAsia="宋体" w:cs="宋体"/>
                <w:snapToGrid w:val="0"/>
                <w:color w:val="auto"/>
                <w:kern w:val="0"/>
                <w:sz w:val="21"/>
                <w:szCs w:val="21"/>
                <w:highlight w:val="none"/>
                <w:shd w:val="clear" w:color="auto" w:fill="auto"/>
                <w:lang w:val="en-US" w:eastAsia="zh-CN" w:bidi="ar"/>
              </w:rPr>
              <w:t>6</w:t>
            </w:r>
            <w:r>
              <w:rPr>
                <w:rFonts w:hint="eastAsia" w:ascii="宋体" w:hAnsi="宋体" w:eastAsia="宋体" w:cs="宋体"/>
                <w:snapToGrid w:val="0"/>
                <w:color w:val="auto"/>
                <w:kern w:val="0"/>
                <w:sz w:val="21"/>
                <w:szCs w:val="21"/>
                <w:highlight w:val="none"/>
                <w:shd w:val="clear" w:color="auto" w:fill="auto"/>
                <w:lang w:bidi="ar"/>
              </w:rPr>
              <w:t>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69083243">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1.</w:t>
            </w:r>
            <w:r>
              <w:rPr>
                <w:rFonts w:hint="eastAsia" w:ascii="宋体" w:hAnsi="宋体" w:eastAsia="宋体" w:cs="宋体"/>
                <w:snapToGrid w:val="0"/>
                <w:color w:val="auto"/>
                <w:kern w:val="0"/>
                <w:sz w:val="21"/>
                <w:szCs w:val="21"/>
                <w:highlight w:val="none"/>
                <w:lang w:bidi="ar"/>
              </w:rPr>
              <w:t>质量管理体系认证证书、职业健康安全管理体系认证证书、环境管理体系认证证书中，每获得1项认证</w:t>
            </w:r>
            <w:r>
              <w:rPr>
                <w:rFonts w:hint="eastAsia" w:ascii="宋体" w:hAnsi="宋体" w:eastAsia="宋体" w:cs="宋体"/>
                <w:snapToGrid w:val="0"/>
                <w:color w:val="auto"/>
                <w:kern w:val="0"/>
                <w:sz w:val="21"/>
                <w:szCs w:val="21"/>
                <w:highlight w:val="none"/>
              </w:rPr>
              <w:t>得</w:t>
            </w:r>
            <w:r>
              <w:rPr>
                <w:rFonts w:hint="eastAsia" w:ascii="宋体" w:hAnsi="宋体" w:eastAsia="宋体" w:cs="宋体"/>
                <w:snapToGrid w:val="0"/>
                <w:color w:val="auto"/>
                <w:kern w:val="0"/>
                <w:sz w:val="21"/>
                <w:szCs w:val="21"/>
                <w:highlight w:val="none"/>
                <w:lang w:val="en-US" w:eastAsia="zh-CN"/>
              </w:rPr>
              <w:t>2</w:t>
            </w:r>
            <w:r>
              <w:rPr>
                <w:rFonts w:hint="eastAsia" w:ascii="宋体" w:hAnsi="宋体" w:eastAsia="宋体" w:cs="宋体"/>
                <w:snapToGrid w:val="0"/>
                <w:color w:val="auto"/>
                <w:kern w:val="0"/>
                <w:sz w:val="21"/>
                <w:szCs w:val="21"/>
                <w:highlight w:val="none"/>
              </w:rPr>
              <w:t>分，最高得</w:t>
            </w:r>
            <w:r>
              <w:rPr>
                <w:rFonts w:hint="eastAsia" w:ascii="宋体" w:hAnsi="宋体" w:eastAsia="宋体" w:cs="宋体"/>
                <w:bCs/>
                <w:snapToGrid w:val="0"/>
                <w:color w:val="auto"/>
                <w:kern w:val="0"/>
                <w:sz w:val="21"/>
                <w:szCs w:val="21"/>
                <w:highlight w:val="none"/>
                <w:lang w:val="en-US" w:eastAsia="zh-CN"/>
              </w:rPr>
              <w:t>6</w:t>
            </w:r>
            <w:r>
              <w:rPr>
                <w:rFonts w:hint="eastAsia" w:ascii="宋体" w:hAnsi="宋体" w:eastAsia="宋体" w:cs="宋体"/>
                <w:snapToGrid w:val="0"/>
                <w:color w:val="auto"/>
                <w:kern w:val="0"/>
                <w:sz w:val="21"/>
                <w:szCs w:val="21"/>
                <w:highlight w:val="none"/>
              </w:rPr>
              <w:t>分。</w:t>
            </w:r>
          </w:p>
          <w:p w14:paraId="767EB2C0">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2.</w:t>
            </w:r>
            <w:r>
              <w:rPr>
                <w:rFonts w:hint="eastAsia" w:ascii="宋体" w:hAnsi="宋体" w:eastAsia="宋体" w:cs="宋体"/>
                <w:snapToGrid w:val="0"/>
                <w:color w:val="auto"/>
                <w:kern w:val="0"/>
                <w:sz w:val="21"/>
                <w:szCs w:val="21"/>
                <w:highlight w:val="none"/>
              </w:rPr>
              <w:t>未获得以上认证的，不予计分。</w:t>
            </w:r>
          </w:p>
          <w:p w14:paraId="376E1B0E">
            <w:pPr>
              <w:wordWrap w:val="0"/>
              <w:adjustRightInd w:val="0"/>
              <w:snapToGrid w:val="0"/>
              <w:spacing w:line="36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本项最高得</w:t>
            </w:r>
            <w:r>
              <w:rPr>
                <w:rFonts w:hint="eastAsia" w:ascii="宋体" w:hAnsi="宋体" w:eastAsia="宋体" w:cs="宋体"/>
                <w:snapToGrid w:val="0"/>
                <w:color w:val="auto"/>
                <w:kern w:val="0"/>
                <w:sz w:val="21"/>
                <w:szCs w:val="21"/>
                <w:highlight w:val="none"/>
                <w:lang w:val="en-US" w:eastAsia="zh-CN"/>
              </w:rPr>
              <w:t>6</w:t>
            </w:r>
            <w:r>
              <w:rPr>
                <w:rFonts w:hint="eastAsia" w:ascii="宋体" w:hAnsi="宋体" w:eastAsia="宋体" w:cs="宋体"/>
                <w:snapToGrid w:val="0"/>
                <w:color w:val="auto"/>
                <w:kern w:val="0"/>
                <w:sz w:val="21"/>
                <w:szCs w:val="21"/>
                <w:highlight w:val="none"/>
              </w:rPr>
              <w:t>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48489B1C">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1.</w:t>
            </w:r>
            <w:r>
              <w:rPr>
                <w:rFonts w:hint="eastAsia" w:ascii="宋体" w:hAnsi="宋体" w:eastAsia="宋体" w:cs="宋体"/>
                <w:snapToGrid w:val="0"/>
                <w:color w:val="auto"/>
                <w:kern w:val="0"/>
                <w:sz w:val="21"/>
                <w:szCs w:val="21"/>
                <w:highlight w:val="none"/>
              </w:rPr>
              <w:t>需附在有效期内的认证证书</w:t>
            </w:r>
            <w:r>
              <w:rPr>
                <w:rFonts w:hint="eastAsia" w:ascii="宋体" w:hAnsi="宋体" w:eastAsia="宋体" w:cs="宋体"/>
                <w:snapToGrid w:val="0"/>
                <w:color w:val="auto"/>
                <w:kern w:val="0"/>
                <w:sz w:val="21"/>
                <w:szCs w:val="21"/>
                <w:highlight w:val="none"/>
                <w:lang w:eastAsia="zh-CN"/>
              </w:rPr>
              <w:t>彩色</w:t>
            </w:r>
            <w:r>
              <w:rPr>
                <w:rFonts w:hint="eastAsia" w:ascii="宋体" w:hAnsi="宋体" w:eastAsia="宋体" w:cs="宋体"/>
                <w:snapToGrid w:val="0"/>
                <w:color w:val="auto"/>
                <w:kern w:val="0"/>
                <w:sz w:val="21"/>
                <w:szCs w:val="21"/>
                <w:highlight w:val="none"/>
              </w:rPr>
              <w:t>扫描件。</w:t>
            </w:r>
          </w:p>
          <w:p w14:paraId="2C3A8616">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2.</w:t>
            </w:r>
            <w:r>
              <w:rPr>
                <w:rFonts w:hint="eastAsia" w:ascii="宋体" w:hAnsi="宋体" w:eastAsia="宋体" w:cs="宋体"/>
                <w:snapToGrid w:val="0"/>
                <w:color w:val="auto"/>
                <w:kern w:val="0"/>
                <w:sz w:val="21"/>
                <w:szCs w:val="21"/>
                <w:highlight w:val="none"/>
              </w:rPr>
              <w:t>任一认证证书有以下情形之一的，该认证证书视为无效，不予计分：</w:t>
            </w:r>
          </w:p>
          <w:p w14:paraId="7B492651">
            <w:pPr>
              <w:wordWrap w:val="0"/>
              <w:adjustRightInd w:val="0"/>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rPr>
              <w:t>①认证证书不在有效期内的。</w:t>
            </w:r>
          </w:p>
        </w:tc>
      </w:tr>
      <w:tr w14:paraId="5DE5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754E5DC2">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1"/>
                <w:szCs w:val="21"/>
                <w:highlight w:val="none"/>
                <w:lang w:bidi="ar"/>
              </w:rPr>
            </w:pPr>
            <w:r>
              <w:rPr>
                <w:rFonts w:hint="eastAsia" w:ascii="宋体" w:hAnsi="宋体" w:eastAsia="宋体" w:cs="宋体"/>
                <w:snapToGrid w:val="0"/>
                <w:color w:val="auto"/>
                <w:kern w:val="0"/>
                <w:sz w:val="21"/>
                <w:szCs w:val="21"/>
                <w:highlight w:val="none"/>
                <w:lang w:bidi="ar"/>
              </w:rPr>
              <w:t>企业</w:t>
            </w:r>
          </w:p>
          <w:p w14:paraId="3CFDD6B6">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trike/>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bidi="ar"/>
              </w:rPr>
              <w:t>财务状况</w:t>
            </w:r>
          </w:p>
          <w:p w14:paraId="64BFF5AB">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bidi="ar"/>
              </w:rPr>
              <w:t>（</w:t>
            </w:r>
            <w:r>
              <w:rPr>
                <w:rFonts w:hint="eastAsia" w:ascii="宋体" w:hAnsi="宋体" w:eastAsia="宋体" w:cs="宋体"/>
                <w:b w:val="0"/>
                <w:bCs w:val="0"/>
                <w:snapToGrid w:val="0"/>
                <w:color w:val="auto"/>
                <w:kern w:val="0"/>
                <w:sz w:val="21"/>
                <w:szCs w:val="21"/>
                <w:highlight w:val="none"/>
                <w:lang w:val="en-US" w:eastAsia="zh-CN" w:bidi="ar"/>
              </w:rPr>
              <w:t>9</w:t>
            </w:r>
            <w:r>
              <w:rPr>
                <w:rFonts w:hint="eastAsia" w:ascii="宋体" w:hAnsi="宋体" w:eastAsia="宋体" w:cs="宋体"/>
                <w:snapToGrid w:val="0"/>
                <w:color w:val="auto"/>
                <w:kern w:val="0"/>
                <w:sz w:val="21"/>
                <w:szCs w:val="21"/>
                <w:highlight w:val="none"/>
                <w:lang w:bidi="ar"/>
              </w:rPr>
              <w:t>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636BC2EA">
            <w:pPr>
              <w:numPr>
                <w:ilvl w:val="0"/>
                <w:numId w:val="0"/>
              </w:num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bidi="ar-SA"/>
              </w:rPr>
              <w:t>1.</w:t>
            </w:r>
            <w:r>
              <w:rPr>
                <w:rFonts w:hint="eastAsia" w:ascii="宋体" w:hAnsi="宋体" w:eastAsia="宋体" w:cs="宋体"/>
                <w:snapToGrid w:val="0"/>
                <w:color w:val="auto"/>
                <w:kern w:val="0"/>
                <w:sz w:val="21"/>
                <w:szCs w:val="21"/>
                <w:highlight w:val="none"/>
              </w:rPr>
              <w:t>提供不少于</w:t>
            </w:r>
            <w:r>
              <w:rPr>
                <w:rFonts w:hint="eastAsia" w:ascii="宋体" w:hAnsi="宋体" w:eastAsia="宋体" w:cs="宋体"/>
                <w:snapToGrid w:val="0"/>
                <w:color w:val="auto"/>
                <w:kern w:val="0"/>
                <w:sz w:val="21"/>
                <w:szCs w:val="21"/>
                <w:highlight w:val="none"/>
                <w:u w:val="single"/>
                <w:lang w:val="en-US" w:eastAsia="zh-CN"/>
              </w:rPr>
              <w:t xml:space="preserve"> 90 </w:t>
            </w:r>
            <w:r>
              <w:rPr>
                <w:rFonts w:hint="eastAsia" w:ascii="宋体" w:hAnsi="宋体" w:eastAsia="宋体" w:cs="宋体"/>
                <w:snapToGrid w:val="0"/>
                <w:color w:val="auto"/>
                <w:kern w:val="0"/>
                <w:sz w:val="21"/>
                <w:szCs w:val="21"/>
                <w:highlight w:val="none"/>
              </w:rPr>
              <w:t>万元银行授信证明的，得4分。</w:t>
            </w:r>
          </w:p>
          <w:p w14:paraId="1B4C1FC2">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2.</w:t>
            </w:r>
            <w:r>
              <w:rPr>
                <w:rFonts w:hint="eastAsia" w:ascii="宋体" w:hAnsi="宋体" w:eastAsia="宋体" w:cs="宋体"/>
                <w:snapToGrid w:val="0"/>
                <w:color w:val="auto"/>
                <w:kern w:val="0"/>
                <w:sz w:val="21"/>
                <w:szCs w:val="21"/>
                <w:highlight w:val="none"/>
              </w:rPr>
              <w:t>提供投标人基本账户在本项目招标公告发布之日起至投标截止时间期间出现过至少连续3日不少于</w:t>
            </w:r>
            <w:r>
              <w:rPr>
                <w:rFonts w:hint="eastAsia" w:ascii="宋体" w:hAnsi="宋体" w:eastAsia="宋体" w:cs="宋体"/>
                <w:snapToGrid w:val="0"/>
                <w:color w:val="auto"/>
                <w:kern w:val="0"/>
                <w:sz w:val="21"/>
                <w:szCs w:val="21"/>
                <w:highlight w:val="none"/>
                <w:u w:val="single"/>
                <w:lang w:val="en-US" w:eastAsia="zh-CN"/>
              </w:rPr>
              <w:t xml:space="preserve"> 90 </w:t>
            </w:r>
            <w:r>
              <w:rPr>
                <w:rFonts w:hint="eastAsia" w:ascii="宋体" w:hAnsi="宋体" w:eastAsia="宋体" w:cs="宋体"/>
                <w:snapToGrid w:val="0"/>
                <w:color w:val="auto"/>
                <w:kern w:val="0"/>
                <w:sz w:val="21"/>
                <w:szCs w:val="21"/>
                <w:highlight w:val="none"/>
              </w:rPr>
              <w:t>万元存款余额资金流水证明的，得</w:t>
            </w:r>
            <w:r>
              <w:rPr>
                <w:rFonts w:hint="eastAsia" w:ascii="宋体" w:hAnsi="宋体" w:eastAsia="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rPr>
              <w:t>分。</w:t>
            </w:r>
          </w:p>
          <w:p w14:paraId="6A64076F">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3.</w:t>
            </w:r>
            <w:r>
              <w:rPr>
                <w:rFonts w:hint="eastAsia" w:ascii="宋体" w:hAnsi="宋体" w:eastAsia="宋体" w:cs="宋体"/>
                <w:snapToGrid w:val="0"/>
                <w:color w:val="auto"/>
                <w:kern w:val="0"/>
                <w:sz w:val="21"/>
                <w:szCs w:val="21"/>
                <w:highlight w:val="none"/>
              </w:rPr>
              <w:t>未提供以上两项证明的，不予计分。</w:t>
            </w:r>
          </w:p>
          <w:p w14:paraId="57952EE6">
            <w:pPr>
              <w:wordWrap w:val="0"/>
              <w:adjustRightInd w:val="0"/>
              <w:snapToGrid w:val="0"/>
              <w:spacing w:line="36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4.本项</w:t>
            </w:r>
            <w:r>
              <w:rPr>
                <w:rFonts w:hint="eastAsia" w:ascii="宋体" w:hAnsi="宋体" w:eastAsia="宋体" w:cs="宋体"/>
                <w:snapToGrid w:val="0"/>
                <w:color w:val="auto"/>
                <w:kern w:val="0"/>
                <w:sz w:val="21"/>
                <w:szCs w:val="21"/>
                <w:highlight w:val="none"/>
              </w:rPr>
              <w:t>最高得</w:t>
            </w:r>
            <w:r>
              <w:rPr>
                <w:rFonts w:hint="eastAsia" w:ascii="宋体" w:hAnsi="宋体" w:eastAsia="宋体" w:cs="宋体"/>
                <w:snapToGrid w:val="0"/>
                <w:color w:val="auto"/>
                <w:kern w:val="0"/>
                <w:sz w:val="21"/>
                <w:szCs w:val="21"/>
                <w:highlight w:val="none"/>
                <w:lang w:val="en-US" w:eastAsia="zh-CN"/>
              </w:rPr>
              <w:t>9</w:t>
            </w:r>
            <w:r>
              <w:rPr>
                <w:rFonts w:hint="eastAsia" w:ascii="宋体" w:hAnsi="宋体" w:eastAsia="宋体" w:cs="宋体"/>
                <w:snapToGrid w:val="0"/>
                <w:color w:val="auto"/>
                <w:kern w:val="0"/>
                <w:sz w:val="21"/>
                <w:szCs w:val="21"/>
                <w:highlight w:val="none"/>
              </w:rPr>
              <w:t>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0F2AE814">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1.</w:t>
            </w:r>
            <w:r>
              <w:rPr>
                <w:rFonts w:hint="eastAsia" w:ascii="宋体" w:hAnsi="宋体" w:eastAsia="宋体" w:cs="宋体"/>
                <w:snapToGrid w:val="0"/>
                <w:color w:val="auto"/>
                <w:kern w:val="0"/>
                <w:sz w:val="21"/>
                <w:szCs w:val="21"/>
                <w:highlight w:val="none"/>
              </w:rPr>
              <w:t>需附在有效期内的有关证明</w:t>
            </w:r>
            <w:r>
              <w:rPr>
                <w:rFonts w:hint="eastAsia" w:ascii="宋体" w:hAnsi="宋体" w:eastAsia="宋体" w:cs="宋体"/>
                <w:snapToGrid w:val="0"/>
                <w:color w:val="auto"/>
                <w:kern w:val="0"/>
                <w:sz w:val="21"/>
                <w:szCs w:val="21"/>
                <w:highlight w:val="none"/>
                <w:lang w:eastAsia="zh-CN"/>
              </w:rPr>
              <w:t>彩色</w:t>
            </w:r>
            <w:r>
              <w:rPr>
                <w:rFonts w:hint="eastAsia" w:ascii="宋体" w:hAnsi="宋体" w:eastAsia="宋体" w:cs="宋体"/>
                <w:snapToGrid w:val="0"/>
                <w:color w:val="auto"/>
                <w:kern w:val="0"/>
                <w:sz w:val="21"/>
                <w:szCs w:val="21"/>
                <w:highlight w:val="none"/>
              </w:rPr>
              <w:t>扫描件。</w:t>
            </w:r>
          </w:p>
          <w:p w14:paraId="6C415AEF">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2.</w:t>
            </w:r>
            <w:r>
              <w:rPr>
                <w:rFonts w:hint="eastAsia" w:ascii="宋体" w:hAnsi="宋体" w:eastAsia="宋体" w:cs="宋体"/>
                <w:snapToGrid w:val="0"/>
                <w:color w:val="auto"/>
                <w:kern w:val="0"/>
                <w:sz w:val="21"/>
                <w:szCs w:val="21"/>
                <w:highlight w:val="none"/>
              </w:rPr>
              <w:t>银行授信证明有以下情形之一的，视为无效，不予计分：</w:t>
            </w:r>
          </w:p>
          <w:p w14:paraId="0294DAC4">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①授信证明不在有效期内的；</w:t>
            </w:r>
          </w:p>
          <w:p w14:paraId="07D94725">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②授信额度不符合要求的；</w:t>
            </w:r>
          </w:p>
          <w:p w14:paraId="31211F2E">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3.</w:t>
            </w:r>
            <w:r>
              <w:rPr>
                <w:rFonts w:hint="eastAsia" w:ascii="宋体" w:hAnsi="宋体" w:eastAsia="宋体" w:cs="宋体"/>
                <w:snapToGrid w:val="0"/>
                <w:color w:val="auto"/>
                <w:kern w:val="0"/>
                <w:sz w:val="21"/>
                <w:szCs w:val="21"/>
                <w:highlight w:val="none"/>
              </w:rPr>
              <w:t>存款余额资金流水证明有以下情形之一的，视为无效，不予计分：</w:t>
            </w:r>
          </w:p>
          <w:p w14:paraId="2F1CB1A4">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①存款账户不是基本账户的；</w:t>
            </w:r>
          </w:p>
          <w:p w14:paraId="0B825A1D">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②存款时间不符合要求的；</w:t>
            </w:r>
          </w:p>
          <w:p w14:paraId="233B0A5F">
            <w:pPr>
              <w:wordWrap w:val="0"/>
              <w:adjustRightInd w:val="0"/>
              <w:snapToGrid w:val="0"/>
              <w:spacing w:line="360" w:lineRule="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③存款额度不符合要求的</w:t>
            </w:r>
            <w:r>
              <w:rPr>
                <w:rFonts w:hint="eastAsia" w:ascii="宋体" w:hAnsi="宋体" w:eastAsia="宋体" w:cs="宋体"/>
                <w:snapToGrid w:val="0"/>
                <w:color w:val="auto"/>
                <w:kern w:val="0"/>
                <w:sz w:val="21"/>
                <w:szCs w:val="21"/>
                <w:highlight w:val="none"/>
                <w:lang w:eastAsia="zh-CN"/>
              </w:rPr>
              <w:t>。</w:t>
            </w:r>
          </w:p>
        </w:tc>
      </w:tr>
      <w:tr w14:paraId="76A4A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491" w:type="dxa"/>
            <w:vMerge w:val="restart"/>
            <w:tcBorders>
              <w:top w:val="single" w:color="auto" w:sz="4" w:space="0"/>
              <w:left w:val="single" w:color="auto" w:sz="4" w:space="0"/>
              <w:right w:val="single" w:color="auto" w:sz="4" w:space="0"/>
            </w:tcBorders>
            <w:noWrap w:val="0"/>
            <w:vAlign w:val="center"/>
          </w:tcPr>
          <w:p w14:paraId="0DEEAD92">
            <w:pPr>
              <w:pStyle w:val="6"/>
              <w:keepNext w:val="0"/>
              <w:keepLines/>
              <w:pageBreakBefore w:val="0"/>
              <w:widowControl/>
              <w:kinsoku/>
              <w:wordWrap w:val="0"/>
              <w:overflowPunct/>
              <w:topLinePunct/>
              <w:autoSpaceDE/>
              <w:autoSpaceDN/>
              <w:bidi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招标人</w:t>
            </w:r>
          </w:p>
          <w:p w14:paraId="4486F220">
            <w:pPr>
              <w:pStyle w:val="6"/>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自选项</w:t>
            </w:r>
          </w:p>
          <w:p w14:paraId="67BFE6AC">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1"/>
                <w:szCs w:val="21"/>
                <w:highlight w:val="none"/>
                <w:lang w:eastAsia="zh-CN" w:bidi="ar"/>
              </w:rPr>
            </w:pPr>
            <w:r>
              <w:rPr>
                <w:rFonts w:hint="eastAsia" w:ascii="宋体" w:hAnsi="宋体" w:eastAsia="宋体" w:cs="宋体"/>
                <w:snapToGrid w:val="0"/>
                <w:color w:val="auto"/>
                <w:kern w:val="0"/>
                <w:sz w:val="21"/>
                <w:szCs w:val="21"/>
                <w:highlight w:val="none"/>
                <w:lang w:eastAsia="zh-CN" w:bidi="ar"/>
              </w:rPr>
              <w:t>（</w:t>
            </w:r>
            <w:r>
              <w:rPr>
                <w:rFonts w:hint="eastAsia" w:ascii="宋体" w:hAnsi="宋体" w:eastAsia="宋体" w:cs="宋体"/>
                <w:snapToGrid w:val="0"/>
                <w:color w:val="auto"/>
                <w:kern w:val="0"/>
                <w:sz w:val="21"/>
                <w:szCs w:val="21"/>
                <w:highlight w:val="none"/>
                <w:lang w:val="en-US" w:eastAsia="zh-CN" w:bidi="ar"/>
              </w:rPr>
              <w:t>10分</w:t>
            </w:r>
            <w:r>
              <w:rPr>
                <w:rFonts w:hint="eastAsia" w:ascii="宋体" w:hAnsi="宋体" w:eastAsia="宋体" w:cs="宋体"/>
                <w:snapToGrid w:val="0"/>
                <w:color w:val="auto"/>
                <w:kern w:val="0"/>
                <w:sz w:val="21"/>
                <w:szCs w:val="21"/>
                <w:highlight w:val="none"/>
                <w:lang w:eastAsia="zh-CN" w:bidi="ar"/>
              </w:rPr>
              <w:t>）</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0F888744">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1.近 5 年来（2021年1月1日至2026年1月1日），投标人</w:t>
            </w:r>
            <w:r>
              <w:rPr>
                <w:rFonts w:hint="eastAsia" w:ascii="宋体" w:hAnsi="宋体" w:eastAsia="宋体" w:cs="宋体"/>
                <w:snapToGrid w:val="0"/>
                <w:color w:val="auto"/>
                <w:kern w:val="0"/>
                <w:sz w:val="21"/>
                <w:szCs w:val="21"/>
                <w:highlight w:val="none"/>
              </w:rPr>
              <w:t>未发生事故等级为一般事故及以上的生产安全事故、一般质量事故及以上的工程质量事故的 ，得</w:t>
            </w:r>
            <w:r>
              <w:rPr>
                <w:rFonts w:hint="eastAsia" w:ascii="宋体" w:hAnsi="宋体" w:eastAsia="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rPr>
              <w:t>分</w:t>
            </w:r>
            <w:r>
              <w:rPr>
                <w:rFonts w:hint="eastAsia" w:ascii="宋体" w:hAnsi="宋体" w:eastAsia="宋体" w:cs="宋体"/>
                <w:snapToGrid w:val="0"/>
                <w:color w:val="auto"/>
                <w:kern w:val="0"/>
                <w:sz w:val="21"/>
                <w:szCs w:val="21"/>
                <w:highlight w:val="none"/>
                <w:lang w:eastAsia="zh-CN"/>
              </w:rPr>
              <w:t>。</w:t>
            </w:r>
          </w:p>
          <w:p w14:paraId="3DD113E6">
            <w:pPr>
              <w:wordWrap w:val="0"/>
              <w:adjustRightInd w:val="0"/>
              <w:snapToGrid w:val="0"/>
              <w:spacing w:line="360" w:lineRule="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snapToGrid w:val="0"/>
                <w:color w:val="auto"/>
                <w:kern w:val="0"/>
                <w:sz w:val="21"/>
                <w:szCs w:val="21"/>
                <w:highlight w:val="none"/>
              </w:rPr>
              <w:t>2.其他情形的，不予计分。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7C683D8D">
            <w:pPr>
              <w:spacing w:before="65" w:line="360" w:lineRule="auto"/>
              <w:ind w:right="109"/>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lang w:val="en-US" w:eastAsia="zh-CN"/>
              </w:rPr>
              <w:t>1.</w:t>
            </w:r>
            <w:r>
              <w:rPr>
                <w:rFonts w:hint="eastAsia" w:ascii="宋体" w:hAnsi="宋体" w:eastAsia="宋体" w:cs="宋体"/>
                <w:color w:val="auto"/>
                <w:spacing w:val="4"/>
                <w:sz w:val="21"/>
                <w:szCs w:val="21"/>
                <w:highlight w:val="none"/>
              </w:rPr>
              <w:t>需提供本单位承诺书（格式自定）并加盖本单位</w:t>
            </w:r>
            <w:r>
              <w:rPr>
                <w:rFonts w:hint="eastAsia" w:ascii="宋体" w:hAnsi="宋体" w:eastAsia="宋体" w:cs="宋体"/>
                <w:color w:val="auto"/>
                <w:spacing w:val="1"/>
                <w:sz w:val="21"/>
                <w:szCs w:val="21"/>
                <w:highlight w:val="none"/>
              </w:rPr>
              <w:t>公章。</w:t>
            </w:r>
          </w:p>
          <w:p w14:paraId="72A46032">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pacing w:val="4"/>
                <w:sz w:val="21"/>
                <w:szCs w:val="21"/>
                <w:highlight w:val="none"/>
                <w:lang w:val="en-US" w:eastAsia="zh-CN"/>
              </w:rPr>
              <w:t>2.</w:t>
            </w:r>
            <w:r>
              <w:rPr>
                <w:rFonts w:hint="eastAsia" w:ascii="宋体" w:hAnsi="宋体" w:eastAsia="宋体" w:cs="宋体"/>
                <w:color w:val="auto"/>
                <w:spacing w:val="4"/>
                <w:sz w:val="21"/>
                <w:szCs w:val="21"/>
                <w:highlight w:val="none"/>
              </w:rPr>
              <w:t>未提供本单位承诺书并加盖本单位公章的，按第2</w:t>
            </w:r>
            <w:r>
              <w:rPr>
                <w:rFonts w:hint="eastAsia" w:ascii="宋体" w:hAnsi="宋体" w:eastAsia="宋体" w:cs="宋体"/>
                <w:color w:val="auto"/>
                <w:spacing w:val="-35"/>
                <w:sz w:val="21"/>
                <w:szCs w:val="21"/>
                <w:highlight w:val="none"/>
              </w:rPr>
              <w:t xml:space="preserve"> </w:t>
            </w:r>
            <w:r>
              <w:rPr>
                <w:rFonts w:hint="eastAsia" w:ascii="宋体" w:hAnsi="宋体" w:eastAsia="宋体" w:cs="宋体"/>
                <w:color w:val="auto"/>
                <w:spacing w:val="4"/>
                <w:sz w:val="21"/>
                <w:szCs w:val="21"/>
                <w:highlight w:val="none"/>
              </w:rPr>
              <w:t>项标准处理。</w:t>
            </w:r>
          </w:p>
        </w:tc>
      </w:tr>
      <w:tr w14:paraId="28AEA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491" w:type="dxa"/>
            <w:vMerge w:val="continue"/>
            <w:tcBorders>
              <w:left w:val="single" w:color="auto" w:sz="4" w:space="0"/>
              <w:right w:val="single" w:color="auto" w:sz="4" w:space="0"/>
            </w:tcBorders>
            <w:noWrap w:val="0"/>
            <w:vAlign w:val="center"/>
          </w:tcPr>
          <w:p w14:paraId="479B73F3">
            <w:pPr>
              <w:pStyle w:val="6"/>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1"/>
                <w:szCs w:val="21"/>
                <w:highlight w:val="none"/>
                <w:lang w:bidi="ar"/>
              </w:rPr>
            </w:pPr>
          </w:p>
        </w:tc>
        <w:tc>
          <w:tcPr>
            <w:tcW w:w="3868" w:type="dxa"/>
            <w:tcBorders>
              <w:top w:val="single" w:color="auto" w:sz="4" w:space="0"/>
              <w:left w:val="single" w:color="auto" w:sz="4" w:space="0"/>
              <w:bottom w:val="single" w:color="auto" w:sz="4" w:space="0"/>
              <w:right w:val="single" w:color="auto" w:sz="4" w:space="0"/>
            </w:tcBorders>
            <w:noWrap w:val="0"/>
            <w:vAlign w:val="center"/>
          </w:tcPr>
          <w:p w14:paraId="6DAF1AE3">
            <w:pPr>
              <w:wordWrap w:val="0"/>
              <w:adjustRightInd w:val="0"/>
              <w:snapToGrid w:val="0"/>
              <w:spacing w:line="360" w:lineRule="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spacing w:val="7"/>
                <w:sz w:val="21"/>
                <w:szCs w:val="21"/>
                <w:highlight w:val="none"/>
              </w:rPr>
              <w:t xml:space="preserve">企业近 </w:t>
            </w:r>
            <w:r>
              <w:rPr>
                <w:rFonts w:hint="eastAsia" w:ascii="宋体" w:hAnsi="宋体" w:eastAsia="宋体" w:cs="宋体"/>
                <w:color w:val="auto"/>
                <w:spacing w:val="7"/>
                <w:sz w:val="21"/>
                <w:szCs w:val="21"/>
                <w:highlight w:val="none"/>
                <w:lang w:val="en-US" w:eastAsia="zh-CN"/>
              </w:rPr>
              <w:t>5</w:t>
            </w:r>
            <w:r>
              <w:rPr>
                <w:rFonts w:hint="eastAsia" w:ascii="宋体" w:hAnsi="宋体" w:eastAsia="宋体" w:cs="宋体"/>
                <w:color w:val="auto"/>
                <w:spacing w:val="-30"/>
                <w:sz w:val="21"/>
                <w:szCs w:val="21"/>
                <w:highlight w:val="none"/>
              </w:rPr>
              <w:t xml:space="preserve"> </w:t>
            </w:r>
            <w:r>
              <w:rPr>
                <w:rFonts w:hint="eastAsia" w:ascii="宋体" w:hAnsi="宋体" w:eastAsia="宋体" w:cs="宋体"/>
                <w:color w:val="auto"/>
                <w:spacing w:val="7"/>
                <w:sz w:val="21"/>
                <w:szCs w:val="21"/>
                <w:highlight w:val="none"/>
              </w:rPr>
              <w:t>年度</w:t>
            </w:r>
            <w:r>
              <w:rPr>
                <w:rFonts w:hint="eastAsia" w:ascii="宋体" w:hAnsi="宋体" w:eastAsia="宋体" w:cs="宋体"/>
                <w:snapToGrid w:val="0"/>
                <w:color w:val="auto"/>
                <w:kern w:val="0"/>
                <w:sz w:val="21"/>
                <w:szCs w:val="21"/>
                <w:highlight w:val="none"/>
                <w:lang w:val="en-US" w:eastAsia="zh-CN"/>
              </w:rPr>
              <w:t>（2021年1月1日至2026年1月1日）</w:t>
            </w:r>
            <w:r>
              <w:rPr>
                <w:rFonts w:hint="eastAsia" w:ascii="宋体" w:hAnsi="宋体" w:eastAsia="宋体" w:cs="宋体"/>
                <w:color w:val="auto"/>
                <w:spacing w:val="11"/>
                <w:sz w:val="21"/>
                <w:szCs w:val="21"/>
                <w:highlight w:val="none"/>
              </w:rPr>
              <w:t>连续获得过省级或以上建</w:t>
            </w:r>
            <w:r>
              <w:rPr>
                <w:rFonts w:hint="eastAsia" w:ascii="宋体" w:hAnsi="宋体" w:eastAsia="宋体" w:cs="宋体"/>
                <w:color w:val="auto"/>
                <w:spacing w:val="9"/>
                <w:sz w:val="21"/>
                <w:szCs w:val="21"/>
                <w:highlight w:val="none"/>
              </w:rPr>
              <w:t>筑业协会颁发的企业信用等级</w:t>
            </w:r>
            <w:r>
              <w:rPr>
                <w:rFonts w:hint="eastAsia" w:ascii="宋体" w:hAnsi="宋体" w:eastAsia="宋体" w:cs="宋体"/>
                <w:color w:val="auto"/>
                <w:sz w:val="21"/>
                <w:szCs w:val="21"/>
                <w:highlight w:val="none"/>
              </w:rPr>
              <w:t>AAA</w:t>
            </w:r>
            <w:r>
              <w:rPr>
                <w:rFonts w:hint="eastAsia" w:ascii="宋体" w:hAnsi="宋体" w:eastAsia="宋体" w:cs="宋体"/>
                <w:color w:val="auto"/>
                <w:spacing w:val="-37"/>
                <w:sz w:val="21"/>
                <w:szCs w:val="21"/>
                <w:highlight w:val="none"/>
              </w:rPr>
              <w:t xml:space="preserve"> </w:t>
            </w:r>
            <w:r>
              <w:rPr>
                <w:rFonts w:hint="eastAsia" w:ascii="宋体" w:hAnsi="宋体" w:eastAsia="宋体" w:cs="宋体"/>
                <w:color w:val="auto"/>
                <w:spacing w:val="6"/>
                <w:sz w:val="21"/>
                <w:szCs w:val="21"/>
                <w:highlight w:val="none"/>
              </w:rPr>
              <w:t>级证书的得</w:t>
            </w:r>
            <w:r>
              <w:rPr>
                <w:rFonts w:hint="eastAsia" w:ascii="宋体" w:hAnsi="宋体" w:eastAsia="宋体" w:cs="宋体"/>
                <w:color w:val="auto"/>
                <w:spacing w:val="-42"/>
                <w:sz w:val="21"/>
                <w:szCs w:val="21"/>
                <w:highlight w:val="none"/>
              </w:rPr>
              <w:t xml:space="preserve"> </w:t>
            </w:r>
            <w:r>
              <w:rPr>
                <w:rFonts w:hint="eastAsia" w:ascii="宋体" w:hAnsi="宋体" w:eastAsia="宋体" w:cs="宋体"/>
                <w:color w:val="auto"/>
                <w:spacing w:val="6"/>
                <w:sz w:val="21"/>
                <w:szCs w:val="21"/>
                <w:highlight w:val="none"/>
                <w:lang w:val="en-US" w:eastAsia="zh-CN"/>
              </w:rPr>
              <w:t>5分。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0F79CDEB">
            <w:pPr>
              <w:spacing w:before="131" w:line="360" w:lineRule="auto"/>
              <w:ind w:right="109"/>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lang w:val="en-US" w:eastAsia="zh-CN"/>
              </w:rPr>
              <w:t>1.</w:t>
            </w:r>
            <w:r>
              <w:rPr>
                <w:rFonts w:hint="eastAsia" w:ascii="宋体" w:hAnsi="宋体" w:eastAsia="宋体" w:cs="宋体"/>
                <w:color w:val="auto"/>
                <w:spacing w:val="9"/>
                <w:sz w:val="21"/>
                <w:szCs w:val="21"/>
                <w:highlight w:val="none"/>
              </w:rPr>
              <w:t>需附省级或以上建筑协会颁发的证书及发文</w:t>
            </w:r>
            <w:r>
              <w:rPr>
                <w:rFonts w:hint="eastAsia" w:ascii="宋体" w:hAnsi="宋体" w:eastAsia="宋体" w:cs="宋体"/>
                <w:color w:val="auto"/>
                <w:spacing w:val="8"/>
                <w:sz w:val="21"/>
                <w:szCs w:val="21"/>
                <w:highlight w:val="none"/>
              </w:rPr>
              <w:t>材料彩色扫描件。</w:t>
            </w:r>
          </w:p>
          <w:p w14:paraId="4B6D998E">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pacing w:val="10"/>
                <w:sz w:val="21"/>
                <w:szCs w:val="21"/>
                <w:highlight w:val="none"/>
                <w:lang w:val="en-US" w:eastAsia="zh-CN"/>
              </w:rPr>
              <w:t>2.</w:t>
            </w:r>
            <w:r>
              <w:rPr>
                <w:rFonts w:hint="eastAsia" w:ascii="宋体" w:hAnsi="宋体" w:eastAsia="宋体" w:cs="宋体"/>
                <w:color w:val="auto"/>
                <w:spacing w:val="10"/>
                <w:sz w:val="21"/>
                <w:szCs w:val="21"/>
                <w:highlight w:val="none"/>
              </w:rPr>
              <w:t>颁发机构不符合要求的，按</w:t>
            </w:r>
            <w:r>
              <w:rPr>
                <w:rFonts w:hint="eastAsia" w:ascii="宋体" w:hAnsi="宋体" w:eastAsia="宋体" w:cs="宋体"/>
                <w:color w:val="auto"/>
                <w:spacing w:val="4"/>
                <w:sz w:val="21"/>
                <w:szCs w:val="21"/>
                <w:highlight w:val="none"/>
              </w:rPr>
              <w:t>第</w:t>
            </w:r>
            <w:r>
              <w:rPr>
                <w:rFonts w:hint="eastAsia" w:ascii="宋体" w:hAnsi="宋体" w:eastAsia="宋体" w:cs="宋体"/>
                <w:color w:val="auto"/>
                <w:spacing w:val="-38"/>
                <w:sz w:val="21"/>
                <w:szCs w:val="21"/>
                <w:highlight w:val="none"/>
              </w:rPr>
              <w:t xml:space="preserve"> </w:t>
            </w:r>
            <w:r>
              <w:rPr>
                <w:rFonts w:hint="eastAsia" w:ascii="宋体" w:hAnsi="宋体" w:eastAsia="宋体" w:cs="宋体"/>
                <w:color w:val="auto"/>
                <w:spacing w:val="4"/>
                <w:sz w:val="21"/>
                <w:szCs w:val="21"/>
                <w:highlight w:val="none"/>
              </w:rPr>
              <w:t>2项标准处理。</w:t>
            </w:r>
          </w:p>
        </w:tc>
      </w:tr>
      <w:tr w14:paraId="47C95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exact"/>
          <w:jc w:val="center"/>
        </w:trPr>
        <w:tc>
          <w:tcPr>
            <w:tcW w:w="10424"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11D6A432">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left"/>
              <w:textAlignment w:val="auto"/>
              <w:outlineLvl w:val="9"/>
              <w:rPr>
                <w:rFonts w:hint="eastAsia" w:asciiTheme="minorEastAsia" w:hAnsiTheme="minorEastAsia" w:eastAsiaTheme="minorEastAsia" w:cstheme="minorEastAsia"/>
                <w:b/>
                <w:bCs/>
                <w:caps w:val="0"/>
                <w:smallCaps w:val="0"/>
                <w:snapToGrid w:val="0"/>
                <w:color w:val="auto"/>
                <w:spacing w:val="0"/>
                <w:kern w:val="0"/>
                <w:sz w:val="21"/>
                <w:szCs w:val="21"/>
                <w:highlight w:val="none"/>
              </w:rPr>
            </w:pPr>
            <w:r>
              <w:rPr>
                <w:rFonts w:hint="eastAsia" w:asciiTheme="minorEastAsia" w:hAnsiTheme="minorEastAsia" w:eastAsiaTheme="minorEastAsia" w:cstheme="minorEastAsia"/>
                <w:b/>
                <w:bCs/>
                <w:caps w:val="0"/>
                <w:smallCaps w:val="0"/>
                <w:snapToGrid w:val="0"/>
                <w:color w:val="auto"/>
                <w:spacing w:val="0"/>
                <w:kern w:val="0"/>
                <w:sz w:val="21"/>
                <w:szCs w:val="21"/>
                <w:highlight w:val="none"/>
                <w:lang w:eastAsia="zh-CN"/>
              </w:rPr>
              <w:t>技术部分（施工组织设计），满分：</w:t>
            </w:r>
            <w:r>
              <w:rPr>
                <w:rFonts w:hint="eastAsia" w:asciiTheme="minorEastAsia" w:hAnsiTheme="minorEastAsia" w:eastAsiaTheme="minorEastAsia" w:cstheme="minorEastAsia"/>
                <w:b/>
                <w:bCs/>
                <w:caps w:val="0"/>
                <w:smallCaps w:val="0"/>
                <w:snapToGrid w:val="0"/>
                <w:color w:val="auto"/>
                <w:spacing w:val="0"/>
                <w:kern w:val="0"/>
                <w:sz w:val="21"/>
                <w:szCs w:val="21"/>
                <w:highlight w:val="none"/>
                <w:u w:val="single"/>
                <w:lang w:val="en-US" w:eastAsia="zh-CN"/>
              </w:rPr>
              <w:t xml:space="preserve">  40  </w:t>
            </w:r>
            <w:r>
              <w:rPr>
                <w:rFonts w:hint="eastAsia" w:asciiTheme="minorEastAsia" w:hAnsiTheme="minorEastAsia" w:eastAsiaTheme="minorEastAsia" w:cstheme="minorEastAsia"/>
                <w:b/>
                <w:bCs/>
                <w:caps w:val="0"/>
                <w:smallCaps w:val="0"/>
                <w:snapToGrid w:val="0"/>
                <w:color w:val="auto"/>
                <w:spacing w:val="0"/>
                <w:kern w:val="0"/>
                <w:sz w:val="21"/>
                <w:szCs w:val="21"/>
                <w:highlight w:val="none"/>
                <w:lang w:val="en-US" w:eastAsia="zh-CN"/>
              </w:rPr>
              <w:t>分。</w:t>
            </w:r>
          </w:p>
        </w:tc>
      </w:tr>
      <w:tr w14:paraId="6C61E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49F6191F">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b/>
                <w:bCs/>
                <w:caps w:val="0"/>
                <w:smallCaps w:val="0"/>
                <w:snapToGrid w:val="0"/>
                <w:color w:val="auto"/>
                <w:spacing w:val="0"/>
                <w:kern w:val="0"/>
                <w:sz w:val="21"/>
                <w:szCs w:val="21"/>
                <w:highlight w:val="none"/>
              </w:rPr>
            </w:pPr>
            <w:r>
              <w:rPr>
                <w:rFonts w:hint="eastAsia" w:asciiTheme="minorEastAsia" w:hAnsiTheme="minorEastAsia" w:eastAsiaTheme="minorEastAsia" w:cstheme="minorEastAsia"/>
                <w:b/>
                <w:bCs/>
                <w:caps w:val="0"/>
                <w:smallCaps w:val="0"/>
                <w:snapToGrid w:val="0"/>
                <w:color w:val="auto"/>
                <w:spacing w:val="0"/>
                <w:kern w:val="0"/>
                <w:sz w:val="21"/>
                <w:szCs w:val="21"/>
                <w:highlight w:val="none"/>
              </w:rPr>
              <w:t>评分因素</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334FD14D">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b/>
                <w:bCs/>
                <w:caps w:val="0"/>
                <w:smallCaps w:val="0"/>
                <w:snapToGrid w:val="0"/>
                <w:color w:val="auto"/>
                <w:spacing w:val="0"/>
                <w:kern w:val="0"/>
                <w:sz w:val="21"/>
                <w:szCs w:val="21"/>
                <w:highlight w:val="none"/>
              </w:rPr>
            </w:pPr>
            <w:r>
              <w:rPr>
                <w:rFonts w:hint="eastAsia" w:asciiTheme="minorEastAsia" w:hAnsiTheme="minorEastAsia" w:eastAsiaTheme="minorEastAsia" w:cstheme="minorEastAsia"/>
                <w:b/>
                <w:bCs/>
                <w:caps w:val="0"/>
                <w:smallCaps w:val="0"/>
                <w:snapToGrid w:val="0"/>
                <w:color w:val="auto"/>
                <w:spacing w:val="0"/>
                <w:kern w:val="0"/>
                <w:sz w:val="21"/>
                <w:szCs w:val="21"/>
                <w:highlight w:val="none"/>
              </w:rPr>
              <w:t>评分标准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1DE5B26F">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b/>
                <w:bCs/>
                <w:caps w:val="0"/>
                <w:smallCaps w:val="0"/>
                <w:snapToGrid w:val="0"/>
                <w:color w:val="auto"/>
                <w:spacing w:val="0"/>
                <w:kern w:val="0"/>
                <w:sz w:val="21"/>
                <w:szCs w:val="21"/>
                <w:highlight w:val="none"/>
                <w:lang w:eastAsia="zh-CN"/>
              </w:rPr>
            </w:pPr>
            <w:r>
              <w:rPr>
                <w:rFonts w:hint="eastAsia" w:asciiTheme="minorEastAsia" w:hAnsiTheme="minorEastAsia" w:eastAsiaTheme="minorEastAsia" w:cstheme="minorEastAsia"/>
                <w:b/>
                <w:bCs/>
                <w:caps w:val="0"/>
                <w:smallCaps w:val="0"/>
                <w:snapToGrid w:val="0"/>
                <w:color w:val="auto"/>
                <w:spacing w:val="0"/>
                <w:kern w:val="0"/>
                <w:sz w:val="21"/>
                <w:szCs w:val="21"/>
                <w:highlight w:val="none"/>
                <w:lang w:eastAsia="zh-CN"/>
              </w:rPr>
              <w:t>备注</w:t>
            </w:r>
          </w:p>
        </w:tc>
      </w:tr>
      <w:tr w14:paraId="25B26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5"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24EC4B3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 xml:space="preserve"> 总体概述</w:t>
            </w:r>
          </w:p>
          <w:p w14:paraId="7333D43A">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w:t>
            </w:r>
            <w:r>
              <w:rPr>
                <w:rFonts w:hint="eastAsia" w:asciiTheme="minorEastAsia" w:hAnsiTheme="minorEastAsia" w:eastAsiaTheme="minorEastAsia" w:cstheme="minorEastAsia"/>
                <w:caps w:val="0"/>
                <w:smallCaps w:val="0"/>
                <w:snapToGrid w:val="0"/>
                <w:color w:val="auto"/>
                <w:spacing w:val="0"/>
                <w:kern w:val="0"/>
                <w:sz w:val="21"/>
                <w:szCs w:val="21"/>
                <w:highlight w:val="none"/>
                <w:u w:val="single"/>
                <w:lang w:val="en-US" w:eastAsia="zh-CN" w:bidi="ar-SA"/>
              </w:rPr>
              <w:t xml:space="preserve"> 5 </w:t>
            </w: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16F62EC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【优】得该项评分因素分值的90%～100%（含90%）。</w:t>
            </w:r>
          </w:p>
          <w:p w14:paraId="43B3257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【良】得该项评分因素分值的80%～90%（含80%）。</w:t>
            </w:r>
          </w:p>
          <w:p w14:paraId="56D845F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【中】得该项评分因素分值的70%～80%（含70%）。</w:t>
            </w:r>
          </w:p>
          <w:p w14:paraId="3FD70982">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23D54074">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【优】对项目总体有深刻认识，表述清晰、完整、严谨、合理，措施先进、具体、有效、成熟，采用了新技术、新工艺、新材料、新设备；施工段划分呼应总体表述，划分清晰、合理，符合规范要求。</w:t>
            </w:r>
          </w:p>
          <w:p w14:paraId="12153FF5">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【良】对项目总体有一定认识，表述清晰、完整，措施具体有效；施工段划分呼应总体表述，划分清晰，符合规范要求。</w:t>
            </w:r>
          </w:p>
          <w:p w14:paraId="5EBA7D58">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【中】对项目总体有认识，有一定的措施但部分不具体；施工段划分较合理，符合规范要求。</w:t>
            </w:r>
          </w:p>
          <w:p w14:paraId="5C73A9B2">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【差】对项目认识不足，表述不清晰，措施不具体；施工段划分不合理。</w:t>
            </w:r>
          </w:p>
        </w:tc>
      </w:tr>
      <w:tr w14:paraId="037BB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0"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4426F8C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施工总进</w:t>
            </w:r>
          </w:p>
          <w:p w14:paraId="3DAB3C6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度计划及</w:t>
            </w:r>
          </w:p>
          <w:p w14:paraId="6FB92D0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保证措施</w:t>
            </w:r>
          </w:p>
          <w:p w14:paraId="6780E20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w:t>
            </w:r>
            <w:r>
              <w:rPr>
                <w:rFonts w:hint="eastAsia" w:asciiTheme="minorEastAsia" w:hAnsiTheme="minorEastAsia" w:eastAsiaTheme="minorEastAsia" w:cstheme="minorEastAsia"/>
                <w:caps w:val="0"/>
                <w:smallCaps w:val="0"/>
                <w:snapToGrid w:val="0"/>
                <w:color w:val="auto"/>
                <w:spacing w:val="0"/>
                <w:kern w:val="0"/>
                <w:sz w:val="21"/>
                <w:szCs w:val="21"/>
                <w:highlight w:val="none"/>
                <w:u w:val="single"/>
                <w:lang w:val="en-US" w:eastAsia="zh-CN" w:bidi="ar-SA"/>
              </w:rPr>
              <w:t xml:space="preserve"> 5 </w:t>
            </w: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55E9097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【优】得该项评分因素分值的90%～100%（含90%）。</w:t>
            </w:r>
          </w:p>
          <w:p w14:paraId="2BB77EA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【良】得该项评分因素分值的80%～90%（含80%）。</w:t>
            </w:r>
          </w:p>
          <w:p w14:paraId="6971F76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【中】得该项评分因素分值的70%～80%（含70%）。</w:t>
            </w:r>
          </w:p>
          <w:p w14:paraId="058DCEF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08EE883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b/>
                <w:bCs/>
                <w:caps w:val="0"/>
                <w:smallCaps w:val="0"/>
                <w:strike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优】关键线路清晰、准确、完整，计划编制合理、可行。关键节点的控制措施有力、合理、可行。人、材、机需求和进场计划与进度计划相呼应，较好地满足施工需要，调配投入计划合理、准确。进度违约责任承诺具体，</w:t>
            </w:r>
            <w:r>
              <w:rPr>
                <w:rFonts w:hint="eastAsia" w:asciiTheme="minorEastAsia" w:hAnsiTheme="minorEastAsia" w:eastAsiaTheme="minorEastAsia" w:cstheme="minorEastAsia"/>
                <w:b/>
                <w:bCs/>
                <w:caps w:val="0"/>
                <w:smallCaps w:val="0"/>
                <w:strike w:val="0"/>
                <w:dstrike w:val="0"/>
                <w:snapToGrid w:val="0"/>
                <w:color w:val="auto"/>
                <w:spacing w:val="0"/>
                <w:kern w:val="0"/>
                <w:sz w:val="21"/>
                <w:szCs w:val="21"/>
                <w:highlight w:val="none"/>
                <w:lang w:val="en-US" w:eastAsia="zh-CN" w:bidi="ar-SA"/>
              </w:rPr>
              <w:t>经济赔偿合理。</w:t>
            </w:r>
          </w:p>
          <w:p w14:paraId="2EA5956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b/>
                <w:bCs/>
                <w:caps w:val="0"/>
                <w:smallCaps w:val="0"/>
                <w:strike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Theme="minorEastAsia" w:hAnsiTheme="minorEastAsia" w:eastAsiaTheme="minorEastAsia" w:cstheme="minorEastAsia"/>
                <w:b/>
                <w:bCs/>
                <w:caps w:val="0"/>
                <w:smallCaps w:val="0"/>
                <w:strike w:val="0"/>
                <w:dstrike w:val="0"/>
                <w:snapToGrid w:val="0"/>
                <w:color w:val="auto"/>
                <w:spacing w:val="0"/>
                <w:kern w:val="0"/>
                <w:sz w:val="21"/>
                <w:szCs w:val="21"/>
                <w:highlight w:val="none"/>
                <w:lang w:val="en-US" w:eastAsia="zh-CN" w:bidi="ar-SA"/>
              </w:rPr>
              <w:t>经济赔偿较合理。</w:t>
            </w:r>
          </w:p>
          <w:p w14:paraId="6207766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【中】关键线路基本准确，计划编制基本合理。关键节点的控制措施基本可行。人、材、机需求和进场计划与进度计划相呼应，基本满足施工需要，调配投入计划基本合理。进度违约责任承诺具体。</w:t>
            </w:r>
          </w:p>
          <w:p w14:paraId="6FD8C0F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【差】关键线路不准确，计划编制不合理。关键节点的控制不可行。人、材、机需求和进场计划与进度计划不相呼应，不能满足施工需要。没有违约责任承诺。</w:t>
            </w:r>
          </w:p>
        </w:tc>
      </w:tr>
      <w:tr w14:paraId="0D76A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6"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871ECF0">
            <w:pPr>
              <w:pStyle w:val="31"/>
              <w:wordWrap w:val="0"/>
              <w:spacing w:line="400" w:lineRule="exact"/>
              <w:jc w:val="center"/>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质量</w:t>
            </w:r>
          </w:p>
          <w:p w14:paraId="1FBF3AEC">
            <w:pPr>
              <w:pStyle w:val="31"/>
              <w:wordWrap w:val="0"/>
              <w:spacing w:line="400" w:lineRule="exact"/>
              <w:jc w:val="center"/>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保证措施</w:t>
            </w:r>
          </w:p>
          <w:p w14:paraId="1277B614">
            <w:pPr>
              <w:pStyle w:val="31"/>
              <w:wordWrap w:val="0"/>
              <w:spacing w:line="400" w:lineRule="exact"/>
              <w:jc w:val="center"/>
              <w:rPr>
                <w:rFonts w:hint="eastAsia" w:asciiTheme="minorEastAsia" w:hAnsiTheme="minorEastAsia" w:eastAsiaTheme="minorEastAsia" w:cstheme="minorEastAsia"/>
                <w:caps w:val="0"/>
                <w:smallCaps w:val="0"/>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rPr>
              <w:t>（</w:t>
            </w:r>
            <w:r>
              <w:rPr>
                <w:rFonts w:hint="eastAsia" w:asciiTheme="minorEastAsia" w:hAnsiTheme="minorEastAsia" w:eastAsiaTheme="minorEastAsia" w:cstheme="minorEastAsia"/>
                <w:caps w:val="0"/>
                <w:smallCaps w:val="0"/>
                <w:snapToGrid w:val="0"/>
                <w:color w:val="auto"/>
                <w:spacing w:val="0"/>
                <w:kern w:val="0"/>
                <w:sz w:val="21"/>
                <w:szCs w:val="21"/>
                <w:highlight w:val="none"/>
                <w:u w:val="single"/>
                <w:lang w:val="en-US" w:eastAsia="zh-CN" w:bidi="ar-SA"/>
              </w:rPr>
              <w:t xml:space="preserve"> 5 </w:t>
            </w:r>
            <w:r>
              <w:rPr>
                <w:rFonts w:hint="eastAsia" w:asciiTheme="minorEastAsia" w:hAnsiTheme="minorEastAsia" w:eastAsiaTheme="minorEastAsia" w:cstheme="minorEastAsia"/>
                <w:snapToGrid w:val="0"/>
                <w:color w:val="auto"/>
                <w:kern w:val="0"/>
                <w:sz w:val="21"/>
                <w:szCs w:val="21"/>
                <w:highlight w:val="none"/>
              </w:rPr>
              <w:t>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2007839E">
            <w:pPr>
              <w:pStyle w:val="30"/>
              <w:wordWrap w:val="0"/>
              <w:spacing w:line="400" w:lineRule="exac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【优】得该项评分因素分值的90%～100%（含90%）。</w:t>
            </w:r>
          </w:p>
          <w:p w14:paraId="0DDE4CE8">
            <w:pPr>
              <w:pStyle w:val="30"/>
              <w:wordWrap w:val="0"/>
              <w:spacing w:line="400" w:lineRule="exac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【良】得该项评分因素分值的80%～90%（含80%）。</w:t>
            </w:r>
          </w:p>
          <w:p w14:paraId="226B370B">
            <w:pPr>
              <w:pStyle w:val="30"/>
              <w:wordWrap w:val="0"/>
              <w:spacing w:line="400" w:lineRule="exac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【中】得该项评分因素分值的70%～80%（含70%）。</w:t>
            </w:r>
          </w:p>
          <w:p w14:paraId="0860C7AB">
            <w:pPr>
              <w:pStyle w:val="32"/>
              <w:wordWrap w:val="0"/>
              <w:spacing w:line="400" w:lineRule="exact"/>
              <w:rPr>
                <w:rFonts w:hint="eastAsia" w:asciiTheme="minorEastAsia" w:hAnsiTheme="minorEastAsia" w:eastAsiaTheme="minorEastAsia" w:cstheme="minorEastAsia"/>
                <w:caps w:val="0"/>
                <w:smallCaps w:val="0"/>
                <w:snapToGrid w:val="0"/>
                <w:color w:val="auto"/>
                <w:spacing w:val="0"/>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【差】得该项评分因素分值的</w:t>
            </w:r>
            <w:r>
              <w:rPr>
                <w:rFonts w:hint="eastAsia" w:asciiTheme="minorEastAsia" w:hAnsiTheme="minorEastAsia" w:eastAsiaTheme="minorEastAsia" w:cstheme="minorEastAsia"/>
                <w:snapToGrid w:val="0"/>
                <w:color w:val="auto"/>
                <w:kern w:val="0"/>
                <w:sz w:val="21"/>
                <w:szCs w:val="21"/>
                <w:highlight w:val="none"/>
                <w:lang w:eastAsia="zh-CN"/>
              </w:rPr>
              <w:t>60%～70%</w:t>
            </w:r>
            <w:r>
              <w:rPr>
                <w:rFonts w:hint="eastAsia" w:asciiTheme="minorEastAsia" w:hAnsiTheme="minorEastAsia" w:eastAsiaTheme="minorEastAsia" w:cstheme="minorEastAsia"/>
                <w:snapToGrid w:val="0"/>
                <w:color w:val="auto"/>
                <w:kern w:val="0"/>
                <w:sz w:val="21"/>
                <w:szCs w:val="21"/>
                <w:highlight w:val="none"/>
              </w:rPr>
              <w:t>（含60%）。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FF594C8">
            <w:pPr>
              <w:pStyle w:val="6"/>
              <w:wordWrap w:val="0"/>
              <w:spacing w:after="0" w:line="400" w:lineRule="exac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【优】应用新技术、新工艺、新材料、新设备，针对项目实际提出先进、可行、具体的保证措施。超过招标文件的质量要求。</w:t>
            </w:r>
          </w:p>
          <w:p w14:paraId="5D7DABA4">
            <w:pPr>
              <w:pStyle w:val="6"/>
              <w:wordWrap w:val="0"/>
              <w:spacing w:after="0" w:line="400" w:lineRule="exact"/>
              <w:rPr>
                <w:rFonts w:hint="eastAsia" w:asciiTheme="minorEastAsia" w:hAnsiTheme="minorEastAsia" w:eastAsiaTheme="minorEastAsia" w:cstheme="minorEastAsia"/>
                <w:b/>
                <w:bCs/>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【良】针对项目实际提出先进、可行、具体的保证措施。满足招标文件的质量要求。</w:t>
            </w:r>
          </w:p>
          <w:p w14:paraId="47C950B5">
            <w:pPr>
              <w:pStyle w:val="6"/>
              <w:wordWrap w:val="0"/>
              <w:spacing w:after="0" w:line="400" w:lineRule="exac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rPr>
              <w:t>【中】具体措施可行。满足招标文件的质量要求</w:t>
            </w:r>
            <w:r>
              <w:rPr>
                <w:rFonts w:hint="eastAsia" w:asciiTheme="minorEastAsia" w:hAnsiTheme="minorEastAsia" w:eastAsiaTheme="minorEastAsia" w:cstheme="minorEastAsia"/>
                <w:snapToGrid w:val="0"/>
                <w:color w:val="auto"/>
                <w:kern w:val="0"/>
                <w:sz w:val="21"/>
                <w:szCs w:val="21"/>
                <w:highlight w:val="none"/>
                <w:lang w:eastAsia="zh-CN"/>
              </w:rPr>
              <w:t>。</w:t>
            </w:r>
          </w:p>
          <w:p w14:paraId="59C3D929">
            <w:pPr>
              <w:pStyle w:val="32"/>
              <w:wordWrap w:val="0"/>
              <w:spacing w:line="400" w:lineRule="exact"/>
              <w:rPr>
                <w:rFonts w:hint="eastAsia" w:asciiTheme="minorEastAsia" w:hAnsiTheme="minorEastAsia" w:eastAsiaTheme="minorEastAsia" w:cstheme="minorEastAsia"/>
                <w:caps w:val="0"/>
                <w:smallCaps w:val="0"/>
                <w:snapToGrid w:val="0"/>
                <w:color w:val="auto"/>
                <w:spacing w:val="0"/>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【差】措施不可行，没有质量违约责任承诺。</w:t>
            </w:r>
          </w:p>
        </w:tc>
      </w:tr>
      <w:tr w14:paraId="7D45C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64309F9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施工</w:t>
            </w:r>
          </w:p>
          <w:p w14:paraId="10E0DBEF">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技术措施</w:t>
            </w:r>
          </w:p>
          <w:p w14:paraId="7A2152B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eastAsia="zh-CN"/>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w:t>
            </w:r>
            <w:r>
              <w:rPr>
                <w:rFonts w:hint="eastAsia" w:asciiTheme="minorEastAsia" w:hAnsiTheme="minorEastAsia" w:eastAsiaTheme="minorEastAsia" w:cstheme="minorEastAsia"/>
                <w:caps w:val="0"/>
                <w:smallCaps w:val="0"/>
                <w:snapToGrid w:val="0"/>
                <w:color w:val="auto"/>
                <w:spacing w:val="0"/>
                <w:kern w:val="0"/>
                <w:sz w:val="21"/>
                <w:szCs w:val="21"/>
                <w:highlight w:val="none"/>
                <w:u w:val="single"/>
                <w:lang w:val="en-US" w:eastAsia="zh-CN" w:bidi="ar-SA"/>
              </w:rPr>
              <w:t xml:space="preserve"> 5 </w:t>
            </w: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1D6A5A9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【优】得该项评分因素分值的90%～100%（含90%）。</w:t>
            </w:r>
          </w:p>
          <w:p w14:paraId="46B998B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【良】得该项评分因素分值的80%～90%（含80%）。</w:t>
            </w:r>
          </w:p>
          <w:p w14:paraId="7813884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【中】得该项评分因素分值的70%～80%（含70%）。</w:t>
            </w:r>
          </w:p>
          <w:p w14:paraId="45B4BB1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03F18B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Theme="minorEastAsia" w:hAnsiTheme="minorEastAsia" w:eastAsiaTheme="minorEastAsia" w:cstheme="minorEastAsia"/>
                <w:b/>
                <w:bCs/>
                <w:caps w:val="0"/>
                <w:smallCaps w:val="0"/>
                <w:strike w:val="0"/>
                <w:dstrike w:val="0"/>
                <w:snapToGrid w:val="0"/>
                <w:color w:val="auto"/>
                <w:spacing w:val="0"/>
                <w:kern w:val="0"/>
                <w:sz w:val="21"/>
                <w:szCs w:val="21"/>
                <w:highlight w:val="none"/>
                <w:lang w:val="en-US" w:eastAsia="zh-CN" w:bidi="ar-SA"/>
              </w:rPr>
              <w:t>经济赔偿合理。</w:t>
            </w:r>
          </w:p>
          <w:p w14:paraId="417C0F7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b/>
                <w:bCs/>
                <w:caps w:val="0"/>
                <w:smallCaps w:val="0"/>
                <w:strike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Theme="minorEastAsia" w:hAnsiTheme="minorEastAsia" w:eastAsiaTheme="minorEastAsia" w:cstheme="minorEastAsia"/>
                <w:b/>
                <w:bCs/>
                <w:caps w:val="0"/>
                <w:smallCaps w:val="0"/>
                <w:strike w:val="0"/>
                <w:dstrike w:val="0"/>
                <w:snapToGrid w:val="0"/>
                <w:color w:val="auto"/>
                <w:spacing w:val="0"/>
                <w:kern w:val="0"/>
                <w:sz w:val="21"/>
                <w:szCs w:val="21"/>
                <w:highlight w:val="none"/>
                <w:lang w:val="en-US" w:eastAsia="zh-CN" w:bidi="ar-SA"/>
              </w:rPr>
              <w:t>经济赔偿较合理。</w:t>
            </w:r>
          </w:p>
          <w:p w14:paraId="44507D0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1AB9CBE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eastAsia="zh-CN"/>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【差】对项目关键技术有表述，对重点、难点有建议，解决方案不可行。采用的新技术针对性不强或验证材料不可靠，对节约投资、工期没有具体收益。无违约责任承诺。</w:t>
            </w:r>
          </w:p>
        </w:tc>
      </w:tr>
      <w:tr w14:paraId="77615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3"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644BF9B">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绿色施工、</w:t>
            </w:r>
          </w:p>
          <w:p w14:paraId="6C81D19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安全防护、</w:t>
            </w:r>
          </w:p>
          <w:p w14:paraId="638C625D">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文明施工</w:t>
            </w:r>
          </w:p>
          <w:p w14:paraId="78E2CFA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措施计划</w:t>
            </w:r>
          </w:p>
          <w:p w14:paraId="0AEC977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w:t>
            </w:r>
            <w:r>
              <w:rPr>
                <w:rFonts w:hint="eastAsia" w:asciiTheme="minorEastAsia" w:hAnsiTheme="minorEastAsia" w:eastAsiaTheme="minorEastAsia" w:cstheme="minorEastAsia"/>
                <w:caps w:val="0"/>
                <w:smallCaps w:val="0"/>
                <w:snapToGrid w:val="0"/>
                <w:color w:val="auto"/>
                <w:spacing w:val="0"/>
                <w:kern w:val="0"/>
                <w:sz w:val="21"/>
                <w:szCs w:val="21"/>
                <w:highlight w:val="none"/>
                <w:u w:val="single"/>
                <w:lang w:val="en-US" w:eastAsia="zh-CN" w:bidi="ar-SA"/>
              </w:rPr>
              <w:t xml:space="preserve"> 5 </w:t>
            </w: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2ADD8CA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【优】得该项评分因素分值的90%～100%（含90%）。</w:t>
            </w:r>
          </w:p>
          <w:p w14:paraId="5EE1FBD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【良】得该项评分因素分值的80%～90%（含80%）。</w:t>
            </w:r>
          </w:p>
          <w:p w14:paraId="0DFD8EAD">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【中】得该项评分因素分值的70%～80%（含70%）。</w:t>
            </w:r>
          </w:p>
          <w:p w14:paraId="1B36B2CF">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2687ED9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【优】针对项目实际情况，有先进、具体、完整、可行的措施，采用规范准确、清晰。</w:t>
            </w:r>
          </w:p>
          <w:p w14:paraId="14A6ED7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【良】针对项目实际情况，有合理的措施且具体、完整，采用规范准确。</w:t>
            </w:r>
          </w:p>
          <w:p w14:paraId="72D94C8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【中】有基本合理的措施，采用规范准确。</w:t>
            </w:r>
          </w:p>
          <w:p w14:paraId="06B16B6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【差】措施不力，采用规范不正确。</w:t>
            </w:r>
          </w:p>
        </w:tc>
      </w:tr>
      <w:tr w14:paraId="6CB4F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8"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62956FD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施工平面</w:t>
            </w:r>
          </w:p>
          <w:p w14:paraId="25BBEE0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布置和临时设施布置</w:t>
            </w:r>
          </w:p>
          <w:p w14:paraId="1D6C6A0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eastAsia="zh-CN"/>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w:t>
            </w:r>
            <w:r>
              <w:rPr>
                <w:rFonts w:hint="eastAsia" w:asciiTheme="minorEastAsia" w:hAnsiTheme="minorEastAsia" w:eastAsiaTheme="minorEastAsia" w:cstheme="minorEastAsia"/>
                <w:caps w:val="0"/>
                <w:smallCaps w:val="0"/>
                <w:snapToGrid w:val="0"/>
                <w:color w:val="auto"/>
                <w:spacing w:val="0"/>
                <w:kern w:val="0"/>
                <w:sz w:val="21"/>
                <w:szCs w:val="21"/>
                <w:highlight w:val="none"/>
                <w:u w:val="single"/>
                <w:lang w:val="en-US" w:eastAsia="zh-CN" w:bidi="ar-SA"/>
              </w:rPr>
              <w:t xml:space="preserve"> 5 </w:t>
            </w: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19AAB17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【优】得该项评分因素分值的90%～100%（含90%）。</w:t>
            </w:r>
          </w:p>
          <w:p w14:paraId="24A2C3A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【良】得该项评分因素分值的80%～90%（含80%）。</w:t>
            </w:r>
          </w:p>
          <w:p w14:paraId="23E105B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【中】得该项评分因素分值的70%～80%（含70%）。</w:t>
            </w:r>
          </w:p>
          <w:p w14:paraId="3A880DA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B0E8C0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【优】总体布置有针对性、合理，较好满足施工需要，符合绿色施工、安全防护、文明施工要求。</w:t>
            </w:r>
          </w:p>
          <w:p w14:paraId="652713E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【良】总体布置合理，能满足施工需要，基本符合绿色施工、安全防护、文明施工要求。</w:t>
            </w:r>
          </w:p>
          <w:p w14:paraId="657291C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【中】总体布置基本合理，基本满足施工需要。</w:t>
            </w:r>
          </w:p>
          <w:p w14:paraId="63EE77B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Theme="minorEastAsia" w:hAnsiTheme="minorEastAsia" w:eastAsiaTheme="minorEastAsia" w:cstheme="minorEastAsia"/>
                <w:caps w:val="0"/>
                <w:smallCaps w:val="0"/>
                <w:snapToGrid w:val="0"/>
                <w:color w:val="auto"/>
                <w:spacing w:val="0"/>
                <w:kern w:val="0"/>
                <w:sz w:val="21"/>
                <w:szCs w:val="21"/>
                <w:highlight w:val="none"/>
              </w:rPr>
            </w:pPr>
            <w:r>
              <w:rPr>
                <w:rFonts w:hint="eastAsia" w:asciiTheme="minorEastAsia" w:hAnsiTheme="minorEastAsia" w:eastAsiaTheme="minorEastAsia" w:cstheme="minorEastAsia"/>
                <w:caps w:val="0"/>
                <w:smallCaps w:val="0"/>
                <w:snapToGrid w:val="0"/>
                <w:color w:val="auto"/>
                <w:spacing w:val="0"/>
                <w:kern w:val="0"/>
                <w:sz w:val="21"/>
                <w:szCs w:val="21"/>
                <w:highlight w:val="none"/>
                <w:lang w:val="en-US" w:eastAsia="zh-CN" w:bidi="ar-SA"/>
              </w:rPr>
              <w:t>【差】总体布置不合理，不符合绿色施工、安全防护、文明施工要求。</w:t>
            </w:r>
          </w:p>
        </w:tc>
      </w:tr>
      <w:tr w14:paraId="53AF7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7"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2B6196E3">
            <w:pPr>
              <w:pStyle w:val="31"/>
              <w:wordWrap w:val="0"/>
              <w:spacing w:line="400" w:lineRule="exact"/>
              <w:jc w:val="center"/>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项目</w:t>
            </w:r>
          </w:p>
          <w:p w14:paraId="1931B2B7">
            <w:pPr>
              <w:pStyle w:val="31"/>
              <w:wordWrap w:val="0"/>
              <w:spacing w:line="400" w:lineRule="exact"/>
              <w:jc w:val="center"/>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管理机构</w:t>
            </w:r>
          </w:p>
          <w:p w14:paraId="0EC815FA">
            <w:pPr>
              <w:pStyle w:val="31"/>
              <w:wordWrap w:val="0"/>
              <w:spacing w:line="400" w:lineRule="exact"/>
              <w:jc w:val="center"/>
              <w:rPr>
                <w:rFonts w:hint="eastAsia" w:asciiTheme="minorEastAsia" w:hAnsiTheme="minorEastAsia" w:eastAsiaTheme="minorEastAsia" w:cstheme="minorEastAsia"/>
                <w:caps w:val="0"/>
                <w:smallCaps w:val="0"/>
                <w:snapToGrid w:val="0"/>
                <w:color w:val="auto"/>
                <w:spacing w:val="0"/>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10</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分）</w:t>
            </w:r>
          </w:p>
        </w:tc>
        <w:tc>
          <w:tcPr>
            <w:tcW w:w="3868" w:type="dxa"/>
            <w:tcBorders>
              <w:top w:val="single" w:color="auto" w:sz="4" w:space="0"/>
              <w:left w:val="single" w:color="auto" w:sz="4" w:space="0"/>
              <w:bottom w:val="single" w:color="auto" w:sz="4" w:space="0"/>
              <w:right w:val="single" w:color="auto" w:sz="4" w:space="0"/>
            </w:tcBorders>
            <w:noWrap w:val="0"/>
            <w:vAlign w:val="center"/>
          </w:tcPr>
          <w:p w14:paraId="34F47295">
            <w:pPr>
              <w:pStyle w:val="30"/>
              <w:wordWrap w:val="0"/>
              <w:spacing w:line="400" w:lineRule="exac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【优】得该项评分因素分值的90%～100%（含90%）。</w:t>
            </w:r>
          </w:p>
          <w:p w14:paraId="21C01A3F">
            <w:pPr>
              <w:pStyle w:val="30"/>
              <w:wordWrap w:val="0"/>
              <w:spacing w:line="400" w:lineRule="exac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【良】得该项评分因素分值的80%～90%（含80%）。</w:t>
            </w:r>
          </w:p>
          <w:p w14:paraId="0CE6CB42">
            <w:pPr>
              <w:pStyle w:val="30"/>
              <w:wordWrap w:val="0"/>
              <w:spacing w:line="400" w:lineRule="exac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【中】得该项评分因素分值的70%～80%（含70%）。</w:t>
            </w:r>
          </w:p>
          <w:p w14:paraId="6255D4DE">
            <w:pPr>
              <w:pStyle w:val="32"/>
              <w:wordWrap w:val="0"/>
              <w:spacing w:line="400" w:lineRule="exact"/>
              <w:rPr>
                <w:rFonts w:hint="eastAsia" w:asciiTheme="minorEastAsia" w:hAnsiTheme="minorEastAsia" w:eastAsiaTheme="minorEastAsia" w:cstheme="minorEastAsia"/>
                <w:caps w:val="0"/>
                <w:smallCaps w:val="0"/>
                <w:snapToGrid w:val="0"/>
                <w:color w:val="auto"/>
                <w:spacing w:val="0"/>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【差】得该项评分因素分值的</w:t>
            </w:r>
            <w:r>
              <w:rPr>
                <w:rFonts w:hint="eastAsia" w:asciiTheme="minorEastAsia" w:hAnsiTheme="minorEastAsia" w:eastAsiaTheme="minorEastAsia" w:cstheme="minorEastAsia"/>
                <w:snapToGrid w:val="0"/>
                <w:color w:val="auto"/>
                <w:kern w:val="0"/>
                <w:sz w:val="21"/>
                <w:szCs w:val="21"/>
                <w:highlight w:val="none"/>
                <w:lang w:eastAsia="zh-CN"/>
              </w:rPr>
              <w:t>60%～70%</w:t>
            </w:r>
            <w:r>
              <w:rPr>
                <w:rFonts w:hint="eastAsia" w:asciiTheme="minorEastAsia" w:hAnsiTheme="minorEastAsia" w:eastAsiaTheme="minorEastAsia" w:cstheme="minorEastAsia"/>
                <w:snapToGrid w:val="0"/>
                <w:color w:val="auto"/>
                <w:kern w:val="0"/>
                <w:sz w:val="21"/>
                <w:szCs w:val="21"/>
                <w:highlight w:val="none"/>
              </w:rPr>
              <w:t>（含60%）。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107FF9CF">
            <w:pPr>
              <w:pStyle w:val="32"/>
              <w:wordWrap w:val="0"/>
              <w:spacing w:line="400" w:lineRule="exac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【优】组织机构形式合理，有完善的指挥系统，生产及质量、绿色施工、安全、文明施工、创优达标监控系统、联络协调系统，项目管理人员内高级职称人员20%（含20%）以上、中级职称人员</w:t>
            </w:r>
            <w:r>
              <w:rPr>
                <w:rFonts w:hint="eastAsia" w:asciiTheme="minorEastAsia" w:hAnsiTheme="minorEastAsia" w:eastAsiaTheme="minorEastAsia" w:cstheme="minorEastAsia"/>
                <w:b/>
                <w:bCs/>
                <w:snapToGrid w:val="0"/>
                <w:color w:val="auto"/>
                <w:kern w:val="0"/>
                <w:sz w:val="21"/>
                <w:szCs w:val="21"/>
                <w:highlight w:val="none"/>
              </w:rPr>
              <w:t>及以上职称</w:t>
            </w:r>
            <w:r>
              <w:rPr>
                <w:rFonts w:hint="eastAsia" w:asciiTheme="minorEastAsia" w:hAnsiTheme="minorEastAsia" w:eastAsiaTheme="minorEastAsia" w:cstheme="minorEastAsia"/>
                <w:snapToGrid w:val="0"/>
                <w:color w:val="auto"/>
                <w:kern w:val="0"/>
                <w:sz w:val="21"/>
                <w:szCs w:val="21"/>
                <w:highlight w:val="none"/>
              </w:rPr>
              <w:t>60%（含60%）以上。</w:t>
            </w:r>
          </w:p>
          <w:p w14:paraId="22B3AF54">
            <w:pPr>
              <w:pStyle w:val="32"/>
              <w:wordWrap w:val="0"/>
              <w:spacing w:line="400" w:lineRule="exac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【良】组织机构形式合理，指挥系统，生产及质量、绿色施工、安全、文明施工、创优达标监控系统、联络协调系统齐全，项目管理人员内高级职称人员15%～20%（含15%）、中级职称</w:t>
            </w:r>
            <w:r>
              <w:rPr>
                <w:rFonts w:hint="eastAsia" w:asciiTheme="minorEastAsia" w:hAnsiTheme="minorEastAsia" w:eastAsiaTheme="minorEastAsia" w:cstheme="minorEastAsia"/>
                <w:b/>
                <w:bCs/>
                <w:snapToGrid w:val="0"/>
                <w:color w:val="auto"/>
                <w:kern w:val="0"/>
                <w:sz w:val="21"/>
                <w:szCs w:val="21"/>
                <w:highlight w:val="none"/>
              </w:rPr>
              <w:t>及以上职称</w:t>
            </w:r>
            <w:r>
              <w:rPr>
                <w:rFonts w:hint="eastAsia" w:asciiTheme="minorEastAsia" w:hAnsiTheme="minorEastAsia" w:eastAsiaTheme="minorEastAsia" w:cstheme="minorEastAsia"/>
                <w:snapToGrid w:val="0"/>
                <w:color w:val="auto"/>
                <w:kern w:val="0"/>
                <w:sz w:val="21"/>
                <w:szCs w:val="21"/>
                <w:highlight w:val="none"/>
              </w:rPr>
              <w:t>人员50%～60%（含50%）。</w:t>
            </w:r>
          </w:p>
          <w:p w14:paraId="71B3578F">
            <w:pPr>
              <w:pStyle w:val="32"/>
              <w:wordWrap w:val="0"/>
              <w:spacing w:line="400" w:lineRule="exac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【中】组织机构形式基本合理，有指挥系统，生产及质量、绿色施工、安全、文明施工、创优达标监控系统、联络协调系统，项目管理人员内高级职称人员10%～15%（含10%）、中级职称人员</w:t>
            </w:r>
            <w:r>
              <w:rPr>
                <w:rFonts w:hint="eastAsia" w:asciiTheme="minorEastAsia" w:hAnsiTheme="minorEastAsia" w:eastAsiaTheme="minorEastAsia" w:cstheme="minorEastAsia"/>
                <w:b/>
                <w:bCs/>
                <w:snapToGrid w:val="0"/>
                <w:color w:val="auto"/>
                <w:kern w:val="0"/>
                <w:sz w:val="21"/>
                <w:szCs w:val="21"/>
                <w:highlight w:val="none"/>
              </w:rPr>
              <w:t>及以上职称</w:t>
            </w:r>
            <w:r>
              <w:rPr>
                <w:rFonts w:hint="eastAsia" w:asciiTheme="minorEastAsia" w:hAnsiTheme="minorEastAsia" w:eastAsiaTheme="minorEastAsia" w:cstheme="minorEastAsia"/>
                <w:snapToGrid w:val="0"/>
                <w:color w:val="auto"/>
                <w:kern w:val="0"/>
                <w:sz w:val="21"/>
                <w:szCs w:val="21"/>
                <w:highlight w:val="none"/>
              </w:rPr>
              <w:t>40%～50%（含40%）。</w:t>
            </w:r>
          </w:p>
          <w:p w14:paraId="36C01698">
            <w:pPr>
              <w:pStyle w:val="32"/>
              <w:wordWrap w:val="0"/>
              <w:spacing w:line="400" w:lineRule="exact"/>
              <w:rPr>
                <w:rFonts w:hint="eastAsia" w:asciiTheme="minorEastAsia" w:hAnsiTheme="minorEastAsia" w:eastAsiaTheme="minorEastAsia" w:cstheme="minorEastAsia"/>
                <w:caps w:val="0"/>
                <w:smallCaps w:val="0"/>
                <w:snapToGrid w:val="0"/>
                <w:color w:val="auto"/>
                <w:spacing w:val="0"/>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【差】组织机构形式合理，指挥系统，生产及质量、绿色施工、安全、文明施工、创优达标监控系统、联络协调系统不齐全，项目管理人员内高级职称人员10%以下、中级职称人员</w:t>
            </w:r>
            <w:r>
              <w:rPr>
                <w:rFonts w:hint="eastAsia" w:asciiTheme="minorEastAsia" w:hAnsiTheme="minorEastAsia" w:eastAsiaTheme="minorEastAsia" w:cstheme="minorEastAsia"/>
                <w:b/>
                <w:bCs/>
                <w:snapToGrid w:val="0"/>
                <w:color w:val="auto"/>
                <w:kern w:val="0"/>
                <w:sz w:val="21"/>
                <w:szCs w:val="21"/>
                <w:highlight w:val="none"/>
              </w:rPr>
              <w:t>及以上职称</w:t>
            </w:r>
            <w:r>
              <w:rPr>
                <w:rFonts w:hint="eastAsia" w:asciiTheme="minorEastAsia" w:hAnsiTheme="minorEastAsia" w:eastAsiaTheme="minorEastAsia" w:cstheme="minorEastAsia"/>
                <w:snapToGrid w:val="0"/>
                <w:color w:val="auto"/>
                <w:kern w:val="0"/>
                <w:sz w:val="21"/>
                <w:szCs w:val="21"/>
                <w:highlight w:val="none"/>
              </w:rPr>
              <w:t>40%以下。</w:t>
            </w:r>
          </w:p>
        </w:tc>
      </w:tr>
      <w:tr w14:paraId="196A1D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8" w:hRule="exact"/>
          <w:jc w:val="center"/>
        </w:trPr>
        <w:tc>
          <w:tcPr>
            <w:tcW w:w="10424"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4EE34843">
            <w:pPr>
              <w:wordWrap w:val="0"/>
              <w:adjustRightInd w:val="0"/>
              <w:snapToGrid w:val="0"/>
              <w:spacing w:line="400" w:lineRule="exact"/>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投标报价部分，满分：100分。</w:t>
            </w:r>
          </w:p>
        </w:tc>
      </w:tr>
      <w:tr w14:paraId="29320A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4" w:hRule="exac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7151DCBB">
            <w:pPr>
              <w:wordWrap w:val="0"/>
              <w:adjustRightInd w:val="0"/>
              <w:snapToGrid w:val="0"/>
              <w:spacing w:line="44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评分事项</w:t>
            </w:r>
          </w:p>
        </w:tc>
        <w:tc>
          <w:tcPr>
            <w:tcW w:w="8933" w:type="dxa"/>
            <w:gridSpan w:val="2"/>
            <w:tcBorders>
              <w:top w:val="single" w:color="auto" w:sz="4" w:space="0"/>
              <w:left w:val="single" w:color="auto" w:sz="4" w:space="0"/>
              <w:bottom w:val="single" w:color="auto" w:sz="4" w:space="0"/>
              <w:right w:val="single" w:color="auto" w:sz="4" w:space="0"/>
            </w:tcBorders>
            <w:noWrap w:val="0"/>
            <w:vAlign w:val="center"/>
          </w:tcPr>
          <w:p w14:paraId="05294EC3">
            <w:pPr>
              <w:wordWrap w:val="0"/>
              <w:adjustRightInd w:val="0"/>
              <w:snapToGrid w:val="0"/>
              <w:spacing w:line="44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评分方法</w:t>
            </w:r>
          </w:p>
        </w:tc>
      </w:tr>
      <w:tr w14:paraId="663D5B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6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7019414">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评标基准价D</w:t>
            </w:r>
          </w:p>
        </w:tc>
        <w:tc>
          <w:tcPr>
            <w:tcW w:w="8933" w:type="dxa"/>
            <w:gridSpan w:val="2"/>
            <w:tcBorders>
              <w:top w:val="single" w:color="auto" w:sz="4" w:space="0"/>
              <w:left w:val="single" w:color="auto" w:sz="4" w:space="0"/>
              <w:bottom w:val="single" w:color="auto" w:sz="4" w:space="0"/>
              <w:right w:val="single" w:color="auto" w:sz="4" w:space="0"/>
            </w:tcBorders>
            <w:noWrap w:val="0"/>
            <w:vAlign w:val="center"/>
          </w:tcPr>
          <w:p w14:paraId="789BE193">
            <w:pPr>
              <w:numPr>
                <w:ilvl w:val="0"/>
                <w:numId w:val="2"/>
              </w:numPr>
              <w:wordWrap w:val="0"/>
              <w:adjustRightInd w:val="0"/>
              <w:snapToGrid w:val="0"/>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确定最高投标限价下浮系数n：用1～21号球分别代表一个下浮系数，由评委代表从这21个号码中随机抽取</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snapToGrid w:val="0"/>
                <w:color w:val="auto"/>
                <w:kern w:val="0"/>
                <w:sz w:val="21"/>
                <w:szCs w:val="21"/>
                <w:highlight w:val="none"/>
                <w:u w:val="single"/>
                <w:lang w:val="en-US" w:eastAsia="zh-CN"/>
              </w:rPr>
              <w:t>3</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snapToGrid w:val="0"/>
                <w:color w:val="auto"/>
                <w:kern w:val="0"/>
                <w:sz w:val="21"/>
                <w:szCs w:val="21"/>
                <w:highlight w:val="none"/>
              </w:rPr>
              <w:t>次，每次抽取1个号码，抽出的号球不参与下次抽取。所抽取的</w:t>
            </w: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个号码对应下浮系数的算术平均值作为最高投标限价下浮系数n。具体号码对应的下浮系数详见下表：</w:t>
            </w:r>
          </w:p>
          <w:tbl>
            <w:tblPr>
              <w:tblStyle w:val="17"/>
              <w:tblW w:w="0" w:type="auto"/>
              <w:jc w:val="center"/>
              <w:tblLayout w:type="fixed"/>
              <w:tblCellMar>
                <w:top w:w="0" w:type="dxa"/>
                <w:left w:w="108" w:type="dxa"/>
                <w:bottom w:w="0" w:type="dxa"/>
                <w:right w:w="108" w:type="dxa"/>
              </w:tblCellMar>
            </w:tblPr>
            <w:tblGrid>
              <w:gridCol w:w="1744"/>
              <w:gridCol w:w="889"/>
              <w:gridCol w:w="836"/>
              <w:gridCol w:w="870"/>
              <w:gridCol w:w="854"/>
              <w:gridCol w:w="888"/>
              <w:gridCol w:w="835"/>
              <w:gridCol w:w="959"/>
            </w:tblGrid>
            <w:tr w14:paraId="4BFF4480">
              <w:tblPrEx>
                <w:tblCellMar>
                  <w:top w:w="0" w:type="dxa"/>
                  <w:left w:w="108" w:type="dxa"/>
                  <w:bottom w:w="0" w:type="dxa"/>
                  <w:right w:w="108" w:type="dxa"/>
                </w:tblCellMar>
              </w:tblPrEx>
              <w:trPr>
                <w:trHeight w:val="447" w:hRule="atLeast"/>
                <w:jc w:val="center"/>
              </w:trPr>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9D16B1E">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号球</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7D566F67">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4E1BBB25">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2</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5F89D5AE">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3</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AA7FF55">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4</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D0A8C41">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5</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0A78A6DC">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6</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7E28F5AC">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7</w:t>
                  </w:r>
                </w:p>
              </w:tc>
            </w:tr>
            <w:tr w14:paraId="305AAC0D">
              <w:tblPrEx>
                <w:tblCellMar>
                  <w:top w:w="0" w:type="dxa"/>
                  <w:left w:w="108" w:type="dxa"/>
                  <w:bottom w:w="0" w:type="dxa"/>
                  <w:right w:w="108" w:type="dxa"/>
                </w:tblCellMar>
              </w:tblPrEx>
              <w:trPr>
                <w:trHeight w:val="529" w:hRule="atLeast"/>
                <w:jc w:val="center"/>
              </w:trPr>
              <w:tc>
                <w:tcPr>
                  <w:tcW w:w="1744" w:type="dxa"/>
                  <w:tcBorders>
                    <w:top w:val="single" w:color="000000" w:sz="4" w:space="0"/>
                    <w:left w:val="single" w:color="000000" w:sz="4" w:space="0"/>
                    <w:bottom w:val="single" w:color="000000" w:sz="4" w:space="0"/>
                    <w:right w:val="single" w:color="000000" w:sz="4" w:space="0"/>
                  </w:tcBorders>
                  <w:noWrap w:val="0"/>
                  <w:vAlign w:val="center"/>
                </w:tcPr>
                <w:p w14:paraId="24CC931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下浮系数（%）</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5A512ABA">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.0</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350A15C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.1</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6A0F514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.2</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1FC5EF5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29ACDBC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.4</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6817863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.5</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3EF62A9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.6</w:t>
                  </w:r>
                </w:p>
              </w:tc>
            </w:tr>
            <w:tr w14:paraId="4C97E2E6">
              <w:tblPrEx>
                <w:tblCellMar>
                  <w:top w:w="0" w:type="dxa"/>
                  <w:left w:w="108" w:type="dxa"/>
                  <w:bottom w:w="0" w:type="dxa"/>
                  <w:right w:w="108" w:type="dxa"/>
                </w:tblCellMar>
              </w:tblPrEx>
              <w:trPr>
                <w:trHeight w:val="572" w:hRule="atLeast"/>
                <w:jc w:val="center"/>
              </w:trPr>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F8CA7AF">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号球</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18636AF9">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8</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70914681">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9</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34923A9D">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57911D2B">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11</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AF21244">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12</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1CAD09C7">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13</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C3DD023">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14</w:t>
                  </w:r>
                </w:p>
              </w:tc>
            </w:tr>
            <w:tr w14:paraId="33CDB21A">
              <w:tblPrEx>
                <w:tblCellMar>
                  <w:top w:w="0" w:type="dxa"/>
                  <w:left w:w="108" w:type="dxa"/>
                  <w:bottom w:w="0" w:type="dxa"/>
                  <w:right w:w="108" w:type="dxa"/>
                </w:tblCellMar>
              </w:tblPrEx>
              <w:trPr>
                <w:trHeight w:val="480" w:hRule="atLeast"/>
                <w:jc w:val="center"/>
              </w:trPr>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8D405D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下浮系数（%）</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223940D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.7</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425B0BDE">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.8</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02C3545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.9</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D9C0F3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4</w:t>
                  </w:r>
                  <w:r>
                    <w:rPr>
                      <w:rFonts w:hint="eastAsia" w:ascii="宋体" w:hAnsi="宋体" w:eastAsia="宋体" w:cs="宋体"/>
                      <w:snapToGrid w:val="0"/>
                      <w:color w:val="auto"/>
                      <w:kern w:val="0"/>
                      <w:sz w:val="21"/>
                      <w:szCs w:val="21"/>
                      <w:highlight w:val="none"/>
                    </w:rPr>
                    <w:t>.0</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7F7E600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4</w:t>
                  </w:r>
                  <w:r>
                    <w:rPr>
                      <w:rFonts w:hint="eastAsia" w:ascii="宋体" w:hAnsi="宋体" w:eastAsia="宋体" w:cs="宋体"/>
                      <w:snapToGrid w:val="0"/>
                      <w:color w:val="auto"/>
                      <w:kern w:val="0"/>
                      <w:sz w:val="21"/>
                      <w:szCs w:val="21"/>
                      <w:highlight w:val="none"/>
                    </w:rPr>
                    <w:t>.1</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6084DD7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4</w:t>
                  </w:r>
                  <w:r>
                    <w:rPr>
                      <w:rFonts w:hint="eastAsia" w:ascii="宋体" w:hAnsi="宋体" w:eastAsia="宋体" w:cs="宋体"/>
                      <w:snapToGrid w:val="0"/>
                      <w:color w:val="auto"/>
                      <w:kern w:val="0"/>
                      <w:sz w:val="21"/>
                      <w:szCs w:val="21"/>
                      <w:highlight w:val="none"/>
                    </w:rPr>
                    <w:t>.2</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05EDAA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4</w:t>
                  </w:r>
                  <w:r>
                    <w:rPr>
                      <w:rFonts w:hint="eastAsia" w:ascii="宋体" w:hAnsi="宋体" w:eastAsia="宋体" w:cs="宋体"/>
                      <w:snapToGrid w:val="0"/>
                      <w:color w:val="auto"/>
                      <w:kern w:val="0"/>
                      <w:sz w:val="21"/>
                      <w:szCs w:val="21"/>
                      <w:highlight w:val="none"/>
                    </w:rPr>
                    <w:t>.3</w:t>
                  </w:r>
                </w:p>
              </w:tc>
            </w:tr>
            <w:tr w14:paraId="08886A4B">
              <w:tblPrEx>
                <w:tblCellMar>
                  <w:top w:w="0" w:type="dxa"/>
                  <w:left w:w="108" w:type="dxa"/>
                  <w:bottom w:w="0" w:type="dxa"/>
                  <w:right w:w="108" w:type="dxa"/>
                </w:tblCellMar>
              </w:tblPrEx>
              <w:trPr>
                <w:trHeight w:val="523" w:hRule="atLeast"/>
                <w:jc w:val="center"/>
              </w:trPr>
              <w:tc>
                <w:tcPr>
                  <w:tcW w:w="1744" w:type="dxa"/>
                  <w:tcBorders>
                    <w:top w:val="single" w:color="000000" w:sz="4" w:space="0"/>
                    <w:left w:val="single" w:color="000000" w:sz="4" w:space="0"/>
                    <w:bottom w:val="single" w:color="000000" w:sz="4" w:space="0"/>
                    <w:right w:val="single" w:color="000000" w:sz="4" w:space="0"/>
                  </w:tcBorders>
                  <w:noWrap w:val="0"/>
                  <w:vAlign w:val="center"/>
                </w:tcPr>
                <w:p w14:paraId="6C938F2B">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号球</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5C7DA5D5">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15</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1AADC8E7">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16</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0C46356E">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17</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FE6FD27">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18</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776A584E">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19</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2CB98248">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20</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2A60AE7">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21</w:t>
                  </w:r>
                </w:p>
              </w:tc>
            </w:tr>
            <w:tr w14:paraId="1D1D8002">
              <w:tblPrEx>
                <w:tblCellMar>
                  <w:top w:w="0" w:type="dxa"/>
                  <w:left w:w="108" w:type="dxa"/>
                  <w:bottom w:w="0" w:type="dxa"/>
                  <w:right w:w="108" w:type="dxa"/>
                </w:tblCellMar>
              </w:tblPrEx>
              <w:trPr>
                <w:trHeight w:val="578" w:hRule="atLeast"/>
                <w:jc w:val="center"/>
              </w:trPr>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876523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下浮系数（%）</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05995AD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4</w:t>
                  </w:r>
                  <w:r>
                    <w:rPr>
                      <w:rFonts w:hint="eastAsia" w:ascii="宋体" w:hAnsi="宋体" w:eastAsia="宋体" w:cs="宋体"/>
                      <w:snapToGrid w:val="0"/>
                      <w:color w:val="auto"/>
                      <w:kern w:val="0"/>
                      <w:sz w:val="21"/>
                      <w:szCs w:val="21"/>
                      <w:highlight w:val="none"/>
                    </w:rPr>
                    <w:t>.4</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1D436B7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4</w:t>
                  </w:r>
                  <w:r>
                    <w:rPr>
                      <w:rFonts w:hint="eastAsia" w:ascii="宋体" w:hAnsi="宋体" w:eastAsia="宋体" w:cs="宋体"/>
                      <w:snapToGrid w:val="0"/>
                      <w:color w:val="auto"/>
                      <w:kern w:val="0"/>
                      <w:sz w:val="21"/>
                      <w:szCs w:val="21"/>
                      <w:highlight w:val="none"/>
                    </w:rPr>
                    <w:t>.5</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3B83B29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4</w:t>
                  </w:r>
                  <w:r>
                    <w:rPr>
                      <w:rFonts w:hint="eastAsia" w:ascii="宋体" w:hAnsi="宋体" w:eastAsia="宋体" w:cs="宋体"/>
                      <w:snapToGrid w:val="0"/>
                      <w:color w:val="auto"/>
                      <w:kern w:val="0"/>
                      <w:sz w:val="21"/>
                      <w:szCs w:val="21"/>
                      <w:highlight w:val="none"/>
                    </w:rPr>
                    <w:t>.6</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7413FF5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4</w:t>
                  </w:r>
                  <w:r>
                    <w:rPr>
                      <w:rFonts w:hint="eastAsia" w:ascii="宋体" w:hAnsi="宋体" w:eastAsia="宋体" w:cs="宋体"/>
                      <w:snapToGrid w:val="0"/>
                      <w:color w:val="auto"/>
                      <w:kern w:val="0"/>
                      <w:sz w:val="21"/>
                      <w:szCs w:val="21"/>
                      <w:highlight w:val="none"/>
                    </w:rPr>
                    <w:t>.7</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33DA752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4</w:t>
                  </w:r>
                  <w:r>
                    <w:rPr>
                      <w:rFonts w:hint="eastAsia" w:ascii="宋体" w:hAnsi="宋体" w:eastAsia="宋体" w:cs="宋体"/>
                      <w:snapToGrid w:val="0"/>
                      <w:color w:val="auto"/>
                      <w:kern w:val="0"/>
                      <w:sz w:val="21"/>
                      <w:szCs w:val="21"/>
                      <w:highlight w:val="none"/>
                    </w:rPr>
                    <w:t>.8</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19EE272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4</w:t>
                  </w:r>
                  <w:r>
                    <w:rPr>
                      <w:rFonts w:hint="eastAsia" w:ascii="宋体" w:hAnsi="宋体" w:eastAsia="宋体" w:cs="宋体"/>
                      <w:snapToGrid w:val="0"/>
                      <w:color w:val="auto"/>
                      <w:kern w:val="0"/>
                      <w:sz w:val="21"/>
                      <w:szCs w:val="21"/>
                      <w:highlight w:val="none"/>
                    </w:rPr>
                    <w:t>.9</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064D944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rPr>
                    <w:t>.0</w:t>
                  </w:r>
                </w:p>
              </w:tc>
            </w:tr>
          </w:tbl>
          <w:p w14:paraId="382953F3">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（2）评标基准价D＝最高投标限价×（1－n）</w:t>
            </w:r>
          </w:p>
        </w:tc>
      </w:tr>
      <w:tr w14:paraId="5BAB61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86"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4D26BCA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p w14:paraId="194373B5">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得分N</w:t>
            </w:r>
          </w:p>
        </w:tc>
        <w:tc>
          <w:tcPr>
            <w:tcW w:w="8933" w:type="dxa"/>
            <w:gridSpan w:val="2"/>
            <w:tcBorders>
              <w:top w:val="single" w:color="auto" w:sz="4" w:space="0"/>
              <w:left w:val="single" w:color="auto" w:sz="4" w:space="0"/>
              <w:bottom w:val="single" w:color="auto" w:sz="4" w:space="0"/>
              <w:right w:val="single" w:color="auto" w:sz="4" w:space="0"/>
            </w:tcBorders>
            <w:noWrap w:val="0"/>
            <w:vAlign w:val="center"/>
          </w:tcPr>
          <w:p w14:paraId="0B5C54CE">
            <w:pPr>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采用内插法计算某投标人的投标报价得分N，即当投标人的投标总价等于评标基准价时得100分，每高于评标基准价一个百分点扣</w:t>
            </w: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分，每低于评标基准价一个百分点扣</w:t>
            </w:r>
            <w:r>
              <w:rPr>
                <w:rFonts w:hint="eastAsia" w:ascii="宋体" w:hAnsi="宋体" w:eastAsia="宋体" w:cs="宋体"/>
                <w:snapToGrid w:val="0"/>
                <w:color w:val="auto"/>
                <w:kern w:val="0"/>
                <w:sz w:val="21"/>
                <w:szCs w:val="21"/>
                <w:highlight w:val="none"/>
                <w:lang w:val="en-US" w:eastAsia="zh-CN"/>
              </w:rPr>
              <w:t>1</w:t>
            </w:r>
            <w:r>
              <w:rPr>
                <w:rFonts w:hint="eastAsia" w:ascii="宋体" w:hAnsi="宋体" w:eastAsia="宋体" w:cs="宋体"/>
                <w:snapToGrid w:val="0"/>
                <w:color w:val="auto"/>
                <w:kern w:val="0"/>
                <w:sz w:val="21"/>
                <w:szCs w:val="21"/>
                <w:highlight w:val="none"/>
              </w:rPr>
              <w:t>分，扣完为止。公式如下：</w:t>
            </w:r>
          </w:p>
          <w:p w14:paraId="40D8946D">
            <w:pPr>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N</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100</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 Di</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D | ÷D</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×100×E</w:t>
            </w:r>
          </w:p>
          <w:p w14:paraId="2F9ECC02">
            <w:pP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式中：D为评标基准价；Di为某投标人的投标总价；E为扣分因子，当Di＞D时，E＝</w:t>
            </w: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 xml:space="preserve"> ；当Di＜D时，E＝</w:t>
            </w:r>
            <w:r>
              <w:rPr>
                <w:rFonts w:hint="eastAsia" w:ascii="宋体" w:hAnsi="宋体" w:eastAsia="宋体" w:cs="宋体"/>
                <w:snapToGrid w:val="0"/>
                <w:color w:val="auto"/>
                <w:kern w:val="0"/>
                <w:sz w:val="21"/>
                <w:szCs w:val="21"/>
                <w:highlight w:val="none"/>
                <w:lang w:val="en-US" w:eastAsia="zh-CN"/>
              </w:rPr>
              <w:t>1</w:t>
            </w:r>
            <w:r>
              <w:rPr>
                <w:rFonts w:hint="eastAsia" w:ascii="宋体" w:hAnsi="宋体" w:eastAsia="宋体" w:cs="宋体"/>
                <w:snapToGrid w:val="0"/>
                <w:color w:val="auto"/>
                <w:kern w:val="0"/>
                <w:sz w:val="21"/>
                <w:szCs w:val="21"/>
                <w:highlight w:val="none"/>
              </w:rPr>
              <w:t>。</w:t>
            </w:r>
          </w:p>
        </w:tc>
      </w:tr>
    </w:tbl>
    <w:p w14:paraId="37B21C64">
      <w:pPr>
        <w:spacing w:before="155" w:line="211" w:lineRule="auto"/>
        <w:ind w:firstLine="470" w:firstLineChars="200"/>
        <w:outlineLvl w:val="9"/>
        <w:rPr>
          <w:rFonts w:hint="eastAsia" w:ascii="宋体" w:hAnsi="宋体" w:eastAsia="宋体" w:cs="宋体"/>
          <w:color w:val="auto"/>
          <w:sz w:val="25"/>
          <w:szCs w:val="25"/>
          <w:highlight w:val="none"/>
        </w:rPr>
      </w:pPr>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6</w:t>
      </w:r>
      <w:r>
        <w:rPr>
          <w:rFonts w:hint="eastAsia" w:ascii="宋体" w:hAnsi="宋体" w:eastAsia="宋体" w:cs="宋体"/>
          <w:b/>
          <w:bCs/>
          <w:color w:val="auto"/>
          <w:spacing w:val="-3"/>
          <w:sz w:val="24"/>
          <w:szCs w:val="24"/>
          <w:highlight w:val="none"/>
        </w:rPr>
        <w:t xml:space="preserve">.2  </w:t>
      </w:r>
      <w:r>
        <w:rPr>
          <w:rFonts w:hint="eastAsia" w:ascii="宋体" w:hAnsi="宋体" w:eastAsia="宋体" w:cs="宋体"/>
          <w:color w:val="auto"/>
          <w:spacing w:val="-3"/>
          <w:sz w:val="24"/>
          <w:szCs w:val="24"/>
          <w:highlight w:val="none"/>
        </w:rPr>
        <w:t>否决投标说明</w:t>
      </w:r>
      <w:bookmarkEnd w:id="137"/>
      <w:bookmarkEnd w:id="138"/>
      <w:bookmarkEnd w:id="139"/>
      <w:bookmarkEnd w:id="140"/>
    </w:p>
    <w:p w14:paraId="3A277E6B">
      <w:pPr>
        <w:spacing w:before="150" w:line="332" w:lineRule="auto"/>
        <w:ind w:left="10" w:right="195" w:firstLine="564"/>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详细评审阶段否决投标的全部条件，在本章第四节“否决投标条件 ”第1条至第4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78A719F9">
      <w:pPr>
        <w:spacing w:before="59" w:line="330" w:lineRule="auto"/>
        <w:ind w:left="10" w:right="195" w:firstLine="48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注：投标人在详细评审阶段根据评分方法提供的佐证材料，其合法性、有效性和准确性不符合要求的，有关量化因素（或评分因素）的折算、调整（或评分）按相应</w:t>
      </w:r>
      <w:r>
        <w:rPr>
          <w:rFonts w:hint="eastAsia" w:ascii="宋体" w:hAnsi="宋体" w:eastAsia="宋体" w:cs="宋体"/>
          <w:b/>
          <w:bCs/>
          <w:color w:val="auto"/>
          <w:spacing w:val="-3"/>
          <w:sz w:val="24"/>
          <w:szCs w:val="24"/>
          <w:highlight w:val="none"/>
        </w:rPr>
        <w:t>量化标准（或评分标准）处理，但不否决投标。</w:t>
      </w:r>
    </w:p>
    <w:p w14:paraId="634CACC5">
      <w:pPr>
        <w:pStyle w:val="3"/>
        <w:keepNext w:val="0"/>
        <w:keepLines w:val="0"/>
        <w:pageBreakBefore w:val="0"/>
        <w:widowControl w:val="0"/>
        <w:kinsoku/>
        <w:wordWrap w:val="0"/>
        <w:overflowPunct/>
        <w:topLinePunct w:val="0"/>
        <w:autoSpaceDE/>
        <w:autoSpaceDN/>
        <w:bidi w:val="0"/>
        <w:adjustRightInd/>
        <w:snapToGrid/>
        <w:spacing w:before="0" w:beforeLines="0" w:after="0" w:afterLines="0" w:line="440" w:lineRule="exact"/>
        <w:ind w:firstLine="480"/>
        <w:jc w:val="both"/>
        <w:textAlignment w:val="auto"/>
        <w:rPr>
          <w:rFonts w:hint="eastAsia" w:ascii="宋体" w:hAnsi="宋体" w:eastAsia="宋体" w:cs="宋体"/>
          <w:b/>
          <w:snapToGrid w:val="0"/>
          <w:color w:val="auto"/>
          <w:sz w:val="24"/>
          <w:szCs w:val="24"/>
          <w:highlight w:val="none"/>
        </w:rPr>
      </w:pPr>
      <w:bookmarkStart w:id="141" w:name="bookmark138"/>
      <w:bookmarkEnd w:id="141"/>
      <w:bookmarkStart w:id="142" w:name="bookmark137"/>
      <w:bookmarkEnd w:id="142"/>
      <w:bookmarkStart w:id="143" w:name="_Toc19232"/>
      <w:bookmarkStart w:id="144" w:name="_Toc7762"/>
      <w:bookmarkStart w:id="145" w:name="_Toc18711"/>
      <w:bookmarkStart w:id="146" w:name="_Toc2769"/>
      <w:bookmarkStart w:id="147" w:name="_Toc13897"/>
      <w:bookmarkStart w:id="148" w:name="_Toc10900"/>
      <w:bookmarkStart w:id="149" w:name="_Toc21365"/>
      <w:r>
        <w:rPr>
          <w:rFonts w:hint="eastAsia" w:cs="宋体"/>
          <w:b/>
          <w:snapToGrid w:val="0"/>
          <w:color w:val="auto"/>
          <w:sz w:val="24"/>
          <w:szCs w:val="24"/>
          <w:highlight w:val="none"/>
          <w:lang w:eastAsia="zh-CN"/>
        </w:rPr>
        <w:t>16.</w:t>
      </w:r>
      <w:bookmarkEnd w:id="143"/>
      <w:bookmarkEnd w:id="144"/>
      <w:bookmarkEnd w:id="145"/>
      <w:bookmarkEnd w:id="146"/>
      <w:bookmarkEnd w:id="147"/>
      <w:r>
        <w:rPr>
          <w:rFonts w:hint="eastAsia" w:ascii="宋体" w:hAnsi="宋体" w:eastAsia="宋体" w:cs="宋体"/>
          <w:b/>
          <w:snapToGrid w:val="0"/>
          <w:color w:val="auto"/>
          <w:sz w:val="24"/>
          <w:szCs w:val="24"/>
          <w:highlight w:val="none"/>
          <w:lang w:eastAsia="zh-CN"/>
        </w:rPr>
        <w:t>评标结果公示</w:t>
      </w:r>
      <w:bookmarkEnd w:id="148"/>
      <w:bookmarkEnd w:id="149"/>
    </w:p>
    <w:p w14:paraId="006A16BE">
      <w:pPr>
        <w:keepNext w:val="0"/>
        <w:keepLines w:val="0"/>
        <w:pageBreakBefore w:val="0"/>
        <w:widowControl w:val="0"/>
        <w:kinsoku/>
        <w:wordWrap w:val="0"/>
        <w:overflowPunct/>
        <w:topLinePunct w:val="0"/>
        <w:autoSpaceDE/>
        <w:autoSpaceDN/>
        <w:bidi w:val="0"/>
        <w:adjustRightInd/>
        <w:snapToGrid/>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16.1</w:t>
      </w:r>
      <w:r>
        <w:rPr>
          <w:rFonts w:hint="eastAsia" w:ascii="宋体" w:hAnsi="宋体" w:eastAsia="宋体" w:cs="宋体"/>
          <w:snapToGrid w:val="0"/>
          <w:color w:val="auto"/>
          <w:kern w:val="0"/>
          <w:sz w:val="24"/>
          <w:szCs w:val="24"/>
          <w:highlight w:val="none"/>
        </w:rPr>
        <w:t xml:space="preserve"> 评标委员会按照</w:t>
      </w:r>
      <w:r>
        <w:rPr>
          <w:rFonts w:hint="eastAsia" w:ascii="宋体" w:hAnsi="宋体" w:eastAsia="宋体" w:cs="宋体"/>
          <w:snapToGrid w:val="0"/>
          <w:color w:val="auto"/>
          <w:kern w:val="0"/>
          <w:sz w:val="24"/>
          <w:szCs w:val="24"/>
          <w:highlight w:val="none"/>
          <w:lang w:eastAsia="zh-CN"/>
        </w:rPr>
        <w:t>投标人</w:t>
      </w:r>
      <w:r>
        <w:rPr>
          <w:rFonts w:hint="eastAsia" w:ascii="宋体" w:hAnsi="宋体" w:eastAsia="宋体" w:cs="宋体"/>
          <w:snapToGrid w:val="0"/>
          <w:color w:val="auto"/>
          <w:kern w:val="0"/>
          <w:sz w:val="24"/>
          <w:szCs w:val="24"/>
          <w:highlight w:val="none"/>
        </w:rPr>
        <w:t>评审综合总得分</w:t>
      </w:r>
      <w:r>
        <w:rPr>
          <w:rFonts w:hint="eastAsia" w:ascii="宋体" w:hAnsi="宋体" w:eastAsia="宋体" w:cs="宋体"/>
          <w:snapToGrid w:val="0"/>
          <w:color w:val="auto"/>
          <w:kern w:val="0"/>
          <w:sz w:val="24"/>
          <w:szCs w:val="24"/>
          <w:highlight w:val="none"/>
          <w:lang w:eastAsia="zh-CN"/>
        </w:rPr>
        <w:t>由</w:t>
      </w:r>
      <w:r>
        <w:rPr>
          <w:rFonts w:hint="eastAsia" w:ascii="宋体" w:hAnsi="宋体" w:eastAsia="宋体" w:cs="宋体"/>
          <w:snapToGrid w:val="0"/>
          <w:color w:val="auto"/>
          <w:kern w:val="0"/>
          <w:sz w:val="24"/>
          <w:szCs w:val="24"/>
          <w:highlight w:val="none"/>
        </w:rPr>
        <w:t>高</w:t>
      </w:r>
      <w:r>
        <w:rPr>
          <w:rFonts w:hint="eastAsia" w:ascii="宋体" w:hAnsi="宋体" w:eastAsia="宋体" w:cs="宋体"/>
          <w:snapToGrid w:val="0"/>
          <w:color w:val="auto"/>
          <w:kern w:val="0"/>
          <w:sz w:val="24"/>
          <w:szCs w:val="24"/>
          <w:highlight w:val="none"/>
          <w:lang w:eastAsia="zh-CN"/>
        </w:rPr>
        <w:t>到</w:t>
      </w:r>
      <w:r>
        <w:rPr>
          <w:rFonts w:hint="eastAsia" w:ascii="宋体" w:hAnsi="宋体" w:eastAsia="宋体" w:cs="宋体"/>
          <w:snapToGrid w:val="0"/>
          <w:color w:val="auto"/>
          <w:kern w:val="0"/>
          <w:sz w:val="24"/>
          <w:szCs w:val="24"/>
          <w:highlight w:val="none"/>
        </w:rPr>
        <w:t>低的</w:t>
      </w:r>
      <w:r>
        <w:rPr>
          <w:rFonts w:hint="eastAsia" w:ascii="宋体" w:hAnsi="宋体" w:eastAsia="宋体" w:cs="宋体"/>
          <w:snapToGrid w:val="0"/>
          <w:color w:val="auto"/>
          <w:kern w:val="0"/>
          <w:sz w:val="24"/>
          <w:szCs w:val="24"/>
          <w:highlight w:val="none"/>
          <w:lang w:eastAsia="zh-CN"/>
        </w:rPr>
        <w:t>原则，</w:t>
      </w:r>
      <w:r>
        <w:rPr>
          <w:rFonts w:hint="eastAsia" w:ascii="宋体" w:hAnsi="宋体" w:eastAsia="宋体" w:cs="宋体"/>
          <w:snapToGrid w:val="0"/>
          <w:color w:val="auto"/>
          <w:kern w:val="0"/>
          <w:sz w:val="24"/>
          <w:szCs w:val="24"/>
          <w:highlight w:val="none"/>
        </w:rPr>
        <w:t>向招标人推荐</w:t>
      </w:r>
      <w:r>
        <w:rPr>
          <w:rFonts w:hint="eastAsia" w:ascii="宋体" w:hAnsi="宋体" w:eastAsia="宋体" w:cs="宋体"/>
          <w:snapToGrid w:val="0"/>
          <w:color w:val="auto"/>
          <w:kern w:val="0"/>
          <w:sz w:val="24"/>
          <w:szCs w:val="24"/>
          <w:highlight w:val="none"/>
          <w:lang w:val="en-US" w:eastAsia="zh-CN"/>
        </w:rPr>
        <w:t>已明确的</w:t>
      </w:r>
      <w:r>
        <w:rPr>
          <w:rFonts w:hint="eastAsia" w:ascii="宋体" w:hAnsi="宋体" w:eastAsia="宋体" w:cs="宋体"/>
          <w:snapToGrid w:val="0"/>
          <w:color w:val="auto"/>
          <w:kern w:val="0"/>
          <w:sz w:val="24"/>
          <w:szCs w:val="24"/>
          <w:highlight w:val="none"/>
        </w:rPr>
        <w:t>定标候选人</w:t>
      </w:r>
      <w:r>
        <w:rPr>
          <w:rFonts w:hint="eastAsia" w:ascii="宋体" w:hAnsi="宋体" w:eastAsia="宋体" w:cs="宋体"/>
          <w:snapToGrid w:val="0"/>
          <w:color w:val="auto"/>
          <w:kern w:val="0"/>
          <w:sz w:val="24"/>
          <w:szCs w:val="24"/>
          <w:highlight w:val="none"/>
          <w:lang w:eastAsia="zh-CN"/>
        </w:rPr>
        <w:t>数量</w:t>
      </w:r>
      <w:r>
        <w:rPr>
          <w:rFonts w:hint="eastAsia" w:ascii="宋体" w:hAnsi="宋体" w:eastAsia="宋体" w:cs="宋体"/>
          <w:snapToGrid w:val="0"/>
          <w:color w:val="auto"/>
          <w:kern w:val="0"/>
          <w:sz w:val="24"/>
          <w:szCs w:val="24"/>
          <w:highlight w:val="none"/>
        </w:rPr>
        <w:t>（不</w:t>
      </w:r>
      <w:r>
        <w:rPr>
          <w:rFonts w:hint="eastAsia" w:ascii="宋体" w:hAnsi="宋体" w:eastAsia="宋体" w:cs="宋体"/>
          <w:snapToGrid w:val="0"/>
          <w:color w:val="auto"/>
          <w:kern w:val="0"/>
          <w:sz w:val="24"/>
          <w:szCs w:val="24"/>
          <w:highlight w:val="none"/>
          <w:lang w:val="en-US" w:eastAsia="zh-CN"/>
        </w:rPr>
        <w:t>标明</w:t>
      </w:r>
      <w:r>
        <w:rPr>
          <w:rFonts w:hint="eastAsia" w:ascii="宋体" w:hAnsi="宋体" w:eastAsia="宋体" w:cs="宋体"/>
          <w:snapToGrid w:val="0"/>
          <w:color w:val="auto"/>
          <w:kern w:val="0"/>
          <w:sz w:val="24"/>
          <w:szCs w:val="24"/>
          <w:highlight w:val="none"/>
        </w:rPr>
        <w:t>排序）</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评标委员会推荐定标候选人后，</w:t>
      </w:r>
      <w:r>
        <w:rPr>
          <w:rFonts w:hint="eastAsia" w:ascii="宋体" w:hAnsi="宋体" w:eastAsia="宋体" w:cs="宋体"/>
          <w:snapToGrid w:val="0"/>
          <w:color w:val="auto"/>
          <w:kern w:val="0"/>
          <w:sz w:val="24"/>
          <w:szCs w:val="24"/>
          <w:highlight w:val="none"/>
        </w:rPr>
        <w:t>招标人应</w:t>
      </w:r>
      <w:r>
        <w:rPr>
          <w:rFonts w:hint="eastAsia" w:ascii="宋体" w:hAnsi="宋体" w:eastAsia="宋体" w:cs="宋体"/>
          <w:snapToGrid w:val="0"/>
          <w:color w:val="auto"/>
          <w:kern w:val="0"/>
          <w:sz w:val="24"/>
          <w:szCs w:val="24"/>
          <w:highlight w:val="none"/>
          <w:lang w:eastAsia="zh-CN"/>
        </w:rPr>
        <w:t>于评标会结束后</w:t>
      </w:r>
      <w:r>
        <w:rPr>
          <w:rFonts w:hint="eastAsia" w:ascii="宋体" w:hAnsi="宋体" w:eastAsia="宋体" w:cs="宋体"/>
          <w:snapToGrid w:val="0"/>
          <w:color w:val="auto"/>
          <w:kern w:val="0"/>
          <w:sz w:val="24"/>
          <w:szCs w:val="24"/>
          <w:highlight w:val="none"/>
          <w:lang w:val="en-US" w:eastAsia="zh-CN"/>
        </w:rPr>
        <w:t>3日内将</w:t>
      </w:r>
      <w:r>
        <w:rPr>
          <w:rFonts w:hint="eastAsia" w:ascii="宋体" w:hAnsi="宋体" w:eastAsia="宋体" w:cs="宋体"/>
          <w:snapToGrid w:val="0"/>
          <w:color w:val="auto"/>
          <w:kern w:val="0"/>
          <w:sz w:val="24"/>
          <w:szCs w:val="24"/>
          <w:highlight w:val="none"/>
          <w:lang w:eastAsia="zh-CN"/>
        </w:rPr>
        <w:t>定</w:t>
      </w:r>
      <w:r>
        <w:rPr>
          <w:rFonts w:hint="eastAsia" w:ascii="宋体" w:hAnsi="宋体" w:eastAsia="宋体" w:cs="宋体"/>
          <w:snapToGrid w:val="0"/>
          <w:color w:val="auto"/>
          <w:kern w:val="0"/>
          <w:sz w:val="24"/>
          <w:szCs w:val="24"/>
          <w:highlight w:val="none"/>
        </w:rPr>
        <w:t>标候选</w:t>
      </w:r>
      <w:r>
        <w:rPr>
          <w:rFonts w:hint="eastAsia" w:ascii="宋体" w:hAnsi="宋体" w:eastAsia="宋体" w:cs="宋体"/>
          <w:snapToGrid w:val="0"/>
          <w:color w:val="auto"/>
          <w:kern w:val="0"/>
          <w:sz w:val="24"/>
          <w:szCs w:val="24"/>
          <w:highlight w:val="none"/>
          <w:lang w:eastAsia="zh-CN"/>
        </w:rPr>
        <w:t>人和评标情况</w:t>
      </w:r>
      <w:r>
        <w:rPr>
          <w:rFonts w:hint="eastAsia" w:ascii="宋体" w:hAnsi="宋体" w:eastAsia="宋体" w:cs="宋体"/>
          <w:snapToGrid w:val="0"/>
          <w:color w:val="auto"/>
          <w:kern w:val="0"/>
          <w:sz w:val="24"/>
          <w:szCs w:val="24"/>
          <w:highlight w:val="none"/>
          <w:lang w:val="en-US" w:eastAsia="zh-CN"/>
        </w:rPr>
        <w:t>在广东省招标投标监管网和</w:t>
      </w:r>
      <w:r>
        <w:rPr>
          <w:rFonts w:hint="eastAsia" w:ascii="宋体" w:hAnsi="宋体" w:eastAsia="宋体" w:cs="宋体"/>
          <w:snapToGrid w:val="0"/>
          <w:color w:val="auto"/>
          <w:kern w:val="0"/>
          <w:sz w:val="24"/>
          <w:szCs w:val="24"/>
          <w:highlight w:val="none"/>
        </w:rPr>
        <w:t>韶关市公共资源交易中心</w:t>
      </w:r>
      <w:r>
        <w:rPr>
          <w:rFonts w:hint="eastAsia" w:ascii="宋体" w:hAnsi="宋体" w:eastAsia="宋体" w:cs="宋体"/>
          <w:snapToGrid w:val="0"/>
          <w:color w:val="auto"/>
          <w:kern w:val="0"/>
          <w:sz w:val="24"/>
          <w:szCs w:val="24"/>
          <w:highlight w:val="none"/>
          <w:lang w:eastAsia="zh-CN"/>
        </w:rPr>
        <w:t>建设工程交易系统</w:t>
      </w:r>
      <w:r>
        <w:rPr>
          <w:rFonts w:hint="eastAsia" w:ascii="宋体" w:hAnsi="宋体" w:eastAsia="宋体" w:cs="宋体"/>
          <w:snapToGrid w:val="0"/>
          <w:color w:val="auto"/>
          <w:kern w:val="0"/>
          <w:sz w:val="24"/>
          <w:szCs w:val="24"/>
          <w:highlight w:val="none"/>
          <w:lang w:val="en-US" w:eastAsia="zh-CN"/>
        </w:rPr>
        <w:t>上</w:t>
      </w:r>
      <w:r>
        <w:rPr>
          <w:rFonts w:hint="eastAsia" w:ascii="宋体" w:hAnsi="宋体" w:eastAsia="宋体" w:cs="宋体"/>
          <w:snapToGrid w:val="0"/>
          <w:color w:val="auto"/>
          <w:kern w:val="0"/>
          <w:sz w:val="24"/>
          <w:szCs w:val="24"/>
          <w:highlight w:val="none"/>
        </w:rPr>
        <w:t>公示</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公示时间不少于3日。</w:t>
      </w:r>
      <w:r>
        <w:rPr>
          <w:rFonts w:hint="eastAsia" w:ascii="宋体" w:hAnsi="宋体" w:eastAsia="宋体" w:cs="宋体"/>
          <w:snapToGrid w:val="0"/>
          <w:color w:val="auto"/>
          <w:kern w:val="0"/>
          <w:sz w:val="24"/>
          <w:szCs w:val="24"/>
          <w:highlight w:val="none"/>
          <w:lang w:eastAsia="zh-CN"/>
        </w:rPr>
        <w:t>公示主要内容包括：（</w:t>
      </w:r>
      <w:r>
        <w:rPr>
          <w:rFonts w:hint="eastAsia" w:ascii="宋体" w:hAnsi="宋体" w:eastAsia="宋体" w:cs="宋体"/>
          <w:snapToGrid w:val="0"/>
          <w:color w:val="auto"/>
          <w:kern w:val="0"/>
          <w:sz w:val="24"/>
          <w:szCs w:val="24"/>
          <w:highlight w:val="none"/>
          <w:lang w:val="en-US" w:eastAsia="zh-CN"/>
        </w:rPr>
        <w:t>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732B4744">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680F7091">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19AD7595">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34EE0DBD">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5A66E3B3">
      <w:pPr>
        <w:spacing w:before="78" w:line="220" w:lineRule="auto"/>
        <w:ind w:left="0"/>
        <w:jc w:val="both"/>
        <w:outlineLvl w:val="1"/>
        <w:rPr>
          <w:rFonts w:hint="eastAsia" w:ascii="宋体" w:hAnsi="宋体" w:eastAsia="宋体" w:cs="宋体"/>
          <w:b/>
          <w:bCs/>
          <w:color w:val="auto"/>
          <w:spacing w:val="-3"/>
          <w:sz w:val="24"/>
          <w:szCs w:val="24"/>
          <w:highlight w:val="none"/>
        </w:rPr>
      </w:pPr>
    </w:p>
    <w:p w14:paraId="1A4C6A0A">
      <w:pPr>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br w:type="page"/>
      </w:r>
    </w:p>
    <w:p w14:paraId="5C1476C7">
      <w:pPr>
        <w:spacing w:before="78" w:line="220" w:lineRule="auto"/>
        <w:ind w:left="9"/>
        <w:jc w:val="center"/>
        <w:outlineLvl w:val="1"/>
        <w:rPr>
          <w:rFonts w:hint="eastAsia" w:ascii="宋体" w:hAnsi="宋体" w:eastAsia="宋体" w:cs="宋体"/>
          <w:color w:val="auto"/>
          <w:sz w:val="24"/>
          <w:szCs w:val="24"/>
          <w:highlight w:val="none"/>
        </w:rPr>
      </w:pPr>
      <w:bookmarkStart w:id="150" w:name="_Toc32577"/>
      <w:r>
        <w:rPr>
          <w:rFonts w:hint="eastAsia" w:ascii="宋体" w:hAnsi="宋体" w:eastAsia="宋体" w:cs="宋体"/>
          <w:b/>
          <w:bCs/>
          <w:color w:val="auto"/>
          <w:spacing w:val="-3"/>
          <w:sz w:val="24"/>
          <w:szCs w:val="24"/>
          <w:highlight w:val="none"/>
        </w:rPr>
        <w:t>第四节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否决投标条件</w:t>
      </w:r>
      <w:bookmarkEnd w:id="150"/>
    </w:p>
    <w:p w14:paraId="2637533F">
      <w:pPr>
        <w:pStyle w:val="6"/>
        <w:spacing w:line="256" w:lineRule="auto"/>
        <w:rPr>
          <w:rFonts w:hint="eastAsia" w:ascii="宋体" w:hAnsi="宋体" w:eastAsia="宋体" w:cs="宋体"/>
          <w:color w:val="auto"/>
          <w:highlight w:val="none"/>
        </w:rPr>
      </w:pPr>
    </w:p>
    <w:p w14:paraId="16FA277C">
      <w:pPr>
        <w:spacing w:before="78" w:line="330" w:lineRule="auto"/>
        <w:ind w:left="10" w:right="65" w:firstLine="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本节所集中列示的否决投标条件，是本章第三节“投标人须知正文</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3"/>
          <w:sz w:val="24"/>
          <w:szCs w:val="24"/>
          <w:highlight w:val="none"/>
        </w:rPr>
        <w:t>”的组成部分，</w:t>
      </w:r>
      <w:r>
        <w:rPr>
          <w:rFonts w:hint="eastAsia" w:ascii="宋体" w:hAnsi="宋体" w:eastAsia="宋体" w:cs="宋体"/>
          <w:color w:val="auto"/>
          <w:spacing w:val="-2"/>
          <w:sz w:val="24"/>
          <w:szCs w:val="24"/>
          <w:highlight w:val="none"/>
        </w:rPr>
        <w:t>是对本章第三节所规定的否决投标条件的总</w:t>
      </w:r>
      <w:r>
        <w:rPr>
          <w:rFonts w:hint="eastAsia" w:ascii="宋体" w:hAnsi="宋体" w:eastAsia="宋体" w:cs="宋体"/>
          <w:color w:val="auto"/>
          <w:spacing w:val="-3"/>
          <w:sz w:val="24"/>
          <w:szCs w:val="24"/>
          <w:highlight w:val="none"/>
        </w:rPr>
        <w:t>结和补充。</w:t>
      </w:r>
      <w:r>
        <w:rPr>
          <w:rFonts w:hint="eastAsia" w:ascii="宋体" w:hAnsi="宋体" w:eastAsia="宋体" w:cs="宋体"/>
          <w:b/>
          <w:bCs/>
          <w:color w:val="auto"/>
          <w:spacing w:val="-3"/>
          <w:sz w:val="24"/>
          <w:szCs w:val="24"/>
          <w:highlight w:val="none"/>
        </w:rPr>
        <w:t>投标人未有列入本节情形的，评</w:t>
      </w:r>
      <w:r>
        <w:rPr>
          <w:rFonts w:hint="eastAsia" w:ascii="宋体" w:hAnsi="宋体" w:eastAsia="宋体" w:cs="宋体"/>
          <w:b/>
          <w:bCs/>
          <w:color w:val="auto"/>
          <w:spacing w:val="-2"/>
          <w:sz w:val="24"/>
          <w:szCs w:val="24"/>
          <w:highlight w:val="none"/>
        </w:rPr>
        <w:t>标时一律不得否决其投标。</w:t>
      </w:r>
      <w:r>
        <w:rPr>
          <w:rFonts w:hint="eastAsia" w:ascii="宋体" w:hAnsi="宋体" w:eastAsia="宋体" w:cs="宋体"/>
          <w:color w:val="auto"/>
          <w:spacing w:val="-2"/>
          <w:sz w:val="24"/>
          <w:szCs w:val="24"/>
          <w:highlight w:val="none"/>
        </w:rPr>
        <w:t>本节所称“规定</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”均指招标文件的规</w:t>
      </w:r>
      <w:r>
        <w:rPr>
          <w:rFonts w:hint="eastAsia" w:ascii="宋体" w:hAnsi="宋体" w:eastAsia="宋体" w:cs="宋体"/>
          <w:color w:val="auto"/>
          <w:spacing w:val="-3"/>
          <w:sz w:val="24"/>
          <w:szCs w:val="24"/>
          <w:highlight w:val="none"/>
        </w:rPr>
        <w:t>定。</w:t>
      </w:r>
    </w:p>
    <w:p w14:paraId="3B6FE9A6">
      <w:pPr>
        <w:spacing w:before="34" w:line="220" w:lineRule="auto"/>
        <w:ind w:left="495"/>
        <w:outlineLvl w:val="2"/>
        <w:rPr>
          <w:rFonts w:hint="eastAsia" w:ascii="宋体" w:hAnsi="宋体" w:eastAsia="宋体" w:cs="宋体"/>
          <w:color w:val="auto"/>
          <w:sz w:val="24"/>
          <w:szCs w:val="24"/>
          <w:highlight w:val="none"/>
        </w:rPr>
      </w:pPr>
      <w:bookmarkStart w:id="151" w:name="_Toc17305"/>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．资格评审环节</w:t>
      </w:r>
      <w:bookmarkEnd w:id="151"/>
    </w:p>
    <w:p w14:paraId="51ABE522">
      <w:pPr>
        <w:spacing w:before="150" w:line="280" w:lineRule="auto"/>
        <w:ind w:right="200" w:firstLine="492"/>
        <w:rPr>
          <w:rFonts w:hint="eastAsia" w:ascii="宋体" w:hAnsi="宋体" w:eastAsia="宋体" w:cs="宋体"/>
          <w:color w:val="auto"/>
          <w:spacing w:val="-3"/>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投标人有下列情形之一的，评标委员会应否决其投标。被否决的投标人，不进入形</w:t>
      </w:r>
      <w:r>
        <w:rPr>
          <w:rFonts w:hint="eastAsia" w:ascii="宋体" w:hAnsi="宋体" w:eastAsia="宋体" w:cs="宋体"/>
          <w:color w:val="auto"/>
          <w:spacing w:val="-3"/>
          <w:sz w:val="24"/>
          <w:szCs w:val="24"/>
          <w:highlight w:val="none"/>
        </w:rPr>
        <w:t>式评审环节。</w:t>
      </w:r>
    </w:p>
    <w:p w14:paraId="5A5D99B5">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（1）有本章第三节第 2.4 条“禁止投标条款 ”规定的任何一种情形；</w:t>
      </w:r>
    </w:p>
    <w:p w14:paraId="128D62E3">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（2）投标人资质不符合规定的；</w:t>
      </w:r>
    </w:p>
    <w:p w14:paraId="19664B7F">
      <w:pPr>
        <w:keepNext w:val="0"/>
        <w:keepLines w:val="0"/>
        <w:pageBreakBefore w:val="0"/>
        <w:widowControl/>
        <w:kinsoku w:val="0"/>
        <w:wordWrap w:val="0"/>
        <w:overflowPunct/>
        <w:topLinePunct w:val="0"/>
        <w:autoSpaceDE w:val="0"/>
        <w:autoSpaceDN w:val="0"/>
        <w:bidi w:val="0"/>
        <w:adjustRightInd w:val="0"/>
        <w:snapToGrid w:val="0"/>
        <w:spacing w:line="360" w:lineRule="auto"/>
        <w:ind w:right="198"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28A10984">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660246F1">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240" w:firstLineChars="1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（4）拟派项目经理、项目技术负责人、专职安全员的条件不符合规定的；拟派专职安全员数量不符合规定的；项目技术负责人未在投标文件《项目技术负责人简历表》中签字确认。</w:t>
      </w:r>
    </w:p>
    <w:p w14:paraId="67723322">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温馨提示：建造师打印电子证书后，应在个人签名处手写本人签名，未手写签名或与签名图像笔迹不一致的，该电子证书无效。</w:t>
      </w:r>
    </w:p>
    <w:p w14:paraId="4935AD73">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项目经理简历表》中拟派项目经理与《开标一览表》不一致的；拟派的项目经理未在投标文件《项目经理简历表》中签字确认；一级建造师的注册证书不是国家住建部颁发的；二级建造师的电子注册证书不是</w:t>
      </w:r>
      <w:r>
        <w:rPr>
          <w:rFonts w:hint="eastAsia" w:ascii="宋体" w:hAnsi="宋体" w:eastAsia="宋体" w:cs="宋体"/>
          <w:color w:val="auto"/>
          <w:sz w:val="24"/>
          <w:szCs w:val="24"/>
          <w:highlight w:val="none"/>
          <w:lang w:eastAsia="zh-CN"/>
        </w:rPr>
        <w:t>省住建厅</w:t>
      </w:r>
      <w:r>
        <w:rPr>
          <w:rFonts w:hint="eastAsia" w:ascii="宋体" w:hAnsi="宋体" w:eastAsia="宋体" w:cs="宋体"/>
          <w:color w:val="auto"/>
          <w:sz w:val="24"/>
          <w:szCs w:val="24"/>
          <w:highlight w:val="none"/>
        </w:rPr>
        <w:t>颁发的；建造师的注册单位与投标人不一致的；项目管理班子组成人员的各类证书、证件、证明不在有效期内的（建造师注册证书不在使用有效期内的）；擅自修改、遗漏《项目经理任职声明》实质性内容的；</w:t>
      </w:r>
    </w:p>
    <w:p w14:paraId="5D58D1E1">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注：投标人已经工商变更，但其员工执业资格注册证书的注册单位名称未完成变更的，不得否决其投标。</w:t>
      </w:r>
    </w:p>
    <w:p w14:paraId="6CDD9500">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鉴于目前继续教育开展的实际情况，建筑和市政工程施工现场专业人员（例如：施工员、质量员、材料员、资料员）的岗位证书或培训证书不审查其证书的有效期。</w:t>
      </w:r>
    </w:p>
    <w:p w14:paraId="4B23118B">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（6）招标文件规定不接受联合体投标，但以联合体投标的；</w:t>
      </w:r>
    </w:p>
    <w:p w14:paraId="1E3DF654">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）投标人为外省建筑企业，但未提供“进粤企业和人员诚信信息登记平台 ”企业和拟派人员信息情况打印页或网页截图的。</w:t>
      </w:r>
    </w:p>
    <w:p w14:paraId="62EEE4F7">
      <w:pPr>
        <w:spacing w:before="154" w:line="221" w:lineRule="auto"/>
        <w:ind w:left="477"/>
        <w:outlineLvl w:val="2"/>
        <w:rPr>
          <w:rFonts w:hint="eastAsia" w:ascii="宋体" w:hAnsi="宋体" w:eastAsia="宋体" w:cs="宋体"/>
          <w:color w:val="auto"/>
          <w:sz w:val="24"/>
          <w:szCs w:val="24"/>
          <w:highlight w:val="none"/>
        </w:rPr>
      </w:pPr>
      <w:bookmarkStart w:id="152" w:name="_Toc3275"/>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．形式评审环节</w:t>
      </w:r>
      <w:bookmarkEnd w:id="152"/>
    </w:p>
    <w:p w14:paraId="053CEC5E">
      <w:pPr>
        <w:keepNext w:val="0"/>
        <w:keepLines w:val="0"/>
        <w:pageBreakBefore w:val="0"/>
        <w:widowControl/>
        <w:kinsoku w:val="0"/>
        <w:wordWrap/>
        <w:overflowPunct/>
        <w:topLinePunct w:val="0"/>
        <w:autoSpaceDE w:val="0"/>
        <w:autoSpaceDN w:val="0"/>
        <w:bidi w:val="0"/>
        <w:adjustRightInd w:val="0"/>
        <w:snapToGrid w:val="0"/>
        <w:spacing w:line="360" w:lineRule="auto"/>
        <w:ind w:right="20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投标人有下列情形之一的，评标委员会应否决其投标。被否决的投标人，不进入响应性评审环节。</w:t>
      </w:r>
    </w:p>
    <w:p w14:paraId="18B6E674">
      <w:pPr>
        <w:keepNext w:val="0"/>
        <w:keepLines w:val="0"/>
        <w:pageBreakBefore w:val="0"/>
        <w:widowControl/>
        <w:kinsoku w:val="0"/>
        <w:wordWrap/>
        <w:overflowPunct/>
        <w:topLinePunct w:val="0"/>
        <w:autoSpaceDE w:val="0"/>
        <w:autoSpaceDN w:val="0"/>
        <w:bidi w:val="0"/>
        <w:adjustRightInd w:val="0"/>
        <w:snapToGrid w:val="0"/>
        <w:spacing w:line="360" w:lineRule="auto"/>
        <w:ind w:left="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（1）各分册没按招标文件规定加盖电子印章；</w:t>
      </w:r>
    </w:p>
    <w:p w14:paraId="74AD0720">
      <w:pPr>
        <w:keepNext w:val="0"/>
        <w:keepLines w:val="0"/>
        <w:pageBreakBefore w:val="0"/>
        <w:widowControl/>
        <w:kinsoku w:val="0"/>
        <w:wordWrap/>
        <w:overflowPunct/>
        <w:topLinePunct w:val="0"/>
        <w:autoSpaceDE w:val="0"/>
        <w:autoSpaceDN w:val="0"/>
        <w:bidi w:val="0"/>
        <w:adjustRightInd w:val="0"/>
        <w:snapToGrid w:val="0"/>
        <w:spacing w:line="360" w:lineRule="auto"/>
        <w:ind w:left="1" w:right="200" w:firstLine="49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（2）本章第三节第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10.2.2</w:t>
      </w:r>
      <w:r>
        <w:rPr>
          <w:rFonts w:hint="eastAsia" w:ascii="宋体" w:hAnsi="宋体" w:eastAsia="宋体" w:cs="宋体"/>
          <w:color w:val="auto"/>
          <w:spacing w:val="-8"/>
          <w:sz w:val="24"/>
          <w:szCs w:val="24"/>
          <w:highlight w:val="none"/>
        </w:rPr>
        <w:t xml:space="preserve"> 目、第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10.3.2</w:t>
      </w:r>
      <w:r>
        <w:rPr>
          <w:rFonts w:hint="eastAsia" w:ascii="宋体" w:hAnsi="宋体" w:eastAsia="宋体" w:cs="宋体"/>
          <w:color w:val="auto"/>
          <w:spacing w:val="-8"/>
          <w:sz w:val="24"/>
          <w:szCs w:val="24"/>
          <w:highlight w:val="none"/>
        </w:rPr>
        <w:t xml:space="preserve"> 目、第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10.4.3</w:t>
      </w:r>
      <w:r>
        <w:rPr>
          <w:rFonts w:hint="eastAsia" w:ascii="宋体" w:hAnsi="宋体" w:eastAsia="宋体" w:cs="宋体"/>
          <w:color w:val="auto"/>
          <w:spacing w:val="-8"/>
          <w:sz w:val="24"/>
          <w:szCs w:val="24"/>
          <w:highlight w:val="none"/>
        </w:rPr>
        <w:t xml:space="preserve"> 目中规定的“所有投标人</w:t>
      </w:r>
      <w:r>
        <w:rPr>
          <w:rFonts w:hint="eastAsia" w:ascii="宋体" w:hAnsi="宋体" w:eastAsia="宋体" w:cs="宋体"/>
          <w:color w:val="auto"/>
          <w:spacing w:val="-1"/>
          <w:sz w:val="24"/>
          <w:szCs w:val="24"/>
          <w:highlight w:val="none"/>
        </w:rPr>
        <w:t>均应提供</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”的组成内容（包括该组成内容的所附资料）中，</w:t>
      </w:r>
      <w:r>
        <w:rPr>
          <w:rFonts w:hint="eastAsia" w:ascii="宋体" w:hAnsi="宋体" w:eastAsia="宋体" w:cs="宋体"/>
          <w:color w:val="auto"/>
          <w:spacing w:val="-2"/>
          <w:sz w:val="24"/>
          <w:szCs w:val="24"/>
          <w:highlight w:val="none"/>
        </w:rPr>
        <w:t>任何一项有缺漏的；</w:t>
      </w:r>
    </w:p>
    <w:p w14:paraId="5933D0A3">
      <w:pPr>
        <w:keepNext w:val="0"/>
        <w:keepLines w:val="0"/>
        <w:pageBreakBefore w:val="0"/>
        <w:widowControl/>
        <w:kinsoku w:val="0"/>
        <w:wordWrap/>
        <w:overflowPunct/>
        <w:topLinePunct w:val="0"/>
        <w:autoSpaceDE w:val="0"/>
        <w:autoSpaceDN w:val="0"/>
        <w:bidi w:val="0"/>
        <w:adjustRightInd w:val="0"/>
        <w:snapToGrid w:val="0"/>
        <w:spacing w:line="360" w:lineRule="auto"/>
        <w:ind w:left="8" w:right="200" w:firstLine="4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（3）关键字迹模糊、无法辨认，且该种过错将导致评标委员会无法判断投标文件是</w:t>
      </w:r>
      <w:r>
        <w:rPr>
          <w:rFonts w:hint="eastAsia" w:ascii="宋体" w:hAnsi="宋体" w:eastAsia="宋体" w:cs="宋体"/>
          <w:color w:val="auto"/>
          <w:spacing w:val="-2"/>
          <w:sz w:val="24"/>
          <w:szCs w:val="24"/>
          <w:highlight w:val="none"/>
        </w:rPr>
        <w:t>否响应招标文件实质性要求的；有涂改、行间插字或删除，但未加盖单</w:t>
      </w:r>
      <w:r>
        <w:rPr>
          <w:rFonts w:hint="eastAsia" w:ascii="宋体" w:hAnsi="宋体" w:eastAsia="宋体" w:cs="宋体"/>
          <w:color w:val="auto"/>
          <w:spacing w:val="-2"/>
          <w:sz w:val="24"/>
          <w:szCs w:val="24"/>
          <w:highlight w:val="none"/>
          <w:lang w:eastAsia="zh-CN"/>
        </w:rPr>
        <w:t>位公</w:t>
      </w:r>
      <w:r>
        <w:rPr>
          <w:rFonts w:hint="eastAsia" w:ascii="宋体" w:hAnsi="宋体" w:eastAsia="宋体" w:cs="宋体"/>
          <w:color w:val="auto"/>
          <w:spacing w:val="-2"/>
          <w:sz w:val="24"/>
          <w:szCs w:val="24"/>
          <w:highlight w:val="none"/>
        </w:rPr>
        <w:t>章或由投标人</w:t>
      </w:r>
      <w:r>
        <w:rPr>
          <w:rFonts w:hint="eastAsia" w:ascii="宋体" w:hAnsi="宋体" w:eastAsia="宋体" w:cs="宋体"/>
          <w:color w:val="auto"/>
          <w:spacing w:val="-1"/>
          <w:sz w:val="24"/>
          <w:szCs w:val="24"/>
          <w:highlight w:val="none"/>
        </w:rPr>
        <w:t>的法定代表人或其委托代理人签字确认的；</w:t>
      </w:r>
    </w:p>
    <w:p w14:paraId="54158009">
      <w:pPr>
        <w:keepNext w:val="0"/>
        <w:keepLines w:val="0"/>
        <w:pageBreakBefore w:val="0"/>
        <w:widowControl/>
        <w:kinsoku w:val="0"/>
        <w:wordWrap/>
        <w:overflowPunct/>
        <w:topLinePunct w:val="0"/>
        <w:autoSpaceDE w:val="0"/>
        <w:autoSpaceDN w:val="0"/>
        <w:bidi w:val="0"/>
        <w:adjustRightInd w:val="0"/>
        <w:snapToGrid w:val="0"/>
        <w:spacing w:line="360" w:lineRule="auto"/>
        <w:ind w:left="43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（4）投标文件未按规定签字、盖章的。</w:t>
      </w:r>
    </w:p>
    <w:p w14:paraId="39AD0DAE">
      <w:pPr>
        <w:spacing w:before="227" w:line="221" w:lineRule="auto"/>
        <w:ind w:left="475"/>
        <w:outlineLvl w:val="2"/>
        <w:rPr>
          <w:rFonts w:hint="eastAsia" w:ascii="宋体" w:hAnsi="宋体" w:eastAsia="宋体" w:cs="宋体"/>
          <w:color w:val="auto"/>
          <w:sz w:val="24"/>
          <w:szCs w:val="24"/>
          <w:highlight w:val="none"/>
        </w:rPr>
      </w:pPr>
      <w:bookmarkStart w:id="153" w:name="_Toc26166"/>
      <w:r>
        <w:rPr>
          <w:rFonts w:hint="eastAsia" w:ascii="宋体" w:hAnsi="宋体" w:eastAsia="宋体" w:cs="宋体"/>
          <w:b/>
          <w:bCs/>
          <w:color w:val="auto"/>
          <w:spacing w:val="-6"/>
          <w:sz w:val="24"/>
          <w:szCs w:val="24"/>
          <w:highlight w:val="none"/>
        </w:rPr>
        <w:t>3</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6"/>
          <w:sz w:val="24"/>
          <w:szCs w:val="24"/>
          <w:highlight w:val="none"/>
        </w:rPr>
        <w:t>．响应性评审环节</w:t>
      </w:r>
      <w:bookmarkEnd w:id="153"/>
    </w:p>
    <w:p w14:paraId="4686AB01">
      <w:pPr>
        <w:spacing w:before="151" w:line="327" w:lineRule="auto"/>
        <w:ind w:left="1" w:right="200"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投标人有下列情形之一的，评标委员会应否决其投标。被否决的投标人，不进入详细评审阶段。</w:t>
      </w:r>
    </w:p>
    <w:p w14:paraId="3A367586">
      <w:pPr>
        <w:spacing w:before="31" w:line="279" w:lineRule="auto"/>
        <w:ind w:left="40" w:right="200" w:firstLine="45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（1）承诺的投标有效期短于规定的；质量标准低于规定的；工期超出规定的；擅</w:t>
      </w:r>
      <w:r>
        <w:rPr>
          <w:rFonts w:hint="eastAsia" w:ascii="宋体" w:hAnsi="宋体" w:eastAsia="宋体" w:cs="宋体"/>
          <w:color w:val="auto"/>
          <w:spacing w:val="-2"/>
          <w:sz w:val="24"/>
          <w:szCs w:val="24"/>
          <w:highlight w:val="none"/>
        </w:rPr>
        <w:t>自修改、遗漏《投标函》《各项承诺一览表》实质性内容的；</w:t>
      </w:r>
    </w:p>
    <w:p w14:paraId="7740EF66">
      <w:pPr>
        <w:spacing w:before="157" w:line="278" w:lineRule="auto"/>
        <w:ind w:left="2" w:right="200" w:firstLine="48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（2）编制《投标总价》的造价工程师，其注册证书不是</w:t>
      </w:r>
      <w:r>
        <w:rPr>
          <w:rFonts w:hint="eastAsia" w:ascii="宋体" w:hAnsi="宋体" w:eastAsia="宋体" w:cs="宋体"/>
          <w:b/>
          <w:bCs/>
          <w:color w:val="auto"/>
          <w:spacing w:val="1"/>
          <w:sz w:val="24"/>
          <w:szCs w:val="24"/>
          <w:highlight w:val="none"/>
        </w:rPr>
        <w:t>住建部门</w:t>
      </w:r>
      <w:r>
        <w:rPr>
          <w:rFonts w:hint="eastAsia" w:ascii="宋体" w:hAnsi="宋体" w:eastAsia="宋体" w:cs="宋体"/>
          <w:color w:val="auto"/>
          <w:spacing w:val="1"/>
          <w:sz w:val="24"/>
          <w:szCs w:val="24"/>
          <w:highlight w:val="none"/>
        </w:rPr>
        <w:t>颁发的；其注册</w:t>
      </w:r>
      <w:r>
        <w:rPr>
          <w:rFonts w:hint="eastAsia" w:ascii="宋体" w:hAnsi="宋体" w:eastAsia="宋体" w:cs="宋体"/>
          <w:color w:val="auto"/>
          <w:sz w:val="24"/>
          <w:szCs w:val="24"/>
          <w:highlight w:val="none"/>
        </w:rPr>
        <w:t>单位与投标人（或造价咨询人）不一致的；</w:t>
      </w:r>
      <w:r>
        <w:rPr>
          <w:rFonts w:hint="eastAsia" w:ascii="宋体" w:hAnsi="宋体" w:eastAsia="宋体" w:cs="宋体"/>
          <w:color w:val="auto"/>
          <w:spacing w:val="-1"/>
          <w:sz w:val="24"/>
          <w:szCs w:val="24"/>
          <w:highlight w:val="none"/>
        </w:rPr>
        <w:t>其注册证书不在有效期内的。</w:t>
      </w:r>
    </w:p>
    <w:p w14:paraId="5077F36E">
      <w:pPr>
        <w:spacing w:before="156" w:line="329" w:lineRule="auto"/>
        <w:ind w:right="200" w:firstLine="480"/>
        <w:jc w:val="both"/>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注：投标人（或造价咨询人）已经工商变更，但其员工的执业资格注</w:t>
      </w:r>
      <w:r>
        <w:rPr>
          <w:rFonts w:hint="eastAsia" w:ascii="宋体" w:hAnsi="宋体" w:eastAsia="宋体" w:cs="宋体"/>
          <w:b/>
          <w:bCs/>
          <w:color w:val="auto"/>
          <w:spacing w:val="-5"/>
          <w:sz w:val="24"/>
          <w:szCs w:val="24"/>
          <w:highlight w:val="none"/>
        </w:rPr>
        <w:t>册证书的注册单位名称未完成变更的，不得否决其投标。此条与 10.3.1 中的造价工程师执业（含二级造价工程师）指引相一致。</w:t>
      </w:r>
    </w:p>
    <w:p w14:paraId="2A683A42">
      <w:pPr>
        <w:spacing w:before="78" w:line="299" w:lineRule="auto"/>
        <w:ind w:left="2" w:right="81" w:firstLine="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（3）投标人委托造价咨询单位编制《投标总价》，但未在《投标总价扉页》“投标人</w:t>
      </w:r>
      <w:r>
        <w:rPr>
          <w:rFonts w:hint="eastAsia" w:ascii="宋体" w:hAnsi="宋体" w:eastAsia="宋体" w:cs="宋体"/>
          <w:color w:val="auto"/>
          <w:spacing w:val="-86"/>
          <w:sz w:val="24"/>
          <w:szCs w:val="24"/>
          <w:highlight w:val="none"/>
        </w:rPr>
        <w:t xml:space="preserve"> </w:t>
      </w:r>
      <w:r>
        <w:rPr>
          <w:rFonts w:hint="eastAsia" w:ascii="宋体" w:hAnsi="宋体" w:eastAsia="宋体" w:cs="宋体"/>
          <w:color w:val="auto"/>
          <w:spacing w:val="1"/>
          <w:sz w:val="24"/>
          <w:szCs w:val="24"/>
          <w:highlight w:val="none"/>
        </w:rPr>
        <w:t>”栏目加盖造价咨询人公章的；未提</w:t>
      </w:r>
      <w:r>
        <w:rPr>
          <w:rFonts w:hint="eastAsia" w:ascii="宋体" w:hAnsi="宋体" w:eastAsia="宋体" w:cs="宋体"/>
          <w:color w:val="auto"/>
          <w:sz w:val="24"/>
          <w:szCs w:val="24"/>
          <w:highlight w:val="none"/>
        </w:rPr>
        <w:t>供造价咨询人的营业执照副本彩</w:t>
      </w:r>
      <w:r>
        <w:rPr>
          <w:rFonts w:hint="eastAsia" w:ascii="宋体" w:hAnsi="宋体" w:eastAsia="宋体" w:cs="宋体"/>
          <w:color w:val="auto"/>
          <w:spacing w:val="-3"/>
          <w:sz w:val="24"/>
          <w:szCs w:val="24"/>
          <w:highlight w:val="none"/>
        </w:rPr>
        <w:t>色扫描件；</w:t>
      </w:r>
    </w:p>
    <w:p w14:paraId="3D7914BD">
      <w:pPr>
        <w:spacing w:before="151" w:line="360" w:lineRule="auto"/>
        <w:ind w:right="21" w:firstLine="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（4）出现两个或两个以上投标总价的（同一个投标总价大、小写不一致的除外</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投标总价超出</w:t>
      </w:r>
      <w:r>
        <w:rPr>
          <w:rFonts w:hint="eastAsia" w:ascii="宋体" w:hAnsi="宋体" w:eastAsia="宋体" w:cs="宋体"/>
          <w:b/>
          <w:bCs/>
          <w:color w:val="auto"/>
          <w:spacing w:val="-2"/>
          <w:sz w:val="24"/>
          <w:szCs w:val="24"/>
          <w:highlight w:val="none"/>
          <w:lang w:eastAsia="zh-CN"/>
        </w:rPr>
        <w:t>最高投标限价</w:t>
      </w:r>
      <w:r>
        <w:rPr>
          <w:rFonts w:hint="eastAsia" w:ascii="宋体" w:hAnsi="宋体" w:eastAsia="宋体" w:cs="宋体"/>
          <w:color w:val="auto"/>
          <w:spacing w:val="-2"/>
          <w:sz w:val="24"/>
          <w:szCs w:val="24"/>
          <w:highlight w:val="none"/>
        </w:rPr>
        <w:t>的；</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color w:val="auto"/>
          <w:spacing w:val="-2"/>
          <w:sz w:val="24"/>
          <w:szCs w:val="24"/>
          <w:highlight w:val="none"/>
        </w:rPr>
        <w:t>少于规定的；暂列金额、暂估</w:t>
      </w:r>
      <w:r>
        <w:rPr>
          <w:rFonts w:hint="eastAsia" w:ascii="宋体" w:hAnsi="宋体" w:eastAsia="宋体" w:cs="宋体"/>
          <w:color w:val="auto"/>
          <w:spacing w:val="-3"/>
          <w:sz w:val="24"/>
          <w:szCs w:val="24"/>
          <w:highlight w:val="none"/>
        </w:rPr>
        <w:t>价未按照招标工程量清单统一报价的；投标总价下浮率超过</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3"/>
          <w:sz w:val="24"/>
          <w:szCs w:val="24"/>
          <w:highlight w:val="none"/>
        </w:rPr>
        <w:t>15%，又未提供相应书面说</w:t>
      </w:r>
      <w:r>
        <w:rPr>
          <w:rFonts w:hint="eastAsia" w:ascii="宋体" w:hAnsi="宋体" w:eastAsia="宋体" w:cs="宋体"/>
          <w:color w:val="auto"/>
          <w:spacing w:val="-2"/>
          <w:sz w:val="24"/>
          <w:szCs w:val="24"/>
          <w:highlight w:val="none"/>
        </w:rPr>
        <w:t>明和佐证材料或提供的书面说明和佐证材料不能令人信服，被评标委员会认定以低于成</w:t>
      </w:r>
      <w:r>
        <w:rPr>
          <w:rFonts w:hint="eastAsia" w:ascii="宋体" w:hAnsi="宋体" w:eastAsia="宋体" w:cs="宋体"/>
          <w:color w:val="auto"/>
          <w:sz w:val="24"/>
          <w:szCs w:val="24"/>
          <w:highlight w:val="none"/>
        </w:rPr>
        <w:t>本报价竞标的；擅自修改、增减招标工程量清单</w:t>
      </w:r>
      <w:r>
        <w:rPr>
          <w:rFonts w:hint="eastAsia" w:ascii="宋体" w:hAnsi="宋体" w:eastAsia="宋体" w:cs="宋体"/>
          <w:color w:val="auto"/>
          <w:spacing w:val="-1"/>
          <w:sz w:val="24"/>
          <w:szCs w:val="24"/>
          <w:highlight w:val="none"/>
        </w:rPr>
        <w:t>项目（包括措施项目）的；</w:t>
      </w:r>
    </w:p>
    <w:p w14:paraId="7BE05ED8">
      <w:pPr>
        <w:spacing w:before="156" w:line="299" w:lineRule="auto"/>
        <w:ind w:right="81" w:firstLine="49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（5）在施工组织设计评审中，评标委员会认定质量、进度保障措施与国家和省市</w:t>
      </w:r>
      <w:r>
        <w:rPr>
          <w:rFonts w:hint="eastAsia" w:ascii="宋体" w:hAnsi="宋体" w:eastAsia="宋体" w:cs="宋体"/>
          <w:color w:val="auto"/>
          <w:spacing w:val="-3"/>
          <w:sz w:val="24"/>
          <w:szCs w:val="24"/>
          <w:highlight w:val="none"/>
        </w:rPr>
        <w:t>现行有关规范、规定、标准有重大偏差，</w:t>
      </w:r>
      <w:r>
        <w:rPr>
          <w:rFonts w:hint="eastAsia" w:ascii="宋体" w:hAnsi="宋体" w:eastAsia="宋体" w:cs="宋体"/>
          <w:b/>
          <w:bCs/>
          <w:color w:val="auto"/>
          <w:spacing w:val="-3"/>
          <w:sz w:val="24"/>
          <w:szCs w:val="24"/>
          <w:highlight w:val="none"/>
        </w:rPr>
        <w:t>且该种过错将导致工程质量、进度管理目标无</w:t>
      </w:r>
      <w:r>
        <w:rPr>
          <w:rFonts w:hint="eastAsia" w:ascii="宋体" w:hAnsi="宋体" w:eastAsia="宋体" w:cs="宋体"/>
          <w:b/>
          <w:bCs/>
          <w:color w:val="auto"/>
          <w:spacing w:val="-4"/>
          <w:sz w:val="24"/>
          <w:szCs w:val="24"/>
          <w:highlight w:val="none"/>
        </w:rPr>
        <w:t>法实现的</w:t>
      </w:r>
      <w:r>
        <w:rPr>
          <w:rFonts w:hint="eastAsia" w:ascii="宋体" w:hAnsi="宋体" w:eastAsia="宋体" w:cs="宋体"/>
          <w:color w:val="auto"/>
          <w:spacing w:val="-4"/>
          <w:sz w:val="24"/>
          <w:szCs w:val="24"/>
          <w:highlight w:val="none"/>
        </w:rPr>
        <w:t>。</w:t>
      </w:r>
    </w:p>
    <w:p w14:paraId="1F2CAFD7">
      <w:pPr>
        <w:spacing w:before="151" w:line="221" w:lineRule="auto"/>
        <w:ind w:left="476"/>
        <w:outlineLvl w:val="2"/>
        <w:rPr>
          <w:rFonts w:hint="eastAsia" w:ascii="宋体" w:hAnsi="宋体" w:eastAsia="宋体" w:cs="宋体"/>
          <w:color w:val="auto"/>
          <w:sz w:val="24"/>
          <w:szCs w:val="24"/>
          <w:highlight w:val="none"/>
        </w:rPr>
      </w:pPr>
      <w:bookmarkStart w:id="154" w:name="_Toc5087"/>
      <w:r>
        <w:rPr>
          <w:rFonts w:hint="eastAsia" w:ascii="宋体" w:hAnsi="宋体" w:eastAsia="宋体" w:cs="宋体"/>
          <w:b/>
          <w:bCs/>
          <w:color w:val="auto"/>
          <w:spacing w:val="-11"/>
          <w:sz w:val="24"/>
          <w:szCs w:val="24"/>
          <w:highlight w:val="none"/>
        </w:rPr>
        <w:t>4</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11"/>
          <w:sz w:val="24"/>
          <w:szCs w:val="24"/>
          <w:highlight w:val="none"/>
        </w:rPr>
        <w:t>．其他</w:t>
      </w:r>
      <w:bookmarkEnd w:id="154"/>
    </w:p>
    <w:p w14:paraId="4300F4C0">
      <w:pPr>
        <w:spacing w:before="153" w:line="326" w:lineRule="auto"/>
        <w:ind w:firstLine="47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在任何评标环节（或阶段</w:t>
      </w:r>
      <w:r>
        <w:rPr>
          <w:rFonts w:hint="eastAsia" w:ascii="宋体" w:hAnsi="宋体" w:eastAsia="宋体" w:cs="宋体"/>
          <w:color w:val="auto"/>
          <w:spacing w:val="-36"/>
          <w:sz w:val="24"/>
          <w:szCs w:val="24"/>
          <w:highlight w:val="none"/>
        </w:rPr>
        <w:t>），</w:t>
      </w:r>
      <w:r>
        <w:rPr>
          <w:rFonts w:hint="eastAsia" w:ascii="宋体" w:hAnsi="宋体" w:eastAsia="宋体" w:cs="宋体"/>
          <w:color w:val="auto"/>
          <w:spacing w:val="-4"/>
          <w:sz w:val="24"/>
          <w:szCs w:val="24"/>
          <w:highlight w:val="none"/>
        </w:rPr>
        <w:t>投标人有下列情形之一的，评标委员会应否</w:t>
      </w:r>
      <w:r>
        <w:rPr>
          <w:rFonts w:hint="eastAsia" w:ascii="宋体" w:hAnsi="宋体" w:eastAsia="宋体" w:cs="宋体"/>
          <w:color w:val="auto"/>
          <w:spacing w:val="-5"/>
          <w:sz w:val="24"/>
          <w:szCs w:val="24"/>
          <w:highlight w:val="none"/>
        </w:rPr>
        <w:t>决其投标。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被否决的投标人，不进入下一环节（或阶段）。</w:t>
      </w:r>
    </w:p>
    <w:p w14:paraId="780DC4D6">
      <w:pPr>
        <w:spacing w:before="33"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（1）不按评标委员会要求澄清、说明或补正的；</w:t>
      </w:r>
    </w:p>
    <w:p w14:paraId="1BD88C6E">
      <w:pPr>
        <w:spacing w:before="154"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（2）有下列情形之一，被评标委员会认定属于串通投标的：</w:t>
      </w:r>
    </w:p>
    <w:p w14:paraId="1240E213">
      <w:pPr>
        <w:keepNext w:val="0"/>
        <w:keepLines w:val="0"/>
        <w:pageBreakBefore w:val="0"/>
        <w:widowControl/>
        <w:kinsoku w:val="0"/>
        <w:wordWrap/>
        <w:overflowPunct/>
        <w:topLinePunct w:val="0"/>
        <w:autoSpaceDE w:val="0"/>
        <w:autoSpaceDN w:val="0"/>
        <w:bidi w:val="0"/>
        <w:adjustRightInd w:val="0"/>
        <w:snapToGrid w:val="0"/>
        <w:spacing w:before="157" w:line="218" w:lineRule="auto"/>
        <w:ind w:left="47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①不同投标人的投标文件两处以上（含两处）错、漏一致；</w:t>
      </w:r>
    </w:p>
    <w:p w14:paraId="00F333AB">
      <w:pPr>
        <w:keepNext w:val="0"/>
        <w:keepLines w:val="0"/>
        <w:pageBreakBefore w:val="0"/>
        <w:widowControl/>
        <w:kinsoku w:val="0"/>
        <w:wordWrap/>
        <w:overflowPunct/>
        <w:topLinePunct w:val="0"/>
        <w:autoSpaceDE w:val="0"/>
        <w:autoSpaceDN w:val="0"/>
        <w:bidi w:val="0"/>
        <w:adjustRightInd w:val="0"/>
        <w:snapToGrid w:val="0"/>
        <w:spacing w:before="156" w:line="278" w:lineRule="auto"/>
        <w:ind w:right="21"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②不同投标人的投标总价相近且各分项报价、综合单价分析表内容混乱不能相互对</w:t>
      </w:r>
      <w:r>
        <w:rPr>
          <w:rFonts w:hint="eastAsia" w:ascii="宋体" w:hAnsi="宋体" w:eastAsia="宋体" w:cs="宋体"/>
          <w:color w:val="auto"/>
          <w:spacing w:val="-6"/>
          <w:sz w:val="24"/>
          <w:szCs w:val="24"/>
          <w:highlight w:val="none"/>
        </w:rPr>
        <w:t>应、乱调乱压或乱抬的，而在询标时没有合理的解释或者不能提供计算依据和</w:t>
      </w:r>
      <w:r>
        <w:rPr>
          <w:rFonts w:hint="eastAsia" w:ascii="宋体" w:hAnsi="宋体" w:eastAsia="宋体" w:cs="宋体"/>
          <w:color w:val="auto"/>
          <w:spacing w:val="-7"/>
          <w:sz w:val="24"/>
          <w:szCs w:val="24"/>
          <w:highlight w:val="none"/>
        </w:rPr>
        <w:t>报价依据；</w:t>
      </w:r>
    </w:p>
    <w:p w14:paraId="3F875C43">
      <w:pPr>
        <w:keepNext w:val="0"/>
        <w:keepLines w:val="0"/>
        <w:pageBreakBefore w:val="0"/>
        <w:widowControl/>
        <w:kinsoku w:val="0"/>
        <w:wordWrap/>
        <w:overflowPunct/>
        <w:topLinePunct w:val="0"/>
        <w:autoSpaceDE w:val="0"/>
        <w:autoSpaceDN w:val="0"/>
        <w:bidi w:val="0"/>
        <w:adjustRightInd w:val="0"/>
        <w:snapToGrid w:val="0"/>
        <w:spacing w:before="157"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③不同投标人的投标各项报价存在异常一致</w:t>
      </w:r>
      <w:r>
        <w:rPr>
          <w:rFonts w:hint="eastAsia" w:ascii="宋体" w:hAnsi="宋体" w:eastAsia="宋体" w:cs="宋体"/>
          <w:color w:val="auto"/>
          <w:spacing w:val="-1"/>
          <w:sz w:val="24"/>
          <w:szCs w:val="24"/>
          <w:highlight w:val="none"/>
        </w:rPr>
        <w:t>或者呈规律性变化；</w:t>
      </w:r>
    </w:p>
    <w:p w14:paraId="46E9D77B">
      <w:pPr>
        <w:keepNext w:val="0"/>
        <w:keepLines w:val="0"/>
        <w:pageBreakBefore w:val="0"/>
        <w:widowControl/>
        <w:kinsoku w:val="0"/>
        <w:wordWrap/>
        <w:overflowPunct/>
        <w:topLinePunct w:val="0"/>
        <w:autoSpaceDE w:val="0"/>
        <w:autoSpaceDN w:val="0"/>
        <w:bidi w:val="0"/>
        <w:adjustRightInd w:val="0"/>
        <w:snapToGrid w:val="0"/>
        <w:spacing w:before="156"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④不同投标人的投标文件由同一单位或者同一个人编制；</w:t>
      </w:r>
    </w:p>
    <w:p w14:paraId="09D8E95C">
      <w:pPr>
        <w:keepNext w:val="0"/>
        <w:keepLines w:val="0"/>
        <w:pageBreakBefore w:val="0"/>
        <w:widowControl/>
        <w:kinsoku w:val="0"/>
        <w:wordWrap/>
        <w:overflowPunct/>
        <w:topLinePunct w:val="0"/>
        <w:autoSpaceDE w:val="0"/>
        <w:autoSpaceDN w:val="0"/>
        <w:bidi w:val="0"/>
        <w:adjustRightInd w:val="0"/>
        <w:snapToGrid w:val="0"/>
        <w:spacing w:before="157" w:line="280" w:lineRule="auto"/>
        <w:ind w:left="1" w:right="81"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⑤不同投标人的投标文件中投标资料（包括电子资料）相互混装或项目班子成员出</w:t>
      </w:r>
      <w:r>
        <w:rPr>
          <w:rFonts w:hint="eastAsia" w:ascii="宋体" w:hAnsi="宋体" w:eastAsia="宋体" w:cs="宋体"/>
          <w:color w:val="auto"/>
          <w:spacing w:val="-3"/>
          <w:sz w:val="24"/>
          <w:szCs w:val="24"/>
          <w:highlight w:val="none"/>
        </w:rPr>
        <w:t>现同一人；</w:t>
      </w:r>
    </w:p>
    <w:p w14:paraId="510230E6">
      <w:pPr>
        <w:keepNext w:val="0"/>
        <w:keepLines w:val="0"/>
        <w:pageBreakBefore w:val="0"/>
        <w:widowControl/>
        <w:kinsoku w:val="0"/>
        <w:wordWrap/>
        <w:overflowPunct/>
        <w:topLinePunct w:val="0"/>
        <w:autoSpaceDE w:val="0"/>
        <w:autoSpaceDN w:val="0"/>
        <w:bidi w:val="0"/>
        <w:adjustRightInd w:val="0"/>
        <w:snapToGrid w:val="0"/>
        <w:spacing w:before="152" w:line="279" w:lineRule="auto"/>
        <w:ind w:left="3" w:right="81"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⑥不同投标人的投标文件由同一电脑编制或同一台附属设备打印，或投标报价用同</w:t>
      </w:r>
      <w:r>
        <w:rPr>
          <w:rFonts w:hint="eastAsia" w:ascii="宋体" w:hAnsi="宋体" w:eastAsia="宋体" w:cs="宋体"/>
          <w:color w:val="auto"/>
          <w:spacing w:val="-1"/>
          <w:sz w:val="24"/>
          <w:szCs w:val="24"/>
          <w:highlight w:val="none"/>
        </w:rPr>
        <w:t>一个预算编制软件密码锁制作或出自同一电子文档；</w:t>
      </w:r>
    </w:p>
    <w:p w14:paraId="5A36E25E">
      <w:pPr>
        <w:keepNext w:val="0"/>
        <w:keepLines w:val="0"/>
        <w:pageBreakBefore w:val="0"/>
        <w:widowControl/>
        <w:kinsoku w:val="0"/>
        <w:wordWrap/>
        <w:overflowPunct/>
        <w:topLinePunct w:val="0"/>
        <w:autoSpaceDE w:val="0"/>
        <w:autoSpaceDN w:val="0"/>
        <w:bidi w:val="0"/>
        <w:adjustRightInd w:val="0"/>
        <w:snapToGrid w:val="0"/>
        <w:spacing w:before="155"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⑦不同投标人的投标保证由同一企业或同一账户资金缴纳；</w:t>
      </w:r>
    </w:p>
    <w:p w14:paraId="5239CFAB">
      <w:pPr>
        <w:keepNext w:val="0"/>
        <w:keepLines w:val="0"/>
        <w:pageBreakBefore w:val="0"/>
        <w:widowControl/>
        <w:kinsoku w:val="0"/>
        <w:wordWrap/>
        <w:overflowPunct/>
        <w:topLinePunct w:val="0"/>
        <w:autoSpaceDE w:val="0"/>
        <w:autoSpaceDN w:val="0"/>
        <w:bidi w:val="0"/>
        <w:adjustRightInd w:val="0"/>
        <w:snapToGrid w:val="0"/>
        <w:spacing w:before="157" w:line="299" w:lineRule="auto"/>
        <w:ind w:right="81" w:firstLine="477"/>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5"/>
          <w:sz w:val="24"/>
          <w:szCs w:val="24"/>
          <w:highlight w:val="none"/>
        </w:rPr>
        <w:t>⑧不同投标人委托同一个人或注册在同一家企业的注册人员或同一家企业为其投</w:t>
      </w:r>
      <w:r>
        <w:rPr>
          <w:rFonts w:hint="eastAsia" w:ascii="宋体" w:hAnsi="宋体" w:eastAsia="宋体" w:cs="宋体"/>
          <w:color w:val="auto"/>
          <w:spacing w:val="-2"/>
          <w:sz w:val="24"/>
          <w:szCs w:val="24"/>
          <w:highlight w:val="none"/>
        </w:rPr>
        <w:t>标提供投标咨询、商务报价、技术咨询（招标项目本身要求采用专有技术的除外）等服</w:t>
      </w:r>
      <w:r>
        <w:rPr>
          <w:rFonts w:hint="eastAsia" w:ascii="宋体" w:hAnsi="宋体" w:eastAsia="宋体" w:cs="宋体"/>
          <w:color w:val="auto"/>
          <w:spacing w:val="-6"/>
          <w:sz w:val="24"/>
          <w:szCs w:val="24"/>
          <w:highlight w:val="none"/>
        </w:rPr>
        <w:t>务</w:t>
      </w:r>
      <w:r>
        <w:rPr>
          <w:rFonts w:hint="eastAsia" w:ascii="宋体" w:hAnsi="宋体" w:eastAsia="宋体" w:cs="宋体"/>
          <w:color w:val="auto"/>
          <w:spacing w:val="-6"/>
          <w:sz w:val="24"/>
          <w:szCs w:val="24"/>
          <w:highlight w:val="none"/>
          <w:lang w:eastAsia="zh-CN"/>
        </w:rPr>
        <w:t>；</w:t>
      </w:r>
    </w:p>
    <w:p w14:paraId="2AE1062E">
      <w:pPr>
        <w:keepNext w:val="0"/>
        <w:keepLines w:val="0"/>
        <w:pageBreakBefore w:val="0"/>
        <w:widowControl/>
        <w:kinsoku w:val="0"/>
        <w:wordWrap/>
        <w:overflowPunct/>
        <w:topLinePunct w:val="0"/>
        <w:autoSpaceDE w:val="0"/>
        <w:autoSpaceDN w:val="0"/>
        <w:bidi w:val="0"/>
        <w:adjustRightInd w:val="0"/>
        <w:snapToGrid w:val="0"/>
        <w:spacing w:before="157" w:line="299" w:lineRule="auto"/>
        <w:ind w:right="81" w:firstLine="477"/>
        <w:textAlignment w:val="baseline"/>
        <w:rPr>
          <w:rFonts w:hint="eastAsia" w:ascii="宋体" w:hAnsi="宋体" w:eastAsia="宋体" w:cs="宋体"/>
          <w:color w:val="auto"/>
          <w:spacing w:val="-2"/>
          <w:sz w:val="24"/>
          <w:szCs w:val="24"/>
          <w:highlight w:val="none"/>
          <w:lang w:eastAsia="zh-CN"/>
        </w:rPr>
        <w:sectPr>
          <w:headerReference r:id="rId7" w:type="default"/>
          <w:footerReference r:id="rId8" w:type="default"/>
          <w:pgSz w:w="11906" w:h="16839"/>
          <w:pgMar w:top="1440" w:right="946" w:bottom="1440" w:left="1080" w:header="0" w:footer="1023" w:gutter="0"/>
          <w:pgBorders>
            <w:top w:val="none" w:sz="0" w:space="0"/>
            <w:left w:val="none" w:sz="0" w:space="0"/>
            <w:bottom w:val="none" w:sz="0" w:space="0"/>
            <w:right w:val="none" w:sz="0" w:space="0"/>
          </w:pgBorders>
          <w:cols w:space="720" w:num="1"/>
        </w:sectPr>
      </w:pPr>
      <w:r>
        <w:rPr>
          <w:rFonts w:hint="eastAsia" w:ascii="宋体" w:hAnsi="宋体" w:eastAsia="宋体" w:cs="宋体"/>
          <w:color w:val="auto"/>
          <w:spacing w:val="-2"/>
          <w:sz w:val="24"/>
          <w:szCs w:val="24"/>
          <w:highlight w:val="none"/>
        </w:rPr>
        <w:t>⑨监督部门于韶关市公共交易一体化平台发现系统提示风险预警，如提示投标单位上传投标文件使用的电脑IP地址一致等</w:t>
      </w:r>
      <w:r>
        <w:rPr>
          <w:rFonts w:hint="eastAsia" w:ascii="宋体" w:hAnsi="宋体" w:eastAsia="宋体" w:cs="宋体"/>
          <w:color w:val="auto"/>
          <w:spacing w:val="-2"/>
          <w:sz w:val="24"/>
          <w:szCs w:val="24"/>
          <w:highlight w:val="none"/>
          <w:lang w:eastAsia="zh-CN"/>
        </w:rPr>
        <w:t>。</w:t>
      </w:r>
    </w:p>
    <w:p w14:paraId="592EEFA9">
      <w:pPr>
        <w:spacing w:before="78" w:line="220" w:lineRule="auto"/>
        <w:ind w:left="9"/>
        <w:jc w:val="center"/>
        <w:outlineLvl w:val="1"/>
        <w:rPr>
          <w:rFonts w:hint="eastAsia" w:ascii="宋体" w:hAnsi="宋体" w:eastAsia="宋体" w:cs="宋体"/>
          <w:color w:val="auto"/>
          <w:sz w:val="24"/>
          <w:szCs w:val="24"/>
          <w:highlight w:val="none"/>
        </w:rPr>
      </w:pPr>
      <w:bookmarkStart w:id="155" w:name="bookmark57"/>
      <w:bookmarkEnd w:id="155"/>
      <w:bookmarkStart w:id="156" w:name="_Toc4690"/>
      <w:r>
        <w:rPr>
          <w:rFonts w:hint="eastAsia" w:ascii="宋体" w:hAnsi="宋体" w:eastAsia="宋体" w:cs="宋体"/>
          <w:b/>
          <w:bCs/>
          <w:color w:val="auto"/>
          <w:spacing w:val="-3"/>
          <w:sz w:val="24"/>
          <w:szCs w:val="24"/>
          <w:highlight w:val="none"/>
        </w:rPr>
        <w:t>第</w:t>
      </w:r>
      <w:r>
        <w:rPr>
          <w:rFonts w:hint="eastAsia" w:ascii="宋体" w:hAnsi="宋体" w:eastAsia="宋体" w:cs="宋体"/>
          <w:b/>
          <w:bCs/>
          <w:color w:val="auto"/>
          <w:spacing w:val="-3"/>
          <w:sz w:val="24"/>
          <w:szCs w:val="24"/>
          <w:highlight w:val="none"/>
          <w:lang w:val="en-US" w:eastAsia="zh-CN"/>
        </w:rPr>
        <w:t>五</w:t>
      </w:r>
      <w:r>
        <w:rPr>
          <w:rFonts w:hint="eastAsia" w:ascii="宋体" w:hAnsi="宋体" w:eastAsia="宋体" w:cs="宋体"/>
          <w:b/>
          <w:bCs/>
          <w:color w:val="auto"/>
          <w:spacing w:val="-3"/>
          <w:sz w:val="24"/>
          <w:szCs w:val="24"/>
          <w:highlight w:val="none"/>
        </w:rPr>
        <w:t>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定标规定及细则（本项目采用票决数量法定标）</w:t>
      </w:r>
      <w:bookmarkEnd w:id="156"/>
    </w:p>
    <w:p w14:paraId="68BF1814">
      <w:pPr>
        <w:pStyle w:val="6"/>
        <w:spacing w:line="256" w:lineRule="auto"/>
        <w:rPr>
          <w:rFonts w:hint="eastAsia" w:ascii="宋体" w:hAnsi="宋体" w:eastAsia="宋体" w:cs="宋体"/>
          <w:color w:val="auto"/>
          <w:highlight w:val="none"/>
        </w:rPr>
      </w:pPr>
    </w:p>
    <w:p w14:paraId="10B417A3">
      <w:pPr>
        <w:keepNext w:val="0"/>
        <w:keepLines w:val="0"/>
        <w:pageBreakBefore w:val="0"/>
        <w:wordWrap/>
        <w:overflowPunct/>
        <w:topLinePunct w:val="0"/>
        <w:bidi w:val="0"/>
        <w:spacing w:line="360" w:lineRule="auto"/>
        <w:ind w:firstLine="482" w:firstLineChars="200"/>
        <w:rPr>
          <w:rStyle w:val="24"/>
          <w:rFonts w:hint="eastAsia" w:ascii="宋体" w:hAnsi="宋体" w:eastAsia="宋体" w:cs="宋体"/>
          <w:b/>
          <w:bCs/>
          <w:color w:val="auto"/>
          <w:kern w:val="0"/>
          <w:sz w:val="24"/>
          <w:szCs w:val="24"/>
          <w:highlight w:val="none"/>
        </w:rPr>
      </w:pPr>
      <w:r>
        <w:rPr>
          <w:rStyle w:val="24"/>
          <w:rFonts w:hint="eastAsia" w:hAnsi="宋体" w:eastAsia="宋体" w:cs="宋体"/>
          <w:b/>
          <w:bCs/>
          <w:color w:val="auto"/>
          <w:kern w:val="0"/>
          <w:sz w:val="24"/>
          <w:szCs w:val="24"/>
          <w:highlight w:val="none"/>
          <w:lang w:val="en-US" w:eastAsia="zh-CN"/>
        </w:rPr>
        <w:t>1.</w:t>
      </w:r>
      <w:r>
        <w:rPr>
          <w:rStyle w:val="24"/>
          <w:rFonts w:hint="eastAsia" w:ascii="宋体" w:hAnsi="宋体" w:eastAsia="宋体" w:cs="宋体"/>
          <w:b/>
          <w:bCs/>
          <w:color w:val="auto"/>
          <w:kern w:val="0"/>
          <w:sz w:val="24"/>
          <w:szCs w:val="24"/>
          <w:highlight w:val="none"/>
          <w:lang w:eastAsia="zh-CN"/>
        </w:rPr>
        <w:t>确定</w:t>
      </w:r>
      <w:r>
        <w:rPr>
          <w:rStyle w:val="24"/>
          <w:rFonts w:hint="eastAsia" w:ascii="宋体" w:hAnsi="宋体" w:eastAsia="宋体" w:cs="宋体"/>
          <w:b/>
          <w:bCs/>
          <w:color w:val="auto"/>
          <w:kern w:val="0"/>
          <w:sz w:val="24"/>
          <w:szCs w:val="24"/>
          <w:highlight w:val="none"/>
        </w:rPr>
        <w:t>定标时间</w:t>
      </w:r>
    </w:p>
    <w:p w14:paraId="7C93EC99">
      <w:pPr>
        <w:spacing w:line="360" w:lineRule="auto"/>
        <w:ind w:firstLine="480" w:firstLineChars="200"/>
        <w:rPr>
          <w:rStyle w:val="24"/>
          <w:highlight w:val="none"/>
        </w:rPr>
      </w:pPr>
      <w:r>
        <w:rPr>
          <w:rStyle w:val="24"/>
          <w:rFonts w:hint="eastAsia" w:ascii="宋体" w:hAnsi="宋体" w:eastAsia="宋体" w:cs="宋体"/>
          <w:color w:val="auto"/>
          <w:sz w:val="24"/>
          <w:szCs w:val="24"/>
          <w:highlight w:val="none"/>
          <w:lang w:eastAsia="zh-CN"/>
        </w:rPr>
        <w:t>招标人应自定标候选人公示期满后5个工作日内进入公共资源交易平台（与评标阶段公共资源交易平台相同）进行定标，定标委员会根据定标方案确定1名中标人或排名第1名至第3名的中标候选人，并向招标人提交书面定标报告，定标委员会全体成员在报告上签字确认。招标监督小组全员同时参加定标会议，全程监督，并在定标报告上的招标监督小组处签字。</w:t>
      </w:r>
      <w:r>
        <w:rPr>
          <w:rStyle w:val="24"/>
          <w:rFonts w:hint="default" w:ascii="宋体" w:hAnsi="宋体" w:eastAsia="宋体" w:cs="宋体"/>
          <w:color w:val="auto"/>
          <w:sz w:val="24"/>
          <w:szCs w:val="24"/>
          <w:highlight w:val="none"/>
          <w:lang w:val="en-US" w:eastAsia="zh-CN"/>
        </w:rPr>
        <w:t>项目业主单位</w:t>
      </w:r>
      <w:r>
        <w:rPr>
          <w:rStyle w:val="24"/>
          <w:rFonts w:hint="eastAsia" w:ascii="宋体" w:hAnsi="宋体" w:eastAsia="宋体" w:cs="宋体"/>
          <w:color w:val="auto"/>
          <w:sz w:val="24"/>
          <w:szCs w:val="24"/>
          <w:highlight w:val="none"/>
          <w:lang w:eastAsia="zh-CN"/>
        </w:rPr>
        <w:t>应对定标过程进行记录，形成定标会议记录，存档备查。定标会议全过程录音录像。招标人需要延期定标的，应通过公共资源交易平台公布延期原因和定标时间。</w:t>
      </w:r>
    </w:p>
    <w:p w14:paraId="5FB42728">
      <w:pPr>
        <w:keepNext w:val="0"/>
        <w:keepLines w:val="0"/>
        <w:pageBreakBefore w:val="0"/>
        <w:wordWrap/>
        <w:overflowPunct/>
        <w:topLinePunct w:val="0"/>
        <w:bidi w:val="0"/>
        <w:spacing w:line="360" w:lineRule="auto"/>
        <w:ind w:firstLine="482" w:firstLineChars="200"/>
        <w:rPr>
          <w:rStyle w:val="24"/>
          <w:rFonts w:hint="eastAsia" w:ascii="宋体" w:hAnsi="宋体" w:eastAsia="宋体" w:cs="宋体"/>
          <w:b/>
          <w:bCs/>
          <w:color w:val="auto"/>
          <w:kern w:val="0"/>
          <w:sz w:val="24"/>
          <w:szCs w:val="24"/>
          <w:highlight w:val="none"/>
          <w:lang w:eastAsia="zh-CN"/>
        </w:rPr>
      </w:pPr>
      <w:r>
        <w:rPr>
          <w:rStyle w:val="24"/>
          <w:rFonts w:hint="eastAsia" w:hAnsi="宋体" w:eastAsia="宋体" w:cs="宋体"/>
          <w:b/>
          <w:bCs/>
          <w:color w:val="auto"/>
          <w:kern w:val="0"/>
          <w:sz w:val="24"/>
          <w:szCs w:val="24"/>
          <w:highlight w:val="none"/>
          <w:lang w:val="en-US" w:eastAsia="zh-CN"/>
        </w:rPr>
        <w:t>2</w:t>
      </w:r>
      <w:r>
        <w:rPr>
          <w:rStyle w:val="24"/>
          <w:rFonts w:hint="eastAsia" w:ascii="宋体" w:hAnsi="宋体" w:eastAsia="宋体" w:cs="宋体"/>
          <w:b/>
          <w:bCs/>
          <w:color w:val="auto"/>
          <w:kern w:val="0"/>
          <w:sz w:val="24"/>
          <w:szCs w:val="24"/>
          <w:highlight w:val="none"/>
        </w:rPr>
        <w:t>.</w:t>
      </w:r>
      <w:r>
        <w:rPr>
          <w:rStyle w:val="24"/>
          <w:rFonts w:hint="eastAsia" w:ascii="宋体" w:hAnsi="宋体" w:eastAsia="宋体" w:cs="宋体"/>
          <w:b/>
          <w:bCs/>
          <w:color w:val="auto"/>
          <w:kern w:val="0"/>
          <w:sz w:val="24"/>
          <w:szCs w:val="24"/>
          <w:highlight w:val="none"/>
          <w:lang w:eastAsia="zh-CN"/>
        </w:rPr>
        <w:t>定标委员会</w:t>
      </w:r>
    </w:p>
    <w:p w14:paraId="3A417E6F">
      <w:pPr>
        <w:keepNext w:val="0"/>
        <w:keepLines w:val="0"/>
        <w:widowControl/>
        <w:suppressLineNumbers w:val="0"/>
        <w:spacing w:line="360" w:lineRule="auto"/>
        <w:ind w:firstLine="480" w:firstLineChars="200"/>
        <w:jc w:val="left"/>
        <w:rPr>
          <w:rStyle w:val="24"/>
          <w:rFonts w:hint="eastAsia" w:ascii="宋体" w:hAnsi="宋体" w:eastAsia="宋体" w:cs="宋体"/>
          <w:color w:val="auto"/>
          <w:sz w:val="24"/>
          <w:szCs w:val="24"/>
          <w:highlight w:val="none"/>
          <w:lang w:eastAsia="zh-CN"/>
        </w:rPr>
      </w:pPr>
      <w:r>
        <w:rPr>
          <w:rStyle w:val="24"/>
          <w:rFonts w:hint="eastAsia" w:ascii="宋体" w:hAnsi="宋体" w:eastAsia="宋体" w:cs="宋体"/>
          <w:color w:val="auto"/>
          <w:sz w:val="24"/>
          <w:szCs w:val="24"/>
          <w:highlight w:val="none"/>
          <w:lang w:eastAsia="zh-CN"/>
        </w:rPr>
        <w:t>2.1</w:t>
      </w:r>
      <w:r>
        <w:rPr>
          <w:rStyle w:val="24"/>
          <w:rFonts w:hint="eastAsia" w:ascii="宋体" w:hAnsi="宋体" w:eastAsia="宋体" w:cs="宋体"/>
          <w:color w:val="auto"/>
          <w:sz w:val="24"/>
          <w:szCs w:val="24"/>
          <w:highlight w:val="none"/>
          <w:lang w:val="en-US" w:eastAsia="zh-CN"/>
        </w:rPr>
        <w:t>项目定标委员会成员数量为7人以上单数，定标委员会成员会按照《</w:t>
      </w:r>
      <w:r>
        <w:rPr>
          <w:rStyle w:val="24"/>
          <w:rFonts w:hint="eastAsia" w:ascii="宋体" w:hAnsi="宋体" w:eastAsia="宋体" w:cs="宋体"/>
          <w:color w:val="auto"/>
          <w:sz w:val="24"/>
          <w:szCs w:val="24"/>
          <w:highlight w:val="none"/>
          <w:lang w:eastAsia="zh-CN"/>
        </w:rPr>
        <w:t>韶关市金财投资集团有限公司房屋建筑和市政基础设施工程招标投标“评定分离” 工作实施办法（试行）》</w:t>
      </w:r>
      <w:r>
        <w:rPr>
          <w:rStyle w:val="24"/>
          <w:rFonts w:hint="eastAsia" w:ascii="宋体" w:hAnsi="宋体" w:eastAsia="宋体" w:cs="宋体"/>
          <w:color w:val="auto"/>
          <w:sz w:val="24"/>
          <w:szCs w:val="24"/>
          <w:highlight w:val="none"/>
          <w:lang w:val="en-US" w:eastAsia="zh-CN"/>
        </w:rPr>
        <w:t>确定。</w:t>
      </w:r>
    </w:p>
    <w:p w14:paraId="139597F1">
      <w:pPr>
        <w:spacing w:line="360" w:lineRule="auto"/>
        <w:ind w:firstLine="480" w:firstLineChars="200"/>
        <w:rPr>
          <w:rStyle w:val="24"/>
          <w:rFonts w:hint="eastAsia" w:ascii="宋体" w:hAnsi="宋体" w:eastAsia="宋体" w:cs="宋体"/>
          <w:color w:val="auto"/>
          <w:sz w:val="24"/>
          <w:szCs w:val="24"/>
          <w:highlight w:val="none"/>
          <w:lang w:eastAsia="zh-CN"/>
        </w:rPr>
      </w:pPr>
      <w:r>
        <w:rPr>
          <w:rStyle w:val="24"/>
          <w:rFonts w:hint="eastAsia" w:ascii="宋体" w:hAnsi="宋体" w:eastAsia="宋体" w:cs="宋体"/>
          <w:color w:val="auto"/>
          <w:sz w:val="24"/>
          <w:szCs w:val="24"/>
          <w:highlight w:val="none"/>
          <w:lang w:eastAsia="zh-CN"/>
        </w:rPr>
        <w:t>2.2定标委员会应当根据招标文件规定的定标方法和细则，对定标候选人进行系统的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6CF2A3DB">
      <w:pPr>
        <w:spacing w:line="360" w:lineRule="auto"/>
        <w:ind w:firstLine="480" w:firstLineChars="200"/>
        <w:rPr>
          <w:rStyle w:val="24"/>
          <w:rFonts w:hint="eastAsia" w:ascii="宋体" w:hAnsi="宋体" w:eastAsia="宋体" w:cs="宋体"/>
          <w:color w:val="auto"/>
          <w:sz w:val="24"/>
          <w:szCs w:val="24"/>
          <w:highlight w:val="none"/>
          <w:lang w:eastAsia="zh-CN"/>
        </w:rPr>
      </w:pPr>
      <w:r>
        <w:rPr>
          <w:rStyle w:val="24"/>
          <w:rFonts w:hint="eastAsia" w:ascii="宋体" w:hAnsi="宋体" w:eastAsia="宋体" w:cs="宋体"/>
          <w:color w:val="auto"/>
          <w:sz w:val="24"/>
          <w:szCs w:val="24"/>
          <w:highlight w:val="none"/>
          <w:lang w:eastAsia="zh-CN"/>
        </w:rPr>
        <w:t>2.3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690E8EBF">
      <w:pPr>
        <w:keepNext w:val="0"/>
        <w:keepLines w:val="0"/>
        <w:pageBreakBefore w:val="0"/>
        <w:wordWrap/>
        <w:overflowPunct/>
        <w:topLinePunct w:val="0"/>
        <w:bidi w:val="0"/>
        <w:spacing w:line="360" w:lineRule="auto"/>
        <w:ind w:firstLine="482" w:firstLineChars="200"/>
        <w:rPr>
          <w:rStyle w:val="24"/>
          <w:rFonts w:hint="eastAsia" w:ascii="宋体" w:hAnsi="宋体" w:eastAsia="宋体" w:cs="宋体"/>
          <w:b/>
          <w:bCs/>
          <w:color w:val="auto"/>
          <w:kern w:val="0"/>
          <w:sz w:val="24"/>
          <w:szCs w:val="24"/>
          <w:highlight w:val="none"/>
          <w:lang w:val="en-US" w:eastAsia="zh-CN"/>
        </w:rPr>
      </w:pPr>
      <w:r>
        <w:rPr>
          <w:rStyle w:val="24"/>
          <w:rFonts w:hint="eastAsia" w:hAnsi="宋体" w:eastAsia="宋体" w:cs="宋体"/>
          <w:b/>
          <w:bCs/>
          <w:color w:val="auto"/>
          <w:kern w:val="0"/>
          <w:sz w:val="24"/>
          <w:szCs w:val="24"/>
          <w:highlight w:val="none"/>
          <w:lang w:val="en-US" w:eastAsia="zh-CN"/>
        </w:rPr>
        <w:t>3</w:t>
      </w:r>
      <w:r>
        <w:rPr>
          <w:rStyle w:val="24"/>
          <w:rFonts w:hint="eastAsia" w:ascii="宋体" w:hAnsi="宋体" w:eastAsia="宋体" w:cs="宋体"/>
          <w:b/>
          <w:bCs/>
          <w:color w:val="auto"/>
          <w:kern w:val="0"/>
          <w:sz w:val="24"/>
          <w:szCs w:val="24"/>
          <w:highlight w:val="none"/>
        </w:rPr>
        <w:t>.</w:t>
      </w:r>
      <w:r>
        <w:rPr>
          <w:rStyle w:val="24"/>
          <w:rFonts w:hint="eastAsia" w:ascii="宋体" w:hAnsi="宋体" w:eastAsia="宋体" w:cs="宋体"/>
          <w:b/>
          <w:bCs/>
          <w:color w:val="auto"/>
          <w:kern w:val="0"/>
          <w:sz w:val="24"/>
          <w:szCs w:val="24"/>
          <w:highlight w:val="none"/>
          <w:lang w:val="en-US" w:eastAsia="zh-CN"/>
        </w:rPr>
        <w:t>组建招标监督小组</w:t>
      </w:r>
    </w:p>
    <w:p w14:paraId="68BB7881">
      <w:pPr>
        <w:keepNext w:val="0"/>
        <w:keepLines w:val="0"/>
        <w:widowControl/>
        <w:suppressLineNumbers w:val="0"/>
        <w:spacing w:line="360" w:lineRule="auto"/>
        <w:ind w:firstLine="480" w:firstLineChars="200"/>
        <w:jc w:val="left"/>
        <w:rPr>
          <w:rStyle w:val="24"/>
          <w:rFonts w:hint="eastAsia" w:ascii="宋体" w:hAnsi="宋体" w:eastAsia="宋体" w:cs="宋体"/>
          <w:color w:val="auto"/>
          <w:sz w:val="24"/>
          <w:szCs w:val="24"/>
          <w:highlight w:val="none"/>
          <w:lang w:eastAsia="zh-CN"/>
        </w:rPr>
      </w:pPr>
      <w:r>
        <w:rPr>
          <w:rStyle w:val="24"/>
          <w:rFonts w:hint="eastAsia" w:ascii="宋体" w:hAnsi="宋体" w:eastAsia="宋体" w:cs="宋体"/>
          <w:color w:val="auto"/>
          <w:sz w:val="24"/>
          <w:szCs w:val="24"/>
          <w:highlight w:val="none"/>
          <w:lang w:val="en-US" w:eastAsia="zh-CN"/>
        </w:rPr>
        <w:t>项目招标监督小组原则上由不少于 3 人组成，招标监督小组成员按照《</w:t>
      </w:r>
      <w:r>
        <w:rPr>
          <w:rStyle w:val="24"/>
          <w:rFonts w:hint="eastAsia" w:ascii="宋体" w:hAnsi="宋体" w:eastAsia="宋体" w:cs="宋体"/>
          <w:color w:val="auto"/>
          <w:sz w:val="24"/>
          <w:szCs w:val="24"/>
          <w:highlight w:val="none"/>
          <w:lang w:eastAsia="zh-CN"/>
        </w:rPr>
        <w:t>韶关市金财投资集团有限公司房屋建筑和市政基础设施工程招标投标“评定分离” 工作实施办法（试行）》</w:t>
      </w:r>
      <w:r>
        <w:rPr>
          <w:rStyle w:val="24"/>
          <w:rFonts w:hint="eastAsia" w:ascii="宋体" w:hAnsi="宋体" w:eastAsia="宋体" w:cs="宋体"/>
          <w:color w:val="auto"/>
          <w:sz w:val="24"/>
          <w:szCs w:val="24"/>
          <w:highlight w:val="none"/>
          <w:lang w:val="en-US" w:eastAsia="zh-CN"/>
        </w:rPr>
        <w:t>确定。</w:t>
      </w:r>
    </w:p>
    <w:p w14:paraId="7D9B31AD">
      <w:pPr>
        <w:keepNext w:val="0"/>
        <w:keepLines w:val="0"/>
        <w:pageBreakBefore w:val="0"/>
        <w:wordWrap/>
        <w:overflowPunct/>
        <w:topLinePunct w:val="0"/>
        <w:bidi w:val="0"/>
        <w:spacing w:line="360" w:lineRule="auto"/>
        <w:ind w:firstLine="482" w:firstLineChars="200"/>
        <w:jc w:val="left"/>
        <w:rPr>
          <w:rStyle w:val="24"/>
          <w:rFonts w:hint="eastAsia" w:ascii="宋体" w:hAnsi="宋体" w:eastAsia="宋体" w:cs="宋体"/>
          <w:b/>
          <w:bCs/>
          <w:color w:val="auto"/>
          <w:kern w:val="0"/>
          <w:sz w:val="24"/>
          <w:szCs w:val="24"/>
          <w:highlight w:val="none"/>
          <w:lang w:eastAsia="zh-CN"/>
        </w:rPr>
      </w:pPr>
      <w:r>
        <w:rPr>
          <w:rStyle w:val="24"/>
          <w:rFonts w:hint="eastAsia" w:hAnsi="宋体" w:eastAsia="宋体" w:cs="宋体"/>
          <w:b/>
          <w:bCs/>
          <w:color w:val="auto"/>
          <w:kern w:val="0"/>
          <w:sz w:val="24"/>
          <w:szCs w:val="24"/>
          <w:highlight w:val="none"/>
          <w:lang w:val="en-US" w:eastAsia="zh-CN"/>
        </w:rPr>
        <w:t>4</w:t>
      </w:r>
      <w:r>
        <w:rPr>
          <w:rStyle w:val="24"/>
          <w:rFonts w:hint="eastAsia" w:ascii="宋体" w:hAnsi="宋体" w:eastAsia="宋体" w:cs="宋体"/>
          <w:b/>
          <w:bCs/>
          <w:color w:val="auto"/>
          <w:kern w:val="0"/>
          <w:sz w:val="24"/>
          <w:szCs w:val="24"/>
          <w:highlight w:val="none"/>
        </w:rPr>
        <w:t>.</w:t>
      </w:r>
      <w:r>
        <w:rPr>
          <w:rStyle w:val="24"/>
          <w:rFonts w:hint="eastAsia" w:ascii="宋体" w:hAnsi="宋体" w:eastAsia="宋体" w:cs="宋体"/>
          <w:b/>
          <w:bCs/>
          <w:color w:val="auto"/>
          <w:kern w:val="0"/>
          <w:sz w:val="24"/>
          <w:szCs w:val="24"/>
          <w:highlight w:val="none"/>
          <w:lang w:eastAsia="zh-CN"/>
        </w:rPr>
        <w:t>定标办法</w:t>
      </w:r>
    </w:p>
    <w:p w14:paraId="7DD44814">
      <w:pPr>
        <w:spacing w:line="360" w:lineRule="auto"/>
        <w:ind w:firstLine="480" w:firstLineChars="200"/>
        <w:rPr>
          <w:rStyle w:val="24"/>
          <w:rFonts w:hint="eastAsia" w:ascii="宋体" w:hAnsi="宋体" w:eastAsia="宋体" w:cs="宋体"/>
          <w:color w:val="auto"/>
          <w:sz w:val="24"/>
          <w:szCs w:val="24"/>
          <w:highlight w:val="none"/>
          <w:lang w:eastAsia="zh-CN"/>
        </w:rPr>
      </w:pPr>
      <w:r>
        <w:rPr>
          <w:rStyle w:val="24"/>
          <w:rFonts w:hint="eastAsia" w:ascii="宋体" w:hAnsi="宋体" w:eastAsia="宋体" w:cs="宋体"/>
          <w:color w:val="auto"/>
          <w:sz w:val="24"/>
          <w:szCs w:val="24"/>
          <w:highlight w:val="none"/>
          <w:lang w:eastAsia="zh-CN"/>
        </w:rPr>
        <w:t>定标办法由招标人按本投标人须知前附表的规定确定（只能选定其中一种定标办法）。</w:t>
      </w:r>
    </w:p>
    <w:p w14:paraId="2E09F1EC">
      <w:pPr>
        <w:keepNext w:val="0"/>
        <w:keepLines w:val="0"/>
        <w:pageBreakBefore w:val="0"/>
        <w:wordWrap/>
        <w:overflowPunct/>
        <w:topLinePunct w:val="0"/>
        <w:bidi w:val="0"/>
        <w:spacing w:line="360" w:lineRule="auto"/>
        <w:ind w:firstLine="480" w:firstLineChars="200"/>
        <w:rPr>
          <w:rFonts w:hint="eastAsia"/>
          <w:color w:val="auto"/>
          <w:sz w:val="24"/>
          <w:szCs w:val="24"/>
          <w:highlight w:val="none"/>
        </w:rPr>
      </w:pPr>
      <w:bookmarkStart w:id="157" w:name="OLE_LINK3"/>
      <w:r>
        <w:rPr>
          <w:rFonts w:hint="eastAsia"/>
          <w:b/>
          <w:bCs/>
          <w:color w:val="auto"/>
          <w:sz w:val="24"/>
          <w:szCs w:val="24"/>
          <w:highlight w:val="none"/>
          <w:lang w:val="en-US" w:eastAsia="zh-CN"/>
        </w:rPr>
        <w:t>本项目</w:t>
      </w:r>
      <w:bookmarkEnd w:id="157"/>
      <w:r>
        <w:rPr>
          <w:rFonts w:hint="eastAsia"/>
          <w:b/>
          <w:bCs/>
          <w:color w:val="auto"/>
          <w:sz w:val="24"/>
          <w:szCs w:val="24"/>
          <w:highlight w:val="none"/>
          <w:lang w:val="en-US" w:eastAsia="zh-CN"/>
        </w:rPr>
        <w:t>采用票决数量法定标。</w:t>
      </w:r>
    </w:p>
    <w:p w14:paraId="7DC142B9">
      <w:pPr>
        <w:keepNext w:val="0"/>
        <w:keepLines w:val="0"/>
        <w:pageBreakBefore w:val="0"/>
        <w:wordWrap/>
        <w:overflowPunct/>
        <w:topLinePunct w:val="0"/>
        <w:bidi w:val="0"/>
        <w:spacing w:line="360" w:lineRule="auto"/>
        <w:ind w:firstLine="482" w:firstLineChars="200"/>
        <w:rPr>
          <w:rStyle w:val="24"/>
          <w:rFonts w:hint="eastAsia" w:hAnsi="宋体" w:eastAsia="宋体" w:cs="宋体"/>
          <w:b/>
          <w:bCs/>
          <w:color w:val="auto"/>
          <w:kern w:val="0"/>
          <w:sz w:val="24"/>
          <w:szCs w:val="24"/>
          <w:highlight w:val="none"/>
          <w:lang w:val="en-US" w:eastAsia="zh-CN"/>
        </w:rPr>
      </w:pPr>
      <w:r>
        <w:rPr>
          <w:rStyle w:val="24"/>
          <w:rFonts w:hint="eastAsia" w:hAnsi="宋体" w:eastAsia="宋体" w:cs="宋体"/>
          <w:b/>
          <w:bCs/>
          <w:color w:val="auto"/>
          <w:kern w:val="0"/>
          <w:sz w:val="24"/>
          <w:szCs w:val="24"/>
          <w:highlight w:val="none"/>
          <w:lang w:val="en-US" w:eastAsia="zh-CN"/>
        </w:rPr>
        <w:t>5.定标细则</w:t>
      </w:r>
    </w:p>
    <w:p w14:paraId="21B82FE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5.1票决数量法程序</w:t>
      </w:r>
    </w:p>
    <w:p w14:paraId="322D43F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14:paraId="40D9E50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5.1.1.</w:t>
      </w:r>
      <w:r>
        <w:rPr>
          <w:rFonts w:hint="eastAsia" w:ascii="宋体" w:hAnsi="宋体" w:eastAsia="宋体" w:cs="宋体"/>
          <w:b/>
          <w:bCs/>
          <w:color w:val="auto"/>
          <w:sz w:val="24"/>
          <w:szCs w:val="24"/>
          <w:highlight w:val="none"/>
          <w:u w:val="none"/>
          <w:shd w:val="clear" w:color="auto" w:fill="FFFFFF"/>
        </w:rPr>
        <w:t>项目情况介绍</w:t>
      </w:r>
    </w:p>
    <w:p w14:paraId="31594E7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2B63202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5.1.2.</w:t>
      </w:r>
      <w:r>
        <w:rPr>
          <w:rFonts w:hint="eastAsia" w:ascii="宋体" w:hAnsi="宋体" w:eastAsia="宋体" w:cs="宋体"/>
          <w:b/>
          <w:bCs/>
          <w:color w:val="auto"/>
          <w:sz w:val="24"/>
          <w:szCs w:val="24"/>
          <w:highlight w:val="none"/>
          <w:u w:val="none"/>
          <w:shd w:val="clear" w:color="auto" w:fill="FFFFFF"/>
        </w:rPr>
        <w:t>审阅定标资料</w:t>
      </w:r>
    </w:p>
    <w:p w14:paraId="65146BA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28D62039">
      <w:pPr>
        <w:pStyle w:val="14"/>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5.1.3.</w:t>
      </w:r>
      <w:r>
        <w:rPr>
          <w:rFonts w:hint="eastAsia" w:ascii="宋体" w:hAnsi="宋体" w:eastAsia="宋体" w:cs="宋体"/>
          <w:b/>
          <w:bCs/>
          <w:color w:val="auto"/>
          <w:sz w:val="24"/>
          <w:szCs w:val="24"/>
          <w:highlight w:val="none"/>
          <w:u w:val="none"/>
          <w:shd w:val="clear" w:color="auto" w:fill="FFFFFF"/>
        </w:rPr>
        <w:t>疑问澄清</w:t>
      </w:r>
    </w:p>
    <w:p w14:paraId="7F6080F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2116CA6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5.1.4.投票，收票，点票和汇总</w:t>
      </w:r>
    </w:p>
    <w:p w14:paraId="3D9FAC9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358DA39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5.1.5.公布结果和出具定标报告</w:t>
      </w:r>
    </w:p>
    <w:p w14:paraId="6F04ECF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73597560">
      <w:pPr>
        <w:pStyle w:val="14"/>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5.1.6.</w:t>
      </w:r>
      <w:r>
        <w:rPr>
          <w:rFonts w:hint="eastAsia" w:ascii="宋体" w:hAnsi="宋体" w:eastAsia="宋体" w:cs="宋体"/>
          <w:b/>
          <w:bCs/>
          <w:color w:val="auto"/>
          <w:sz w:val="24"/>
          <w:szCs w:val="24"/>
          <w:highlight w:val="none"/>
          <w:u w:val="none"/>
          <w:shd w:val="clear" w:color="auto" w:fill="FFFFFF"/>
        </w:rPr>
        <w:t>全程监督</w:t>
      </w:r>
    </w:p>
    <w:p w14:paraId="42C77B4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6C6211A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5.2定标因素</w:t>
      </w:r>
    </w:p>
    <w:p w14:paraId="546EFB8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定标因素和相对标准有以下几个方面：</w:t>
      </w:r>
    </w:p>
    <w:p w14:paraId="6264BCE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（1）拟派团队管理能力与水平（履约能力）</w:t>
      </w:r>
    </w:p>
    <w:p w14:paraId="088F27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14:paraId="0AD9522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（2）企业信誉与行业诚信情况</w:t>
      </w:r>
    </w:p>
    <w:p w14:paraId="4205928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i w:val="0"/>
          <w:iCs w:val="0"/>
          <w:caps w:val="0"/>
          <w:color w:val="auto"/>
          <w:spacing w:val="0"/>
          <w:sz w:val="24"/>
          <w:szCs w:val="24"/>
          <w:highlight w:val="none"/>
          <w:u w:val="none" w:color="auto"/>
          <w:shd w:val="clear"/>
          <w:lang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w:t>
      </w:r>
      <w:r>
        <w:rPr>
          <w:rFonts w:hint="eastAsia" w:ascii="宋体" w:hAnsi="宋体" w:eastAsia="宋体" w:cs="宋体"/>
          <w:i w:val="0"/>
          <w:iCs w:val="0"/>
          <w:caps w:val="0"/>
          <w:color w:val="auto"/>
          <w:spacing w:val="0"/>
          <w:sz w:val="24"/>
          <w:szCs w:val="24"/>
          <w:highlight w:val="none"/>
          <w:u w:val="none" w:color="auto"/>
          <w:shd w:val="clear" w:fill="auto"/>
          <w:lang w:eastAsia="zh-CN"/>
        </w:rPr>
        <w:t>企业信誉</w:t>
      </w:r>
      <w:r>
        <w:rPr>
          <w:rFonts w:hint="eastAsia" w:ascii="宋体" w:hAnsi="宋体" w:eastAsia="宋体" w:cs="宋体"/>
          <w:i w:val="0"/>
          <w:iCs w:val="0"/>
          <w:caps w:val="0"/>
          <w:color w:val="auto"/>
          <w:spacing w:val="0"/>
          <w:sz w:val="24"/>
          <w:szCs w:val="24"/>
          <w:highlight w:val="none"/>
          <w:u w:val="none" w:color="auto"/>
          <w:shd w:val="clear"/>
          <w:lang w:val="en-US" w:eastAsia="zh-CN"/>
        </w:rPr>
        <w:t>评价好</w:t>
      </w:r>
      <w:r>
        <w:rPr>
          <w:rFonts w:hint="eastAsia" w:ascii="宋体" w:hAnsi="宋体" w:eastAsia="宋体" w:cs="宋体"/>
          <w:i w:val="0"/>
          <w:iCs w:val="0"/>
          <w:caps w:val="0"/>
          <w:color w:val="auto"/>
          <w:spacing w:val="0"/>
          <w:sz w:val="24"/>
          <w:szCs w:val="24"/>
          <w:highlight w:val="none"/>
          <w:u w:val="none" w:color="auto"/>
          <w:shd w:val="clear" w:fill="auto"/>
          <w:lang w:eastAsia="zh-CN"/>
        </w:rPr>
        <w:t>、行业诚信度高、管理体系成熟的定标候选人优于一般的定标候选人。</w:t>
      </w:r>
    </w:p>
    <w:p w14:paraId="394C8F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i w:val="0"/>
          <w:iCs w:val="0"/>
          <w:caps w:val="0"/>
          <w:color w:val="auto"/>
          <w:spacing w:val="0"/>
          <w:sz w:val="24"/>
          <w:szCs w:val="24"/>
          <w:highlight w:val="none"/>
          <w:u w:val="none" w:color="auto"/>
          <w:shd w:val="clear"/>
          <w:lang w:eastAsia="zh-CN"/>
        </w:rPr>
      </w:pPr>
      <w:r>
        <w:rPr>
          <w:rFonts w:hint="eastAsia" w:ascii="宋体" w:hAnsi="宋体" w:eastAsia="宋体" w:cs="宋体"/>
          <w:i w:val="0"/>
          <w:iCs w:val="0"/>
          <w:caps w:val="0"/>
          <w:color w:val="auto"/>
          <w:spacing w:val="0"/>
          <w:sz w:val="24"/>
          <w:szCs w:val="24"/>
          <w:highlight w:val="none"/>
          <w:u w:val="none" w:color="auto"/>
          <w:shd w:val="clear"/>
          <w:lang w:eastAsia="zh-CN"/>
        </w:rPr>
        <w:t>（</w:t>
      </w:r>
      <w:r>
        <w:rPr>
          <w:rFonts w:hint="eastAsia" w:ascii="宋体" w:hAnsi="宋体" w:eastAsia="宋体" w:cs="宋体"/>
          <w:i w:val="0"/>
          <w:iCs w:val="0"/>
          <w:caps w:val="0"/>
          <w:color w:val="auto"/>
          <w:spacing w:val="0"/>
          <w:sz w:val="24"/>
          <w:szCs w:val="24"/>
          <w:highlight w:val="none"/>
          <w:u w:val="none" w:color="auto"/>
          <w:shd w:val="clear"/>
          <w:lang w:val="en-US" w:eastAsia="zh-CN"/>
        </w:rPr>
        <w:t>3</w:t>
      </w:r>
      <w:r>
        <w:rPr>
          <w:rFonts w:hint="eastAsia" w:ascii="宋体" w:hAnsi="宋体" w:eastAsia="宋体" w:cs="宋体"/>
          <w:i w:val="0"/>
          <w:iCs w:val="0"/>
          <w:caps w:val="0"/>
          <w:color w:val="auto"/>
          <w:spacing w:val="0"/>
          <w:sz w:val="24"/>
          <w:szCs w:val="24"/>
          <w:highlight w:val="none"/>
          <w:u w:val="none" w:color="auto"/>
          <w:shd w:val="clear"/>
          <w:lang w:eastAsia="zh-CN"/>
        </w:rPr>
        <w:t>）</w:t>
      </w:r>
      <w:r>
        <w:rPr>
          <w:rFonts w:hint="eastAsia" w:ascii="宋体" w:hAnsi="宋体" w:eastAsia="宋体" w:cs="宋体"/>
          <w:i w:val="0"/>
          <w:iCs w:val="0"/>
          <w:caps w:val="0"/>
          <w:color w:val="auto"/>
          <w:spacing w:val="0"/>
          <w:sz w:val="24"/>
          <w:szCs w:val="24"/>
          <w:highlight w:val="none"/>
          <w:u w:val="none" w:color="auto"/>
          <w:shd w:val="clear" w:fill="auto"/>
          <w:lang w:eastAsia="zh-CN"/>
        </w:rPr>
        <w:t>企业综合实力与资金保障能力</w:t>
      </w:r>
    </w:p>
    <w:p w14:paraId="746214B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420" w:leftChars="200" w:right="0" w:rightChars="0" w:firstLine="0" w:firstLineChars="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w:t>
      </w:r>
      <w:r>
        <w:rPr>
          <w:rFonts w:hint="eastAsia" w:ascii="宋体" w:hAnsi="宋体" w:eastAsia="宋体" w:cs="宋体"/>
          <w:i w:val="0"/>
          <w:iCs w:val="0"/>
          <w:caps w:val="0"/>
          <w:color w:val="auto"/>
          <w:spacing w:val="0"/>
          <w:sz w:val="24"/>
          <w:szCs w:val="24"/>
          <w:highlight w:val="none"/>
          <w:u w:val="none" w:color="auto"/>
          <w:shd w:val="clear" w:fill="auto"/>
          <w:lang w:eastAsia="zh-CN"/>
        </w:rPr>
        <w:t>企业综合实力强、资金保障能力强、抗风险能力强的定标候选人优于一般的定标候选人。</w:t>
      </w:r>
    </w:p>
    <w:p w14:paraId="57DDE2D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宋体" w:hAnsi="宋体" w:eastAsia="宋体" w:cs="宋体"/>
          <w:b w:val="0"/>
          <w:bCs w:val="0"/>
          <w:strike w:val="0"/>
          <w:color w:val="auto"/>
          <w:spacing w:val="0"/>
          <w:position w:val="0"/>
          <w:sz w:val="24"/>
          <w:szCs w:val="24"/>
          <w:highlight w:val="none"/>
          <w:u w:val="none" w:color="auto"/>
          <w:lang w:val="en-US" w:eastAsia="zh-CN"/>
        </w:rPr>
      </w:pPr>
      <w:r>
        <w:rPr>
          <w:rFonts w:hint="eastAsia" w:ascii="宋体" w:hAnsi="宋体" w:eastAsia="宋体" w:cs="宋体"/>
          <w:b w:val="0"/>
          <w:bCs w:val="0"/>
          <w:strike w:val="0"/>
          <w:color w:val="auto"/>
          <w:spacing w:val="0"/>
          <w:position w:val="0"/>
          <w:sz w:val="24"/>
          <w:szCs w:val="24"/>
          <w:highlight w:val="none"/>
          <w:u w:val="none" w:color="auto"/>
          <w:lang w:val="en-US" w:eastAsia="zh-CN"/>
        </w:rPr>
        <w:t>（4）</w:t>
      </w:r>
      <w:r>
        <w:rPr>
          <w:rFonts w:hint="eastAsia" w:ascii="宋体" w:hAnsi="宋体" w:eastAsia="宋体" w:cs="宋体"/>
          <w:i w:val="0"/>
          <w:iCs w:val="0"/>
          <w:caps w:val="0"/>
          <w:color w:val="auto"/>
          <w:spacing w:val="0"/>
          <w:sz w:val="24"/>
          <w:szCs w:val="24"/>
          <w:highlight w:val="none"/>
          <w:u w:val="none" w:color="auto"/>
          <w:shd w:val="clear" w:fill="auto"/>
          <w:lang w:eastAsia="zh-CN"/>
        </w:rPr>
        <w:t>主要材料品牌选用与履约承诺</w:t>
      </w:r>
    </w:p>
    <w:p w14:paraId="6929129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宋体" w:hAnsi="宋体" w:eastAsia="宋体" w:cs="宋体"/>
          <w:b w:val="0"/>
          <w:bCs w:val="0"/>
          <w:strike w:val="0"/>
          <w:color w:val="auto"/>
          <w:spacing w:val="0"/>
          <w:position w:val="0"/>
          <w:sz w:val="24"/>
          <w:szCs w:val="24"/>
          <w:highlight w:val="none"/>
          <w:u w:val="none" w:color="auto"/>
          <w:lang w:val="en-US" w:eastAsia="zh-CN"/>
        </w:rPr>
      </w:pPr>
      <w:r>
        <w:rPr>
          <w:rFonts w:hint="eastAsia" w:ascii="宋体" w:hAnsi="宋体" w:eastAsia="宋体" w:cs="宋体"/>
          <w:b w:val="0"/>
          <w:bCs w:val="0"/>
          <w:strike w:val="0"/>
          <w:color w:val="auto"/>
          <w:spacing w:val="0"/>
          <w:position w:val="0"/>
          <w:sz w:val="24"/>
          <w:szCs w:val="24"/>
          <w:highlight w:val="none"/>
          <w:u w:val="none" w:color="auto"/>
          <w:lang w:val="en-US" w:eastAsia="zh-CN"/>
        </w:rPr>
        <w:t>相对标准</w:t>
      </w:r>
      <w:r>
        <w:rPr>
          <w:rFonts w:hint="eastAsia" w:ascii="宋体" w:hAnsi="宋体" w:eastAsia="宋体" w:cs="宋体"/>
          <w:b w:val="0"/>
          <w:bCs w:val="0"/>
          <w:strike w:val="0"/>
          <w:color w:val="auto"/>
          <w:spacing w:val="0"/>
          <w:position w:val="0"/>
          <w:sz w:val="24"/>
          <w:szCs w:val="24"/>
          <w:highlight w:val="none"/>
          <w:u w:val="none" w:color="auto"/>
          <w:shd w:val="clear" w:fill="auto"/>
          <w:lang w:val="en-US" w:eastAsia="zh-CN"/>
        </w:rPr>
        <w:t>：</w:t>
      </w:r>
      <w:r>
        <w:rPr>
          <w:rFonts w:hint="eastAsia" w:ascii="宋体" w:hAnsi="宋体" w:eastAsia="宋体" w:cs="宋体"/>
          <w:i w:val="0"/>
          <w:iCs w:val="0"/>
          <w:caps w:val="0"/>
          <w:color w:val="auto"/>
          <w:spacing w:val="0"/>
          <w:sz w:val="24"/>
          <w:szCs w:val="24"/>
          <w:highlight w:val="none"/>
          <w:u w:val="none" w:color="auto"/>
          <w:shd w:val="clear" w:fill="auto"/>
          <w:lang w:eastAsia="zh-CN"/>
        </w:rPr>
        <w:t>拟投入的主要材料若选用技术参数、质量性能相当于或优于招标工程量清单参考品牌</w:t>
      </w:r>
      <w:r>
        <w:rPr>
          <w:rFonts w:hint="eastAsia" w:ascii="宋体" w:hAnsi="宋体" w:eastAsia="宋体" w:cs="宋体"/>
          <w:i w:val="0"/>
          <w:iCs w:val="0"/>
          <w:caps w:val="0"/>
          <w:color w:val="auto"/>
          <w:spacing w:val="0"/>
          <w:sz w:val="24"/>
          <w:szCs w:val="24"/>
          <w:highlight w:val="none"/>
          <w:u w:val="none" w:color="auto"/>
          <w:shd w:val="clear" w:fill="auto"/>
          <w:lang w:val="en-US" w:eastAsia="zh-CN"/>
        </w:rPr>
        <w:t>的</w:t>
      </w:r>
      <w:r>
        <w:rPr>
          <w:rFonts w:hint="eastAsia" w:ascii="宋体" w:hAnsi="宋体" w:eastAsia="宋体" w:cs="宋体"/>
          <w:i w:val="0"/>
          <w:iCs w:val="0"/>
          <w:caps w:val="0"/>
          <w:color w:val="auto"/>
          <w:spacing w:val="0"/>
          <w:sz w:val="24"/>
          <w:szCs w:val="24"/>
          <w:highlight w:val="none"/>
          <w:u w:val="none" w:color="auto"/>
          <w:shd w:val="clear" w:fill="auto"/>
          <w:lang w:eastAsia="zh-CN"/>
        </w:rPr>
        <w:t>，且提供真实、有效、可追溯的履约承诺（</w:t>
      </w:r>
      <w:r>
        <w:rPr>
          <w:rFonts w:hint="eastAsia" w:ascii="宋体" w:hAnsi="宋体" w:eastAsia="宋体" w:cs="宋体"/>
          <w:i w:val="0"/>
          <w:iCs w:val="0"/>
          <w:caps w:val="0"/>
          <w:color w:val="auto"/>
          <w:spacing w:val="0"/>
          <w:sz w:val="24"/>
          <w:szCs w:val="24"/>
          <w:highlight w:val="none"/>
          <w:u w:val="none" w:color="auto"/>
          <w:shd w:val="clear" w:fill="auto"/>
          <w:lang w:val="en-US" w:eastAsia="zh-CN"/>
        </w:rPr>
        <w:t>格式十六</w:t>
      </w:r>
      <w:r>
        <w:rPr>
          <w:rFonts w:hint="eastAsia" w:ascii="宋体" w:hAnsi="宋体" w:eastAsia="宋体" w:cs="宋体"/>
          <w:i w:val="0"/>
          <w:iCs w:val="0"/>
          <w:caps w:val="0"/>
          <w:color w:val="auto"/>
          <w:spacing w:val="0"/>
          <w:sz w:val="24"/>
          <w:szCs w:val="24"/>
          <w:highlight w:val="none"/>
          <w:u w:val="none" w:color="auto"/>
          <w:shd w:val="clear" w:fill="auto"/>
          <w:lang w:eastAsia="zh-CN"/>
        </w:rPr>
        <w:t>），优于履约保障能力一般的候选人。</w:t>
      </w:r>
    </w:p>
    <w:p w14:paraId="7451622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（5）评标报告</w:t>
      </w:r>
    </w:p>
    <w:p w14:paraId="2AADDC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14:paraId="59CB271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6.定标结果公示</w:t>
      </w:r>
    </w:p>
    <w:p w14:paraId="3FF6B90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Style w:val="24"/>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定标委员会完成定标</w:t>
      </w:r>
      <w:r>
        <w:rPr>
          <w:rStyle w:val="24"/>
          <w:rFonts w:hint="eastAsia" w:ascii="宋体" w:hAnsi="宋体" w:eastAsia="宋体" w:cs="宋体"/>
          <w:b w:val="0"/>
          <w:bCs w:val="0"/>
          <w:color w:val="auto"/>
          <w:kern w:val="0"/>
          <w:sz w:val="24"/>
          <w:szCs w:val="24"/>
          <w:highlight w:val="none"/>
          <w:lang w:val="en-US" w:eastAsia="zh-CN"/>
        </w:rPr>
        <w:t>后</w:t>
      </w:r>
      <w:r>
        <w:rPr>
          <w:rStyle w:val="24"/>
          <w:rFonts w:hint="eastAsia" w:ascii="宋体" w:hAnsi="宋体" w:eastAsia="宋体" w:cs="宋体"/>
          <w:color w:val="auto"/>
          <w:kern w:val="0"/>
          <w:sz w:val="24"/>
          <w:szCs w:val="24"/>
          <w:highlight w:val="none"/>
          <w:lang w:val="en-US" w:eastAsia="zh-CN"/>
        </w:rPr>
        <w:t>，招标人应于定标会结束后3日内将中标候选人和定标情况在广东省招标投标监管网和韶关市公共资源交易中心工程交易系统上公示，公示时间不少于3日。公示主要内容包括：定标报告（定标成员信息除外）、中标人候选人名单、中标价和拟投入本项目的项目负责人、技术负责人及各专业负责人（如有）等内容。</w:t>
      </w:r>
    </w:p>
    <w:p w14:paraId="030EA7EB">
      <w:pPr>
        <w:keepNext w:val="0"/>
        <w:keepLines w:val="0"/>
        <w:pageBreakBefore w:val="0"/>
        <w:wordWrap/>
        <w:overflowPunct/>
        <w:topLinePunct w:val="0"/>
        <w:bidi w:val="0"/>
        <w:spacing w:line="360" w:lineRule="auto"/>
        <w:rPr>
          <w:rFonts w:hint="eastAsia"/>
          <w:color w:val="auto"/>
          <w:sz w:val="24"/>
          <w:szCs w:val="24"/>
          <w:highlight w:val="none"/>
          <w:lang w:val="en-US" w:eastAsia="zh-CN"/>
        </w:rPr>
      </w:pPr>
    </w:p>
    <w:p w14:paraId="63554396">
      <w:pPr>
        <w:keepNext w:val="0"/>
        <w:keepLines w:val="0"/>
        <w:pageBreakBefore w:val="0"/>
        <w:wordWrap/>
        <w:overflowPunct/>
        <w:topLinePunct w:val="0"/>
        <w:bidi w:val="0"/>
        <w:spacing w:before="78" w:line="360" w:lineRule="auto"/>
        <w:ind w:left="3525"/>
        <w:outlineLvl w:val="0"/>
        <w:rPr>
          <w:rFonts w:hint="eastAsia" w:ascii="宋体" w:hAnsi="宋体" w:eastAsia="宋体" w:cs="宋体"/>
          <w:b/>
          <w:bCs/>
          <w:color w:val="auto"/>
          <w:spacing w:val="-7"/>
          <w:sz w:val="24"/>
          <w:szCs w:val="24"/>
          <w:highlight w:val="none"/>
        </w:rPr>
      </w:pPr>
    </w:p>
    <w:p w14:paraId="09ABEA5F">
      <w:pPr>
        <w:pStyle w:val="4"/>
        <w:rPr>
          <w:rFonts w:hint="eastAsia" w:ascii="宋体" w:hAnsi="宋体" w:eastAsia="宋体" w:cs="宋体"/>
          <w:b/>
          <w:bCs/>
          <w:color w:val="auto"/>
          <w:spacing w:val="-7"/>
          <w:sz w:val="24"/>
          <w:szCs w:val="24"/>
          <w:highlight w:val="none"/>
        </w:rPr>
      </w:pPr>
    </w:p>
    <w:p w14:paraId="0A396179">
      <w:pPr>
        <w:rPr>
          <w:rFonts w:hint="eastAsia" w:ascii="宋体" w:hAnsi="宋体" w:eastAsia="宋体" w:cs="宋体"/>
          <w:b/>
          <w:bCs/>
          <w:color w:val="auto"/>
          <w:spacing w:val="-7"/>
          <w:sz w:val="24"/>
          <w:szCs w:val="24"/>
          <w:highlight w:val="none"/>
        </w:rPr>
      </w:pPr>
    </w:p>
    <w:p w14:paraId="4AD40A13">
      <w:pPr>
        <w:pStyle w:val="4"/>
        <w:rPr>
          <w:rFonts w:hint="eastAsia" w:ascii="宋体" w:hAnsi="宋体" w:eastAsia="宋体" w:cs="宋体"/>
          <w:b/>
          <w:bCs/>
          <w:color w:val="auto"/>
          <w:spacing w:val="-7"/>
          <w:sz w:val="24"/>
          <w:szCs w:val="24"/>
          <w:highlight w:val="none"/>
        </w:rPr>
      </w:pPr>
    </w:p>
    <w:p w14:paraId="62C08327">
      <w:pPr>
        <w:rPr>
          <w:rFonts w:hint="eastAsia" w:ascii="宋体" w:hAnsi="宋体" w:eastAsia="宋体" w:cs="宋体"/>
          <w:b/>
          <w:bCs/>
          <w:color w:val="auto"/>
          <w:spacing w:val="-7"/>
          <w:sz w:val="24"/>
          <w:szCs w:val="24"/>
          <w:highlight w:val="none"/>
        </w:rPr>
      </w:pPr>
    </w:p>
    <w:p w14:paraId="78BF5276">
      <w:pPr>
        <w:pStyle w:val="4"/>
        <w:rPr>
          <w:rFonts w:hint="eastAsia" w:ascii="宋体" w:hAnsi="宋体" w:eastAsia="宋体" w:cs="宋体"/>
          <w:b/>
          <w:bCs/>
          <w:color w:val="auto"/>
          <w:spacing w:val="-7"/>
          <w:sz w:val="24"/>
          <w:szCs w:val="24"/>
          <w:highlight w:val="none"/>
        </w:rPr>
      </w:pPr>
    </w:p>
    <w:p w14:paraId="31DF38DE">
      <w:pPr>
        <w:rPr>
          <w:rFonts w:hint="eastAsia" w:ascii="宋体" w:hAnsi="宋体" w:eastAsia="宋体" w:cs="宋体"/>
          <w:b/>
          <w:bCs/>
          <w:color w:val="auto"/>
          <w:spacing w:val="-7"/>
          <w:sz w:val="24"/>
          <w:szCs w:val="24"/>
          <w:highlight w:val="none"/>
        </w:rPr>
      </w:pPr>
    </w:p>
    <w:p w14:paraId="019A8ECB">
      <w:pPr>
        <w:pStyle w:val="4"/>
        <w:rPr>
          <w:rFonts w:hint="eastAsia"/>
          <w:color w:val="auto"/>
          <w:highlight w:val="none"/>
        </w:rPr>
      </w:pPr>
    </w:p>
    <w:p w14:paraId="5F34689B">
      <w:pPr>
        <w:pStyle w:val="4"/>
        <w:rPr>
          <w:rFonts w:hint="eastAsia"/>
          <w:color w:val="auto"/>
          <w:highlight w:val="none"/>
        </w:rPr>
      </w:pPr>
    </w:p>
    <w:p w14:paraId="125A965B">
      <w:pPr>
        <w:spacing w:before="78" w:line="220" w:lineRule="auto"/>
        <w:ind w:left="9"/>
        <w:jc w:val="center"/>
        <w:outlineLvl w:val="1"/>
        <w:rPr>
          <w:rFonts w:hint="eastAsia" w:ascii="宋体" w:hAnsi="宋体" w:eastAsia="宋体" w:cs="宋体"/>
          <w:b/>
          <w:bCs/>
          <w:color w:val="auto"/>
          <w:spacing w:val="-3"/>
          <w:sz w:val="24"/>
          <w:szCs w:val="24"/>
          <w:highlight w:val="none"/>
          <w:lang w:val="en-US" w:eastAsia="zh-CN"/>
        </w:rPr>
      </w:pPr>
      <w:bookmarkStart w:id="158" w:name="_Toc209"/>
      <w:bookmarkStart w:id="159" w:name="_Toc8482"/>
      <w:r>
        <w:rPr>
          <w:rFonts w:hint="eastAsia" w:ascii="宋体" w:hAnsi="宋体" w:eastAsia="宋体" w:cs="宋体"/>
          <w:b/>
          <w:bCs/>
          <w:color w:val="auto"/>
          <w:spacing w:val="-3"/>
          <w:sz w:val="24"/>
          <w:szCs w:val="24"/>
          <w:highlight w:val="none"/>
        </w:rPr>
        <w:t>第</w:t>
      </w:r>
      <w:r>
        <w:rPr>
          <w:rFonts w:hint="eastAsia" w:ascii="宋体" w:hAnsi="宋体" w:eastAsia="宋体" w:cs="宋体"/>
          <w:b/>
          <w:bCs/>
          <w:color w:val="auto"/>
          <w:spacing w:val="-3"/>
          <w:sz w:val="24"/>
          <w:szCs w:val="24"/>
          <w:highlight w:val="none"/>
          <w:lang w:val="en-US" w:eastAsia="zh-CN"/>
        </w:rPr>
        <w:t>六</w:t>
      </w:r>
      <w:r>
        <w:rPr>
          <w:rFonts w:hint="eastAsia" w:ascii="宋体" w:hAnsi="宋体" w:eastAsia="宋体" w:cs="宋体"/>
          <w:b/>
          <w:bCs/>
          <w:color w:val="auto"/>
          <w:spacing w:val="-3"/>
          <w:sz w:val="24"/>
          <w:szCs w:val="24"/>
          <w:highlight w:val="none"/>
        </w:rPr>
        <w:t>节 中标确认</w:t>
      </w:r>
      <w:bookmarkEnd w:id="158"/>
      <w:bookmarkEnd w:id="159"/>
    </w:p>
    <w:p w14:paraId="276CA96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1.中标人确定</w:t>
      </w:r>
    </w:p>
    <w:p w14:paraId="3A29BAB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1.1 中标人确定。中标结果公示期满无异议的，招标人确认排名第一的中标候选人为中标人，中标人的投标报价即为中标价。</w:t>
      </w:r>
    </w:p>
    <w:p w14:paraId="2EA71AC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1.2 中标人确定后，招标人应当于7日内在线完成加盖招标人单位电子签章的中标通知书并发放到中标人及各相关单位。招标人最迟应当在投标有效期届满30日前发出中标通知书，否则，应当按照本投标人须知投标有效期的规定延长投标有效期。</w:t>
      </w:r>
      <w:r>
        <w:rPr>
          <w:rFonts w:hint="eastAsia" w:ascii="宋体" w:hAnsi="宋体" w:eastAsia="宋体" w:cs="宋体"/>
          <w:snapToGrid w:val="0"/>
          <w:color w:val="auto"/>
          <w:kern w:val="0"/>
          <w:sz w:val="24"/>
          <w:szCs w:val="24"/>
          <w:highlight w:val="none"/>
        </w:rPr>
        <w:t>在中标通知书发出后5个工作日内，韶关市公共资源交易中心将投标保证金（或银行保函）退还给中标候选人以外的投标人。</w:t>
      </w:r>
    </w:p>
    <w:p w14:paraId="58F427C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1.3 招标人应当自中标通知书发出之日起15日内，通过广东省招标投标监管网和公共资源交易平台发布中标结果公示。 招标人应当自确定中标人之日起15日内，在线向有关招标管理部门提交招标投标情况的书面报告。</w:t>
      </w:r>
    </w:p>
    <w:p w14:paraId="723C019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异议和投诉</w:t>
      </w:r>
    </w:p>
    <w:p w14:paraId="5075223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2.1 投标人或者其他利害关系人对招标项目的评标和中标结果有异议的，应当在定标候选人和中标候选人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3DC88F0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2.2在定标候选人和中标候选人公示期间有关评标结果的异议成立的，招标人原则上应当组织原评标委员会和原定标委员会对有关的问题予以纠正，问题纠正后再公示定标候选人和中标候选人。</w:t>
      </w:r>
    </w:p>
    <w:p w14:paraId="79D9286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46163FFD">
      <w:pPr>
        <w:pStyle w:val="14"/>
        <w:keepNext w:val="0"/>
        <w:keepLines w:val="0"/>
        <w:pageBreakBefore w:val="0"/>
        <w:widowControl w:val="0"/>
        <w:shd w:val="clear" w:color="auto" w:fill="auto"/>
        <w:kinsoku/>
        <w:wordWrap/>
        <w:overflowPunct/>
        <w:topLinePunct w:val="0"/>
        <w:bidi w:val="0"/>
        <w:adjustRightInd/>
        <w:snapToGrid/>
        <w:spacing w:before="0" w:beforeLines="0" w:after="0" w:afterLines="0" w:line="360" w:lineRule="auto"/>
        <w:ind w:left="0" w:leftChars="0" w:firstLine="482" w:firstLineChars="200"/>
        <w:jc w:val="both"/>
        <w:textAlignment w:val="auto"/>
        <w:outlineLvl w:val="9"/>
        <w:rPr>
          <w:rFonts w:hint="eastAsia" w:ascii="宋体" w:hAnsi="宋体" w:eastAsia="宋体" w:cs="宋体"/>
          <w:b/>
          <w:bCs/>
          <w:i/>
          <w:color w:val="auto"/>
          <w:sz w:val="24"/>
          <w:szCs w:val="24"/>
          <w:highlight w:val="none"/>
        </w:rPr>
      </w:pPr>
      <w:bookmarkStart w:id="160" w:name="_Toc236550039"/>
      <w:r>
        <w:rPr>
          <w:rStyle w:val="21"/>
          <w:rFonts w:hint="eastAsia" w:ascii="宋体" w:hAnsi="宋体" w:eastAsia="宋体" w:cs="宋体"/>
          <w:b/>
          <w:bCs/>
          <w:i w:val="0"/>
          <w:color w:val="auto"/>
          <w:sz w:val="24"/>
          <w:szCs w:val="24"/>
          <w:highlight w:val="none"/>
          <w:lang w:val="en-US" w:eastAsia="zh-CN"/>
        </w:rPr>
        <w:t>3.</w:t>
      </w:r>
      <w:r>
        <w:rPr>
          <w:rStyle w:val="21"/>
          <w:rFonts w:hint="eastAsia" w:ascii="宋体" w:hAnsi="宋体" w:eastAsia="宋体" w:cs="宋体"/>
          <w:b/>
          <w:bCs/>
          <w:i w:val="0"/>
          <w:color w:val="auto"/>
          <w:sz w:val="24"/>
          <w:szCs w:val="24"/>
          <w:highlight w:val="none"/>
        </w:rPr>
        <w:t>废除授标</w:t>
      </w:r>
      <w:bookmarkEnd w:id="160"/>
      <w:r>
        <w:rPr>
          <w:rStyle w:val="21"/>
          <w:rFonts w:hint="eastAsia" w:ascii="宋体" w:hAnsi="宋体" w:eastAsia="宋体" w:cs="宋体"/>
          <w:b/>
          <w:bCs/>
          <w:i w:val="0"/>
          <w:color w:val="auto"/>
          <w:sz w:val="24"/>
          <w:szCs w:val="24"/>
          <w:highlight w:val="none"/>
        </w:rPr>
        <w:t>及授标</w:t>
      </w:r>
    </w:p>
    <w:p w14:paraId="0362AA0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3.1评定标完成后，中标候选人有下列情形之一的，招标人应按规定取消中标候选人资格或废除授标：</w:t>
      </w:r>
    </w:p>
    <w:p w14:paraId="2CBAA0D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（1）以他人名义投标或者以其他方式弄虚作假骗取中标的；</w:t>
      </w:r>
    </w:p>
    <w:p w14:paraId="24BDE8D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（2）与其他投标人串通投标或以行贿的手段谋取中标的；</w:t>
      </w:r>
    </w:p>
    <w:p w14:paraId="6C85C9F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（3）不是从本投标企业基本账户提交投标担保或以虚假方式提交投标保证金保函（保单）的；</w:t>
      </w:r>
    </w:p>
    <w:p w14:paraId="7C70DC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（4）中标人于投标有效期终止之前撤回投标文件，或者排名第一的中标候选人放弃中标资格的；</w:t>
      </w:r>
    </w:p>
    <w:p w14:paraId="7AB9C1D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（5）因中标人过错而未能按照规定与招标人签订工程总承包合同或中标人因不可抗力提出不能履行合同的；</w:t>
      </w:r>
    </w:p>
    <w:p w14:paraId="6044F17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（6）因中标人过错而未能按照招标文件要求向招标人提交履约担保的；</w:t>
      </w:r>
    </w:p>
    <w:p w14:paraId="0B03F67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（7）中标单位拟派的项目负责人从投标截止时间起在其他建设工程担任项目负责人；</w:t>
      </w:r>
    </w:p>
    <w:p w14:paraId="155A8FD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（8）中标人被有关部门查实存在影响中标结果的违法行为，不符合中标条件的；</w:t>
      </w:r>
    </w:p>
    <w:p w14:paraId="7BE77A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（9）中标人在参加本项目投标时有本企业投标承诺书所列被依法限制或暂停承揽业务或停业的处罚的；</w:t>
      </w:r>
    </w:p>
    <w:p w14:paraId="24E9515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（10）招标文件明确规定可以废除授标的其他情形。</w:t>
      </w:r>
    </w:p>
    <w:p w14:paraId="6FB0715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271899B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3.3 招标人有下列情形之一的，应依法承担相应的责任：</w:t>
      </w:r>
    </w:p>
    <w:p w14:paraId="02A329C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（1）无正当理由不发出中标通知书的；</w:t>
      </w:r>
    </w:p>
    <w:p w14:paraId="5E11F3F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（2）招标人不按照规定确定中标人的；</w:t>
      </w:r>
    </w:p>
    <w:p w14:paraId="196BBAC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（3）中标通知书发出后无正当理由改变中标结果的；</w:t>
      </w:r>
    </w:p>
    <w:p w14:paraId="5913D60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（4）无正当理由不与中标人签订工程总承包合同的；</w:t>
      </w:r>
    </w:p>
    <w:p w14:paraId="541DA46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Style w:val="24"/>
          <w:rFonts w:hint="eastAsia" w:ascii="宋体" w:hAnsi="宋体" w:eastAsia="宋体" w:cs="宋体"/>
          <w:color w:val="auto"/>
          <w:kern w:val="0"/>
          <w:sz w:val="24"/>
          <w:szCs w:val="24"/>
          <w:highlight w:val="none"/>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（5）在签订工程总承包合同时向中标人提出附加条件或者更改合同实质性内容的。</w:t>
      </w:r>
    </w:p>
    <w:p w14:paraId="06AE4C69">
      <w:pPr>
        <w:keepNext w:val="0"/>
        <w:keepLines w:val="0"/>
        <w:pageBreakBefore w:val="0"/>
        <w:wordWrap/>
        <w:overflowPunct/>
        <w:topLinePunct w:val="0"/>
        <w:bidi w:val="0"/>
        <w:spacing w:line="360" w:lineRule="auto"/>
        <w:rPr>
          <w:rFonts w:hint="eastAsia"/>
          <w:color w:val="auto"/>
          <w:sz w:val="24"/>
          <w:szCs w:val="24"/>
          <w:highlight w:val="none"/>
        </w:rPr>
        <w:sectPr>
          <w:endnotePr>
            <w:numFmt w:val="decimal"/>
          </w:endnotePr>
          <w:pgSz w:w="11906" w:h="16838"/>
          <w:pgMar w:top="1247" w:right="1304" w:bottom="1247" w:left="1304" w:header="850" w:footer="544" w:gutter="0"/>
          <w:cols w:space="720" w:num="1"/>
          <w:rtlGutter w:val="0"/>
          <w:docGrid w:linePitch="327" w:charSpace="0"/>
        </w:sectPr>
      </w:pPr>
    </w:p>
    <w:p w14:paraId="477FF410">
      <w:pPr>
        <w:spacing w:before="78" w:line="219" w:lineRule="auto"/>
        <w:ind w:left="3525"/>
        <w:outlineLvl w:val="0"/>
        <w:rPr>
          <w:rFonts w:hint="eastAsia" w:ascii="宋体" w:hAnsi="宋体" w:eastAsia="宋体" w:cs="宋体"/>
          <w:color w:val="auto"/>
          <w:sz w:val="24"/>
          <w:szCs w:val="24"/>
          <w:highlight w:val="none"/>
        </w:rPr>
      </w:pPr>
      <w:bookmarkStart w:id="161" w:name="_Toc13547"/>
      <w:r>
        <w:rPr>
          <w:rFonts w:hint="eastAsia" w:ascii="宋体" w:hAnsi="宋体" w:eastAsia="宋体" w:cs="宋体"/>
          <w:b/>
          <w:bCs/>
          <w:color w:val="auto"/>
          <w:spacing w:val="-7"/>
          <w:sz w:val="24"/>
          <w:szCs w:val="24"/>
          <w:highlight w:val="none"/>
        </w:rPr>
        <w:t>第二章</w:t>
      </w:r>
      <w:r>
        <w:rPr>
          <w:rFonts w:hint="eastAsia" w:ascii="宋体" w:hAnsi="宋体" w:eastAsia="宋体" w:cs="宋体"/>
          <w:color w:val="auto"/>
          <w:spacing w:val="32"/>
          <w:sz w:val="24"/>
          <w:szCs w:val="24"/>
          <w:highlight w:val="none"/>
        </w:rPr>
        <w:t xml:space="preserve"> </w:t>
      </w:r>
      <w:r>
        <w:rPr>
          <w:rFonts w:hint="eastAsia" w:ascii="宋体" w:hAnsi="宋体" w:eastAsia="宋体" w:cs="宋体"/>
          <w:b/>
          <w:bCs/>
          <w:color w:val="auto"/>
          <w:spacing w:val="-7"/>
          <w:sz w:val="24"/>
          <w:szCs w:val="24"/>
          <w:highlight w:val="none"/>
        </w:rPr>
        <w:t>中标人须知</w:t>
      </w:r>
      <w:bookmarkEnd w:id="161"/>
    </w:p>
    <w:p w14:paraId="1E6041E1">
      <w:pPr>
        <w:pStyle w:val="3"/>
        <w:wordWrap w:val="0"/>
        <w:autoSpaceDE/>
        <w:autoSpaceDN/>
        <w:snapToGrid w:val="0"/>
        <w:spacing w:line="440" w:lineRule="exact"/>
        <w:ind w:firstLine="480"/>
        <w:jc w:val="both"/>
        <w:rPr>
          <w:rFonts w:hint="eastAsia" w:ascii="宋体" w:hAnsi="宋体" w:eastAsia="宋体" w:cs="宋体"/>
          <w:b/>
          <w:snapToGrid w:val="0"/>
          <w:color w:val="auto"/>
          <w:sz w:val="24"/>
          <w:szCs w:val="24"/>
          <w:highlight w:val="none"/>
        </w:rPr>
      </w:pPr>
      <w:bookmarkStart w:id="162" w:name="_Toc25076"/>
      <w:bookmarkStart w:id="163" w:name="_Toc23768"/>
      <w:r>
        <w:rPr>
          <w:rFonts w:hint="eastAsia" w:ascii="宋体" w:hAnsi="宋体" w:eastAsia="宋体" w:cs="宋体"/>
          <w:b/>
          <w:snapToGrid w:val="0"/>
          <w:color w:val="auto"/>
          <w:sz w:val="24"/>
          <w:szCs w:val="24"/>
          <w:highlight w:val="none"/>
          <w:lang w:eastAsia="zh-CN"/>
        </w:rPr>
        <w:t>1.</w:t>
      </w:r>
      <w:r>
        <w:rPr>
          <w:rFonts w:hint="eastAsia" w:ascii="宋体" w:hAnsi="宋体" w:eastAsia="宋体" w:cs="宋体"/>
          <w:b/>
          <w:snapToGrid w:val="0"/>
          <w:color w:val="auto"/>
          <w:sz w:val="24"/>
          <w:szCs w:val="24"/>
          <w:highlight w:val="none"/>
        </w:rPr>
        <w:t>中标通知书</w:t>
      </w:r>
      <w:bookmarkEnd w:id="162"/>
      <w:bookmarkEnd w:id="163"/>
    </w:p>
    <w:p w14:paraId="13689720">
      <w:pPr>
        <w:wordWrap w:val="0"/>
        <w:adjustRightInd w:val="0"/>
        <w:snapToGrid w:val="0"/>
        <w:spacing w:line="440" w:lineRule="exact"/>
        <w:ind w:firstLine="562"/>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757A6345">
      <w:pPr>
        <w:pStyle w:val="3"/>
        <w:wordWrap w:val="0"/>
        <w:autoSpaceDE/>
        <w:autoSpaceDN/>
        <w:snapToGrid w:val="0"/>
        <w:spacing w:line="440" w:lineRule="exact"/>
        <w:ind w:firstLine="480"/>
        <w:jc w:val="both"/>
        <w:rPr>
          <w:rFonts w:hint="eastAsia" w:ascii="宋体" w:hAnsi="宋体" w:eastAsia="宋体" w:cs="宋体"/>
          <w:b/>
          <w:snapToGrid w:val="0"/>
          <w:color w:val="auto"/>
          <w:sz w:val="24"/>
          <w:szCs w:val="24"/>
          <w:highlight w:val="none"/>
        </w:rPr>
      </w:pPr>
      <w:bookmarkStart w:id="164" w:name="_Toc3946"/>
      <w:bookmarkStart w:id="165" w:name="_Toc29921"/>
      <w:r>
        <w:rPr>
          <w:rFonts w:hint="eastAsia" w:ascii="宋体" w:hAnsi="宋体" w:eastAsia="宋体" w:cs="宋体"/>
          <w:b/>
          <w:snapToGrid w:val="0"/>
          <w:color w:val="auto"/>
          <w:sz w:val="24"/>
          <w:szCs w:val="24"/>
          <w:highlight w:val="none"/>
          <w:lang w:eastAsia="zh-CN"/>
        </w:rPr>
        <w:t>2.</w:t>
      </w:r>
      <w:r>
        <w:rPr>
          <w:rFonts w:hint="eastAsia" w:ascii="宋体" w:hAnsi="宋体" w:eastAsia="宋体" w:cs="宋体"/>
          <w:b/>
          <w:snapToGrid w:val="0"/>
          <w:color w:val="auto"/>
          <w:sz w:val="24"/>
          <w:szCs w:val="24"/>
          <w:highlight w:val="none"/>
        </w:rPr>
        <w:t>中标结果公示</w:t>
      </w:r>
      <w:bookmarkEnd w:id="164"/>
      <w:bookmarkEnd w:id="165"/>
    </w:p>
    <w:p w14:paraId="0FDEFC52">
      <w:pPr>
        <w:wordWrap w:val="0"/>
        <w:adjustRightInd w:val="0"/>
        <w:snapToGrid w:val="0"/>
        <w:spacing w:line="440" w:lineRule="exact"/>
        <w:ind w:firstLine="562"/>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中标通知书发出后15日内，招标人应将中标结果在广东省招标投标监管网（</w:t>
      </w:r>
      <w:r>
        <w:rPr>
          <w:rFonts w:hint="eastAsia" w:ascii="宋体" w:hAnsi="宋体" w:eastAsia="宋体" w:cs="宋体"/>
          <w:snapToGrid w:val="0"/>
          <w:color w:val="auto"/>
          <w:kern w:val="0"/>
          <w:sz w:val="24"/>
          <w:szCs w:val="24"/>
          <w:highlight w:val="none"/>
          <w:lang w:eastAsia="zh-CN"/>
        </w:rPr>
        <w:t>https://www.gdzwfw.gov.cn/ztbjg-portal/#/index</w:t>
      </w:r>
      <w:r>
        <w:rPr>
          <w:rFonts w:hint="eastAsia" w:ascii="宋体" w:hAnsi="宋体" w:eastAsia="宋体" w:cs="宋体"/>
          <w:snapToGrid w:val="0"/>
          <w:color w:val="auto"/>
          <w:kern w:val="0"/>
          <w:sz w:val="24"/>
          <w:szCs w:val="24"/>
          <w:highlight w:val="none"/>
        </w:rPr>
        <w:t>）及全国公共资源交易平台（广东省·韶关市）（https://ygp.gdzwfw.gov.cn/ggzy-portal/#/440200/index）进行公示。</w:t>
      </w:r>
    </w:p>
    <w:p w14:paraId="7D35C8CC">
      <w:pPr>
        <w:pStyle w:val="3"/>
        <w:wordWrap w:val="0"/>
        <w:autoSpaceDE/>
        <w:autoSpaceDN/>
        <w:snapToGrid w:val="0"/>
        <w:spacing w:line="440" w:lineRule="exact"/>
        <w:ind w:firstLine="480"/>
        <w:jc w:val="both"/>
        <w:rPr>
          <w:rFonts w:hint="eastAsia" w:ascii="宋体" w:hAnsi="宋体" w:eastAsia="宋体" w:cs="宋体"/>
          <w:b/>
          <w:snapToGrid w:val="0"/>
          <w:color w:val="auto"/>
          <w:sz w:val="24"/>
          <w:szCs w:val="24"/>
          <w:highlight w:val="none"/>
        </w:rPr>
      </w:pPr>
      <w:bookmarkStart w:id="166" w:name="_Toc15196"/>
      <w:bookmarkStart w:id="167" w:name="_Toc15380"/>
      <w:r>
        <w:rPr>
          <w:rFonts w:hint="eastAsia" w:ascii="宋体" w:hAnsi="宋体" w:eastAsia="宋体" w:cs="宋体"/>
          <w:b/>
          <w:snapToGrid w:val="0"/>
          <w:color w:val="auto"/>
          <w:sz w:val="24"/>
          <w:szCs w:val="24"/>
          <w:highlight w:val="none"/>
          <w:lang w:eastAsia="zh-CN"/>
        </w:rPr>
        <w:t>3.</w:t>
      </w:r>
      <w:r>
        <w:rPr>
          <w:rFonts w:hint="eastAsia" w:ascii="宋体" w:hAnsi="宋体" w:eastAsia="宋体" w:cs="宋体"/>
          <w:b/>
          <w:snapToGrid w:val="0"/>
          <w:color w:val="auto"/>
          <w:sz w:val="24"/>
          <w:szCs w:val="24"/>
          <w:highlight w:val="none"/>
        </w:rPr>
        <w:t>履约保证</w:t>
      </w:r>
      <w:bookmarkEnd w:id="166"/>
      <w:bookmarkEnd w:id="167"/>
    </w:p>
    <w:p w14:paraId="5BFD5753">
      <w:pPr>
        <w:wordWrap w:val="0"/>
        <w:adjustRightInd w:val="0"/>
        <w:snapToGrid w:val="0"/>
        <w:spacing w:line="440" w:lineRule="exact"/>
        <w:ind w:firstLine="562"/>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rPr>
        <w:t>3.1</w:t>
      </w:r>
      <w:r>
        <w:rPr>
          <w:rFonts w:hint="eastAsia" w:ascii="宋体" w:hAnsi="宋体" w:eastAsia="宋体" w:cs="宋体"/>
          <w:snapToGrid w:val="0"/>
          <w:color w:val="auto"/>
          <w:kern w:val="0"/>
          <w:sz w:val="24"/>
          <w:szCs w:val="24"/>
          <w:highlight w:val="none"/>
          <w:lang w:val="en-US" w:eastAsia="zh-CN"/>
        </w:rPr>
        <w:t>中标人须在领取中标通知书之日起5个工作日内、签订合同前向招标人提交金额为中标价</w:t>
      </w:r>
      <w:r>
        <w:rPr>
          <w:rFonts w:hint="eastAsia" w:ascii="宋体" w:hAnsi="宋体" w:eastAsia="宋体" w:cs="宋体"/>
          <w:snapToGrid w:val="0"/>
          <w:color w:val="auto"/>
          <w:kern w:val="0"/>
          <w:sz w:val="24"/>
          <w:szCs w:val="24"/>
          <w:highlight w:val="none"/>
          <w:u w:val="single"/>
          <w:lang w:val="en-US" w:eastAsia="zh-CN"/>
        </w:rPr>
        <w:t xml:space="preserve"> 5 </w:t>
      </w:r>
      <w:r>
        <w:rPr>
          <w:rFonts w:hint="eastAsia" w:ascii="宋体" w:hAnsi="宋体" w:eastAsia="宋体" w:cs="宋体"/>
          <w:snapToGrid w:val="0"/>
          <w:color w:val="auto"/>
          <w:kern w:val="0"/>
          <w:sz w:val="24"/>
          <w:szCs w:val="24"/>
          <w:highlight w:val="none"/>
          <w:lang w:val="en-US" w:eastAsia="zh-CN"/>
        </w:rPr>
        <w:t>% 的履约保证金；如采用履约保证担保、履约保证保险的，中标人须在签订合同后10个工作日内向招标人提交金额为中标价</w:t>
      </w:r>
      <w:r>
        <w:rPr>
          <w:rFonts w:hint="eastAsia" w:ascii="宋体" w:hAnsi="宋体" w:eastAsia="宋体" w:cs="宋体"/>
          <w:snapToGrid w:val="0"/>
          <w:color w:val="auto"/>
          <w:kern w:val="0"/>
          <w:sz w:val="24"/>
          <w:szCs w:val="24"/>
          <w:highlight w:val="none"/>
          <w:u w:val="single"/>
          <w:lang w:val="en-US" w:eastAsia="zh-CN"/>
        </w:rPr>
        <w:t xml:space="preserve"> 5 </w:t>
      </w:r>
      <w:r>
        <w:rPr>
          <w:rFonts w:hint="eastAsia" w:ascii="宋体" w:hAnsi="宋体" w:eastAsia="宋体" w:cs="宋体"/>
          <w:snapToGrid w:val="0"/>
          <w:color w:val="auto"/>
          <w:kern w:val="0"/>
          <w:sz w:val="24"/>
          <w:szCs w:val="24"/>
          <w:highlight w:val="none"/>
          <w:lang w:val="en-US" w:eastAsia="zh-CN"/>
        </w:rPr>
        <w:t>% 的履约保证担保或履约保证保险</w:t>
      </w:r>
      <w:r>
        <w:rPr>
          <w:rFonts w:hint="eastAsia" w:ascii="宋体" w:hAnsi="宋体" w:eastAsia="宋体" w:cs="宋体"/>
          <w:snapToGrid w:val="0"/>
          <w:color w:val="auto"/>
          <w:kern w:val="0"/>
          <w:sz w:val="24"/>
          <w:szCs w:val="24"/>
          <w:highlight w:val="none"/>
        </w:rPr>
        <w:t>。</w:t>
      </w:r>
    </w:p>
    <w:p w14:paraId="61A0B448">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w:t>
      </w:r>
      <w:r>
        <w:rPr>
          <w:rFonts w:hint="eastAsia" w:ascii="宋体" w:hAnsi="宋体" w:eastAsia="宋体" w:cs="宋体"/>
          <w:snapToGrid w:val="0"/>
          <w:color w:val="auto"/>
          <w:kern w:val="0"/>
          <w:sz w:val="24"/>
          <w:szCs w:val="24"/>
          <w:highlight w:val="none"/>
        </w:rPr>
        <w:t xml:space="preserve"> 履约保证的形式包括履约保证金、履约保证担保、履约保证保险三种，由中标人自主选择。</w:t>
      </w:r>
    </w:p>
    <w:p w14:paraId="57EEE49E">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（1）采用履约保证金的，中标人须从其法人开户银行的账号将履约保证金划至招标人账户，并详细注明项目名称及用途。</w:t>
      </w:r>
    </w:p>
    <w:p w14:paraId="33B4389D">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采用履约保证担保（保函格式按《住房和城乡建设部关于印发工程保函示范文本的通知》（建市〔2021〕11号）执行）或履约保证保险的，中标人应提交有效的银行保函或保险合同（或保险单）原件，银行保函或保险合同（或保险单）的有效期应当自合同生效之日起至项目通过竣工验收之日后28天止。如果中标人无法获得具体截止日期，银行保函或保险合同（或保险单）中应当有“变更项目竣工日期的，保证期间按照变更后的竣工日期做相应调整”或类似约定的条款。</w:t>
      </w:r>
    </w:p>
    <w:p w14:paraId="444A5128">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中标人在领取中标通知书之日起</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个工作日内仍未提交履约保证</w:t>
      </w:r>
      <w:r>
        <w:rPr>
          <w:rFonts w:hint="eastAsia" w:ascii="宋体" w:hAnsi="宋体" w:eastAsia="宋体" w:cs="宋体"/>
          <w:snapToGrid w:val="0"/>
          <w:color w:val="auto"/>
          <w:kern w:val="0"/>
          <w:sz w:val="24"/>
          <w:szCs w:val="24"/>
          <w:highlight w:val="none"/>
          <w:lang w:val="en-US" w:eastAsia="zh-CN"/>
        </w:rPr>
        <w:t>金</w:t>
      </w:r>
      <w:r>
        <w:rPr>
          <w:rFonts w:hint="eastAsia" w:ascii="宋体" w:hAnsi="宋体" w:eastAsia="宋体" w:cs="宋体"/>
          <w:snapToGrid w:val="0"/>
          <w:color w:val="auto"/>
          <w:kern w:val="0"/>
          <w:sz w:val="24"/>
          <w:szCs w:val="24"/>
          <w:highlight w:val="none"/>
        </w:rPr>
        <w:t>的</w:t>
      </w:r>
      <w:r>
        <w:rPr>
          <w:rFonts w:hint="eastAsia" w:ascii="宋体" w:hAnsi="宋体" w:eastAsia="宋体" w:cs="宋体"/>
          <w:snapToGrid w:val="0"/>
          <w:color w:val="auto"/>
          <w:kern w:val="0"/>
          <w:sz w:val="24"/>
          <w:szCs w:val="24"/>
          <w:highlight w:val="none"/>
          <w:lang w:val="en-US" w:eastAsia="zh-CN"/>
        </w:rPr>
        <w:t>或签订合同后10个工作日内</w:t>
      </w:r>
      <w:r>
        <w:rPr>
          <w:rFonts w:hint="eastAsia" w:ascii="宋体" w:hAnsi="宋体" w:eastAsia="宋体" w:cs="宋体"/>
          <w:snapToGrid w:val="0"/>
          <w:color w:val="auto"/>
          <w:kern w:val="0"/>
          <w:sz w:val="24"/>
          <w:szCs w:val="24"/>
          <w:highlight w:val="none"/>
        </w:rPr>
        <w:t>仍未提交</w:t>
      </w:r>
      <w:r>
        <w:rPr>
          <w:rFonts w:hint="eastAsia" w:ascii="宋体" w:hAnsi="宋体" w:eastAsia="宋体" w:cs="宋体"/>
          <w:snapToGrid w:val="0"/>
          <w:color w:val="auto"/>
          <w:kern w:val="0"/>
          <w:sz w:val="24"/>
          <w:szCs w:val="24"/>
          <w:highlight w:val="none"/>
          <w:lang w:val="en-US" w:eastAsia="zh-CN"/>
        </w:rPr>
        <w:t>履约保证担保、履约保证保险的</w:t>
      </w:r>
      <w:r>
        <w:rPr>
          <w:rFonts w:hint="eastAsia" w:ascii="宋体" w:hAnsi="宋体" w:eastAsia="宋体" w:cs="宋体"/>
          <w:snapToGrid w:val="0"/>
          <w:color w:val="auto"/>
          <w:kern w:val="0"/>
          <w:sz w:val="24"/>
          <w:szCs w:val="24"/>
          <w:highlight w:val="none"/>
        </w:rPr>
        <w:t>，招标人发出第一次提醒函；在领取中标通知书之日起15个工作日内仍未提交履约保证</w:t>
      </w:r>
      <w:r>
        <w:rPr>
          <w:rFonts w:hint="eastAsia" w:ascii="宋体" w:hAnsi="宋体" w:eastAsia="宋体" w:cs="宋体"/>
          <w:snapToGrid w:val="0"/>
          <w:color w:val="auto"/>
          <w:kern w:val="0"/>
          <w:sz w:val="24"/>
          <w:szCs w:val="24"/>
          <w:highlight w:val="none"/>
          <w:lang w:val="en-US" w:eastAsia="zh-CN"/>
        </w:rPr>
        <w:t>金</w:t>
      </w:r>
      <w:r>
        <w:rPr>
          <w:rFonts w:hint="eastAsia" w:ascii="宋体" w:hAnsi="宋体" w:eastAsia="宋体" w:cs="宋体"/>
          <w:snapToGrid w:val="0"/>
          <w:color w:val="auto"/>
          <w:kern w:val="0"/>
          <w:sz w:val="24"/>
          <w:szCs w:val="24"/>
          <w:highlight w:val="none"/>
        </w:rPr>
        <w:t>的</w:t>
      </w:r>
      <w:r>
        <w:rPr>
          <w:rFonts w:hint="eastAsia" w:ascii="宋体" w:hAnsi="宋体" w:eastAsia="宋体" w:cs="宋体"/>
          <w:snapToGrid w:val="0"/>
          <w:color w:val="auto"/>
          <w:kern w:val="0"/>
          <w:sz w:val="24"/>
          <w:szCs w:val="24"/>
          <w:highlight w:val="none"/>
          <w:lang w:val="en-US" w:eastAsia="zh-CN"/>
        </w:rPr>
        <w:t>或签订合同后20个工作日内</w:t>
      </w:r>
      <w:r>
        <w:rPr>
          <w:rFonts w:hint="eastAsia" w:ascii="宋体" w:hAnsi="宋体" w:eastAsia="宋体" w:cs="宋体"/>
          <w:snapToGrid w:val="0"/>
          <w:color w:val="auto"/>
          <w:kern w:val="0"/>
          <w:sz w:val="24"/>
          <w:szCs w:val="24"/>
          <w:highlight w:val="none"/>
        </w:rPr>
        <w:t>仍未提交</w:t>
      </w:r>
      <w:r>
        <w:rPr>
          <w:rFonts w:hint="eastAsia" w:ascii="宋体" w:hAnsi="宋体" w:eastAsia="宋体" w:cs="宋体"/>
          <w:snapToGrid w:val="0"/>
          <w:color w:val="auto"/>
          <w:kern w:val="0"/>
          <w:sz w:val="24"/>
          <w:szCs w:val="24"/>
          <w:highlight w:val="none"/>
          <w:lang w:val="en-US" w:eastAsia="zh-CN"/>
        </w:rPr>
        <w:t>履约保证担保、履约保证保险的</w:t>
      </w:r>
      <w:r>
        <w:rPr>
          <w:rFonts w:hint="eastAsia" w:ascii="宋体" w:hAnsi="宋体" w:eastAsia="宋体" w:cs="宋体"/>
          <w:snapToGrid w:val="0"/>
          <w:color w:val="auto"/>
          <w:kern w:val="0"/>
          <w:sz w:val="24"/>
          <w:szCs w:val="24"/>
          <w:highlight w:val="none"/>
        </w:rPr>
        <w:t>，招标人发出第二次提醒函；在领取中标通知书之日起2</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个工作日仍未提交履约保证</w:t>
      </w:r>
      <w:r>
        <w:rPr>
          <w:rFonts w:hint="eastAsia" w:ascii="宋体" w:hAnsi="宋体" w:eastAsia="宋体" w:cs="宋体"/>
          <w:snapToGrid w:val="0"/>
          <w:color w:val="auto"/>
          <w:kern w:val="0"/>
          <w:sz w:val="24"/>
          <w:szCs w:val="24"/>
          <w:highlight w:val="none"/>
          <w:lang w:val="en-US" w:eastAsia="zh-CN"/>
        </w:rPr>
        <w:t>金</w:t>
      </w:r>
      <w:r>
        <w:rPr>
          <w:rFonts w:hint="eastAsia" w:ascii="宋体" w:hAnsi="宋体" w:eastAsia="宋体" w:cs="宋体"/>
          <w:snapToGrid w:val="0"/>
          <w:color w:val="auto"/>
          <w:kern w:val="0"/>
          <w:sz w:val="24"/>
          <w:szCs w:val="24"/>
          <w:highlight w:val="none"/>
        </w:rPr>
        <w:t>的</w:t>
      </w:r>
      <w:r>
        <w:rPr>
          <w:rFonts w:hint="eastAsia" w:ascii="宋体" w:hAnsi="宋体" w:eastAsia="宋体" w:cs="宋体"/>
          <w:snapToGrid w:val="0"/>
          <w:color w:val="auto"/>
          <w:kern w:val="0"/>
          <w:sz w:val="24"/>
          <w:szCs w:val="24"/>
          <w:highlight w:val="none"/>
          <w:lang w:val="en-US" w:eastAsia="zh-CN"/>
        </w:rPr>
        <w:t>或签订合同后30个工作日</w:t>
      </w:r>
      <w:r>
        <w:rPr>
          <w:rFonts w:hint="eastAsia" w:ascii="宋体" w:hAnsi="宋体" w:eastAsia="宋体" w:cs="宋体"/>
          <w:snapToGrid w:val="0"/>
          <w:color w:val="auto"/>
          <w:kern w:val="0"/>
          <w:sz w:val="24"/>
          <w:szCs w:val="24"/>
          <w:highlight w:val="none"/>
        </w:rPr>
        <w:t>仍未提交</w:t>
      </w:r>
      <w:r>
        <w:rPr>
          <w:rFonts w:hint="eastAsia" w:ascii="宋体" w:hAnsi="宋体" w:eastAsia="宋体" w:cs="宋体"/>
          <w:snapToGrid w:val="0"/>
          <w:color w:val="auto"/>
          <w:kern w:val="0"/>
          <w:sz w:val="24"/>
          <w:szCs w:val="24"/>
          <w:highlight w:val="none"/>
          <w:lang w:val="en-US" w:eastAsia="zh-CN"/>
        </w:rPr>
        <w:t>履约保证担保、履约保证保险的</w:t>
      </w:r>
      <w:r>
        <w:rPr>
          <w:rFonts w:hint="eastAsia" w:ascii="宋体" w:hAnsi="宋体" w:eastAsia="宋体" w:cs="宋体"/>
          <w:snapToGrid w:val="0"/>
          <w:color w:val="auto"/>
          <w:kern w:val="0"/>
          <w:sz w:val="24"/>
          <w:szCs w:val="24"/>
          <w:highlight w:val="none"/>
        </w:rPr>
        <w:t>，视其放弃中标，并由招标人通报建设行政管理部门。如采用银行保函或保险合同方式缴纳履约保证金，在保函或保险合同到期前一个月，中标人须主动办理续期手续或提交新的银行保函或保险合同；如中标人未及时主动办理续期手续或提交新的银行保函或保险合同，招标人有权扣留与履约保证金等额的施工进度款，直至中标人完成续期手续或提交新的银行保函或保险合同止。</w:t>
      </w:r>
    </w:p>
    <w:p w14:paraId="2F56EA3D">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snapToGrid w:val="0"/>
          <w:color w:val="auto"/>
          <w:kern w:val="0"/>
          <w:sz w:val="24"/>
          <w:szCs w:val="24"/>
          <w:highlight w:val="none"/>
        </w:rPr>
        <w:t xml:space="preserve"> 在工程实施过程中，如果承包人（即招标阶段的中标人，下同）由于自身的资金、技术、质量、非不可抗力等原因给发包人（即招标阶段的招标人，下同）造成经济损失，发包人有权扣划相应金额的履约保证。</w:t>
      </w:r>
    </w:p>
    <w:p w14:paraId="375FD8E6">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3.5</w:t>
      </w:r>
      <w:r>
        <w:rPr>
          <w:rFonts w:hint="eastAsia" w:ascii="宋体" w:hAnsi="宋体" w:eastAsia="宋体" w:cs="宋体"/>
          <w:snapToGrid w:val="0"/>
          <w:color w:val="auto"/>
          <w:kern w:val="0"/>
          <w:sz w:val="24"/>
          <w:szCs w:val="24"/>
          <w:highlight w:val="none"/>
        </w:rPr>
        <w:t xml:space="preserve"> 项目通过竣工验收之日后28天内，发包人将履约保证退还给承包人。</w:t>
      </w:r>
    </w:p>
    <w:p w14:paraId="16EB10D6">
      <w:pPr>
        <w:pStyle w:val="3"/>
        <w:wordWrap w:val="0"/>
        <w:autoSpaceDE/>
        <w:autoSpaceDN/>
        <w:snapToGrid w:val="0"/>
        <w:spacing w:line="440" w:lineRule="exact"/>
        <w:ind w:firstLine="480"/>
        <w:jc w:val="both"/>
        <w:rPr>
          <w:rFonts w:hint="eastAsia" w:ascii="宋体" w:hAnsi="宋体" w:eastAsia="宋体" w:cs="宋体"/>
          <w:b/>
          <w:snapToGrid w:val="0"/>
          <w:color w:val="auto"/>
          <w:sz w:val="24"/>
          <w:szCs w:val="24"/>
          <w:highlight w:val="none"/>
        </w:rPr>
      </w:pPr>
      <w:bookmarkStart w:id="168" w:name="_Toc24225"/>
      <w:bookmarkStart w:id="169" w:name="_Toc26519"/>
      <w:r>
        <w:rPr>
          <w:rFonts w:hint="eastAsia" w:ascii="宋体" w:hAnsi="宋体" w:eastAsia="宋体" w:cs="宋体"/>
          <w:b/>
          <w:snapToGrid w:val="0"/>
          <w:color w:val="auto"/>
          <w:sz w:val="24"/>
          <w:szCs w:val="24"/>
          <w:highlight w:val="none"/>
          <w:lang w:eastAsia="zh-CN"/>
        </w:rPr>
        <w:t>4.</w:t>
      </w:r>
      <w:r>
        <w:rPr>
          <w:rFonts w:hint="eastAsia" w:ascii="宋体" w:hAnsi="宋体" w:eastAsia="宋体" w:cs="宋体"/>
          <w:b/>
          <w:snapToGrid w:val="0"/>
          <w:color w:val="auto"/>
          <w:sz w:val="24"/>
          <w:szCs w:val="24"/>
          <w:highlight w:val="none"/>
        </w:rPr>
        <w:t>合同订立</w:t>
      </w:r>
      <w:bookmarkEnd w:id="168"/>
      <w:bookmarkEnd w:id="169"/>
    </w:p>
    <w:p w14:paraId="6366C833">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4.1</w:t>
      </w:r>
      <w:r>
        <w:rPr>
          <w:rFonts w:hint="eastAsia" w:ascii="宋体" w:hAnsi="宋体" w:eastAsia="宋体" w:cs="宋体"/>
          <w:snapToGrid w:val="0"/>
          <w:color w:val="auto"/>
          <w:kern w:val="0"/>
          <w:sz w:val="24"/>
          <w:szCs w:val="24"/>
          <w:highlight w:val="none"/>
        </w:rPr>
        <w:t xml:space="preserve"> 招标人应当自中标通知书发出之日起</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30</w:t>
      </w:r>
      <w:r>
        <w:rPr>
          <w:rFonts w:hint="eastAsia" w:ascii="宋体" w:hAnsi="宋体" w:eastAsia="宋体" w:cs="宋体"/>
          <w:snapToGrid w:val="0"/>
          <w:color w:val="auto"/>
          <w:kern w:val="0"/>
          <w:sz w:val="24"/>
          <w:szCs w:val="24"/>
          <w:highlight w:val="none"/>
        </w:rPr>
        <w:t>日内，按照招标文件、中标人的投标文件与中标人订立书面合同。</w:t>
      </w:r>
    </w:p>
    <w:p w14:paraId="22E8C8E9">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w:t>
      </w:r>
      <w:r>
        <w:rPr>
          <w:rFonts w:hint="eastAsia" w:ascii="宋体" w:hAnsi="宋体" w:eastAsia="宋体" w:cs="宋体"/>
          <w:snapToGrid w:val="0"/>
          <w:color w:val="auto"/>
          <w:kern w:val="0"/>
          <w:sz w:val="24"/>
          <w:szCs w:val="24"/>
          <w:highlight w:val="none"/>
        </w:rPr>
        <w:t xml:space="preserve"> 不正常报价的梳理和确认</w:t>
      </w:r>
    </w:p>
    <w:p w14:paraId="12863354">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4.2.1</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b/>
          <w:bCs/>
          <w:snapToGrid w:val="0"/>
          <w:color w:val="auto"/>
          <w:kern w:val="0"/>
          <w:sz w:val="24"/>
          <w:szCs w:val="24"/>
          <w:highlight w:val="none"/>
        </w:rPr>
        <w:t>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宋体" w:hAnsi="宋体" w:eastAsia="宋体" w:cs="宋体"/>
          <w:snapToGrid w:val="0"/>
          <w:color w:val="auto"/>
          <w:kern w:val="0"/>
          <w:sz w:val="24"/>
          <w:szCs w:val="24"/>
          <w:highlight w:val="none"/>
        </w:rPr>
        <w:t>招标人不具备以上能力的，可授权编制本项目招标控制价的造价咨询单位实施。</w:t>
      </w:r>
    </w:p>
    <w:p w14:paraId="7B8AB6C3">
      <w:pPr>
        <w:wordWrap w:val="0"/>
        <w:adjustRightInd w:val="0"/>
        <w:snapToGrid w:val="0"/>
        <w:spacing w:line="440" w:lineRule="exact"/>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4.2.2</w:t>
      </w:r>
      <w:r>
        <w:rPr>
          <w:rFonts w:hint="eastAsia" w:ascii="宋体" w:hAnsi="宋体" w:eastAsia="宋体" w:cs="宋体"/>
          <w:snapToGrid w:val="0"/>
          <w:color w:val="auto"/>
          <w:kern w:val="0"/>
          <w:sz w:val="24"/>
          <w:szCs w:val="24"/>
          <w:highlight w:val="none"/>
        </w:rPr>
        <w:t xml:space="preserve">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75838E85">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4.2.3</w:t>
      </w:r>
      <w:r>
        <w:rPr>
          <w:rFonts w:hint="eastAsia" w:ascii="宋体" w:hAnsi="宋体" w:eastAsia="宋体" w:cs="宋体"/>
          <w:snapToGrid w:val="0"/>
          <w:color w:val="auto"/>
          <w:kern w:val="0"/>
          <w:sz w:val="24"/>
          <w:szCs w:val="24"/>
          <w:highlight w:val="none"/>
        </w:rPr>
        <w:t xml:space="preserve"> 错漏项的认定。中标人已标价工程量清单中，任一清单项目未填报价格或价格为零的，视为错漏项。</w:t>
      </w:r>
    </w:p>
    <w:p w14:paraId="6ADAC617">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4.2.4</w:t>
      </w:r>
      <w:r>
        <w:rPr>
          <w:rFonts w:hint="eastAsia" w:ascii="宋体" w:hAnsi="宋体" w:eastAsia="宋体" w:cs="宋体"/>
          <w:snapToGrid w:val="0"/>
          <w:color w:val="auto"/>
          <w:kern w:val="0"/>
          <w:sz w:val="24"/>
          <w:szCs w:val="24"/>
          <w:highlight w:val="none"/>
        </w:rPr>
        <w:t xml:space="preserve"> 不平衡报价的认定。经修正算术性错误后的中标人已标价工程量清单中，</w:t>
      </w:r>
      <w:r>
        <w:rPr>
          <w:rFonts w:hint="eastAsia" w:ascii="宋体" w:hAnsi="宋体" w:eastAsia="宋体" w:cs="宋体"/>
          <w:snapToGrid w:val="0"/>
          <w:color w:val="auto"/>
          <w:kern w:val="0"/>
          <w:sz w:val="24"/>
          <w:szCs w:val="24"/>
          <w:highlight w:val="none"/>
          <w:u w:val="single"/>
        </w:rPr>
        <w:t>分部分项工程量清单项目的投标综合单价与招标控制价分部分项工程量清单项目的综合单价偏差≥20%的清单项目，视为不平衡报价项目。</w:t>
      </w:r>
    </w:p>
    <w:p w14:paraId="4A79E3C1">
      <w:pPr>
        <w:wordWrap w:val="0"/>
        <w:adjustRightInd w:val="0"/>
        <w:snapToGrid w:val="0"/>
        <w:spacing w:line="44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rPr>
        <w:t>4.2.5</w:t>
      </w:r>
      <w:r>
        <w:rPr>
          <w:rFonts w:hint="eastAsia" w:ascii="宋体" w:hAnsi="宋体" w:eastAsia="宋体" w:cs="宋体"/>
          <w:color w:val="auto"/>
          <w:sz w:val="24"/>
          <w:szCs w:val="24"/>
          <w:highlight w:val="none"/>
        </w:rPr>
        <w:t>若修正后的该部分《分部分项工程和单价措施项目清单与计价表》总金额大于原投标报价中的该部分总金额，则从投标报价需调高的综合单价中选择偏离最大的清单开始调整，调整幅度逐步减少，直至修正后的该部分《分部分项工程和单价措施项目清单与计价表》总金额与原投标报价中的该部分总金额一致；若修正后的该部分《分部分项工程和单价措施项目清单与计价表》总金额小于原投标报价中的该部分总金额，则从投标报价需调低的综合单价中选择偏离最大的清单开始调整，调整幅度逐步减少，直至修正后的该部分《分部分项工程和单价措施项目清单与计价表》总金额与原投标报价中的该部分总金额一致。修正后的总造价应与总中标价保持一致，形成《不平衡报价修正报告》，并由招标人和中标人共同签章确认。</w:t>
      </w:r>
    </w:p>
    <w:p w14:paraId="08C1883B">
      <w:pPr>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w:t>
      </w:r>
      <w:r>
        <w:rPr>
          <w:rFonts w:hint="eastAsia" w:ascii="宋体" w:hAnsi="宋体" w:eastAsia="宋体" w:cs="宋体"/>
          <w:b/>
          <w:bCs/>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 xml:space="preserve"> 施工合同签订前，招标人或其授权的造价咨询单位应就发现的以上所有不平衡报价进行修正，形成《不平衡报价修正报告》，并由招标人和中标人共同签章确认，构成施工合同的组成部分。</w:t>
      </w:r>
    </w:p>
    <w:p w14:paraId="3D6A1876">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w:t>
      </w:r>
      <w:r>
        <w:rPr>
          <w:rFonts w:hint="eastAsia" w:ascii="宋体" w:hAnsi="宋体" w:eastAsia="宋体" w:cs="宋体"/>
          <w:b/>
          <w:bCs/>
          <w:snapToGrid w:val="0"/>
          <w:color w:val="auto"/>
          <w:kern w:val="0"/>
          <w:sz w:val="24"/>
          <w:szCs w:val="24"/>
          <w:highlight w:val="none"/>
          <w:lang w:val="en-US" w:eastAsia="zh-CN"/>
        </w:rPr>
        <w:t>7</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b/>
          <w:bCs/>
          <w:snapToGrid w:val="0"/>
          <w:color w:val="auto"/>
          <w:kern w:val="0"/>
          <w:sz w:val="24"/>
          <w:szCs w:val="24"/>
          <w:highlight w:val="none"/>
        </w:rPr>
        <w:t>合同履行过程中，被认定为错漏项的清单项目，结算时按照第三章“拟签订合同的主要条款”规定处理。</w:t>
      </w:r>
    </w:p>
    <w:p w14:paraId="6CC0B70D">
      <w:pPr>
        <w:wordWrap w:val="0"/>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w:t>
      </w:r>
      <w:r>
        <w:rPr>
          <w:rFonts w:hint="eastAsia" w:ascii="宋体" w:hAnsi="宋体" w:eastAsia="宋体" w:cs="宋体"/>
          <w:b/>
          <w:bCs/>
          <w:snapToGrid w:val="0"/>
          <w:color w:val="auto"/>
          <w:kern w:val="0"/>
          <w:sz w:val="24"/>
          <w:szCs w:val="24"/>
          <w:highlight w:val="none"/>
          <w:lang w:val="en-US" w:eastAsia="zh-CN"/>
        </w:rPr>
        <w:t>8</w:t>
      </w:r>
      <w:r>
        <w:rPr>
          <w:rFonts w:hint="eastAsia" w:ascii="宋体" w:hAnsi="宋体" w:eastAsia="宋体" w:cs="宋体"/>
          <w:b/>
          <w:bCs/>
          <w:snapToGrid w:val="0"/>
          <w:color w:val="auto"/>
          <w:kern w:val="0"/>
          <w:sz w:val="24"/>
          <w:szCs w:val="24"/>
          <w:highlight w:val="none"/>
        </w:rPr>
        <w:t xml:space="preserve">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有关规定调整合同价款。</w:t>
      </w:r>
    </w:p>
    <w:p w14:paraId="278B6E0C">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4.3 </w:t>
      </w:r>
      <w:r>
        <w:rPr>
          <w:rFonts w:hint="eastAsia" w:ascii="宋体" w:hAnsi="宋体" w:eastAsia="宋体" w:cs="宋体"/>
          <w:snapToGrid w:val="0"/>
          <w:color w:val="auto"/>
          <w:kern w:val="0"/>
          <w:sz w:val="24"/>
          <w:szCs w:val="24"/>
          <w:highlight w:val="none"/>
        </w:rPr>
        <w:t>本招标项目合同计价方式为：</w:t>
      </w:r>
      <w:r>
        <w:rPr>
          <w:rFonts w:hint="eastAsia" w:ascii="宋体" w:hAnsi="宋体" w:eastAsia="宋体" w:cs="宋体"/>
          <w:snapToGrid w:val="0"/>
          <w:color w:val="auto"/>
          <w:kern w:val="0"/>
          <w:sz w:val="24"/>
          <w:szCs w:val="24"/>
          <w:highlight w:val="none"/>
          <w:u w:val="single"/>
        </w:rPr>
        <w:t xml:space="preserve"> 单价 </w:t>
      </w:r>
      <w:r>
        <w:rPr>
          <w:rFonts w:hint="eastAsia" w:ascii="宋体" w:hAnsi="宋体" w:eastAsia="宋体" w:cs="宋体"/>
          <w:snapToGrid w:val="0"/>
          <w:color w:val="auto"/>
          <w:kern w:val="0"/>
          <w:sz w:val="24"/>
          <w:szCs w:val="24"/>
          <w:highlight w:val="none"/>
        </w:rPr>
        <w:t>合同。</w:t>
      </w:r>
    </w:p>
    <w:p w14:paraId="4867DC24">
      <w:pPr>
        <w:wordWrap w:val="0"/>
        <w:adjustRightInd w:val="0"/>
        <w:snapToGrid w:val="0"/>
        <w:spacing w:line="440" w:lineRule="exact"/>
        <w:ind w:firstLine="482" w:firstLineChars="200"/>
        <w:rPr>
          <w:rFonts w:hint="eastAsia" w:ascii="宋体" w:hAnsi="宋体" w:eastAsia="宋体" w:cs="宋体"/>
          <w:strike/>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4.4</w:t>
      </w:r>
      <w:r>
        <w:rPr>
          <w:rFonts w:hint="eastAsia" w:ascii="宋体" w:hAnsi="宋体" w:eastAsia="宋体" w:cs="宋体"/>
          <w:snapToGrid w:val="0"/>
          <w:color w:val="auto"/>
          <w:kern w:val="0"/>
          <w:sz w:val="24"/>
          <w:szCs w:val="24"/>
          <w:highlight w:val="none"/>
        </w:rPr>
        <w:t xml:space="preserve"> 合同的标的、质量、履行期限条款和合同的价款、单价、比例条款等主要条款，应当与招标文件、中标人的投标文件的内容一致。中标人在签订合同时不得向招标人提出附加条件。</w:t>
      </w:r>
    </w:p>
    <w:p w14:paraId="297E459D">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4.5</w:t>
      </w:r>
      <w:r>
        <w:rPr>
          <w:rFonts w:hint="eastAsia" w:ascii="宋体" w:hAnsi="宋体" w:eastAsia="宋体" w:cs="宋体"/>
          <w:snapToGrid w:val="0"/>
          <w:color w:val="auto"/>
          <w:kern w:val="0"/>
          <w:sz w:val="24"/>
          <w:szCs w:val="24"/>
          <w:highlight w:val="none"/>
        </w:rPr>
        <w:t xml:space="preserve"> 若中标人在领取中标通知书之日起 30 天内仍未签订合同，招标人发出第一次提醒函；在领取中标通知书之日起 40 天内仍未签订，招标人发出第二次提醒函；在领取中标通知书之日起 45 天内仍未签订，视其放弃中标。</w:t>
      </w:r>
    </w:p>
    <w:p w14:paraId="117A246F">
      <w:pPr>
        <w:wordWrap w:val="0"/>
        <w:adjustRightInd w:val="0"/>
        <w:snapToGrid w:val="0"/>
        <w:spacing w:line="44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4.6</w:t>
      </w:r>
      <w:r>
        <w:rPr>
          <w:rFonts w:hint="eastAsia" w:ascii="宋体" w:hAnsi="宋体" w:eastAsia="宋体" w:cs="宋体"/>
          <w:snapToGrid w:val="0"/>
          <w:color w:val="auto"/>
          <w:kern w:val="0"/>
          <w:sz w:val="24"/>
          <w:szCs w:val="24"/>
          <w:highlight w:val="none"/>
        </w:rPr>
        <w:t xml:space="preserve"> 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5B519DAF">
      <w:pPr>
        <w:pStyle w:val="3"/>
        <w:wordWrap w:val="0"/>
        <w:autoSpaceDE/>
        <w:autoSpaceDN/>
        <w:snapToGrid w:val="0"/>
        <w:spacing w:line="440" w:lineRule="exact"/>
        <w:ind w:firstLine="480"/>
        <w:jc w:val="both"/>
        <w:rPr>
          <w:rFonts w:hint="eastAsia" w:ascii="宋体" w:hAnsi="宋体" w:eastAsia="宋体" w:cs="宋体"/>
          <w:b/>
          <w:snapToGrid w:val="0"/>
          <w:color w:val="auto"/>
          <w:sz w:val="24"/>
          <w:szCs w:val="24"/>
          <w:highlight w:val="none"/>
        </w:rPr>
      </w:pPr>
      <w:bookmarkStart w:id="170" w:name="_Toc23627"/>
      <w:bookmarkStart w:id="171" w:name="_Toc11149"/>
      <w:r>
        <w:rPr>
          <w:rFonts w:hint="eastAsia" w:ascii="宋体" w:hAnsi="宋体" w:eastAsia="宋体" w:cs="宋体"/>
          <w:b/>
          <w:snapToGrid w:val="0"/>
          <w:color w:val="auto"/>
          <w:sz w:val="24"/>
          <w:szCs w:val="24"/>
          <w:highlight w:val="none"/>
          <w:lang w:eastAsia="zh-CN"/>
        </w:rPr>
        <w:t>5.</w:t>
      </w:r>
      <w:r>
        <w:rPr>
          <w:rFonts w:hint="eastAsia" w:ascii="宋体" w:hAnsi="宋体" w:eastAsia="宋体" w:cs="宋体"/>
          <w:b/>
          <w:snapToGrid w:val="0"/>
          <w:color w:val="auto"/>
          <w:sz w:val="24"/>
          <w:szCs w:val="24"/>
          <w:highlight w:val="none"/>
        </w:rPr>
        <w:t>放弃中标的处理</w:t>
      </w:r>
      <w:bookmarkEnd w:id="170"/>
      <w:bookmarkEnd w:id="171"/>
    </w:p>
    <w:p w14:paraId="290962F3">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w:t>
      </w:r>
      <w:r>
        <w:rPr>
          <w:rFonts w:hint="eastAsia" w:ascii="宋体" w:hAnsi="宋体" w:eastAsia="宋体" w:cs="宋体"/>
          <w:snapToGrid w:val="0"/>
          <w:color w:val="auto"/>
          <w:kern w:val="0"/>
          <w:sz w:val="24"/>
          <w:szCs w:val="24"/>
          <w:highlight w:val="none"/>
        </w:rPr>
        <w:t xml:space="preserve"> 中标人</w:t>
      </w:r>
      <w:r>
        <w:rPr>
          <w:rFonts w:hint="eastAsia" w:ascii="宋体" w:hAnsi="宋体" w:eastAsia="宋体" w:cs="宋体"/>
          <w:snapToGrid w:val="0"/>
          <w:color w:val="auto"/>
          <w:sz w:val="24"/>
          <w:szCs w:val="24"/>
          <w:highlight w:val="none"/>
        </w:rPr>
        <w:t>无正当理由放弃中标的，</w:t>
      </w:r>
      <w:r>
        <w:rPr>
          <w:rFonts w:hint="eastAsia" w:ascii="宋体" w:hAnsi="宋体" w:eastAsia="宋体" w:cs="宋体"/>
          <w:snapToGrid w:val="0"/>
          <w:color w:val="auto"/>
          <w:kern w:val="0"/>
          <w:sz w:val="24"/>
          <w:szCs w:val="24"/>
          <w:highlight w:val="none"/>
        </w:rPr>
        <w:t>取消其中标资格，其投标保</w:t>
      </w:r>
      <w:r>
        <w:rPr>
          <w:rFonts w:hint="eastAsia" w:ascii="宋体" w:hAnsi="宋体" w:eastAsia="宋体" w:cs="宋体"/>
          <w:snapToGrid w:val="0"/>
          <w:color w:val="auto"/>
          <w:kern w:val="0"/>
          <w:sz w:val="24"/>
          <w:szCs w:val="24"/>
          <w:highlight w:val="none"/>
          <w:lang w:eastAsia="zh-CN"/>
        </w:rPr>
        <w:t>证金</w:t>
      </w:r>
      <w:r>
        <w:rPr>
          <w:rFonts w:hint="eastAsia" w:ascii="宋体" w:hAnsi="宋体" w:eastAsia="宋体" w:cs="宋体"/>
          <w:snapToGrid w:val="0"/>
          <w:color w:val="auto"/>
          <w:kern w:val="0"/>
          <w:sz w:val="24"/>
          <w:szCs w:val="24"/>
          <w:highlight w:val="none"/>
        </w:rPr>
        <w:t>不予退还，给招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w:t>
      </w:r>
      <w:r>
        <w:rPr>
          <w:rFonts w:hint="eastAsia" w:ascii="宋体" w:hAnsi="宋体" w:eastAsia="宋体" w:cs="宋体"/>
          <w:bCs/>
          <w:snapToGrid w:val="0"/>
          <w:color w:val="auto"/>
          <w:kern w:val="0"/>
          <w:sz w:val="24"/>
          <w:szCs w:val="24"/>
          <w:highlight w:val="none"/>
        </w:rPr>
        <w:t>因此种情况造成招标人重新招标的</w:t>
      </w:r>
      <w:r>
        <w:rPr>
          <w:rFonts w:hint="eastAsia" w:ascii="宋体" w:hAnsi="宋体" w:eastAsia="宋体" w:cs="宋体"/>
          <w:snapToGrid w:val="0"/>
          <w:color w:val="auto"/>
          <w:kern w:val="0"/>
          <w:sz w:val="24"/>
          <w:szCs w:val="24"/>
          <w:highlight w:val="none"/>
        </w:rPr>
        <w:t>，招标人可不接受该弃标人再次投标。同时，招标人应将该弃标人的失信行为向行政监督部门报告。</w:t>
      </w:r>
    </w:p>
    <w:p w14:paraId="0B2D8183">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5.2</w:t>
      </w:r>
      <w:r>
        <w:rPr>
          <w:rFonts w:hint="eastAsia" w:ascii="宋体" w:hAnsi="宋体" w:eastAsia="宋体" w:cs="宋体"/>
          <w:snapToGrid w:val="0"/>
          <w:color w:val="auto"/>
          <w:kern w:val="0"/>
          <w:sz w:val="24"/>
          <w:szCs w:val="24"/>
          <w:highlight w:val="none"/>
        </w:rPr>
        <w:t xml:space="preserve"> 中标人因不可抗力提出不能履行合同的，须在领取中标通知书之日起10天内提供有关证明文件或资料，其投标保证予以退还，招标人可按照</w:t>
      </w:r>
      <w:r>
        <w:rPr>
          <w:rFonts w:hint="eastAsia" w:ascii="宋体" w:hAnsi="宋体" w:eastAsia="宋体" w:cs="宋体"/>
          <w:snapToGrid w:val="0"/>
          <w:color w:val="auto"/>
          <w:kern w:val="0"/>
          <w:sz w:val="24"/>
          <w:szCs w:val="24"/>
          <w:highlight w:val="none"/>
          <w:lang w:val="en-US" w:eastAsia="zh-CN"/>
        </w:rPr>
        <w:t>定标</w:t>
      </w:r>
      <w:r>
        <w:rPr>
          <w:rFonts w:hint="eastAsia" w:ascii="宋体" w:hAnsi="宋体" w:eastAsia="宋体" w:cs="宋体"/>
          <w:snapToGrid w:val="0"/>
          <w:color w:val="auto"/>
          <w:kern w:val="0"/>
          <w:sz w:val="24"/>
          <w:szCs w:val="24"/>
          <w:highlight w:val="none"/>
        </w:rPr>
        <w:t>委员会提出的中标候选人名单排序依次确定其他中标候选人为中标人。如果招标人认为其他中标候选人的条件明显不利于招标人的，也可以重新招标。</w:t>
      </w:r>
    </w:p>
    <w:p w14:paraId="1DF29DAD">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bookmarkStart w:id="172" w:name="_Toc22158"/>
      <w:bookmarkStart w:id="173" w:name="_Toc9766"/>
      <w:bookmarkStart w:id="174" w:name="_Toc2577"/>
    </w:p>
    <w:p w14:paraId="45FE00BC">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201993C4">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258ED1C6">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0D58C221">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13B6C94B">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29A95535">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16E4CA26">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2A484369">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42FE9B96">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782F9625">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1D571640">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231E45A8">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105A899B">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7EEB25AC">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7335CFE3">
      <w:pPr>
        <w:pStyle w:val="3"/>
        <w:wordWrap w:val="0"/>
        <w:autoSpaceDE/>
        <w:autoSpaceDN/>
        <w:snapToGrid w:val="0"/>
        <w:spacing w:line="440" w:lineRule="exact"/>
        <w:ind w:firstLine="480"/>
        <w:jc w:val="both"/>
        <w:rPr>
          <w:rFonts w:hint="eastAsia" w:ascii="宋体" w:hAnsi="宋体" w:eastAsia="宋体" w:cs="宋体"/>
          <w:b/>
          <w:strike/>
          <w:snapToGrid w:val="0"/>
          <w:color w:val="auto"/>
          <w:sz w:val="24"/>
          <w:szCs w:val="24"/>
          <w:highlight w:val="none"/>
        </w:rPr>
      </w:pPr>
    </w:p>
    <w:p w14:paraId="4BC15B22">
      <w:pPr>
        <w:pStyle w:val="3"/>
        <w:wordWrap w:val="0"/>
        <w:autoSpaceDE/>
        <w:autoSpaceDN/>
        <w:snapToGrid w:val="0"/>
        <w:spacing w:line="440" w:lineRule="exact"/>
        <w:ind w:firstLine="0"/>
        <w:jc w:val="both"/>
        <w:rPr>
          <w:rFonts w:hint="eastAsia" w:ascii="宋体" w:hAnsi="宋体" w:eastAsia="宋体" w:cs="宋体"/>
          <w:b/>
          <w:strike/>
          <w:snapToGrid w:val="0"/>
          <w:color w:val="auto"/>
          <w:sz w:val="24"/>
          <w:szCs w:val="24"/>
          <w:highlight w:val="none"/>
        </w:rPr>
      </w:pPr>
    </w:p>
    <w:bookmarkEnd w:id="172"/>
    <w:bookmarkEnd w:id="173"/>
    <w:bookmarkEnd w:id="174"/>
    <w:p w14:paraId="10B3EAE0">
      <w:pPr>
        <w:spacing w:before="78" w:line="219" w:lineRule="auto"/>
        <w:ind w:left="0"/>
        <w:jc w:val="center"/>
        <w:outlineLvl w:val="0"/>
        <w:rPr>
          <w:rFonts w:hint="eastAsia" w:ascii="宋体" w:hAnsi="宋体" w:eastAsia="宋体" w:cs="宋体"/>
          <w:color w:val="auto"/>
          <w:sz w:val="24"/>
          <w:szCs w:val="24"/>
          <w:highlight w:val="none"/>
        </w:rPr>
      </w:pPr>
      <w:bookmarkStart w:id="175" w:name="bookmark86"/>
      <w:bookmarkEnd w:id="175"/>
      <w:bookmarkStart w:id="176" w:name="_Toc18594"/>
      <w:r>
        <w:rPr>
          <w:rFonts w:hint="eastAsia" w:ascii="宋体" w:hAnsi="宋体" w:eastAsia="宋体" w:cs="宋体"/>
          <w:b/>
          <w:bCs/>
          <w:color w:val="auto"/>
          <w:spacing w:val="-3"/>
          <w:sz w:val="24"/>
          <w:szCs w:val="24"/>
          <w:highlight w:val="none"/>
        </w:rPr>
        <w:t>第三章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拟签订合同的主要条款</w:t>
      </w:r>
      <w:bookmarkEnd w:id="176"/>
    </w:p>
    <w:p w14:paraId="5C534CD3">
      <w:pPr>
        <w:pStyle w:val="6"/>
        <w:spacing w:line="257" w:lineRule="auto"/>
        <w:rPr>
          <w:rFonts w:hint="eastAsia" w:ascii="宋体" w:hAnsi="宋体" w:eastAsia="宋体" w:cs="宋体"/>
          <w:color w:val="auto"/>
          <w:highlight w:val="none"/>
        </w:rPr>
      </w:pPr>
    </w:p>
    <w:p w14:paraId="69498346">
      <w:pPr>
        <w:pStyle w:val="6"/>
        <w:spacing w:line="257" w:lineRule="auto"/>
        <w:rPr>
          <w:rFonts w:hint="eastAsia" w:ascii="宋体" w:hAnsi="宋体" w:eastAsia="宋体" w:cs="宋体"/>
          <w:color w:val="auto"/>
          <w:highlight w:val="none"/>
        </w:rPr>
      </w:pPr>
    </w:p>
    <w:p w14:paraId="70F6C702">
      <w:pPr>
        <w:wordWrap w:val="0"/>
        <w:autoSpaceDE/>
        <w:autoSpaceDN/>
        <w:snapToGrid w:val="0"/>
        <w:spacing w:line="360" w:lineRule="auto"/>
        <w:ind w:firstLine="482" w:firstLineChars="200"/>
        <w:jc w:val="both"/>
        <w:outlineLvl w:val="9"/>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lang w:eastAsia="zh-CN"/>
        </w:rPr>
        <w:t>1.</w:t>
      </w:r>
      <w:r>
        <w:rPr>
          <w:rFonts w:hint="eastAsia" w:ascii="宋体" w:hAnsi="宋体" w:eastAsia="宋体" w:cs="宋体"/>
          <w:b/>
          <w:snapToGrid w:val="0"/>
          <w:color w:val="auto"/>
          <w:sz w:val="24"/>
          <w:szCs w:val="24"/>
          <w:highlight w:val="none"/>
        </w:rPr>
        <w:t>工程承包方式</w:t>
      </w:r>
    </w:p>
    <w:p w14:paraId="70BC0202">
      <w:pPr>
        <w:wordWrap w:val="0"/>
        <w:adjustRightInd w:val="0"/>
        <w:snapToGrid w:val="0"/>
        <w:spacing w:line="360" w:lineRule="auto"/>
        <w:ind w:firstLine="482" w:firstLineChars="200"/>
        <w:outlineLvl w:val="9"/>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w:t>
      </w:r>
      <w:r>
        <w:rPr>
          <w:rFonts w:hint="eastAsia" w:ascii="宋体" w:hAnsi="宋体" w:eastAsia="宋体" w:cs="宋体"/>
          <w:snapToGrid w:val="0"/>
          <w:color w:val="auto"/>
          <w:kern w:val="0"/>
          <w:sz w:val="24"/>
          <w:szCs w:val="24"/>
          <w:highlight w:val="none"/>
        </w:rPr>
        <w:t xml:space="preserve"> 承包人以中标价按包工包料、包质量、包安全包文明施工、包工期方式总承包施工，不允许转包和违法分包，如果确需分包须与发包人协商，在得到发包人和监理单位同意后报建设行政主管部门备案。</w:t>
      </w:r>
    </w:p>
    <w:p w14:paraId="1D235C7C">
      <w:pPr>
        <w:wordWrap w:val="0"/>
        <w:adjustRightInd w:val="0"/>
        <w:snapToGrid w:val="0"/>
        <w:spacing w:line="360" w:lineRule="auto"/>
        <w:ind w:firstLine="560"/>
        <w:outlineLvl w:val="9"/>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1.1.1</w:t>
      </w:r>
      <w:r>
        <w:rPr>
          <w:rFonts w:hint="eastAsia" w:ascii="宋体" w:hAnsi="宋体" w:eastAsia="宋体" w:cs="宋体"/>
          <w:snapToGrid w:val="0"/>
          <w:color w:val="auto"/>
          <w:kern w:val="0"/>
          <w:sz w:val="24"/>
          <w:szCs w:val="24"/>
          <w:highlight w:val="none"/>
        </w:rPr>
        <w:t xml:space="preserve"> 包工包料：材料符合招标文件要求并报验使用；办理用工保险。</w:t>
      </w:r>
    </w:p>
    <w:p w14:paraId="5B02858A">
      <w:pPr>
        <w:wordWrap w:val="0"/>
        <w:adjustRightInd w:val="0"/>
        <w:snapToGrid w:val="0"/>
        <w:spacing w:line="360" w:lineRule="auto"/>
        <w:ind w:firstLine="560"/>
        <w:outlineLvl w:val="9"/>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1.1.2</w:t>
      </w:r>
      <w:r>
        <w:rPr>
          <w:rFonts w:hint="eastAsia" w:ascii="宋体" w:hAnsi="宋体" w:eastAsia="宋体" w:cs="宋体"/>
          <w:snapToGrid w:val="0"/>
          <w:color w:val="auto"/>
          <w:kern w:val="0"/>
          <w:sz w:val="24"/>
          <w:szCs w:val="24"/>
          <w:highlight w:val="none"/>
        </w:rPr>
        <w:t xml:space="preserve"> 包质量：符合招标文件要求。</w:t>
      </w:r>
    </w:p>
    <w:p w14:paraId="166AE910">
      <w:pPr>
        <w:wordWrap w:val="0"/>
        <w:adjustRightInd w:val="0"/>
        <w:snapToGrid w:val="0"/>
        <w:spacing w:line="360" w:lineRule="auto"/>
        <w:ind w:firstLine="560"/>
        <w:outlineLvl w:val="9"/>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1.1.3</w:t>
      </w:r>
      <w:r>
        <w:rPr>
          <w:rFonts w:hint="eastAsia" w:ascii="宋体" w:hAnsi="宋体" w:eastAsia="宋体" w:cs="宋体"/>
          <w:snapToGrid w:val="0"/>
          <w:color w:val="auto"/>
          <w:kern w:val="0"/>
          <w:sz w:val="24"/>
          <w:szCs w:val="24"/>
          <w:highlight w:val="none"/>
        </w:rPr>
        <w:t xml:space="preserve"> 包安全包文明施工：符合招标文件要求。</w:t>
      </w:r>
    </w:p>
    <w:p w14:paraId="676A0A2D">
      <w:pPr>
        <w:wordWrap w:val="0"/>
        <w:adjustRightInd w:val="0"/>
        <w:snapToGrid w:val="0"/>
        <w:spacing w:line="360" w:lineRule="auto"/>
        <w:ind w:firstLine="560"/>
        <w:outlineLvl w:val="9"/>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1.1.4 </w:t>
      </w:r>
      <w:r>
        <w:rPr>
          <w:rFonts w:hint="eastAsia" w:ascii="宋体" w:hAnsi="宋体" w:eastAsia="宋体" w:cs="宋体"/>
          <w:snapToGrid w:val="0"/>
          <w:color w:val="auto"/>
          <w:kern w:val="0"/>
          <w:sz w:val="24"/>
          <w:szCs w:val="24"/>
          <w:highlight w:val="none"/>
        </w:rPr>
        <w:t>包工期：本招标项目施工必须在招标工期内完成。</w:t>
      </w:r>
    </w:p>
    <w:p w14:paraId="50755051">
      <w:pPr>
        <w:wordWrap w:val="0"/>
        <w:autoSpaceDE/>
        <w:autoSpaceDN/>
        <w:snapToGrid w:val="0"/>
        <w:spacing w:line="360" w:lineRule="auto"/>
        <w:ind w:firstLine="480"/>
        <w:jc w:val="both"/>
        <w:outlineLvl w:val="9"/>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lang w:eastAsia="zh-CN"/>
        </w:rPr>
        <w:t>2.</w:t>
      </w:r>
      <w:r>
        <w:rPr>
          <w:rFonts w:hint="eastAsia" w:ascii="宋体" w:hAnsi="宋体" w:eastAsia="宋体" w:cs="宋体"/>
          <w:b/>
          <w:snapToGrid w:val="0"/>
          <w:color w:val="auto"/>
          <w:sz w:val="24"/>
          <w:szCs w:val="24"/>
          <w:highlight w:val="none"/>
        </w:rPr>
        <w:t>工程结算原则</w:t>
      </w:r>
    </w:p>
    <w:p w14:paraId="6DE26D63">
      <w:pPr>
        <w:wordWrap w:val="0"/>
        <w:adjustRightInd w:val="0"/>
        <w:snapToGrid w:val="0"/>
        <w:spacing w:line="360" w:lineRule="auto"/>
        <w:ind w:firstLine="482"/>
        <w:outlineLvl w:val="9"/>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2.1</w:t>
      </w:r>
      <w:r>
        <w:rPr>
          <w:rFonts w:hint="eastAsia" w:ascii="宋体" w:hAnsi="宋体" w:eastAsia="宋体" w:cs="宋体"/>
          <w:snapToGrid w:val="0"/>
          <w:color w:val="auto"/>
          <w:kern w:val="0"/>
          <w:sz w:val="24"/>
          <w:szCs w:val="24"/>
          <w:highlight w:val="none"/>
        </w:rPr>
        <w:t xml:space="preserve"> 承包人的投标总价为中标价，即为签约合同价。</w:t>
      </w:r>
    </w:p>
    <w:p w14:paraId="094E03BE">
      <w:pPr>
        <w:wordWrap w:val="0"/>
        <w:adjustRightInd w:val="0"/>
        <w:snapToGrid w:val="0"/>
        <w:spacing w:line="360" w:lineRule="auto"/>
        <w:ind w:firstLine="482"/>
        <w:outlineLvl w:val="9"/>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w:t>
      </w:r>
      <w:r>
        <w:rPr>
          <w:rFonts w:hint="eastAsia" w:ascii="宋体" w:hAnsi="宋体" w:eastAsia="宋体" w:cs="宋体"/>
          <w:snapToGrid w:val="0"/>
          <w:color w:val="auto"/>
          <w:kern w:val="0"/>
          <w:sz w:val="24"/>
          <w:szCs w:val="24"/>
          <w:highlight w:val="none"/>
        </w:rPr>
        <w:t xml:space="preserve"> 招标工程量清单标明的工程量是投标人投标报价的共同基础，竣工结算的工程量按《建设工程工程量清单计价规范》（</w:t>
      </w:r>
      <w:r>
        <w:rPr>
          <w:rFonts w:hint="eastAsia" w:ascii="宋体" w:hAnsi="宋体" w:eastAsia="宋体" w:cs="宋体"/>
          <w:snapToGrid w:val="0"/>
          <w:color w:val="auto"/>
          <w:kern w:val="0"/>
          <w:sz w:val="24"/>
          <w:szCs w:val="24"/>
          <w:highlight w:val="none"/>
          <w:lang w:eastAsia="zh-CN"/>
        </w:rPr>
        <w:t>GBT50500-2024</w:t>
      </w:r>
      <w:r>
        <w:rPr>
          <w:rFonts w:hint="eastAsia" w:ascii="宋体" w:hAnsi="宋体" w:eastAsia="宋体" w:cs="宋体"/>
          <w:snapToGrid w:val="0"/>
          <w:color w:val="auto"/>
          <w:kern w:val="0"/>
          <w:sz w:val="24"/>
          <w:szCs w:val="24"/>
          <w:highlight w:val="none"/>
        </w:rPr>
        <w:t>）对工程计量的规定进行计量，必须以承包人完成合同工程应予计量的工程量确定。施工中进行工程计量，当发现招标工程量清单中出现缺项、工程量偏差</w:t>
      </w:r>
      <w:r>
        <w:rPr>
          <w:rFonts w:hint="eastAsia" w:ascii="宋体" w:hAnsi="宋体" w:eastAsia="宋体" w:cs="宋体"/>
          <w:snapToGrid w:val="0"/>
          <w:color w:val="auto"/>
          <w:kern w:val="0"/>
          <w:sz w:val="24"/>
          <w:szCs w:val="24"/>
          <w:highlight w:val="none"/>
          <w:lang w:eastAsia="zh-CN"/>
        </w:rPr>
        <w:t>或</w:t>
      </w:r>
      <w:r>
        <w:rPr>
          <w:rFonts w:hint="eastAsia" w:ascii="宋体" w:hAnsi="宋体" w:eastAsia="宋体" w:cs="宋体"/>
          <w:snapToGrid w:val="0"/>
          <w:color w:val="auto"/>
          <w:kern w:val="0"/>
          <w:sz w:val="24"/>
          <w:szCs w:val="24"/>
          <w:highlight w:val="none"/>
        </w:rPr>
        <w:t>因工程变更引起工程量增减时，应按承包人在履行合同义务中完成的工程量计算。因承包人原因造成的超出合同工程范围施工或返工的工程量，发包人不予计量。</w:t>
      </w:r>
    </w:p>
    <w:p w14:paraId="75EA2B7C">
      <w:pPr>
        <w:wordWrap w:val="0"/>
        <w:adjustRightInd w:val="0"/>
        <w:snapToGrid w:val="0"/>
        <w:spacing w:line="360" w:lineRule="auto"/>
        <w:ind w:firstLine="48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w:t>
      </w:r>
      <w:r>
        <w:rPr>
          <w:rFonts w:hint="eastAsia" w:ascii="宋体" w:hAnsi="宋体" w:eastAsia="宋体" w:cs="宋体"/>
          <w:snapToGrid w:val="0"/>
          <w:color w:val="auto"/>
          <w:kern w:val="0"/>
          <w:sz w:val="24"/>
          <w:szCs w:val="24"/>
          <w:highlight w:val="none"/>
        </w:rPr>
        <w:t xml:space="preserve"> 施工合同履行期间，若出现下列情形的，发、承包双方应当按照以下规定调整合同价款：</w:t>
      </w:r>
    </w:p>
    <w:p w14:paraId="045EBF3C">
      <w:pPr>
        <w:wordWrap w:val="0"/>
        <w:adjustRightInd w:val="0"/>
        <w:snapToGrid w:val="0"/>
        <w:spacing w:line="360" w:lineRule="auto"/>
        <w:ind w:firstLine="48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w:t>
      </w:r>
      <w:r>
        <w:rPr>
          <w:rFonts w:hint="eastAsia" w:ascii="宋体" w:hAnsi="宋体" w:eastAsia="宋体" w:cs="宋体"/>
          <w:snapToGrid w:val="0"/>
          <w:color w:val="auto"/>
          <w:kern w:val="0"/>
          <w:sz w:val="24"/>
          <w:szCs w:val="24"/>
          <w:highlight w:val="none"/>
        </w:rPr>
        <w:t xml:space="preserve"> 法律法规变化</w:t>
      </w:r>
    </w:p>
    <w:p w14:paraId="5950D712">
      <w:pPr>
        <w:wordWrap w:val="0"/>
        <w:adjustRightInd w:val="0"/>
        <w:snapToGrid w:val="0"/>
        <w:spacing w:line="360" w:lineRule="auto"/>
        <w:ind w:firstLine="48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2.3.1.1</w:t>
      </w:r>
      <w:r>
        <w:rPr>
          <w:rFonts w:hint="eastAsia" w:ascii="宋体" w:hAnsi="宋体" w:eastAsia="宋体" w:cs="宋体"/>
          <w:snapToGrid w:val="0"/>
          <w:color w:val="auto"/>
          <w:kern w:val="0"/>
          <w:sz w:val="24"/>
          <w:szCs w:val="24"/>
          <w:highlight w:val="none"/>
        </w:rPr>
        <w:t xml:space="preserve"> 基准日之后，因国家</w:t>
      </w:r>
      <w:r>
        <w:rPr>
          <w:rFonts w:hint="eastAsia" w:ascii="宋体" w:hAnsi="宋体" w:eastAsia="宋体" w:cs="宋体"/>
          <w:snapToGrid w:val="0"/>
          <w:color w:val="auto"/>
          <w:kern w:val="0"/>
          <w:sz w:val="24"/>
          <w:szCs w:val="24"/>
          <w:highlight w:val="none"/>
          <w:lang w:eastAsia="zh-CN"/>
        </w:rPr>
        <w:t>法律法规</w:t>
      </w:r>
      <w:r>
        <w:rPr>
          <w:rFonts w:hint="eastAsia" w:ascii="宋体" w:hAnsi="宋体" w:eastAsia="宋体" w:cs="宋体"/>
          <w:snapToGrid w:val="0"/>
          <w:color w:val="auto"/>
          <w:kern w:val="0"/>
          <w:sz w:val="24"/>
          <w:szCs w:val="24"/>
          <w:highlight w:val="none"/>
        </w:rPr>
        <w:t>、规章和政策发生变化引起工程造价增减变化时，发、承包双方应按照省级建设主管部门（或省级行业主管部门）或其授权的工程造价管理机构据此发布的最新规定调整合同价款。</w:t>
      </w:r>
    </w:p>
    <w:p w14:paraId="2AB1FF70">
      <w:pPr>
        <w:wordWrap w:val="0"/>
        <w:adjustRightInd w:val="0"/>
        <w:snapToGrid w:val="0"/>
        <w:spacing w:line="360" w:lineRule="auto"/>
        <w:ind w:firstLine="482"/>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注：本招标文件所称“基准日”，均指投标文件递交截止时间（见第一章第二节“重要事项时间地点一览表”）前28天。</w:t>
      </w:r>
    </w:p>
    <w:p w14:paraId="5ECD78DF">
      <w:pPr>
        <w:wordWrap w:val="0"/>
        <w:adjustRightInd w:val="0"/>
        <w:snapToGrid w:val="0"/>
        <w:spacing w:line="360" w:lineRule="auto"/>
        <w:ind w:firstLine="48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2.3.1.2</w:t>
      </w:r>
      <w:r>
        <w:rPr>
          <w:rFonts w:hint="eastAsia" w:ascii="宋体" w:hAnsi="宋体" w:eastAsia="宋体" w:cs="宋体"/>
          <w:snapToGrid w:val="0"/>
          <w:color w:val="auto"/>
          <w:kern w:val="0"/>
          <w:sz w:val="24"/>
          <w:szCs w:val="24"/>
          <w:highlight w:val="none"/>
        </w:rPr>
        <w:t xml:space="preserve"> 因承包人原因导致工程延误，本章第</w:t>
      </w:r>
      <w:r>
        <w:rPr>
          <w:rFonts w:hint="eastAsia" w:ascii="宋体" w:hAnsi="宋体" w:eastAsia="宋体" w:cs="宋体"/>
          <w:b/>
          <w:bCs/>
          <w:snapToGrid w:val="0"/>
          <w:color w:val="auto"/>
          <w:kern w:val="0"/>
          <w:sz w:val="24"/>
          <w:szCs w:val="24"/>
          <w:highlight w:val="none"/>
        </w:rPr>
        <w:t>2.3.1.1</w:t>
      </w:r>
      <w:r>
        <w:rPr>
          <w:rFonts w:hint="eastAsia" w:ascii="宋体" w:hAnsi="宋体" w:eastAsia="宋体" w:cs="宋体"/>
          <w:snapToGrid w:val="0"/>
          <w:color w:val="auto"/>
          <w:kern w:val="0"/>
          <w:sz w:val="24"/>
          <w:szCs w:val="24"/>
          <w:highlight w:val="none"/>
        </w:rPr>
        <w:t>子目中的法定机构根据国家法律法规变化发布新规的时间在合同工程原定竣工时间之后的，合同价款调增的不予调整，合同价款调减的予以调整。</w:t>
      </w:r>
    </w:p>
    <w:p w14:paraId="321964BF">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2.3.2</w:t>
      </w:r>
      <w:r>
        <w:rPr>
          <w:rFonts w:hint="eastAsia" w:ascii="宋体" w:hAnsi="宋体" w:eastAsia="宋体" w:cs="宋体"/>
          <w:snapToGrid w:val="0"/>
          <w:color w:val="auto"/>
          <w:kern w:val="0"/>
          <w:sz w:val="24"/>
          <w:szCs w:val="24"/>
          <w:highlight w:val="none"/>
        </w:rPr>
        <w:t xml:space="preserve"> 工程量偏差或变化</w:t>
      </w:r>
    </w:p>
    <w:p w14:paraId="264CB560">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2.3.2.1</w:t>
      </w:r>
      <w:r>
        <w:rPr>
          <w:rFonts w:hint="eastAsia" w:ascii="宋体" w:hAnsi="宋体" w:eastAsia="宋体" w:cs="宋体"/>
          <w:snapToGrid w:val="0"/>
          <w:color w:val="auto"/>
          <w:kern w:val="0"/>
          <w:sz w:val="24"/>
          <w:szCs w:val="24"/>
          <w:highlight w:val="none"/>
        </w:rPr>
        <w:t xml:space="preserve"> 合同履行期间，当应予计算的实际工程量与招标工程量清单出现偏差或因工程变更引起已标价工程量清单项目的工程数量发生变化时，工程量偏差或变化在15%以内（含15%）的，其综合单价不予调整；工程量偏差或变化超过15%的，按照以下规定调整：</w:t>
      </w:r>
    </w:p>
    <w:p w14:paraId="16617939">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对于合理报价的清单项目，当工程量增加超过 15%时，增加部分的工程量的综合单价以投标报价《分部分项工程和单价措施项目清单与计价表》中综合单价为基价调低 3%；当工程量减少超过 15%时，减少后剩余部分的工程量的综合单价以投标报价《分部分项工程和单价措施项目清单与计价表》中综合单价为基价调高 3%</w:t>
      </w:r>
      <w:r>
        <w:rPr>
          <w:rFonts w:hint="eastAsia" w:ascii="宋体" w:hAnsi="宋体" w:eastAsia="宋体" w:cs="宋体"/>
          <w:snapToGrid w:val="0"/>
          <w:color w:val="auto"/>
          <w:kern w:val="0"/>
          <w:sz w:val="24"/>
          <w:szCs w:val="24"/>
          <w:highlight w:val="none"/>
          <w:lang w:eastAsia="zh-CN"/>
        </w:rPr>
        <w:t>。</w:t>
      </w:r>
    </w:p>
    <w:p w14:paraId="3A4C6605">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对于按照第二章“</w:t>
      </w:r>
      <w:r>
        <w:rPr>
          <w:rFonts w:hint="eastAsia" w:ascii="宋体" w:hAnsi="宋体" w:eastAsia="宋体" w:cs="宋体"/>
          <w:b/>
          <w:bCs/>
          <w:snapToGrid w:val="0"/>
          <w:color w:val="auto"/>
          <w:kern w:val="0"/>
          <w:sz w:val="24"/>
          <w:szCs w:val="24"/>
          <w:highlight w:val="none"/>
          <w:lang w:val="en-US" w:eastAsia="zh-CN"/>
        </w:rPr>
        <w:t>中标人</w:t>
      </w:r>
      <w:r>
        <w:rPr>
          <w:rFonts w:hint="eastAsia" w:ascii="宋体" w:hAnsi="宋体" w:eastAsia="宋体" w:cs="宋体"/>
          <w:b/>
          <w:bCs/>
          <w:snapToGrid w:val="0"/>
          <w:color w:val="auto"/>
          <w:kern w:val="0"/>
          <w:sz w:val="24"/>
          <w:szCs w:val="24"/>
          <w:highlight w:val="none"/>
        </w:rPr>
        <w:t>须知”第4.2条被认定为不平衡报价的清单项目，其综合单价按照以下方法调整：</w:t>
      </w:r>
    </w:p>
    <w:p w14:paraId="2A3198E1">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u w:val="single"/>
        </w:rPr>
      </w:pPr>
      <w:r>
        <w:rPr>
          <w:rFonts w:hint="eastAsia" w:ascii="宋体" w:hAnsi="宋体" w:eastAsia="宋体" w:cs="宋体"/>
          <w:b/>
          <w:bCs/>
          <w:snapToGrid w:val="0"/>
          <w:color w:val="auto"/>
          <w:kern w:val="0"/>
          <w:sz w:val="24"/>
          <w:szCs w:val="24"/>
          <w:highlight w:val="none"/>
          <w:u w:val="single"/>
        </w:rPr>
        <w:t>以</w:t>
      </w:r>
      <w:r>
        <w:rPr>
          <w:rFonts w:hint="eastAsia" w:ascii="宋体" w:hAnsi="宋体" w:eastAsia="宋体" w:cs="宋体"/>
          <w:b/>
          <w:bCs/>
          <w:color w:val="auto"/>
          <w:spacing w:val="-3"/>
          <w:sz w:val="24"/>
          <w:szCs w:val="24"/>
          <w:highlight w:val="none"/>
          <w:lang w:val="en-US" w:eastAsia="zh-CN"/>
        </w:rPr>
        <w:t>最高投标限价</w:t>
      </w:r>
      <w:r>
        <w:rPr>
          <w:rFonts w:hint="eastAsia" w:ascii="宋体" w:hAnsi="宋体" w:eastAsia="宋体" w:cs="宋体"/>
          <w:b/>
          <w:bCs/>
          <w:snapToGrid w:val="0"/>
          <w:color w:val="auto"/>
          <w:kern w:val="0"/>
          <w:sz w:val="24"/>
          <w:szCs w:val="24"/>
          <w:highlight w:val="none"/>
          <w:u w:val="single"/>
        </w:rPr>
        <w:t>中的《分部分项工程和单价措施项目清单与计价表》子目相对应综合单价×（1</w:t>
      </w:r>
      <w:r>
        <w:rPr>
          <w:rFonts w:hint="eastAsia" w:ascii="宋体" w:hAnsi="宋体" w:eastAsia="宋体" w:cs="宋体"/>
          <w:b/>
          <w:bCs/>
          <w:snapToGrid w:val="0"/>
          <w:color w:val="auto"/>
          <w:kern w:val="0"/>
          <w:sz w:val="24"/>
          <w:szCs w:val="24"/>
          <w:highlight w:val="none"/>
          <w:u w:val="single"/>
          <w:lang w:eastAsia="zh-CN"/>
        </w:rPr>
        <w:t>－</w:t>
      </w:r>
      <w:r>
        <w:rPr>
          <w:rFonts w:hint="eastAsia" w:ascii="宋体" w:hAnsi="宋体" w:eastAsia="宋体" w:cs="宋体"/>
          <w:b/>
          <w:bCs/>
          <w:snapToGrid w:val="0"/>
          <w:color w:val="auto"/>
          <w:kern w:val="0"/>
          <w:sz w:val="24"/>
          <w:szCs w:val="24"/>
          <w:highlight w:val="none"/>
          <w:u w:val="single"/>
        </w:rPr>
        <w:t>中标下浮率）。</w:t>
      </w:r>
    </w:p>
    <w:p w14:paraId="3B03C11E">
      <w:pPr>
        <w:widowControl w:val="0"/>
        <w:kinsoku/>
        <w:wordWrap w:val="0"/>
        <w:topLinePunct/>
        <w:autoSpaceDE/>
        <w:autoSpaceDN/>
        <w:adjustRightInd w:val="0"/>
        <w:snapToGrid w:val="0"/>
        <w:spacing w:line="360" w:lineRule="auto"/>
        <w:ind w:left="11" w:right="84" w:rightChars="40" w:firstLine="476" w:firstLineChars="0"/>
        <w:jc w:val="both"/>
        <w:rPr>
          <w:rFonts w:hint="eastAsia" w:ascii="宋体" w:hAnsi="宋体" w:eastAsia="宋体" w:cs="宋体"/>
          <w:b/>
          <w:bCs/>
          <w:snapToGrid w:val="0"/>
          <w:color w:val="auto"/>
          <w:kern w:val="0"/>
          <w:sz w:val="24"/>
          <w:szCs w:val="24"/>
          <w:highlight w:val="none"/>
          <w:u w:val="single"/>
        </w:rPr>
      </w:pPr>
      <w:bookmarkStart w:id="177" w:name="_Toc12035"/>
      <w:bookmarkStart w:id="178" w:name="_Toc18478"/>
      <w:bookmarkStart w:id="179" w:name="_Toc30068"/>
      <w:r>
        <w:rPr>
          <w:rFonts w:hint="eastAsia" w:ascii="宋体" w:hAnsi="宋体" w:eastAsia="宋体" w:cs="宋体"/>
          <w:b/>
          <w:bCs/>
          <w:color w:val="auto"/>
          <w:spacing w:val="-4"/>
          <w:sz w:val="24"/>
          <w:szCs w:val="24"/>
          <w:highlight w:val="none"/>
        </w:rPr>
        <w:t>中标下浮率=[1-（中标价-中标</w:t>
      </w:r>
      <w:r>
        <w:rPr>
          <w:rFonts w:hint="eastAsia" w:ascii="宋体" w:hAnsi="宋体" w:eastAsia="宋体" w:cs="宋体"/>
          <w:b/>
          <w:bCs/>
          <w:color w:val="auto"/>
          <w:spacing w:val="-4"/>
          <w:sz w:val="24"/>
          <w:szCs w:val="24"/>
          <w:highlight w:val="none"/>
          <w:lang w:eastAsia="zh-CN"/>
        </w:rPr>
        <w:t>安全生产措施费</w:t>
      </w:r>
      <w:r>
        <w:rPr>
          <w:rFonts w:hint="eastAsia" w:ascii="宋体" w:hAnsi="宋体" w:eastAsia="宋体" w:cs="宋体"/>
          <w:b/>
          <w:bCs/>
          <w:color w:val="auto"/>
          <w:spacing w:val="-4"/>
          <w:sz w:val="24"/>
          <w:szCs w:val="24"/>
          <w:highlight w:val="none"/>
        </w:rPr>
        <w:t>-暂列金额-暂估价）/（</w:t>
      </w:r>
      <w:bookmarkEnd w:id="177"/>
      <w:bookmarkEnd w:id="178"/>
      <w:bookmarkStart w:id="180" w:name="_Toc15512"/>
      <w:bookmarkStart w:id="181" w:name="_Toc13602"/>
      <w:r>
        <w:rPr>
          <w:rFonts w:hint="eastAsia" w:ascii="宋体" w:hAnsi="宋体" w:eastAsia="宋体" w:cs="宋体"/>
          <w:b/>
          <w:bCs/>
          <w:color w:val="auto"/>
          <w:spacing w:val="-4"/>
          <w:sz w:val="24"/>
          <w:szCs w:val="24"/>
          <w:highlight w:val="none"/>
          <w:lang w:val="en-US" w:eastAsia="zh-CN"/>
        </w:rPr>
        <w:t>最高投标限价</w:t>
      </w:r>
      <w:r>
        <w:rPr>
          <w:rFonts w:hint="eastAsia" w:ascii="宋体" w:hAnsi="宋体" w:eastAsia="宋体" w:cs="宋体"/>
          <w:b/>
          <w:bCs/>
          <w:color w:val="auto"/>
          <w:spacing w:val="-4"/>
          <w:sz w:val="24"/>
          <w:szCs w:val="24"/>
          <w:highlight w:val="none"/>
        </w:rPr>
        <w:t>-</w:t>
      </w:r>
      <w:r>
        <w:rPr>
          <w:rFonts w:hint="eastAsia" w:ascii="宋体" w:hAnsi="宋体" w:eastAsia="宋体" w:cs="宋体"/>
          <w:b/>
          <w:bCs/>
          <w:color w:val="auto"/>
          <w:spacing w:val="-3"/>
          <w:sz w:val="24"/>
          <w:szCs w:val="24"/>
          <w:highlight w:val="none"/>
          <w:lang w:val="en-US" w:eastAsia="zh-CN"/>
        </w:rPr>
        <w:t>投标</w:t>
      </w:r>
      <w:r>
        <w:rPr>
          <w:rFonts w:hint="eastAsia" w:ascii="宋体" w:hAnsi="宋体" w:eastAsia="宋体" w:cs="宋体"/>
          <w:b/>
          <w:bCs/>
          <w:color w:val="auto"/>
          <w:spacing w:val="-4"/>
          <w:sz w:val="24"/>
          <w:szCs w:val="24"/>
          <w:highlight w:val="none"/>
          <w:lang w:val="en-US" w:eastAsia="zh-CN"/>
        </w:rPr>
        <w:t>限价</w:t>
      </w:r>
      <w:r>
        <w:rPr>
          <w:rFonts w:hint="eastAsia" w:ascii="宋体" w:hAnsi="宋体" w:eastAsia="宋体" w:cs="宋体"/>
          <w:b/>
          <w:bCs/>
          <w:color w:val="auto"/>
          <w:spacing w:val="-4"/>
          <w:sz w:val="24"/>
          <w:szCs w:val="24"/>
          <w:highlight w:val="none"/>
          <w:lang w:eastAsia="zh-CN"/>
        </w:rPr>
        <w:t>安全生产措施费</w:t>
      </w:r>
      <w:r>
        <w:rPr>
          <w:rFonts w:hint="eastAsia" w:ascii="宋体" w:hAnsi="宋体" w:eastAsia="宋体" w:cs="宋体"/>
          <w:b/>
          <w:bCs/>
          <w:color w:val="auto"/>
          <w:spacing w:val="-4"/>
          <w:sz w:val="24"/>
          <w:szCs w:val="24"/>
          <w:highlight w:val="none"/>
        </w:rPr>
        <w:t>-暂列金额-暂估价）]×100%</w:t>
      </w:r>
      <w:bookmarkEnd w:id="179"/>
      <w:bookmarkEnd w:id="180"/>
      <w:bookmarkEnd w:id="181"/>
    </w:p>
    <w:p w14:paraId="43AE0454">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rPr>
        <w:t>2.3.2.2</w:t>
      </w:r>
      <w:r>
        <w:rPr>
          <w:rFonts w:hint="eastAsia" w:ascii="宋体" w:hAnsi="宋体" w:eastAsia="宋体" w:cs="宋体"/>
          <w:snapToGrid w:val="0"/>
          <w:color w:val="auto"/>
          <w:kern w:val="0"/>
          <w:sz w:val="24"/>
          <w:szCs w:val="24"/>
          <w:highlight w:val="none"/>
        </w:rPr>
        <w:t xml:space="preserve"> 如果工程量出现本章第</w:t>
      </w:r>
      <w:r>
        <w:rPr>
          <w:rFonts w:hint="eastAsia" w:ascii="宋体" w:hAnsi="宋体" w:eastAsia="宋体" w:cs="宋体"/>
          <w:b/>
          <w:bCs/>
          <w:snapToGrid w:val="0"/>
          <w:color w:val="auto"/>
          <w:kern w:val="0"/>
          <w:sz w:val="24"/>
          <w:szCs w:val="24"/>
          <w:highlight w:val="none"/>
        </w:rPr>
        <w:t>2.3.2.1</w:t>
      </w:r>
      <w:r>
        <w:rPr>
          <w:rFonts w:hint="eastAsia" w:ascii="宋体" w:hAnsi="宋体" w:eastAsia="宋体" w:cs="宋体"/>
          <w:snapToGrid w:val="0"/>
          <w:color w:val="auto"/>
          <w:kern w:val="0"/>
          <w:sz w:val="24"/>
          <w:szCs w:val="24"/>
          <w:highlight w:val="none"/>
        </w:rPr>
        <w:t>子目的变化，且该变化引起相关措施项目相应发生变化时，按系数计价的，工程量增加的措施项目费调增，工程量减少的措施项目费调减。单一总价方式计价的，</w:t>
      </w:r>
      <w:r>
        <w:rPr>
          <w:rFonts w:hint="eastAsia" w:ascii="宋体" w:hAnsi="宋体" w:eastAsia="宋体" w:cs="宋体"/>
          <w:snapToGrid w:val="0"/>
          <w:color w:val="auto"/>
          <w:kern w:val="0"/>
          <w:sz w:val="24"/>
          <w:szCs w:val="24"/>
          <w:highlight w:val="none"/>
          <w:lang w:val="en-US" w:eastAsia="zh-CN"/>
        </w:rPr>
        <w:t>不调整价格。</w:t>
      </w:r>
    </w:p>
    <w:p w14:paraId="4C4BC164">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2.3.3</w:t>
      </w:r>
      <w:r>
        <w:rPr>
          <w:rFonts w:hint="eastAsia" w:ascii="宋体" w:hAnsi="宋体" w:eastAsia="宋体" w:cs="宋体"/>
          <w:snapToGrid w:val="0"/>
          <w:color w:val="auto"/>
          <w:kern w:val="0"/>
          <w:sz w:val="24"/>
          <w:szCs w:val="24"/>
          <w:highlight w:val="none"/>
        </w:rPr>
        <w:t xml:space="preserve"> 工程变更</w:t>
      </w:r>
    </w:p>
    <w:p w14:paraId="511ED97B">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2.3.3.1</w:t>
      </w:r>
      <w:r>
        <w:rPr>
          <w:rFonts w:hint="eastAsia" w:ascii="宋体" w:hAnsi="宋体" w:eastAsia="宋体" w:cs="宋体"/>
          <w:snapToGrid w:val="0"/>
          <w:color w:val="auto"/>
          <w:kern w:val="0"/>
          <w:sz w:val="24"/>
          <w:szCs w:val="24"/>
          <w:highlight w:val="none"/>
        </w:rPr>
        <w:t xml:space="preserve"> 合同履行期间，因工程变更引起已标价工程量清单项目发生变化时，按照以下规定调整：</w:t>
      </w:r>
    </w:p>
    <w:p w14:paraId="396D5353">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（1）已标价工程量清单中有适用于变更工程项目的，采用该项目的单价。</w:t>
      </w:r>
      <w:r>
        <w:rPr>
          <w:rFonts w:hint="eastAsia" w:ascii="宋体" w:hAnsi="宋体" w:eastAsia="宋体" w:cs="宋体"/>
          <w:b/>
          <w:bCs/>
          <w:color w:val="auto"/>
          <w:spacing w:val="1"/>
          <w:sz w:val="24"/>
          <w:szCs w:val="24"/>
          <w:highlight w:val="none"/>
        </w:rPr>
        <w:t>但如果</w:t>
      </w:r>
      <w:bookmarkStart w:id="182" w:name="bookmark143"/>
      <w:bookmarkEnd w:id="182"/>
      <w:r>
        <w:rPr>
          <w:rFonts w:hint="eastAsia" w:ascii="宋体" w:hAnsi="宋体" w:eastAsia="宋体" w:cs="宋体"/>
          <w:b/>
          <w:bCs/>
          <w:color w:val="auto"/>
          <w:spacing w:val="-7"/>
          <w:sz w:val="24"/>
          <w:szCs w:val="24"/>
          <w:highlight w:val="none"/>
        </w:rPr>
        <w:t>被采用的项目属于按照第二章“中标人须知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7"/>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8"/>
          <w:sz w:val="24"/>
          <w:szCs w:val="24"/>
          <w:highlight w:val="none"/>
        </w:rPr>
        <w:t>4.2条被认定为不平衡报价的清单项目，</w:t>
      </w:r>
      <w:r>
        <w:rPr>
          <w:rFonts w:hint="eastAsia" w:ascii="宋体" w:hAnsi="宋体" w:eastAsia="宋体" w:cs="宋体"/>
          <w:b/>
          <w:bCs/>
          <w:color w:val="auto"/>
          <w:spacing w:val="-2"/>
          <w:sz w:val="24"/>
          <w:szCs w:val="24"/>
          <w:highlight w:val="none"/>
        </w:rPr>
        <w:t>变更工程项目的单价按照</w:t>
      </w:r>
      <w:r>
        <w:rPr>
          <w:rFonts w:hint="eastAsia" w:ascii="宋体" w:hAnsi="宋体" w:eastAsia="宋体" w:cs="宋体"/>
          <w:b/>
          <w:bCs/>
          <w:color w:val="auto"/>
          <w:spacing w:val="-7"/>
          <w:sz w:val="24"/>
          <w:szCs w:val="24"/>
          <w:highlight w:val="none"/>
        </w:rPr>
        <w:t>本章2.3.2.1的</w:t>
      </w:r>
      <w:r>
        <w:rPr>
          <w:rFonts w:hint="eastAsia" w:ascii="宋体" w:hAnsi="宋体" w:eastAsia="宋体" w:cs="宋体"/>
          <w:b/>
          <w:bCs/>
          <w:color w:val="auto"/>
          <w:spacing w:val="-2"/>
          <w:sz w:val="24"/>
          <w:szCs w:val="24"/>
          <w:highlight w:val="none"/>
        </w:rPr>
        <w:t>方法调整</w:t>
      </w:r>
      <w:r>
        <w:rPr>
          <w:rFonts w:hint="eastAsia" w:ascii="宋体" w:hAnsi="宋体" w:eastAsia="宋体" w:cs="宋体"/>
          <w:b/>
          <w:bCs/>
          <w:color w:val="auto"/>
          <w:spacing w:val="-2"/>
          <w:sz w:val="24"/>
          <w:szCs w:val="24"/>
          <w:highlight w:val="none"/>
          <w:lang w:eastAsia="zh-CN"/>
        </w:rPr>
        <w:t>】</w:t>
      </w:r>
    </w:p>
    <w:p w14:paraId="72A7C4B6">
      <w:pPr>
        <w:wordWrap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（2）已标价工程量清单中没有适用但有类似于变更工程项目的，可在合理范围内参照类似项目的单价。</w:t>
      </w:r>
      <w:r>
        <w:rPr>
          <w:rFonts w:hint="eastAsia" w:ascii="宋体" w:hAnsi="宋体" w:eastAsia="宋体" w:cs="宋体"/>
          <w:b/>
          <w:bCs/>
          <w:color w:val="auto"/>
          <w:spacing w:val="-3"/>
          <w:sz w:val="24"/>
          <w:szCs w:val="24"/>
          <w:highlight w:val="none"/>
        </w:rPr>
        <w:t>但如果被参考的类似项目属于按照第二章“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5"/>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4.2条被认定为不平衡报价的清单项目，变更工程项目的单价按照本章2.3.2.1的方法调整。</w:t>
      </w:r>
    </w:p>
    <w:p w14:paraId="4FBE2C46">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2E6C82D5">
      <w:pPr>
        <w:keepNext w:val="0"/>
        <w:keepLines w:val="0"/>
        <w:pageBreakBefore w:val="0"/>
        <w:widowControl w:val="0"/>
        <w:kinsoku/>
        <w:wordWrap w:val="0"/>
        <w:overflowPunct/>
        <w:topLinePunct/>
        <w:autoSpaceDE/>
        <w:autoSpaceDN/>
        <w:bidi w:val="0"/>
        <w:adjustRightInd w:val="0"/>
        <w:snapToGrid w:val="0"/>
        <w:spacing w:line="360" w:lineRule="auto"/>
        <w:ind w:left="28" w:right="84" w:rightChars="40" w:firstLine="505"/>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中标下浮率=[1-（中标价-中标</w:t>
      </w:r>
      <w:r>
        <w:rPr>
          <w:rFonts w:hint="eastAsia" w:ascii="宋体" w:hAnsi="宋体" w:eastAsia="宋体" w:cs="宋体"/>
          <w:b/>
          <w:bCs/>
          <w:color w:val="auto"/>
          <w:spacing w:val="-2"/>
          <w:sz w:val="24"/>
          <w:szCs w:val="24"/>
          <w:highlight w:val="none"/>
          <w:lang w:eastAsia="zh-CN"/>
        </w:rPr>
        <w:t>安全生产措施费</w:t>
      </w:r>
      <w:r>
        <w:rPr>
          <w:rFonts w:hint="eastAsia" w:ascii="宋体" w:hAnsi="宋体" w:eastAsia="宋体" w:cs="宋体"/>
          <w:b/>
          <w:bCs/>
          <w:color w:val="auto"/>
          <w:spacing w:val="-2"/>
          <w:sz w:val="24"/>
          <w:szCs w:val="24"/>
          <w:highlight w:val="none"/>
        </w:rPr>
        <w:t>-暂列</w:t>
      </w:r>
      <w:r>
        <w:rPr>
          <w:rFonts w:hint="eastAsia" w:ascii="宋体" w:hAnsi="宋体" w:eastAsia="宋体" w:cs="宋体"/>
          <w:b/>
          <w:bCs/>
          <w:color w:val="auto"/>
          <w:spacing w:val="-3"/>
          <w:sz w:val="24"/>
          <w:szCs w:val="24"/>
          <w:highlight w:val="none"/>
        </w:rPr>
        <w:t>金额-暂估价）/（</w:t>
      </w:r>
      <w:r>
        <w:rPr>
          <w:rFonts w:hint="eastAsia" w:ascii="宋体" w:hAnsi="宋体" w:eastAsia="宋体" w:cs="宋体"/>
          <w:b/>
          <w:bCs/>
          <w:color w:val="auto"/>
          <w:spacing w:val="-3"/>
          <w:sz w:val="24"/>
          <w:szCs w:val="24"/>
          <w:highlight w:val="none"/>
          <w:lang w:val="en-US" w:eastAsia="zh-CN"/>
        </w:rPr>
        <w:t>最高投标限价</w:t>
      </w:r>
      <w:r>
        <w:rPr>
          <w:rFonts w:hint="eastAsia" w:ascii="宋体" w:hAnsi="宋体" w:eastAsia="宋体" w:cs="宋体"/>
          <w:b/>
          <w:bCs/>
          <w:color w:val="auto"/>
          <w:spacing w:val="-3"/>
          <w:sz w:val="24"/>
          <w:szCs w:val="24"/>
          <w:highlight w:val="none"/>
        </w:rPr>
        <w:t>-</w:t>
      </w:r>
      <w:r>
        <w:rPr>
          <w:rFonts w:hint="eastAsia" w:ascii="宋体" w:hAnsi="宋体" w:eastAsia="宋体" w:cs="宋体"/>
          <w:b/>
          <w:bCs/>
          <w:color w:val="auto"/>
          <w:spacing w:val="-3"/>
          <w:sz w:val="24"/>
          <w:szCs w:val="24"/>
          <w:highlight w:val="none"/>
          <w:lang w:val="en-US" w:eastAsia="zh-CN"/>
        </w:rPr>
        <w:t>投标限价</w:t>
      </w:r>
      <w:r>
        <w:rPr>
          <w:rFonts w:hint="eastAsia" w:ascii="宋体" w:hAnsi="宋体" w:eastAsia="宋体" w:cs="宋体"/>
          <w:b/>
          <w:bCs/>
          <w:color w:val="auto"/>
          <w:spacing w:val="-3"/>
          <w:sz w:val="24"/>
          <w:szCs w:val="24"/>
          <w:highlight w:val="none"/>
          <w:lang w:eastAsia="zh-CN"/>
        </w:rPr>
        <w:t>安全生产措施费</w:t>
      </w:r>
      <w:r>
        <w:rPr>
          <w:rFonts w:hint="eastAsia" w:ascii="宋体" w:hAnsi="宋体" w:eastAsia="宋体" w:cs="宋体"/>
          <w:b/>
          <w:bCs/>
          <w:color w:val="auto"/>
          <w:spacing w:val="-3"/>
          <w:sz w:val="24"/>
          <w:szCs w:val="24"/>
          <w:highlight w:val="none"/>
        </w:rPr>
        <w:t>-暂列金额-暂估价）]</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3"/>
          <w:sz w:val="24"/>
          <w:szCs w:val="24"/>
          <w:highlight w:val="none"/>
        </w:rPr>
        <w:t>×100%</w:t>
      </w:r>
    </w:p>
    <w:p w14:paraId="575588A0">
      <w:pPr>
        <w:numPr>
          <w:ilvl w:val="0"/>
          <w:numId w:val="0"/>
        </w:num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（4）已标价工程量清单中没有适用也没有类似于变更工程项目，且施工当月项目所在地工程造价管理机构发布的价格信息缺项的，由承包人根据变更工程资料、计量规则、计价办法和</w:t>
      </w:r>
      <w:r>
        <w:rPr>
          <w:rFonts w:hint="eastAsia" w:ascii="宋体" w:hAnsi="宋体" w:eastAsia="宋体" w:cs="宋体"/>
          <w:snapToGrid w:val="0"/>
          <w:color w:val="auto"/>
          <w:kern w:val="0"/>
          <w:sz w:val="24"/>
          <w:szCs w:val="24"/>
          <w:highlight w:val="none"/>
          <w:lang w:val="en-US" w:eastAsia="zh-CN"/>
        </w:rPr>
        <w:t>韶关市建设工程材料</w:t>
      </w:r>
      <w:r>
        <w:rPr>
          <w:rFonts w:hint="eastAsia" w:ascii="宋体" w:hAnsi="宋体" w:eastAsia="宋体" w:cs="宋体"/>
          <w:snapToGrid w:val="0"/>
          <w:color w:val="auto"/>
          <w:kern w:val="0"/>
          <w:sz w:val="24"/>
          <w:szCs w:val="24"/>
          <w:highlight w:val="none"/>
        </w:rPr>
        <w:t>信息价执行，若</w:t>
      </w:r>
      <w:r>
        <w:rPr>
          <w:rFonts w:hint="eastAsia" w:ascii="宋体" w:hAnsi="宋体" w:eastAsia="宋体" w:cs="宋体"/>
          <w:snapToGrid w:val="0"/>
          <w:color w:val="auto"/>
          <w:kern w:val="0"/>
          <w:sz w:val="24"/>
          <w:szCs w:val="24"/>
          <w:highlight w:val="none"/>
          <w:lang w:val="en-US" w:eastAsia="zh-CN"/>
        </w:rPr>
        <w:t>韶关市没有</w:t>
      </w:r>
      <w:r>
        <w:rPr>
          <w:rFonts w:hint="eastAsia" w:ascii="宋体" w:hAnsi="宋体" w:eastAsia="宋体" w:cs="宋体"/>
          <w:snapToGrid w:val="0"/>
          <w:color w:val="auto"/>
          <w:kern w:val="0"/>
          <w:sz w:val="24"/>
          <w:szCs w:val="24"/>
          <w:highlight w:val="none"/>
        </w:rPr>
        <w:t>信息价则按</w:t>
      </w:r>
      <w:r>
        <w:rPr>
          <w:rFonts w:hint="eastAsia" w:ascii="宋体" w:hAnsi="宋体" w:eastAsia="宋体" w:cs="宋体"/>
          <w:snapToGrid w:val="0"/>
          <w:color w:val="auto"/>
          <w:kern w:val="0"/>
          <w:sz w:val="24"/>
          <w:szCs w:val="24"/>
          <w:highlight w:val="none"/>
          <w:lang w:val="en-US" w:eastAsia="zh-CN"/>
        </w:rPr>
        <w:t>广东省其他城市信息价、</w:t>
      </w:r>
      <w:r>
        <w:rPr>
          <w:rFonts w:hint="eastAsia" w:ascii="宋体" w:hAnsi="宋体" w:eastAsia="宋体" w:cs="宋体"/>
          <w:snapToGrid w:val="0"/>
          <w:color w:val="auto"/>
          <w:kern w:val="0"/>
          <w:sz w:val="24"/>
          <w:szCs w:val="24"/>
          <w:highlight w:val="none"/>
        </w:rPr>
        <w:t>厂商信息价、市场调查（优先从京东、国美、苏宁等大型电商平台查询取其平均价）、市场询价等取得有合法依据的市场价格提出变更工程项目的单价，报发包人确认后调整。</w:t>
      </w:r>
    </w:p>
    <w:p w14:paraId="3B2A6B64">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2.3.3.2</w:t>
      </w:r>
      <w:r>
        <w:rPr>
          <w:rFonts w:hint="eastAsia" w:ascii="宋体" w:hAnsi="宋体" w:eastAsia="宋体" w:cs="宋体"/>
          <w:snapToGrid w:val="0"/>
          <w:color w:val="auto"/>
          <w:kern w:val="0"/>
          <w:sz w:val="24"/>
          <w:szCs w:val="24"/>
          <w:highlight w:val="none"/>
        </w:rPr>
        <w:t xml:space="preserve"> 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7652ACD9">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eastAsia="zh-CN"/>
        </w:rPr>
        <w:t>安全生产措施费</w:t>
      </w:r>
      <w:r>
        <w:rPr>
          <w:rFonts w:hint="eastAsia" w:ascii="宋体" w:hAnsi="宋体" w:eastAsia="宋体" w:cs="宋体"/>
          <w:snapToGrid w:val="0"/>
          <w:color w:val="auto"/>
          <w:kern w:val="0"/>
          <w:sz w:val="24"/>
          <w:szCs w:val="24"/>
          <w:highlight w:val="none"/>
        </w:rPr>
        <w:t>应按照实际发生变化的措施项目计算。</w:t>
      </w:r>
    </w:p>
    <w:p w14:paraId="6A7E16A9">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（2）采用单价计算的措施项目费，应按照实际发生变化的措施项目，按本章第</w:t>
      </w:r>
      <w:r>
        <w:rPr>
          <w:rFonts w:hint="eastAsia" w:ascii="宋体" w:hAnsi="宋体" w:eastAsia="宋体" w:cs="宋体"/>
          <w:b/>
          <w:bCs/>
          <w:snapToGrid w:val="0"/>
          <w:color w:val="auto"/>
          <w:kern w:val="0"/>
          <w:sz w:val="24"/>
          <w:szCs w:val="24"/>
          <w:highlight w:val="none"/>
        </w:rPr>
        <w:t>2.3.3.1</w:t>
      </w:r>
      <w:r>
        <w:rPr>
          <w:rFonts w:hint="eastAsia" w:ascii="宋体" w:hAnsi="宋体" w:eastAsia="宋体" w:cs="宋体"/>
          <w:snapToGrid w:val="0"/>
          <w:color w:val="auto"/>
          <w:kern w:val="0"/>
          <w:sz w:val="24"/>
          <w:szCs w:val="24"/>
          <w:highlight w:val="none"/>
        </w:rPr>
        <w:t>子目的规定确定单价。</w:t>
      </w:r>
    </w:p>
    <w:p w14:paraId="37A85EEA">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r>
        <w:rPr>
          <w:rFonts w:hint="eastAsia" w:ascii="宋体" w:hAnsi="宋体" w:eastAsia="宋体" w:cs="宋体"/>
          <w:snapToGrid w:val="0"/>
          <w:color w:val="auto"/>
          <w:kern w:val="0"/>
          <w:sz w:val="24"/>
          <w:szCs w:val="24"/>
          <w:highlight w:val="none"/>
          <w:lang w:val="en-US" w:eastAsia="zh-CN" w:bidi="ar-SA"/>
        </w:rPr>
        <w:t>按系数计算的措施项目费，应按照实际发生变化的措施项目费调整并考虑中标下浮率因素，即调整金额＝按照实际变化调整后的金额×（1－中标下浮率），单一总价方式计价的，不调整价格。</w:t>
      </w:r>
    </w:p>
    <w:p w14:paraId="0CA5D4F8">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如果承包人未事先将拟实施的方案提交发包人确认，视为工程变更不引起措施项目费的调整或承包人放弃调整措施项目费的权利。</w:t>
      </w:r>
    </w:p>
    <w:p w14:paraId="6667FA31">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2.3.4</w:t>
      </w:r>
      <w:r>
        <w:rPr>
          <w:rFonts w:hint="eastAsia" w:ascii="宋体" w:hAnsi="宋体" w:eastAsia="宋体" w:cs="宋体"/>
          <w:snapToGrid w:val="0"/>
          <w:color w:val="auto"/>
          <w:kern w:val="0"/>
          <w:sz w:val="24"/>
          <w:szCs w:val="24"/>
          <w:highlight w:val="none"/>
        </w:rPr>
        <w:t xml:space="preserve"> 项目特征不符</w:t>
      </w:r>
    </w:p>
    <w:p w14:paraId="50089629">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Fonts w:hint="eastAsia" w:ascii="宋体" w:hAnsi="宋体" w:eastAsia="宋体" w:cs="宋体"/>
          <w:b/>
          <w:bCs/>
          <w:snapToGrid w:val="0"/>
          <w:color w:val="auto"/>
          <w:kern w:val="0"/>
          <w:sz w:val="24"/>
          <w:szCs w:val="24"/>
          <w:highlight w:val="none"/>
        </w:rPr>
        <w:t>2.3.3</w:t>
      </w:r>
      <w:r>
        <w:rPr>
          <w:rFonts w:hint="eastAsia" w:ascii="宋体" w:hAnsi="宋体" w:eastAsia="宋体" w:cs="宋体"/>
          <w:snapToGrid w:val="0"/>
          <w:color w:val="auto"/>
          <w:kern w:val="0"/>
          <w:sz w:val="24"/>
          <w:szCs w:val="24"/>
          <w:highlight w:val="none"/>
        </w:rPr>
        <w:t>目相关条款的规定重新确定相应工程量清单项目的综合单价，并调整合同价款。</w:t>
      </w:r>
    </w:p>
    <w:p w14:paraId="6ACB09B8">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2.3.5</w:t>
      </w:r>
      <w:r>
        <w:rPr>
          <w:rFonts w:hint="eastAsia" w:ascii="宋体" w:hAnsi="宋体" w:eastAsia="宋体" w:cs="宋体"/>
          <w:snapToGrid w:val="0"/>
          <w:color w:val="auto"/>
          <w:kern w:val="0"/>
          <w:sz w:val="24"/>
          <w:szCs w:val="24"/>
          <w:highlight w:val="none"/>
        </w:rPr>
        <w:t xml:space="preserve"> 招标工程量清单缺项</w:t>
      </w:r>
    </w:p>
    <w:p w14:paraId="6E01230E">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2.3.5.1</w:t>
      </w:r>
      <w:r>
        <w:rPr>
          <w:rFonts w:hint="eastAsia" w:ascii="宋体" w:hAnsi="宋体" w:eastAsia="宋体" w:cs="宋体"/>
          <w:snapToGrid w:val="0"/>
          <w:color w:val="auto"/>
          <w:kern w:val="0"/>
          <w:sz w:val="24"/>
          <w:szCs w:val="24"/>
          <w:highlight w:val="none"/>
        </w:rPr>
        <w:t xml:space="preserve"> 合同履行期间，由于招标工程量清单中缺项，新增分部分项工程清单项目，应按照本章第</w:t>
      </w:r>
      <w:r>
        <w:rPr>
          <w:rFonts w:hint="eastAsia" w:ascii="宋体" w:hAnsi="宋体" w:eastAsia="宋体" w:cs="宋体"/>
          <w:b/>
          <w:bCs/>
          <w:snapToGrid w:val="0"/>
          <w:color w:val="auto"/>
          <w:kern w:val="0"/>
          <w:sz w:val="24"/>
          <w:szCs w:val="24"/>
          <w:highlight w:val="none"/>
        </w:rPr>
        <w:t>2.3.3.1</w:t>
      </w:r>
      <w:r>
        <w:rPr>
          <w:rFonts w:hint="eastAsia" w:ascii="宋体" w:hAnsi="宋体" w:eastAsia="宋体" w:cs="宋体"/>
          <w:snapToGrid w:val="0"/>
          <w:color w:val="auto"/>
          <w:kern w:val="0"/>
          <w:sz w:val="24"/>
          <w:szCs w:val="24"/>
          <w:highlight w:val="none"/>
        </w:rPr>
        <w:t>子目的规定确定单价，并调整合同价款。</w:t>
      </w:r>
    </w:p>
    <w:p w14:paraId="1EE99865">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2.3.5.2</w:t>
      </w:r>
      <w:r>
        <w:rPr>
          <w:rFonts w:hint="eastAsia" w:ascii="宋体" w:hAnsi="宋体" w:eastAsia="宋体" w:cs="宋体"/>
          <w:snapToGrid w:val="0"/>
          <w:color w:val="auto"/>
          <w:kern w:val="0"/>
          <w:sz w:val="24"/>
          <w:szCs w:val="24"/>
          <w:highlight w:val="none"/>
        </w:rPr>
        <w:t xml:space="preserve"> 新增分部分项工程清单项目后，引起措施项目发生变化的，应按照本章第</w:t>
      </w:r>
      <w:r>
        <w:rPr>
          <w:rFonts w:hint="eastAsia" w:ascii="宋体" w:hAnsi="宋体" w:eastAsia="宋体" w:cs="宋体"/>
          <w:b/>
          <w:bCs/>
          <w:snapToGrid w:val="0"/>
          <w:color w:val="auto"/>
          <w:kern w:val="0"/>
          <w:sz w:val="24"/>
          <w:szCs w:val="24"/>
          <w:highlight w:val="none"/>
        </w:rPr>
        <w:t>2.3.3.2</w:t>
      </w:r>
      <w:r>
        <w:rPr>
          <w:rFonts w:hint="eastAsia" w:ascii="宋体" w:hAnsi="宋体" w:eastAsia="宋体" w:cs="宋体"/>
          <w:snapToGrid w:val="0"/>
          <w:color w:val="auto"/>
          <w:kern w:val="0"/>
          <w:sz w:val="24"/>
          <w:szCs w:val="24"/>
          <w:highlight w:val="none"/>
        </w:rPr>
        <w:t>子目的规定，在承包人提交的实施方案被发包人批准后调整合同价款。</w:t>
      </w:r>
    </w:p>
    <w:p w14:paraId="17B41B9A">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2.3.5.3</w:t>
      </w:r>
      <w:r>
        <w:rPr>
          <w:rFonts w:hint="eastAsia" w:ascii="宋体" w:hAnsi="宋体" w:eastAsia="宋体" w:cs="宋体"/>
          <w:snapToGrid w:val="0"/>
          <w:color w:val="auto"/>
          <w:kern w:val="0"/>
          <w:sz w:val="24"/>
          <w:szCs w:val="24"/>
          <w:highlight w:val="none"/>
        </w:rPr>
        <w:t xml:space="preserve"> 由于招标工程量清单中措施项目缺项，承包人应将新增措施项目实施方案提交发包人批准后，按照本章第</w:t>
      </w:r>
      <w:r>
        <w:rPr>
          <w:rFonts w:hint="eastAsia" w:ascii="宋体" w:hAnsi="宋体" w:eastAsia="宋体" w:cs="宋体"/>
          <w:b/>
          <w:bCs/>
          <w:snapToGrid w:val="0"/>
          <w:color w:val="auto"/>
          <w:kern w:val="0"/>
          <w:sz w:val="24"/>
          <w:szCs w:val="24"/>
          <w:highlight w:val="none"/>
        </w:rPr>
        <w:t>2.3.3.1</w:t>
      </w:r>
      <w:r>
        <w:rPr>
          <w:rFonts w:hint="eastAsia" w:ascii="宋体" w:hAnsi="宋体" w:eastAsia="宋体" w:cs="宋体"/>
          <w:snapToGrid w:val="0"/>
          <w:color w:val="auto"/>
          <w:kern w:val="0"/>
          <w:sz w:val="24"/>
          <w:szCs w:val="24"/>
          <w:highlight w:val="none"/>
        </w:rPr>
        <w:t>子目、第</w:t>
      </w:r>
      <w:r>
        <w:rPr>
          <w:rFonts w:hint="eastAsia" w:ascii="宋体" w:hAnsi="宋体" w:eastAsia="宋体" w:cs="宋体"/>
          <w:b/>
          <w:bCs/>
          <w:snapToGrid w:val="0"/>
          <w:color w:val="auto"/>
          <w:kern w:val="0"/>
          <w:sz w:val="24"/>
          <w:szCs w:val="24"/>
          <w:highlight w:val="none"/>
        </w:rPr>
        <w:t>2.3.3.2</w:t>
      </w:r>
      <w:r>
        <w:rPr>
          <w:rFonts w:hint="eastAsia" w:ascii="宋体" w:hAnsi="宋体" w:eastAsia="宋体" w:cs="宋体"/>
          <w:snapToGrid w:val="0"/>
          <w:color w:val="auto"/>
          <w:kern w:val="0"/>
          <w:sz w:val="24"/>
          <w:szCs w:val="24"/>
          <w:highlight w:val="none"/>
        </w:rPr>
        <w:t>子目的规定调整合同价款。</w:t>
      </w:r>
    </w:p>
    <w:p w14:paraId="1518DBE2">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2.3.6</w:t>
      </w:r>
      <w:r>
        <w:rPr>
          <w:rFonts w:hint="eastAsia" w:ascii="宋体" w:hAnsi="宋体" w:eastAsia="宋体" w:cs="宋体"/>
          <w:bCs/>
          <w:snapToGrid w:val="0"/>
          <w:color w:val="auto"/>
          <w:kern w:val="0"/>
          <w:sz w:val="24"/>
          <w:szCs w:val="24"/>
          <w:highlight w:val="none"/>
        </w:rPr>
        <w:t xml:space="preserve"> 物价变化</w:t>
      </w:r>
    </w:p>
    <w:p w14:paraId="73A54FAE">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2.3.6.1</w:t>
      </w:r>
      <w:r>
        <w:rPr>
          <w:rFonts w:hint="eastAsia" w:ascii="宋体" w:hAnsi="宋体" w:eastAsia="宋体" w:cs="宋体"/>
          <w:bCs/>
          <w:snapToGrid w:val="0"/>
          <w:color w:val="auto"/>
          <w:kern w:val="0"/>
          <w:sz w:val="24"/>
          <w:szCs w:val="24"/>
          <w:highlight w:val="none"/>
        </w:rPr>
        <w:t xml:space="preserve"> 合同履行期间，项目所在地工程造价管理机构发布的动态人工调整系数发生变化时，如果承包人投标报价中人工费（</w:t>
      </w:r>
      <w:r>
        <w:rPr>
          <w:rFonts w:hint="eastAsia" w:ascii="宋体" w:hAnsi="宋体" w:eastAsia="宋体" w:cs="宋体"/>
          <w:snapToGrid w:val="0"/>
          <w:color w:val="auto"/>
          <w:kern w:val="0"/>
          <w:sz w:val="24"/>
          <w:szCs w:val="24"/>
          <w:highlight w:val="none"/>
        </w:rPr>
        <w:t>以下简称“</w:t>
      </w:r>
      <w:r>
        <w:rPr>
          <w:rFonts w:hint="eastAsia" w:ascii="宋体" w:hAnsi="宋体" w:eastAsia="宋体" w:cs="宋体"/>
          <w:snapToGrid w:val="0"/>
          <w:color w:val="auto"/>
          <w:kern w:val="0"/>
          <w:sz w:val="24"/>
          <w:szCs w:val="24"/>
          <w:highlight w:val="none"/>
          <w:lang w:eastAsia="zh-CN"/>
        </w:rPr>
        <w:t>承包人</w:t>
      </w:r>
      <w:r>
        <w:rPr>
          <w:rFonts w:hint="eastAsia" w:ascii="宋体" w:hAnsi="宋体" w:eastAsia="宋体" w:cs="宋体"/>
          <w:snapToGrid w:val="0"/>
          <w:color w:val="auto"/>
          <w:kern w:val="0"/>
          <w:sz w:val="24"/>
          <w:szCs w:val="24"/>
          <w:highlight w:val="none"/>
        </w:rPr>
        <w:t>工费”</w:t>
      </w:r>
      <w:r>
        <w:rPr>
          <w:rFonts w:hint="eastAsia" w:ascii="宋体" w:hAnsi="宋体" w:eastAsia="宋体" w:cs="宋体"/>
          <w:bCs/>
          <w:snapToGrid w:val="0"/>
          <w:color w:val="auto"/>
          <w:kern w:val="0"/>
          <w:sz w:val="24"/>
          <w:szCs w:val="24"/>
          <w:highlight w:val="none"/>
        </w:rPr>
        <w:t>）等于或超过施工当月经动态调整后的定额人工费，该清单项目</w:t>
      </w:r>
      <w:r>
        <w:rPr>
          <w:rFonts w:hint="eastAsia" w:ascii="宋体" w:hAnsi="宋体" w:eastAsia="宋体" w:cs="宋体"/>
          <w:bCs/>
          <w:snapToGrid w:val="0"/>
          <w:color w:val="auto"/>
          <w:kern w:val="0"/>
          <w:sz w:val="24"/>
          <w:szCs w:val="24"/>
          <w:highlight w:val="none"/>
          <w:lang w:eastAsia="zh-CN"/>
        </w:rPr>
        <w:t>承包人</w:t>
      </w:r>
      <w:r>
        <w:rPr>
          <w:rFonts w:hint="eastAsia" w:ascii="宋体" w:hAnsi="宋体" w:eastAsia="宋体" w:cs="宋体"/>
          <w:bCs/>
          <w:snapToGrid w:val="0"/>
          <w:color w:val="auto"/>
          <w:kern w:val="0"/>
          <w:sz w:val="24"/>
          <w:szCs w:val="24"/>
          <w:highlight w:val="none"/>
        </w:rPr>
        <w:t>工费不予调整；如果</w:t>
      </w:r>
      <w:r>
        <w:rPr>
          <w:rFonts w:hint="eastAsia" w:ascii="宋体" w:hAnsi="宋体" w:eastAsia="宋体" w:cs="宋体"/>
          <w:bCs/>
          <w:snapToGrid w:val="0"/>
          <w:color w:val="auto"/>
          <w:kern w:val="0"/>
          <w:sz w:val="24"/>
          <w:szCs w:val="24"/>
          <w:highlight w:val="none"/>
          <w:lang w:eastAsia="zh-CN"/>
        </w:rPr>
        <w:t>承包人</w:t>
      </w:r>
      <w:r>
        <w:rPr>
          <w:rFonts w:hint="eastAsia" w:ascii="宋体" w:hAnsi="宋体" w:eastAsia="宋体" w:cs="宋体"/>
          <w:bCs/>
          <w:snapToGrid w:val="0"/>
          <w:color w:val="auto"/>
          <w:kern w:val="0"/>
          <w:sz w:val="24"/>
          <w:szCs w:val="24"/>
          <w:highlight w:val="none"/>
        </w:rPr>
        <w:t>工费低于施工当月经动态调整后的定额人工费，该清单项目</w:t>
      </w:r>
      <w:r>
        <w:rPr>
          <w:rFonts w:hint="eastAsia" w:ascii="宋体" w:hAnsi="宋体" w:eastAsia="宋体" w:cs="宋体"/>
          <w:bCs/>
          <w:snapToGrid w:val="0"/>
          <w:color w:val="auto"/>
          <w:kern w:val="0"/>
          <w:sz w:val="24"/>
          <w:szCs w:val="24"/>
          <w:highlight w:val="none"/>
          <w:lang w:eastAsia="zh-CN"/>
        </w:rPr>
        <w:t>承包人</w:t>
      </w:r>
      <w:r>
        <w:rPr>
          <w:rFonts w:hint="eastAsia" w:ascii="宋体" w:hAnsi="宋体" w:eastAsia="宋体" w:cs="宋体"/>
          <w:bCs/>
          <w:snapToGrid w:val="0"/>
          <w:color w:val="auto"/>
          <w:kern w:val="0"/>
          <w:sz w:val="24"/>
          <w:szCs w:val="24"/>
          <w:highlight w:val="none"/>
        </w:rPr>
        <w:t>工费可以调整，相关费用按有关规定进行相应调整。结算人工费调整公式为：</w:t>
      </w:r>
    </w:p>
    <w:p w14:paraId="4B724438">
      <w:pPr>
        <w:wordWrap w:val="0"/>
        <w:adjustRightInd w:val="0"/>
        <w:snapToGrid w:val="0"/>
        <w:spacing w:line="360" w:lineRule="auto"/>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结算人工费＝</w:t>
      </w:r>
      <w:r>
        <w:rPr>
          <w:rFonts w:hint="eastAsia" w:ascii="宋体" w:hAnsi="宋体" w:eastAsia="宋体" w:cs="宋体"/>
          <w:bCs/>
          <w:snapToGrid w:val="0"/>
          <w:color w:val="auto"/>
          <w:kern w:val="0"/>
          <w:sz w:val="24"/>
          <w:szCs w:val="24"/>
          <w:highlight w:val="none"/>
          <w:lang w:eastAsia="zh-CN"/>
        </w:rPr>
        <w:t>承包人</w:t>
      </w:r>
      <w:r>
        <w:rPr>
          <w:rFonts w:hint="eastAsia" w:ascii="宋体" w:hAnsi="宋体" w:eastAsia="宋体" w:cs="宋体"/>
          <w:bCs/>
          <w:snapToGrid w:val="0"/>
          <w:color w:val="auto"/>
          <w:kern w:val="0"/>
          <w:sz w:val="24"/>
          <w:szCs w:val="24"/>
          <w:highlight w:val="none"/>
        </w:rPr>
        <w:t>工费×F</w:t>
      </w:r>
      <w:r>
        <w:rPr>
          <w:rFonts w:hint="eastAsia" w:ascii="宋体" w:hAnsi="宋体" w:eastAsia="宋体" w:cs="宋体"/>
          <w:bCs/>
          <w:snapToGrid w:val="0"/>
          <w:color w:val="auto"/>
          <w:kern w:val="0"/>
          <w:sz w:val="24"/>
          <w:szCs w:val="24"/>
          <w:highlight w:val="none"/>
          <w:vertAlign w:val="subscript"/>
        </w:rPr>
        <w:t>1</w:t>
      </w:r>
    </w:p>
    <w:p w14:paraId="7E84449F">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式中，F</w:t>
      </w:r>
      <w:r>
        <w:rPr>
          <w:rFonts w:hint="eastAsia" w:ascii="宋体" w:hAnsi="宋体" w:eastAsia="宋体" w:cs="宋体"/>
          <w:bCs/>
          <w:snapToGrid w:val="0"/>
          <w:color w:val="auto"/>
          <w:kern w:val="0"/>
          <w:sz w:val="24"/>
          <w:szCs w:val="24"/>
          <w:highlight w:val="none"/>
          <w:vertAlign w:val="subscript"/>
        </w:rPr>
        <w:t>1</w:t>
      </w:r>
      <w:r>
        <w:rPr>
          <w:rFonts w:hint="eastAsia" w:ascii="宋体" w:hAnsi="宋体" w:eastAsia="宋体" w:cs="宋体"/>
          <w:bCs/>
          <w:snapToGrid w:val="0"/>
          <w:color w:val="auto"/>
          <w:kern w:val="0"/>
          <w:sz w:val="24"/>
          <w:szCs w:val="24"/>
          <w:highlight w:val="none"/>
        </w:rPr>
        <w:t>为施工当月项目所在地工程造价管理机构发布的动态人工调整系数。</w:t>
      </w:r>
    </w:p>
    <w:p w14:paraId="277E582B">
      <w:pPr>
        <w:keepNext w:val="0"/>
        <w:keepLines w:val="0"/>
        <w:widowControl/>
        <w:suppressLineNumbers w:val="0"/>
        <w:spacing w:line="360" w:lineRule="auto"/>
        <w:ind w:firstLine="482" w:firstLineChars="200"/>
        <w:jc w:val="left"/>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2.3.6.2</w:t>
      </w:r>
      <w:r>
        <w:rPr>
          <w:rFonts w:hint="eastAsia" w:ascii="宋体" w:hAnsi="宋体" w:eastAsia="宋体" w:cs="宋体"/>
          <w:snapToGrid w:val="0"/>
          <w:color w:val="auto"/>
          <w:kern w:val="0"/>
          <w:sz w:val="24"/>
          <w:szCs w:val="24"/>
          <w:highlight w:val="none"/>
        </w:rPr>
        <w:t xml:space="preserve"> 本招</w:t>
      </w:r>
      <w:r>
        <w:rPr>
          <w:rFonts w:hint="eastAsia" w:ascii="宋体" w:hAnsi="宋体" w:eastAsia="宋体" w:cs="宋体"/>
          <w:color w:val="auto"/>
          <w:sz w:val="24"/>
          <w:szCs w:val="24"/>
          <w:highlight w:val="none"/>
        </w:rPr>
        <w:t>标项目约定，材料、工程设备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施工机具台班</w:t>
      </w:r>
      <w:r>
        <w:rPr>
          <w:rFonts w:hint="eastAsia" w:ascii="宋体" w:hAnsi="宋体" w:eastAsia="宋体" w:cs="宋体"/>
          <w:color w:val="auto"/>
          <w:sz w:val="24"/>
          <w:szCs w:val="24"/>
          <w:highlight w:val="none"/>
          <w:lang w:val="en-US" w:eastAsia="zh-CN"/>
        </w:rPr>
        <w:t>价格</w:t>
      </w:r>
      <w:r>
        <w:rPr>
          <w:rFonts w:hint="eastAsia" w:ascii="宋体" w:hAnsi="宋体" w:eastAsia="宋体" w:cs="宋体"/>
          <w:color w:val="auto"/>
          <w:sz w:val="24"/>
          <w:szCs w:val="24"/>
          <w:highlight w:val="none"/>
          <w:lang w:eastAsia="zh-CN"/>
        </w:rPr>
        <w:t>不予调整。</w:t>
      </w:r>
    </w:p>
    <w:p w14:paraId="34C14A64">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2.3.7</w:t>
      </w:r>
      <w:r>
        <w:rPr>
          <w:rFonts w:hint="eastAsia" w:ascii="宋体" w:hAnsi="宋体" w:eastAsia="宋体" w:cs="宋体"/>
          <w:bCs/>
          <w:snapToGrid w:val="0"/>
          <w:color w:val="auto"/>
          <w:kern w:val="0"/>
          <w:sz w:val="24"/>
          <w:szCs w:val="24"/>
          <w:highlight w:val="none"/>
        </w:rPr>
        <w:t xml:space="preserve"> 暂估价和暂列金额</w:t>
      </w:r>
    </w:p>
    <w:p w14:paraId="495CE9F6">
      <w:pPr>
        <w:wordWrap w:val="0"/>
        <w:adjustRightInd w:val="0"/>
        <w:snapToGrid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snapToGrid w:val="0"/>
          <w:color w:val="auto"/>
          <w:kern w:val="0"/>
          <w:sz w:val="24"/>
          <w:szCs w:val="24"/>
          <w:highlight w:val="none"/>
        </w:rPr>
        <w:t>2.3.7.1</w:t>
      </w:r>
      <w:r>
        <w:rPr>
          <w:rFonts w:hint="eastAsia" w:ascii="宋体" w:hAnsi="宋体" w:eastAsia="宋体" w:cs="宋体"/>
          <w:bCs/>
          <w:snapToGrid w:val="0"/>
          <w:color w:val="auto"/>
          <w:kern w:val="0"/>
          <w:sz w:val="24"/>
          <w:szCs w:val="24"/>
          <w:highlight w:val="none"/>
        </w:rPr>
        <w:t xml:space="preserve"> </w:t>
      </w:r>
      <w:r>
        <w:rPr>
          <w:rFonts w:ascii="宋体" w:hAnsi="宋体" w:eastAsia="宋体" w:cs="宋体"/>
          <w:spacing w:val="-2"/>
          <w:sz w:val="24"/>
          <w:szCs w:val="24"/>
          <w:highlight w:val="none"/>
        </w:rPr>
        <w:t>暂估价项目按第一章第三节“投标人须知正文</w:t>
      </w:r>
      <w:r>
        <w:rPr>
          <w:rFonts w:ascii="宋体" w:hAnsi="宋体" w:eastAsia="宋体" w:cs="宋体"/>
          <w:spacing w:val="-88"/>
          <w:sz w:val="24"/>
          <w:szCs w:val="24"/>
          <w:highlight w:val="none"/>
        </w:rPr>
        <w:t xml:space="preserve"> </w:t>
      </w:r>
      <w:r>
        <w:rPr>
          <w:rFonts w:ascii="宋体" w:hAnsi="宋体" w:eastAsia="宋体" w:cs="宋体"/>
          <w:spacing w:val="-2"/>
          <w:sz w:val="24"/>
          <w:szCs w:val="24"/>
          <w:highlight w:val="none"/>
        </w:rPr>
        <w:t>”第</w:t>
      </w:r>
      <w:r>
        <w:rPr>
          <w:rFonts w:ascii="宋体" w:hAnsi="宋体" w:eastAsia="宋体" w:cs="宋体"/>
          <w:spacing w:val="-51"/>
          <w:sz w:val="24"/>
          <w:szCs w:val="24"/>
          <w:highlight w:val="none"/>
        </w:rPr>
        <w:t xml:space="preserve"> </w:t>
      </w:r>
      <w:r>
        <w:rPr>
          <w:rFonts w:ascii="Times New Roman" w:hAnsi="Times New Roman" w:eastAsia="Times New Roman" w:cs="Times New Roman"/>
          <w:b/>
          <w:bCs/>
          <w:spacing w:val="-2"/>
          <w:sz w:val="24"/>
          <w:szCs w:val="24"/>
          <w:highlight w:val="none"/>
        </w:rPr>
        <w:t xml:space="preserve">8.5 </w:t>
      </w:r>
      <w:r>
        <w:rPr>
          <w:rFonts w:ascii="宋体" w:hAnsi="宋体" w:eastAsia="宋体" w:cs="宋体"/>
          <w:spacing w:val="-2"/>
          <w:sz w:val="24"/>
          <w:szCs w:val="24"/>
          <w:highlight w:val="none"/>
        </w:rPr>
        <w:t>条</w:t>
      </w:r>
      <w:r>
        <w:rPr>
          <w:rFonts w:ascii="宋体" w:hAnsi="宋体" w:eastAsia="宋体" w:cs="宋体"/>
          <w:spacing w:val="-3"/>
          <w:sz w:val="24"/>
          <w:szCs w:val="24"/>
          <w:highlight w:val="none"/>
        </w:rPr>
        <w:t>的规定确定专业工</w:t>
      </w:r>
      <w:r>
        <w:rPr>
          <w:rFonts w:ascii="宋体" w:hAnsi="宋体" w:eastAsia="宋体" w:cs="宋体"/>
          <w:spacing w:val="-1"/>
          <w:sz w:val="24"/>
          <w:szCs w:val="24"/>
          <w:highlight w:val="none"/>
        </w:rPr>
        <w:t>程承包人（或材料供应商、工程设备供应商）后，将专业工</w:t>
      </w:r>
      <w:r>
        <w:rPr>
          <w:rFonts w:ascii="宋体" w:hAnsi="宋体" w:eastAsia="宋体" w:cs="宋体"/>
          <w:spacing w:val="-2"/>
          <w:sz w:val="24"/>
          <w:szCs w:val="24"/>
          <w:highlight w:val="none"/>
        </w:rPr>
        <w:t>程合同价款（或材料单价、</w:t>
      </w:r>
      <w:r>
        <w:rPr>
          <w:rFonts w:ascii="宋体" w:hAnsi="宋体" w:eastAsia="宋体" w:cs="宋体"/>
          <w:spacing w:val="-1"/>
          <w:sz w:val="24"/>
          <w:szCs w:val="24"/>
          <w:highlight w:val="none"/>
        </w:rPr>
        <w:t>工程设备单价）取代相应暂估价，并调整合同价款。</w:t>
      </w:r>
      <w:r>
        <w:rPr>
          <w:rFonts w:hint="eastAsia" w:ascii="宋体" w:hAnsi="宋体" w:eastAsia="宋体" w:cs="宋体"/>
          <w:color w:val="auto"/>
          <w:spacing w:val="-1"/>
          <w:sz w:val="24"/>
          <w:szCs w:val="24"/>
          <w:highlight w:val="none"/>
        </w:rPr>
        <w:t>结算时暂估价（若有）中所列的材料（设备）数量按实际发生数量计算；承包人须提供材料（设备）的发票及购销合同，以实际采购单价为</w:t>
      </w:r>
      <w:r>
        <w:rPr>
          <w:rFonts w:hint="eastAsia" w:ascii="宋体" w:hAnsi="宋体" w:eastAsia="宋体" w:cs="宋体"/>
          <w:color w:val="auto"/>
          <w:spacing w:val="-1"/>
          <w:sz w:val="24"/>
          <w:szCs w:val="24"/>
          <w:highlight w:val="none"/>
          <w:lang w:val="en-US" w:eastAsia="zh-CN"/>
        </w:rPr>
        <w:t>结算依据之一</w:t>
      </w:r>
      <w:r>
        <w:rPr>
          <w:rFonts w:hint="eastAsia" w:ascii="宋体" w:hAnsi="宋体" w:eastAsia="宋体" w:cs="宋体"/>
          <w:color w:val="auto"/>
          <w:spacing w:val="-1"/>
          <w:sz w:val="24"/>
          <w:szCs w:val="24"/>
          <w:highlight w:val="none"/>
        </w:rPr>
        <w:t>，但不得高于本次招标工程量清单中的材料（设备）单价</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各部分暂估价的结算价不得超过暂估价。</w:t>
      </w:r>
    </w:p>
    <w:p w14:paraId="31EE99A4">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2.3.7.2</w:t>
      </w:r>
      <w:r>
        <w:rPr>
          <w:rFonts w:hint="eastAsia" w:ascii="宋体" w:hAnsi="宋体" w:eastAsia="宋体" w:cs="宋体"/>
          <w:bCs/>
          <w:snapToGrid w:val="0"/>
          <w:color w:val="auto"/>
          <w:kern w:val="0"/>
          <w:sz w:val="24"/>
          <w:szCs w:val="24"/>
          <w:highlight w:val="none"/>
        </w:rPr>
        <w:t xml:space="preserve"> </w:t>
      </w:r>
      <w:r>
        <w:rPr>
          <w:rFonts w:ascii="宋体" w:hAnsi="宋体" w:eastAsia="宋体" w:cs="宋体"/>
          <w:spacing w:val="-8"/>
          <w:sz w:val="24"/>
          <w:szCs w:val="24"/>
          <w:highlight w:val="none"/>
        </w:rPr>
        <w:t>暂列金额由发包人掌握和使用。暂列金额项目若有发</w:t>
      </w:r>
      <w:r>
        <w:rPr>
          <w:rFonts w:ascii="宋体" w:hAnsi="宋体" w:eastAsia="宋体" w:cs="宋体"/>
          <w:spacing w:val="-9"/>
          <w:sz w:val="24"/>
          <w:szCs w:val="24"/>
          <w:highlight w:val="none"/>
        </w:rPr>
        <w:t>生，按第一章第三节“投</w:t>
      </w:r>
      <w:r>
        <w:rPr>
          <w:rFonts w:ascii="宋体" w:hAnsi="宋体" w:eastAsia="宋体" w:cs="宋体"/>
          <w:spacing w:val="-5"/>
          <w:sz w:val="24"/>
          <w:szCs w:val="24"/>
          <w:highlight w:val="none"/>
        </w:rPr>
        <w:t>标人须知正文</w:t>
      </w:r>
      <w:r>
        <w:rPr>
          <w:rFonts w:ascii="宋体" w:hAnsi="宋体" w:eastAsia="宋体" w:cs="宋体"/>
          <w:spacing w:val="-88"/>
          <w:sz w:val="24"/>
          <w:szCs w:val="24"/>
          <w:highlight w:val="none"/>
        </w:rPr>
        <w:t xml:space="preserve"> </w:t>
      </w:r>
      <w:r>
        <w:rPr>
          <w:rFonts w:ascii="宋体" w:hAnsi="宋体" w:eastAsia="宋体" w:cs="宋体"/>
          <w:spacing w:val="-5"/>
          <w:sz w:val="24"/>
          <w:szCs w:val="24"/>
          <w:highlight w:val="none"/>
        </w:rPr>
        <w:t>”第</w:t>
      </w:r>
      <w:r>
        <w:rPr>
          <w:rFonts w:ascii="宋体" w:hAnsi="宋体" w:eastAsia="宋体" w:cs="宋体"/>
          <w:spacing w:val="-51"/>
          <w:sz w:val="24"/>
          <w:szCs w:val="24"/>
          <w:highlight w:val="none"/>
        </w:rPr>
        <w:t xml:space="preserve"> </w:t>
      </w:r>
      <w:r>
        <w:rPr>
          <w:rFonts w:ascii="Times New Roman" w:hAnsi="Times New Roman" w:eastAsia="Times New Roman" w:cs="Times New Roman"/>
          <w:b/>
          <w:bCs/>
          <w:spacing w:val="-5"/>
          <w:sz w:val="24"/>
          <w:szCs w:val="24"/>
          <w:highlight w:val="none"/>
        </w:rPr>
        <w:t xml:space="preserve">8.6 </w:t>
      </w:r>
      <w:r>
        <w:rPr>
          <w:rFonts w:ascii="宋体" w:hAnsi="宋体" w:eastAsia="宋体" w:cs="宋体"/>
          <w:spacing w:val="-5"/>
          <w:sz w:val="24"/>
          <w:szCs w:val="24"/>
          <w:highlight w:val="none"/>
        </w:rPr>
        <w:t>条的规定确定材料供应商（或工程设备供</w:t>
      </w:r>
      <w:r>
        <w:rPr>
          <w:rFonts w:ascii="宋体" w:hAnsi="宋体" w:eastAsia="宋体" w:cs="宋体"/>
          <w:spacing w:val="-6"/>
          <w:sz w:val="24"/>
          <w:szCs w:val="24"/>
          <w:highlight w:val="none"/>
        </w:rPr>
        <w:t>应商、服务供应商）后，</w:t>
      </w:r>
      <w:r>
        <w:rPr>
          <w:rFonts w:ascii="宋体" w:hAnsi="宋体" w:eastAsia="宋体" w:cs="宋体"/>
          <w:spacing w:val="-2"/>
          <w:sz w:val="24"/>
          <w:szCs w:val="24"/>
          <w:highlight w:val="none"/>
        </w:rPr>
        <w:t>材料（或工程设备、服务）的合同价款从暂列金额中支付。暂列金额扣除已发生的暂列金额项目合同价款、已发生的合同约定调整因素出现时的调整价款、已发生的索赔以及</w:t>
      </w:r>
      <w:r>
        <w:rPr>
          <w:rFonts w:ascii="宋体" w:hAnsi="宋体" w:eastAsia="宋体" w:cs="宋体"/>
          <w:spacing w:val="-1"/>
          <w:sz w:val="24"/>
          <w:szCs w:val="24"/>
          <w:highlight w:val="none"/>
        </w:rPr>
        <w:t>现场签证确认等的费用后，余额（若有）归发包人所有。</w:t>
      </w:r>
    </w:p>
    <w:p w14:paraId="23209EC8">
      <w:pPr>
        <w:keepNext w:val="0"/>
        <w:keepLines w:val="0"/>
        <w:widowControl/>
        <w:suppressLineNumbers w:val="0"/>
        <w:spacing w:line="360" w:lineRule="auto"/>
        <w:ind w:firstLine="482" w:firstLineChars="200"/>
        <w:jc w:val="left"/>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 xml:space="preserve">2.3.8 </w:t>
      </w:r>
      <w:r>
        <w:rPr>
          <w:rFonts w:hint="eastAsia" w:ascii="宋体" w:hAnsi="宋体" w:eastAsia="宋体" w:cs="宋体"/>
          <w:b/>
          <w:snapToGrid w:val="0"/>
          <w:color w:val="auto"/>
          <w:kern w:val="0"/>
          <w:sz w:val="24"/>
          <w:szCs w:val="24"/>
          <w:highlight w:val="none"/>
        </w:rPr>
        <w:t xml:space="preserve"> </w:t>
      </w:r>
      <w:r>
        <w:rPr>
          <w:rFonts w:hint="eastAsia" w:ascii="宋体" w:hAnsi="宋体" w:eastAsia="宋体" w:cs="宋体"/>
          <w:b w:val="0"/>
          <w:snapToGrid w:val="0"/>
          <w:color w:val="auto"/>
          <w:kern w:val="0"/>
          <w:sz w:val="24"/>
          <w:szCs w:val="24"/>
          <w:highlight w:val="none"/>
        </w:rPr>
        <w:t>预算包干费：</w:t>
      </w:r>
      <w:r>
        <w:rPr>
          <w:rFonts w:hint="eastAsia" w:ascii="宋体" w:hAnsi="宋体" w:eastAsia="宋体" w:cs="宋体"/>
          <w:sz w:val="24"/>
          <w:szCs w:val="24"/>
          <w:highlight w:val="none"/>
          <w:lang w:val="en-US" w:eastAsia="zh-CN"/>
        </w:rPr>
        <w:t>按</w:t>
      </w:r>
      <w:r>
        <w:rPr>
          <w:rFonts w:ascii="宋体" w:hAnsi="宋体" w:eastAsia="宋体" w:cs="宋体"/>
          <w:sz w:val="24"/>
          <w:szCs w:val="24"/>
          <w:highlight w:val="none"/>
        </w:rPr>
        <w:t>《建设工程工程量清单计价标准》（GB/T 50500-2024）及《广东省建设工程计价依据（2018）》相关规定</w:t>
      </w:r>
      <w:r>
        <w:rPr>
          <w:rFonts w:hint="eastAsia" w:ascii="宋体" w:hAnsi="宋体" w:eastAsia="宋体" w:cs="宋体"/>
          <w:sz w:val="24"/>
          <w:szCs w:val="24"/>
          <w:highlight w:val="none"/>
          <w:lang w:val="en-US" w:eastAsia="zh-CN"/>
        </w:rPr>
        <w:t>计算</w:t>
      </w:r>
      <w:r>
        <w:rPr>
          <w:rFonts w:ascii="宋体" w:hAnsi="宋体" w:eastAsia="宋体" w:cs="宋体"/>
          <w:sz w:val="24"/>
          <w:szCs w:val="24"/>
          <w:highlight w:val="none"/>
        </w:rPr>
        <w:t>，</w:t>
      </w:r>
      <w:r>
        <w:rPr>
          <w:rFonts w:hint="eastAsia" w:ascii="宋体" w:hAnsi="宋体" w:eastAsia="宋体" w:cs="宋体"/>
          <w:sz w:val="24"/>
          <w:szCs w:val="24"/>
          <w:highlight w:val="none"/>
          <w:lang w:val="en-US" w:eastAsia="zh-CN"/>
        </w:rPr>
        <w:t>该</w:t>
      </w:r>
      <w:r>
        <w:rPr>
          <w:rFonts w:ascii="宋体" w:hAnsi="宋体" w:eastAsia="宋体" w:cs="宋体"/>
          <w:sz w:val="24"/>
          <w:szCs w:val="24"/>
          <w:highlight w:val="none"/>
        </w:rPr>
        <w:t>费用已包含在分部分项工程项目清单的综合单价中。本工程的预算包干内容包括：施工雨水污水的排除；因地形（场地）影响造成的场内料具二次运输；工程用水加压措施；施工场地材料场地的整理；工程成品的保护；施工中的临时停水停电；基础埋深2米以内挖土方的塌方；日间照明施工增加费；完工后的场地清理等。对于以上预算包干内容，承包人不得提出额外付款或延长工期等要求。</w:t>
      </w:r>
    </w:p>
    <w:p w14:paraId="354C4C37">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trike w:val="0"/>
          <w:dstrike w:val="0"/>
          <w:snapToGrid w:val="0"/>
          <w:color w:val="auto"/>
          <w:kern w:val="0"/>
          <w:sz w:val="24"/>
          <w:szCs w:val="24"/>
          <w:highlight w:val="none"/>
        </w:rPr>
        <w:t>2.3.9</w:t>
      </w:r>
      <w:r>
        <w:rPr>
          <w:rFonts w:hint="eastAsia" w:ascii="宋体" w:hAnsi="宋体" w:eastAsia="宋体" w:cs="宋体"/>
          <w:snapToGrid w:val="0"/>
          <w:color w:val="auto"/>
          <w:kern w:val="0"/>
          <w:sz w:val="24"/>
          <w:szCs w:val="24"/>
          <w:highlight w:val="none"/>
        </w:rPr>
        <w:t>其余事项（如不可抗力、索赔、现场签证等）的调整原则按照《建设工程工程量清单计价规范》（</w:t>
      </w:r>
      <w:r>
        <w:rPr>
          <w:rFonts w:hint="eastAsia" w:ascii="宋体" w:hAnsi="宋体" w:eastAsia="宋体" w:cs="宋体"/>
          <w:snapToGrid w:val="0"/>
          <w:color w:val="auto"/>
          <w:kern w:val="0"/>
          <w:sz w:val="24"/>
          <w:szCs w:val="24"/>
          <w:highlight w:val="none"/>
          <w:lang w:eastAsia="zh-CN"/>
        </w:rPr>
        <w:t>GBT50500-2024</w:t>
      </w:r>
      <w:r>
        <w:rPr>
          <w:rFonts w:hint="eastAsia" w:ascii="宋体" w:hAnsi="宋体" w:eastAsia="宋体" w:cs="宋体"/>
          <w:snapToGrid w:val="0"/>
          <w:color w:val="auto"/>
          <w:kern w:val="0"/>
          <w:sz w:val="24"/>
          <w:szCs w:val="24"/>
          <w:highlight w:val="none"/>
        </w:rPr>
        <w:t>）有关规定执行。</w:t>
      </w:r>
    </w:p>
    <w:p w14:paraId="471ADF54">
      <w:pPr>
        <w:wordWrap w:val="0"/>
        <w:adjustRightInd w:val="0"/>
        <w:snapToGrid w:val="0"/>
        <w:spacing w:line="360" w:lineRule="auto"/>
        <w:ind w:firstLine="482" w:firstLineChars="200"/>
        <w:rPr>
          <w:rFonts w:hint="eastAsia" w:ascii="宋体" w:hAnsi="宋体" w:eastAsia="宋体" w:cs="宋体"/>
          <w:b/>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2.4</w:t>
      </w:r>
      <w:r>
        <w:rPr>
          <w:rFonts w:hint="eastAsia" w:ascii="宋体" w:hAnsi="宋体" w:eastAsia="宋体" w:cs="宋体"/>
          <w:snapToGrid w:val="0"/>
          <w:color w:val="auto"/>
          <w:kern w:val="0"/>
          <w:sz w:val="24"/>
          <w:szCs w:val="24"/>
          <w:highlight w:val="none"/>
        </w:rPr>
        <w:t xml:space="preserve"> 凡将引起合同价款调增的事项，承包人必须于拟实施14天前，将详细的报价书（含拟实施项目名称、变更部位、理由、预计造价等）报监理单位审核和发包人批准后方可实施。</w:t>
      </w:r>
    </w:p>
    <w:p w14:paraId="24B6F888">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2.5</w:t>
      </w:r>
      <w:r>
        <w:rPr>
          <w:rFonts w:hint="eastAsia" w:ascii="宋体" w:hAnsi="宋体" w:eastAsia="宋体" w:cs="宋体"/>
          <w:snapToGrid w:val="0"/>
          <w:color w:val="auto"/>
          <w:kern w:val="0"/>
          <w:sz w:val="24"/>
          <w:szCs w:val="24"/>
          <w:highlight w:val="none"/>
        </w:rPr>
        <w:t xml:space="preserve"> 承包人不得以不完全了解现场情况为理由，提出额外付款或延长工期等要求。对此类要求，发包人不作任何考虑及答复。</w:t>
      </w:r>
    </w:p>
    <w:p w14:paraId="12C9A4F2">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2.6</w:t>
      </w:r>
      <w:r>
        <w:rPr>
          <w:rFonts w:hint="eastAsia" w:ascii="宋体" w:hAnsi="宋体" w:eastAsia="宋体" w:cs="宋体"/>
          <w:snapToGrid w:val="0"/>
          <w:color w:val="auto"/>
          <w:kern w:val="0"/>
          <w:sz w:val="24"/>
          <w:szCs w:val="24"/>
          <w:highlight w:val="none"/>
        </w:rPr>
        <w:t xml:space="preserve"> 承包人已标价工程量清单中漏报、错报或少报的清单项目，其价格均视为已经包含在其它清单项目中，竣工结算时不得重新组价和调整。</w:t>
      </w:r>
    </w:p>
    <w:p w14:paraId="7485DE4F">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2.7</w:t>
      </w:r>
      <w:r>
        <w:rPr>
          <w:rFonts w:hint="eastAsia" w:ascii="宋体" w:hAnsi="宋体" w:eastAsia="宋体" w:cs="宋体"/>
          <w:snapToGrid w:val="0"/>
          <w:color w:val="auto"/>
          <w:kern w:val="0"/>
          <w:sz w:val="24"/>
          <w:szCs w:val="24"/>
          <w:highlight w:val="none"/>
        </w:rPr>
        <w:t xml:space="preserve"> 工程完工后，发、承包双方和受其委托具备相应资质的工程造价咨询单位必须按照《建设工程工程量清单计价规范》（</w:t>
      </w:r>
      <w:r>
        <w:rPr>
          <w:rFonts w:hint="eastAsia" w:ascii="宋体" w:hAnsi="宋体" w:eastAsia="宋体" w:cs="宋体"/>
          <w:snapToGrid w:val="0"/>
          <w:color w:val="auto"/>
          <w:kern w:val="0"/>
          <w:sz w:val="24"/>
          <w:szCs w:val="24"/>
          <w:highlight w:val="none"/>
          <w:lang w:eastAsia="zh-CN"/>
        </w:rPr>
        <w:t>GBT50500-2024</w:t>
      </w:r>
      <w:r>
        <w:rPr>
          <w:rFonts w:hint="eastAsia" w:ascii="宋体" w:hAnsi="宋体" w:eastAsia="宋体" w:cs="宋体"/>
          <w:snapToGrid w:val="0"/>
          <w:color w:val="auto"/>
          <w:kern w:val="0"/>
          <w:sz w:val="24"/>
          <w:szCs w:val="24"/>
          <w:highlight w:val="none"/>
        </w:rPr>
        <w:t>）和国家、省、市的有关规定办理竣工结算。</w:t>
      </w:r>
    </w:p>
    <w:p w14:paraId="25E4D1A5">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2.8</w:t>
      </w:r>
      <w:r>
        <w:rPr>
          <w:rFonts w:hint="eastAsia" w:ascii="宋体" w:hAnsi="宋体" w:eastAsia="宋体" w:cs="宋体"/>
          <w:snapToGrid w:val="0"/>
          <w:color w:val="auto"/>
          <w:kern w:val="0"/>
          <w:sz w:val="24"/>
          <w:szCs w:val="24"/>
          <w:highlight w:val="none"/>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593600DA">
      <w:pPr>
        <w:keepNext w:val="0"/>
        <w:keepLines w:val="0"/>
        <w:widowControl/>
        <w:suppressLineNumbers w:val="0"/>
        <w:spacing w:line="360" w:lineRule="auto"/>
        <w:ind w:firstLine="482"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 xml:space="preserve">2.9 </w:t>
      </w:r>
      <w:r>
        <w:rPr>
          <w:rFonts w:hint="eastAsia" w:ascii="宋体" w:hAnsi="宋体" w:eastAsia="宋体" w:cs="宋体"/>
          <w:color w:val="auto"/>
          <w:kern w:val="0"/>
          <w:sz w:val="24"/>
          <w:szCs w:val="24"/>
          <w:highlight w:val="none"/>
          <w:lang w:val="en-US" w:eastAsia="zh-CN" w:bidi="ar"/>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电商平台价格（优先从京东、国美、苏宁等大型电商平台查询取其平均价）；若以上方式均无法确定材料价格的，则采用厂商报价或市场询价等方式取得有合法依据的市场价格，报发包人确认。</w:t>
      </w:r>
    </w:p>
    <w:p w14:paraId="2A2D34C0">
      <w:pPr>
        <w:keepNext w:val="0"/>
        <w:keepLines w:val="0"/>
        <w:widowControl/>
        <w:suppressLineNumbers w:val="0"/>
        <w:spacing w:line="360" w:lineRule="auto"/>
        <w:ind w:firstLine="482"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snapToGrid w:val="0"/>
          <w:color w:val="auto"/>
          <w:kern w:val="0"/>
          <w:sz w:val="24"/>
          <w:szCs w:val="24"/>
          <w:highlight w:val="none"/>
          <w:lang w:val="en-US" w:eastAsia="zh-CN" w:bidi="ar"/>
        </w:rPr>
        <w:t>2.10</w:t>
      </w:r>
      <w:r>
        <w:rPr>
          <w:rFonts w:hint="eastAsia" w:ascii="宋体" w:hAnsi="宋体" w:eastAsia="宋体" w:cs="宋体"/>
          <w:color w:val="auto"/>
          <w:kern w:val="0"/>
          <w:sz w:val="24"/>
          <w:szCs w:val="24"/>
          <w:highlight w:val="none"/>
          <w:lang w:val="en-US" w:eastAsia="zh-CN" w:bidi="ar"/>
        </w:rPr>
        <w:t>发包人有权根据本项目建设的实际情况调整建设规模或减少建设内容，如出现因特殊原因取消某子项目的建设，则该子项目未完成的工作内容及费用相应扣减，承包人不得因此向发包人提出额外的费用补偿或索赔，并且必须按调整后的规模及内容完成项目建设。</w:t>
      </w:r>
    </w:p>
    <w:p w14:paraId="138E4554">
      <w:pPr>
        <w:wordWrap w:val="0"/>
        <w:adjustRightInd w:val="0"/>
        <w:snapToGrid w:val="0"/>
        <w:spacing w:line="360" w:lineRule="auto"/>
        <w:ind w:firstLine="560"/>
        <w:rPr>
          <w:rFonts w:hint="eastAsia" w:ascii="宋体" w:hAnsi="宋体" w:eastAsia="宋体" w:cs="宋体"/>
          <w:color w:val="auto"/>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bidi="ar-SA"/>
        </w:rPr>
        <w:t>2.11</w:t>
      </w:r>
      <w:r>
        <w:rPr>
          <w:rFonts w:hint="eastAsia" w:ascii="宋体" w:hAnsi="宋体" w:eastAsia="宋体" w:cs="宋体"/>
          <w:color w:val="auto"/>
          <w:kern w:val="2"/>
          <w:sz w:val="24"/>
          <w:szCs w:val="24"/>
          <w:highlight w:val="none"/>
          <w:lang w:val="en-US" w:eastAsia="zh-CN" w:bidi="ar-SA"/>
        </w:rPr>
        <w:t>如项目实施过程中发生了工程变更及工程签证，承包人需根据发包人发布的 《工程变更管理办法》和《工程签证管理办法》完善工程变更签证相关程序。</w:t>
      </w:r>
    </w:p>
    <w:p w14:paraId="0CB971E9">
      <w:pPr>
        <w:wordWrap w:val="0"/>
        <w:adjustRightInd w:val="0"/>
        <w:snapToGrid w:val="0"/>
        <w:spacing w:line="360" w:lineRule="auto"/>
        <w:ind w:firstLine="560"/>
        <w:rPr>
          <w:rFonts w:hint="eastAsia" w:ascii="宋体" w:hAnsi="宋体" w:eastAsia="宋体" w:cs="宋体"/>
          <w:b/>
          <w:bCs/>
          <w:color w:val="auto"/>
          <w:sz w:val="24"/>
          <w:szCs w:val="24"/>
          <w:highlight w:val="none"/>
          <w:u w:val="single"/>
        </w:rPr>
      </w:pPr>
      <w:r>
        <w:rPr>
          <w:rFonts w:hint="eastAsia" w:ascii="宋体" w:hAnsi="宋体" w:eastAsia="宋体" w:cs="宋体"/>
          <w:b/>
          <w:bCs w:val="0"/>
          <w:snapToGrid w:val="0"/>
          <w:color w:val="auto"/>
          <w:kern w:val="0"/>
          <w:sz w:val="24"/>
          <w:szCs w:val="24"/>
          <w:highlight w:val="none"/>
        </w:rPr>
        <w:t>2.</w:t>
      </w:r>
      <w:r>
        <w:rPr>
          <w:rFonts w:hint="eastAsia" w:ascii="宋体" w:hAnsi="宋体" w:eastAsia="宋体" w:cs="宋体"/>
          <w:b/>
          <w:bCs w:val="0"/>
          <w:snapToGrid w:val="0"/>
          <w:color w:val="auto"/>
          <w:kern w:val="0"/>
          <w:sz w:val="24"/>
          <w:szCs w:val="24"/>
          <w:highlight w:val="none"/>
          <w:lang w:val="en-US" w:eastAsia="zh-CN"/>
        </w:rPr>
        <w:t>12</w:t>
      </w:r>
      <w:r>
        <w:rPr>
          <w:rFonts w:hint="eastAsia" w:ascii="宋体" w:hAnsi="宋体" w:eastAsia="宋体" w:cs="宋体"/>
          <w:b/>
          <w:bCs w:val="0"/>
          <w:snapToGrid w:val="0"/>
          <w:color w:val="auto"/>
          <w:kern w:val="0"/>
          <w:sz w:val="24"/>
          <w:szCs w:val="24"/>
          <w:highlight w:val="none"/>
          <w:u w:val="none"/>
          <w:lang w:val="en-US" w:eastAsia="zh-CN"/>
        </w:rPr>
        <w:t xml:space="preserve"> </w:t>
      </w:r>
      <w:r>
        <w:rPr>
          <w:rFonts w:hint="eastAsia" w:ascii="宋体" w:hAnsi="宋体" w:eastAsia="宋体" w:cs="宋体"/>
          <w:b/>
          <w:bCs/>
          <w:color w:val="auto"/>
          <w:sz w:val="24"/>
          <w:szCs w:val="24"/>
          <w:highlight w:val="none"/>
          <w:u w:val="single"/>
        </w:rPr>
        <w:t>项目实施过程中涉及工程造价控制、计量、价差调整等事项，最终以</w:t>
      </w:r>
      <w:r>
        <w:rPr>
          <w:rFonts w:hint="eastAsia" w:ascii="宋体" w:hAnsi="宋体" w:eastAsia="宋体" w:cs="宋体"/>
          <w:b/>
          <w:bCs/>
          <w:color w:val="auto"/>
          <w:sz w:val="24"/>
          <w:szCs w:val="24"/>
          <w:highlight w:val="none"/>
          <w:u w:val="single"/>
          <w:lang w:eastAsia="zh-CN"/>
        </w:rPr>
        <w:t>发包人</w:t>
      </w:r>
      <w:r>
        <w:rPr>
          <w:rFonts w:hint="eastAsia" w:ascii="宋体" w:hAnsi="宋体" w:eastAsia="宋体" w:cs="宋体"/>
          <w:b/>
          <w:bCs/>
          <w:color w:val="auto"/>
          <w:sz w:val="24"/>
          <w:szCs w:val="24"/>
          <w:highlight w:val="none"/>
          <w:u w:val="single"/>
        </w:rPr>
        <w:t>或其指定的审核机构的审定意见为准。</w:t>
      </w:r>
    </w:p>
    <w:p w14:paraId="09453DF6">
      <w:pPr>
        <w:pStyle w:val="38"/>
        <w:wordWrap w:val="0"/>
        <w:adjustRightInd w:val="0"/>
        <w:snapToGrid w:val="0"/>
        <w:spacing w:line="440" w:lineRule="exact"/>
        <w:ind w:firstLine="560"/>
        <w:rPr>
          <w:rFonts w:hint="eastAsia" w:ascii="宋体" w:hAnsi="宋体" w:eastAsia="宋体" w:cs="宋体"/>
          <w:b/>
          <w:bCs/>
          <w:color w:val="auto"/>
          <w:sz w:val="24"/>
          <w:szCs w:val="24"/>
          <w:highlight w:val="none"/>
          <w:u w:val="single"/>
        </w:rPr>
      </w:pPr>
      <w:r>
        <w:rPr>
          <w:rFonts w:hint="eastAsia" w:ascii="宋体" w:hAnsi="宋体" w:eastAsia="宋体" w:cs="宋体"/>
          <w:b/>
          <w:bCs w:val="0"/>
          <w:snapToGrid w:val="0"/>
          <w:color w:val="auto"/>
          <w:kern w:val="0"/>
          <w:szCs w:val="24"/>
          <w:highlight w:val="none"/>
          <w:u w:val="none"/>
          <w:lang w:val="en-US" w:eastAsia="en-US"/>
        </w:rPr>
        <w:t>2.1</w:t>
      </w:r>
      <w:r>
        <w:rPr>
          <w:rFonts w:hint="eastAsia" w:hAnsi="宋体" w:cs="宋体"/>
          <w:b/>
          <w:bCs w:val="0"/>
          <w:snapToGrid w:val="0"/>
          <w:color w:val="auto"/>
          <w:kern w:val="0"/>
          <w:szCs w:val="24"/>
          <w:highlight w:val="none"/>
          <w:u w:val="none"/>
          <w:lang w:val="en-US" w:eastAsia="zh-CN"/>
        </w:rPr>
        <w:t>3</w:t>
      </w:r>
      <w:r>
        <w:rPr>
          <w:rFonts w:hint="eastAsia"/>
          <w:color w:val="auto"/>
          <w:highlight w:val="none"/>
        </w:rPr>
        <w:t>为防止</w:t>
      </w:r>
      <w:r>
        <w:rPr>
          <w:rFonts w:hint="eastAsia"/>
          <w:color w:val="auto"/>
          <w:highlight w:val="none"/>
          <w:lang w:val="en-US" w:eastAsia="zh-CN"/>
        </w:rPr>
        <w:t>承包人</w:t>
      </w:r>
      <w:r>
        <w:rPr>
          <w:rFonts w:hint="eastAsia"/>
          <w:color w:val="auto"/>
          <w:highlight w:val="none"/>
        </w:rPr>
        <w:t>高估冒算，如属于</w:t>
      </w:r>
      <w:r>
        <w:rPr>
          <w:rFonts w:hint="eastAsia"/>
          <w:color w:val="auto"/>
          <w:highlight w:val="none"/>
          <w:lang w:val="en-US" w:eastAsia="zh-CN"/>
        </w:rPr>
        <w:t>承包人</w:t>
      </w:r>
      <w:r>
        <w:rPr>
          <w:rFonts w:hint="eastAsia"/>
          <w:color w:val="auto"/>
          <w:highlight w:val="none"/>
        </w:rPr>
        <w:t>或者其委托造价咨询企业原因造成所申报结算款超出</w:t>
      </w:r>
      <w:r>
        <w:rPr>
          <w:rFonts w:hint="eastAsia"/>
          <w:color w:val="auto"/>
          <w:highlight w:val="none"/>
          <w:lang w:eastAsia="zh-CN"/>
        </w:rPr>
        <w:t>发包人</w:t>
      </w:r>
      <w:r>
        <w:rPr>
          <w:rFonts w:hint="eastAsia"/>
          <w:color w:val="auto"/>
          <w:highlight w:val="none"/>
        </w:rPr>
        <w:t>核对或者</w:t>
      </w:r>
      <w:r>
        <w:rPr>
          <w:rFonts w:hint="eastAsia"/>
          <w:color w:val="auto"/>
          <w:highlight w:val="none"/>
          <w:lang w:eastAsia="zh-CN"/>
        </w:rPr>
        <w:t>发包人</w:t>
      </w:r>
      <w:r>
        <w:rPr>
          <w:rFonts w:hint="eastAsia"/>
          <w:color w:val="auto"/>
          <w:highlight w:val="none"/>
        </w:rPr>
        <w:t>委托的第三方最终审定结算款的5%时，</w:t>
      </w:r>
      <w:r>
        <w:rPr>
          <w:rFonts w:hint="eastAsia"/>
          <w:color w:val="auto"/>
          <w:highlight w:val="none"/>
          <w:lang w:val="en-US" w:eastAsia="zh-CN"/>
        </w:rPr>
        <w:t>承包人</w:t>
      </w:r>
      <w:r>
        <w:rPr>
          <w:rFonts w:hint="eastAsia"/>
          <w:color w:val="auto"/>
          <w:highlight w:val="none"/>
        </w:rPr>
        <w:t>必须承担超出5%部分的</w:t>
      </w:r>
      <w:r>
        <w:rPr>
          <w:rFonts w:hint="eastAsia"/>
          <w:color w:val="auto"/>
          <w:highlight w:val="none"/>
          <w:lang w:val="en-US" w:eastAsia="zh-CN"/>
        </w:rPr>
        <w:t>审核</w:t>
      </w:r>
      <w:r>
        <w:rPr>
          <w:rFonts w:hint="eastAsia"/>
          <w:color w:val="auto"/>
          <w:highlight w:val="none"/>
        </w:rPr>
        <w:t>费用（须向发包人委托的第三方咨询单位支付因此产生的效益收费，收费标准按核减额的4%予以计取），</w:t>
      </w:r>
      <w:r>
        <w:rPr>
          <w:rFonts w:hint="eastAsia"/>
          <w:color w:val="auto"/>
          <w:highlight w:val="none"/>
          <w:lang w:val="en-US" w:eastAsia="zh-CN"/>
        </w:rPr>
        <w:t>发包</w:t>
      </w:r>
      <w:r>
        <w:rPr>
          <w:rFonts w:hint="eastAsia"/>
          <w:color w:val="auto"/>
          <w:highlight w:val="none"/>
        </w:rPr>
        <w:t>人有权就结算文件质量偏差率超过规定的5%的情况向市住房城乡建设主管部门进行举报。</w:t>
      </w:r>
    </w:p>
    <w:p w14:paraId="28B086BA">
      <w:pPr>
        <w:wordWrap w:val="0"/>
        <w:autoSpaceDE/>
        <w:autoSpaceDN/>
        <w:snapToGrid w:val="0"/>
        <w:spacing w:line="360" w:lineRule="auto"/>
        <w:ind w:firstLine="480"/>
        <w:jc w:val="both"/>
        <w:outlineLvl w:val="9"/>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lang w:eastAsia="zh-CN"/>
        </w:rPr>
        <w:t>3.</w:t>
      </w:r>
      <w:r>
        <w:rPr>
          <w:rFonts w:hint="eastAsia" w:ascii="宋体" w:hAnsi="宋体" w:eastAsia="宋体" w:cs="宋体"/>
          <w:b/>
          <w:snapToGrid w:val="0"/>
          <w:color w:val="auto"/>
          <w:sz w:val="24"/>
          <w:szCs w:val="24"/>
          <w:highlight w:val="none"/>
        </w:rPr>
        <w:t>工程付款办法</w:t>
      </w:r>
    </w:p>
    <w:p w14:paraId="0CDAAB6C">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3.1</w:t>
      </w:r>
      <w:r>
        <w:rPr>
          <w:rFonts w:hint="eastAsia" w:ascii="宋体" w:hAnsi="宋体" w:eastAsia="宋体" w:cs="宋体"/>
          <w:snapToGrid w:val="0"/>
          <w:color w:val="auto"/>
          <w:kern w:val="0"/>
          <w:sz w:val="24"/>
          <w:szCs w:val="24"/>
          <w:highlight w:val="none"/>
        </w:rPr>
        <w:t xml:space="preserve"> 本招标项目</w:t>
      </w:r>
      <w:r>
        <w:rPr>
          <w:rFonts w:hint="eastAsia" w:ascii="宋体" w:hAnsi="宋体" w:eastAsia="宋体" w:cs="宋体"/>
          <w:snapToGrid w:val="0"/>
          <w:color w:val="auto"/>
          <w:kern w:val="0"/>
          <w:sz w:val="24"/>
          <w:szCs w:val="24"/>
          <w:highlight w:val="none"/>
          <w:u w:val="single"/>
        </w:rPr>
        <w:t xml:space="preserve"> 支付</w:t>
      </w:r>
      <w:r>
        <w:rPr>
          <w:rFonts w:hint="eastAsia" w:ascii="宋体" w:hAnsi="宋体" w:eastAsia="宋体" w:cs="宋体"/>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rPr>
        <w:t>施工预付款。</w:t>
      </w:r>
    </w:p>
    <w:p w14:paraId="551352B1">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w:t>
      </w:r>
      <w:r>
        <w:rPr>
          <w:rFonts w:hint="eastAsia" w:ascii="宋体" w:hAnsi="宋体" w:eastAsia="宋体" w:cs="宋体"/>
          <w:snapToGrid w:val="0"/>
          <w:color w:val="auto"/>
          <w:kern w:val="0"/>
          <w:sz w:val="24"/>
          <w:szCs w:val="24"/>
          <w:highlight w:val="none"/>
        </w:rPr>
        <w:t xml:space="preserve"> 施工预付款必须专用于合同工程，并按以下原则支付和抵扣：</w:t>
      </w:r>
    </w:p>
    <w:p w14:paraId="44EB7FAF">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3.2.1</w:t>
      </w:r>
      <w:r>
        <w:rPr>
          <w:rFonts w:hint="eastAsia" w:ascii="宋体" w:hAnsi="宋体" w:eastAsia="宋体" w:cs="宋体"/>
          <w:snapToGrid w:val="0"/>
          <w:color w:val="auto"/>
          <w:kern w:val="0"/>
          <w:sz w:val="24"/>
          <w:szCs w:val="24"/>
          <w:highlight w:val="none"/>
        </w:rPr>
        <w:t xml:space="preserve"> 施工预付款支付比例为：按施工合同价的</w:t>
      </w:r>
      <w:r>
        <w:rPr>
          <w:rFonts w:hint="eastAsia" w:ascii="宋体" w:hAnsi="宋体" w:eastAsia="宋体" w:cs="宋体"/>
          <w:snapToGrid w:val="0"/>
          <w:color w:val="auto"/>
          <w:kern w:val="0"/>
          <w:sz w:val="24"/>
          <w:szCs w:val="24"/>
          <w:highlight w:val="none"/>
          <w:u w:val="single"/>
          <w:lang w:val="en-US" w:eastAsia="zh-CN"/>
        </w:rPr>
        <w:t>30</w:t>
      </w:r>
      <w:r>
        <w:rPr>
          <w:rFonts w:hint="eastAsia" w:ascii="宋体" w:hAnsi="宋体" w:eastAsia="宋体" w:cs="宋体"/>
          <w:snapToGrid w:val="0"/>
          <w:color w:val="auto"/>
          <w:kern w:val="0"/>
          <w:sz w:val="24"/>
          <w:szCs w:val="24"/>
          <w:highlight w:val="none"/>
          <w:u w:val="single"/>
        </w:rPr>
        <w:t>%</w:t>
      </w:r>
      <w:r>
        <w:rPr>
          <w:rFonts w:hint="eastAsia" w:ascii="宋体" w:hAnsi="宋体" w:eastAsia="宋体" w:cs="宋体"/>
          <w:snapToGrid w:val="0"/>
          <w:color w:val="auto"/>
          <w:kern w:val="0"/>
          <w:sz w:val="24"/>
          <w:szCs w:val="24"/>
          <w:highlight w:val="none"/>
        </w:rPr>
        <w:t>支付</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预付款总额的25%须作为农民工工资专项预付款，由发包人单独、足额拨付至承包人设立的农民工工资专用账户</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w:t>
      </w:r>
    </w:p>
    <w:p w14:paraId="0EDC6E94">
      <w:pPr>
        <w:wordWrap w:val="0"/>
        <w:adjustRightInd w:val="0"/>
        <w:snapToGrid w:val="0"/>
        <w:spacing w:line="360" w:lineRule="auto"/>
        <w:ind w:firstLine="560"/>
        <w:rPr>
          <w:rFonts w:hint="eastAsia" w:ascii="宋体" w:hAnsi="宋体" w:eastAsia="宋体" w:cs="宋体"/>
          <w:b/>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3.2.2 </w:t>
      </w:r>
      <w:r>
        <w:rPr>
          <w:rFonts w:hint="eastAsia" w:ascii="宋体" w:hAnsi="宋体" w:eastAsia="宋体" w:cs="宋体"/>
          <w:snapToGrid w:val="0"/>
          <w:color w:val="auto"/>
          <w:kern w:val="0"/>
          <w:sz w:val="24"/>
          <w:szCs w:val="24"/>
          <w:highlight w:val="none"/>
        </w:rPr>
        <w:t>本招标项目</w:t>
      </w:r>
      <w:r>
        <w:rPr>
          <w:rFonts w:hint="eastAsia" w:ascii="宋体" w:hAnsi="宋体" w:eastAsia="宋体" w:cs="宋体"/>
          <w:snapToGrid w:val="0"/>
          <w:color w:val="auto"/>
          <w:kern w:val="0"/>
          <w:sz w:val="24"/>
          <w:szCs w:val="24"/>
          <w:highlight w:val="none"/>
          <w:u w:val="single"/>
        </w:rPr>
        <w:t xml:space="preserve"> 要求 </w:t>
      </w:r>
      <w:r>
        <w:rPr>
          <w:rFonts w:hint="eastAsia" w:ascii="宋体" w:hAnsi="宋体" w:eastAsia="宋体" w:cs="宋体"/>
          <w:snapToGrid w:val="0"/>
          <w:color w:val="auto"/>
          <w:kern w:val="0"/>
          <w:sz w:val="24"/>
          <w:szCs w:val="24"/>
          <w:highlight w:val="none"/>
        </w:rPr>
        <w:t>承包人提供与预付款等额的预付款保函（预付款保函格式按《住房和城乡建设部关于印发工程保函示范文本的通知》（建市〔2021〕11号）执行，为不可撤销、不可转让的见索即付独立保函，且不得有任何附加条件）</w:t>
      </w:r>
      <w:r>
        <w:rPr>
          <w:rFonts w:hint="eastAsia" w:ascii="宋体" w:hAnsi="宋体" w:eastAsia="宋体" w:cs="宋体"/>
          <w:b/>
          <w:snapToGrid w:val="0"/>
          <w:color w:val="auto"/>
          <w:sz w:val="24"/>
          <w:szCs w:val="24"/>
          <w:highlight w:val="none"/>
        </w:rPr>
        <w:t>或预付款保险</w:t>
      </w:r>
      <w:r>
        <w:rPr>
          <w:rFonts w:hint="eastAsia" w:ascii="宋体" w:hAnsi="宋体" w:eastAsia="宋体" w:cs="宋体"/>
          <w:snapToGrid w:val="0"/>
          <w:color w:val="auto"/>
          <w:kern w:val="0"/>
          <w:sz w:val="24"/>
          <w:szCs w:val="24"/>
          <w:highlight w:val="none"/>
        </w:rPr>
        <w:t>，</w:t>
      </w:r>
      <w:r>
        <w:rPr>
          <w:rFonts w:hint="eastAsia" w:ascii="宋体" w:hAnsi="宋体" w:eastAsia="宋体" w:cs="宋体"/>
          <w:b/>
          <w:snapToGrid w:val="0"/>
          <w:color w:val="auto"/>
          <w:kern w:val="0"/>
          <w:sz w:val="24"/>
          <w:szCs w:val="24"/>
          <w:highlight w:val="none"/>
        </w:rPr>
        <w:t>且预付款保函期限原则上不少于总工期的一半，承包单位的预付款保函有效期应保证在扣回预付款前有效，未扣回预付款但保函过期的承包人应重新开具预付款保函。</w:t>
      </w:r>
    </w:p>
    <w:p w14:paraId="6699733C">
      <w:pPr>
        <w:pStyle w:val="14"/>
        <w:adjustRightInd w:val="0"/>
        <w:snapToGrid w:val="0"/>
        <w:spacing w:before="0" w:beforeAutospacing="0" w:after="0" w:afterAutospacing="0" w:line="360" w:lineRule="auto"/>
        <w:ind w:firstLine="360" w:firstLineChars="150"/>
        <w:textAlignment w:val="baseline"/>
        <w:rPr>
          <w:rFonts w:hint="eastAsia" w:ascii="宋体" w:hAnsi="宋体" w:eastAsia="宋体" w:cs="宋体"/>
          <w:b/>
          <w:snapToGrid w:val="0"/>
          <w:color w:val="auto"/>
          <w:sz w:val="24"/>
          <w:szCs w:val="24"/>
          <w:highlight w:val="none"/>
        </w:rPr>
      </w:pPr>
      <w:r>
        <w:rPr>
          <w:rFonts w:hint="eastAsia" w:ascii="宋体" w:hAnsi="宋体" w:eastAsia="宋体" w:cs="宋体"/>
          <w:snapToGrid w:val="0"/>
          <w:color w:val="auto"/>
          <w:sz w:val="24"/>
          <w:szCs w:val="24"/>
          <w:highlight w:val="none"/>
        </w:rPr>
        <w:t>承包人应在签订合同后，</w:t>
      </w:r>
      <w:r>
        <w:rPr>
          <w:rFonts w:hint="eastAsia" w:ascii="宋体" w:hAnsi="宋体" w:eastAsia="宋体" w:cs="宋体"/>
          <w:b/>
          <w:snapToGrid w:val="0"/>
          <w:color w:val="auto"/>
          <w:sz w:val="24"/>
          <w:szCs w:val="24"/>
          <w:highlight w:val="none"/>
        </w:rPr>
        <w:t>在提供符合要求的预付款保函或预付款保险及</w:t>
      </w:r>
      <w:r>
        <w:rPr>
          <w:rFonts w:hint="eastAsia" w:ascii="宋体" w:hAnsi="宋体" w:eastAsia="宋体" w:cs="宋体"/>
          <w:snapToGrid w:val="0"/>
          <w:color w:val="auto"/>
          <w:sz w:val="24"/>
          <w:szCs w:val="24"/>
          <w:highlight w:val="none"/>
        </w:rPr>
        <w:t>在具备施工条件的前提下，向发包人提交预付款支付申请。发包人</w:t>
      </w:r>
      <w:r>
        <w:rPr>
          <w:rFonts w:hint="eastAsia" w:ascii="宋体" w:hAnsi="宋体" w:eastAsia="宋体" w:cs="宋体"/>
          <w:snapToGrid w:val="0"/>
          <w:color w:val="auto"/>
          <w:sz w:val="24"/>
          <w:szCs w:val="24"/>
          <w:highlight w:val="none"/>
          <w:lang w:eastAsia="zh-CN"/>
        </w:rPr>
        <w:t>应</w:t>
      </w:r>
      <w:r>
        <w:rPr>
          <w:rFonts w:hint="eastAsia" w:ascii="宋体" w:hAnsi="宋体" w:eastAsia="宋体" w:cs="宋体"/>
          <w:snapToGrid w:val="0"/>
          <w:color w:val="auto"/>
          <w:sz w:val="24"/>
          <w:szCs w:val="24"/>
          <w:highlight w:val="none"/>
        </w:rPr>
        <w:t>在收到支付申请的7天内进行核实后向承包人发出预付款支付证书，并在签发支付证书后的</w:t>
      </w:r>
      <w:r>
        <w:rPr>
          <w:rFonts w:hint="eastAsia" w:ascii="宋体" w:hAnsi="宋体" w:eastAsia="宋体" w:cs="宋体"/>
          <w:snapToGrid w:val="0"/>
          <w:color w:val="auto"/>
          <w:sz w:val="24"/>
          <w:szCs w:val="24"/>
          <w:highlight w:val="none"/>
          <w:lang w:val="en-US" w:eastAsia="zh-CN"/>
        </w:rPr>
        <w:t>10</w:t>
      </w:r>
      <w:r>
        <w:rPr>
          <w:rFonts w:hint="eastAsia" w:ascii="宋体" w:hAnsi="宋体" w:eastAsia="宋体" w:cs="宋体"/>
          <w:snapToGrid w:val="0"/>
          <w:color w:val="auto"/>
          <w:sz w:val="24"/>
          <w:szCs w:val="24"/>
          <w:highlight w:val="none"/>
        </w:rPr>
        <w:t>天内向承包人支付预付款。凡未签订合同或不具备施工条件的工程，发包人不预付工程款。</w:t>
      </w:r>
    </w:p>
    <w:p w14:paraId="53D1662B">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3.2.3</w:t>
      </w:r>
      <w:r>
        <w:rPr>
          <w:rFonts w:hint="eastAsia" w:ascii="宋体" w:hAnsi="宋体" w:eastAsia="宋体" w:cs="宋体"/>
          <w:snapToGrid w:val="0"/>
          <w:color w:val="auto"/>
          <w:kern w:val="0"/>
          <w:sz w:val="24"/>
          <w:szCs w:val="24"/>
          <w:highlight w:val="none"/>
        </w:rPr>
        <w:t xml:space="preserve"> 发包人没有按时支付预付款的，承包人可催告发包人支付，发包人承担违约责任。</w:t>
      </w:r>
    </w:p>
    <w:p w14:paraId="76249FFE">
      <w:pPr>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3.2.4</w:t>
      </w:r>
      <w:r>
        <w:rPr>
          <w:rFonts w:hint="eastAsia" w:ascii="宋体" w:hAnsi="宋体" w:eastAsia="宋体" w:cs="宋体"/>
          <w:b/>
          <w:bCs/>
          <w:snapToGrid w:val="0"/>
          <w:color w:val="auto"/>
          <w:kern w:val="0"/>
          <w:sz w:val="24"/>
          <w:szCs w:val="24"/>
          <w:highlight w:val="none"/>
          <w:lang w:val="en-US" w:eastAsia="zh-CN"/>
        </w:rPr>
        <w:t xml:space="preserve"> </w:t>
      </w:r>
      <w:r>
        <w:rPr>
          <w:rFonts w:hint="eastAsia" w:ascii="宋体" w:hAnsi="宋体" w:eastAsia="宋体" w:cs="宋体"/>
          <w:strike w:val="0"/>
          <w:dstrike w:val="0"/>
          <w:snapToGrid w:val="0"/>
          <w:color w:val="auto"/>
          <w:kern w:val="0"/>
          <w:sz w:val="24"/>
          <w:szCs w:val="24"/>
          <w:highlight w:val="none"/>
        </w:rPr>
        <w:t>预付款</w:t>
      </w:r>
      <w:r>
        <w:rPr>
          <w:rFonts w:hint="eastAsia" w:ascii="宋体" w:hAnsi="宋体" w:eastAsia="宋体" w:cs="宋体"/>
          <w:strike w:val="0"/>
          <w:dstrike w:val="0"/>
          <w:snapToGrid w:val="0"/>
          <w:color w:val="auto"/>
          <w:kern w:val="0"/>
          <w:sz w:val="24"/>
          <w:szCs w:val="24"/>
          <w:highlight w:val="none"/>
          <w:u w:val="single"/>
          <w:lang w:val="en-US" w:eastAsia="zh-CN"/>
        </w:rPr>
        <w:t>在第一</w:t>
      </w:r>
      <w:r>
        <w:rPr>
          <w:rFonts w:hint="eastAsia" w:ascii="宋体" w:hAnsi="宋体" w:eastAsia="宋体" w:cs="宋体"/>
          <w:strike w:val="0"/>
          <w:dstrike w:val="0"/>
          <w:snapToGrid w:val="0"/>
          <w:color w:val="auto"/>
          <w:kern w:val="0"/>
          <w:sz w:val="24"/>
          <w:szCs w:val="24"/>
          <w:highlight w:val="none"/>
          <w:u w:val="single"/>
        </w:rPr>
        <w:t>期</w:t>
      </w:r>
      <w:r>
        <w:rPr>
          <w:rFonts w:hint="eastAsia" w:ascii="宋体" w:hAnsi="宋体" w:eastAsia="宋体" w:cs="宋体"/>
          <w:strike w:val="0"/>
          <w:dstrike w:val="0"/>
          <w:snapToGrid w:val="0"/>
          <w:color w:val="auto"/>
          <w:kern w:val="0"/>
          <w:sz w:val="24"/>
          <w:szCs w:val="24"/>
          <w:highlight w:val="none"/>
        </w:rPr>
        <w:t>应支付的工程款项中一次性扣清</w:t>
      </w:r>
      <w:r>
        <w:rPr>
          <w:rFonts w:hint="eastAsia" w:ascii="宋体" w:hAnsi="宋体" w:eastAsia="宋体" w:cs="宋体"/>
          <w:strike w:val="0"/>
          <w:snapToGrid w:val="0"/>
          <w:color w:val="auto"/>
          <w:kern w:val="0"/>
          <w:sz w:val="24"/>
          <w:szCs w:val="24"/>
          <w:highlight w:val="none"/>
        </w:rPr>
        <w:t>。</w:t>
      </w:r>
    </w:p>
    <w:p w14:paraId="190E75DE">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施工过程中按月支付工程进度款：</w:t>
      </w:r>
      <w:r>
        <w:rPr>
          <w:rFonts w:hint="eastAsia" w:ascii="宋体" w:hAnsi="宋体" w:eastAsia="宋体" w:cs="宋体"/>
          <w:snapToGrid w:val="0"/>
          <w:color w:val="auto"/>
          <w:kern w:val="0"/>
          <w:sz w:val="24"/>
          <w:szCs w:val="24"/>
          <w:highlight w:val="none"/>
          <w:lang w:val="en-US" w:eastAsia="zh-CN"/>
        </w:rPr>
        <w:t>当累计完成工程量达到合同工程量</w:t>
      </w:r>
      <w:r>
        <w:rPr>
          <w:rFonts w:hint="eastAsia" w:ascii="宋体" w:hAnsi="宋体" w:eastAsia="宋体" w:cs="宋体"/>
          <w:snapToGrid w:val="0"/>
          <w:color w:val="auto"/>
          <w:kern w:val="0"/>
          <w:sz w:val="24"/>
          <w:szCs w:val="24"/>
          <w:highlight w:val="none"/>
          <w:u w:val="single"/>
          <w:lang w:val="en-US" w:eastAsia="zh-CN"/>
        </w:rPr>
        <w:t>30%以上</w:t>
      </w:r>
      <w:r>
        <w:rPr>
          <w:rFonts w:hint="eastAsia" w:ascii="宋体" w:hAnsi="宋体" w:eastAsia="宋体" w:cs="宋体"/>
          <w:snapToGrid w:val="0"/>
          <w:color w:val="auto"/>
          <w:kern w:val="0"/>
          <w:sz w:val="24"/>
          <w:szCs w:val="24"/>
          <w:highlight w:val="none"/>
          <w:lang w:val="en-US" w:eastAsia="zh-CN"/>
        </w:rPr>
        <w:t>时，</w:t>
      </w:r>
      <w:r>
        <w:rPr>
          <w:rFonts w:hint="eastAsia" w:ascii="宋体" w:hAnsi="宋体" w:eastAsia="宋体" w:cs="宋体"/>
          <w:snapToGrid w:val="0"/>
          <w:color w:val="auto"/>
          <w:kern w:val="0"/>
          <w:sz w:val="24"/>
          <w:szCs w:val="24"/>
          <w:highlight w:val="none"/>
        </w:rPr>
        <w:t>承包人每月按工程实际完成工程量（含变更及增加工程）申报，承包人必须将《已完成工程量报表》和《工程付款申请书》于当月26日前报监理单位核</w:t>
      </w:r>
      <w:bookmarkStart w:id="183" w:name="_Hlt127094354"/>
      <w:bookmarkEnd w:id="183"/>
      <w:r>
        <w:rPr>
          <w:rFonts w:hint="eastAsia" w:ascii="宋体" w:hAnsi="宋体" w:eastAsia="宋体" w:cs="宋体"/>
          <w:snapToGrid w:val="0"/>
          <w:color w:val="auto"/>
          <w:kern w:val="0"/>
          <w:sz w:val="24"/>
          <w:szCs w:val="24"/>
          <w:highlight w:val="none"/>
        </w:rPr>
        <w:t>实。经监理单位审核、发包人审定后的工程进度款（指已经按照合同约定，扣除该支付期内因承包人违约而应扣除的管理费），于申报次月支付。</w:t>
      </w:r>
    </w:p>
    <w:p w14:paraId="207E1C7F">
      <w:pPr>
        <w:wordWrap w:val="0"/>
        <w:adjustRightInd w:val="0"/>
        <w:snapToGrid w:val="0"/>
        <w:spacing w:line="360" w:lineRule="auto"/>
        <w:ind w:firstLine="482" w:firstLineChars="200"/>
        <w:rPr>
          <w:rFonts w:hint="eastAsia" w:ascii="Times New Roman" w:hAnsi="Times New Roman" w:eastAsia="宋体" w:cs="Times New Roman"/>
          <w:color w:val="auto"/>
          <w:sz w:val="24"/>
          <w:highlight w:val="none"/>
          <w:lang w:eastAsia="zh-CN"/>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lang w:val="en-US" w:eastAsia="zh-CN"/>
        </w:rPr>
        <w:t>当累计完成工程量达到合同工程量</w:t>
      </w:r>
      <w:r>
        <w:rPr>
          <w:rFonts w:hint="eastAsia" w:ascii="宋体" w:hAnsi="宋体" w:eastAsia="宋体" w:cs="宋体"/>
          <w:snapToGrid w:val="0"/>
          <w:color w:val="auto"/>
          <w:kern w:val="0"/>
          <w:sz w:val="24"/>
          <w:szCs w:val="24"/>
          <w:highlight w:val="none"/>
          <w:u w:val="single"/>
          <w:lang w:val="en-US" w:eastAsia="zh-CN"/>
        </w:rPr>
        <w:t>30%以上</w:t>
      </w:r>
      <w:r>
        <w:rPr>
          <w:rFonts w:hint="eastAsia" w:ascii="宋体" w:hAnsi="宋体" w:eastAsia="宋体" w:cs="宋体"/>
          <w:snapToGrid w:val="0"/>
          <w:color w:val="auto"/>
          <w:kern w:val="0"/>
          <w:sz w:val="24"/>
          <w:szCs w:val="24"/>
          <w:highlight w:val="none"/>
          <w:lang w:val="en-US" w:eastAsia="zh-CN"/>
        </w:rPr>
        <w:t>时，</w:t>
      </w:r>
      <w:r>
        <w:rPr>
          <w:rFonts w:hint="eastAsia" w:ascii="宋体" w:hAnsi="宋体" w:eastAsia="宋体" w:cs="宋体"/>
          <w:snapToGrid w:val="0"/>
          <w:color w:val="auto"/>
          <w:kern w:val="0"/>
          <w:sz w:val="24"/>
          <w:szCs w:val="24"/>
          <w:highlight w:val="none"/>
        </w:rPr>
        <w:t>每月的工程进度款暂按工程实际完成工程量的</w:t>
      </w:r>
      <w:r>
        <w:rPr>
          <w:rFonts w:hint="eastAsia" w:ascii="宋体" w:hAnsi="宋体" w:eastAsia="宋体" w:cs="宋体"/>
          <w:snapToGrid w:val="0"/>
          <w:color w:val="auto"/>
          <w:kern w:val="0"/>
          <w:sz w:val="24"/>
          <w:szCs w:val="24"/>
          <w:highlight w:val="none"/>
          <w:u w:val="single"/>
        </w:rPr>
        <w:t xml:space="preserve"> 80% </w:t>
      </w:r>
      <w:r>
        <w:rPr>
          <w:rFonts w:hint="eastAsia" w:ascii="宋体" w:hAnsi="宋体" w:eastAsia="宋体" w:cs="宋体"/>
          <w:snapToGrid w:val="0"/>
          <w:color w:val="auto"/>
          <w:kern w:val="0"/>
          <w:sz w:val="24"/>
          <w:szCs w:val="24"/>
          <w:highlight w:val="none"/>
        </w:rPr>
        <w:t>支付</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工程进度款中</w:t>
      </w:r>
      <w:r>
        <w:rPr>
          <w:rFonts w:hint="eastAsia" w:ascii="宋体" w:hAnsi="宋体" w:eastAsia="宋体" w:cs="宋体"/>
          <w:snapToGrid w:val="0"/>
          <w:color w:val="auto"/>
          <w:kern w:val="0"/>
          <w:sz w:val="24"/>
          <w:szCs w:val="24"/>
          <w:highlight w:val="none"/>
          <w:lang w:val="en-US" w:eastAsia="zh-CN"/>
        </w:rPr>
        <w:t>按</w:t>
      </w:r>
      <w:r>
        <w:rPr>
          <w:rFonts w:hint="eastAsia" w:ascii="Times New Roman" w:hAnsi="Times New Roman" w:eastAsia="宋体" w:cs="Times New Roman"/>
          <w:color w:val="auto"/>
          <w:sz w:val="24"/>
          <w:highlight w:val="none"/>
        </w:rPr>
        <w:t>应付工程款</w:t>
      </w:r>
      <w:r>
        <w:rPr>
          <w:rFonts w:hint="eastAsia" w:ascii="Times New Roman" w:hAnsi="Times New Roman" w:eastAsia="宋体" w:cs="Times New Roman"/>
          <w:color w:val="auto"/>
          <w:sz w:val="24"/>
          <w:highlight w:val="none"/>
          <w:lang w:eastAsia="zh-CN"/>
        </w:rPr>
        <w:t>的</w:t>
      </w:r>
      <w:r>
        <w:rPr>
          <w:rFonts w:hint="eastAsia" w:ascii="Times New Roman" w:hAnsi="Times New Roman" w:eastAsia="宋体" w:cs="Times New Roman"/>
          <w:color w:val="auto"/>
          <w:sz w:val="24"/>
          <w:highlight w:val="none"/>
          <w:u w:val="single"/>
          <w:lang w:eastAsia="zh-CN"/>
        </w:rPr>
        <w:t>2</w:t>
      </w:r>
      <w:r>
        <w:rPr>
          <w:rFonts w:hint="eastAsia" w:ascii="Times New Roman" w:hAnsi="Times New Roman" w:eastAsia="宋体" w:cs="Times New Roman"/>
          <w:color w:val="auto"/>
          <w:sz w:val="24"/>
          <w:highlight w:val="none"/>
          <w:u w:val="single"/>
          <w:lang w:val="en-US" w:eastAsia="zh-CN"/>
        </w:rPr>
        <w:t>5</w:t>
      </w:r>
      <w:r>
        <w:rPr>
          <w:rFonts w:hint="eastAsia" w:ascii="Times New Roman" w:hAnsi="Times New Roman" w:eastAsia="宋体" w:cs="Times New Roman"/>
          <w:color w:val="auto"/>
          <w:sz w:val="24"/>
          <w:highlight w:val="none"/>
          <w:u w:val="single"/>
          <w:lang w:eastAsia="zh-CN"/>
        </w:rPr>
        <w:t>%</w:t>
      </w:r>
      <w:r>
        <w:rPr>
          <w:rFonts w:hint="eastAsia" w:ascii="宋体" w:hAnsi="宋体" w:eastAsia="宋体" w:cs="宋体"/>
          <w:snapToGrid w:val="0"/>
          <w:color w:val="auto"/>
          <w:kern w:val="0"/>
          <w:sz w:val="24"/>
          <w:szCs w:val="24"/>
          <w:highlight w:val="none"/>
        </w:rPr>
        <w:t>作为</w:t>
      </w:r>
      <w:r>
        <w:rPr>
          <w:rFonts w:hint="eastAsia" w:ascii="宋体" w:hAnsi="宋体" w:eastAsia="宋体" w:cs="宋体"/>
          <w:snapToGrid w:val="0"/>
          <w:color w:val="auto"/>
          <w:kern w:val="0"/>
          <w:sz w:val="24"/>
          <w:szCs w:val="24"/>
          <w:highlight w:val="none"/>
          <w:lang w:val="en-US" w:eastAsia="zh-CN"/>
        </w:rPr>
        <w:t>人工费</w:t>
      </w:r>
      <w:r>
        <w:rPr>
          <w:rFonts w:hint="eastAsia" w:ascii="宋体" w:hAnsi="宋体" w:eastAsia="宋体" w:cs="宋体"/>
          <w:snapToGrid w:val="0"/>
          <w:color w:val="auto"/>
          <w:kern w:val="0"/>
          <w:sz w:val="24"/>
          <w:szCs w:val="24"/>
          <w:highlight w:val="none"/>
        </w:rPr>
        <w:t>专项</w:t>
      </w:r>
      <w:r>
        <w:rPr>
          <w:rFonts w:hint="eastAsia" w:ascii="Times New Roman" w:hAnsi="Times New Roman" w:eastAsia="宋体" w:cs="Times New Roman"/>
          <w:color w:val="auto"/>
          <w:sz w:val="24"/>
          <w:highlight w:val="none"/>
          <w:lang w:eastAsia="zh-CN"/>
        </w:rPr>
        <w:t>（不得乘以合同工程款支付比例），由发包人单独足额拨付到承包人的</w:t>
      </w:r>
      <w:r>
        <w:rPr>
          <w:rFonts w:hint="eastAsia" w:ascii="宋体" w:hAnsi="宋体" w:eastAsia="宋体" w:cs="宋体"/>
          <w:snapToGrid w:val="0"/>
          <w:color w:val="auto"/>
          <w:kern w:val="0"/>
          <w:sz w:val="24"/>
          <w:szCs w:val="24"/>
          <w:highlight w:val="none"/>
        </w:rPr>
        <w:t>农民工工资专用账户</w:t>
      </w:r>
      <w:r>
        <w:rPr>
          <w:rFonts w:hint="eastAsia" w:ascii="Times New Roman" w:hAnsi="Times New Roman" w:eastAsia="宋体" w:cs="Times New Roman"/>
          <w:color w:val="auto"/>
          <w:sz w:val="24"/>
          <w:highlight w:val="none"/>
          <w:lang w:eastAsia="zh-CN"/>
        </w:rPr>
        <w:t>。</w:t>
      </w:r>
    </w:p>
    <w:p w14:paraId="032941FA">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3.5</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0"/>
          <w:highlight w:val="none"/>
          <w:lang w:val="en-US" w:eastAsia="zh-CN"/>
        </w:rPr>
        <w:t>发包人应在工程开工后28天内预付不低于安全生产措施费总额的50%给承包人，其余部分按照提前安排的原则进行分解，并与工程进度款同期支付；</w:t>
      </w:r>
      <w:r>
        <w:rPr>
          <w:rFonts w:hint="eastAsia" w:ascii="宋体" w:hAnsi="宋体" w:eastAsia="宋体" w:cs="宋体"/>
          <w:i w:val="0"/>
          <w:iCs w:val="0"/>
          <w:caps w:val="0"/>
          <w:color w:val="auto"/>
          <w:spacing w:val="0"/>
          <w:sz w:val="24"/>
          <w:szCs w:val="20"/>
          <w:highlight w:val="none"/>
          <w:shd w:val="clear"/>
          <w:lang w:eastAsia="zh-CN"/>
        </w:rPr>
        <w:t>其他措施项目费按当期实际完成情况，与工程进度款同期支付。</w:t>
      </w:r>
    </w:p>
    <w:p w14:paraId="78CE674D">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3.6</w:t>
      </w:r>
      <w:r>
        <w:rPr>
          <w:rFonts w:hint="eastAsia" w:ascii="宋体" w:hAnsi="宋体" w:eastAsia="宋体" w:cs="宋体"/>
          <w:snapToGrid w:val="0"/>
          <w:color w:val="auto"/>
          <w:kern w:val="0"/>
          <w:sz w:val="24"/>
          <w:szCs w:val="24"/>
          <w:highlight w:val="none"/>
        </w:rPr>
        <w:t xml:space="preserve"> 变更工程造价必须经监理单位核实，并经发包人核定后方可支付。</w:t>
      </w:r>
    </w:p>
    <w:p w14:paraId="20B31969">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3.7</w:t>
      </w:r>
      <w:r>
        <w:rPr>
          <w:rFonts w:hint="eastAsia" w:ascii="宋体" w:hAnsi="宋体" w:eastAsia="宋体" w:cs="宋体"/>
          <w:snapToGrid w:val="0"/>
          <w:color w:val="auto"/>
          <w:kern w:val="0"/>
          <w:sz w:val="24"/>
          <w:szCs w:val="24"/>
          <w:highlight w:val="none"/>
        </w:rPr>
        <w:t xml:space="preserve"> 结算审核完成后，于次月支付至审定总造价的97%</w:t>
      </w:r>
      <w:r>
        <w:rPr>
          <w:rFonts w:hint="eastAsia" w:ascii="宋体" w:hAnsi="宋体" w:eastAsia="宋体" w:cs="宋体"/>
          <w:snapToGrid w:val="0"/>
          <w:color w:val="auto"/>
          <w:kern w:val="0"/>
          <w:sz w:val="24"/>
          <w:szCs w:val="24"/>
          <w:highlight w:val="none"/>
          <w:u w:val="none"/>
          <w:lang w:eastAsia="zh-CN"/>
        </w:rPr>
        <w:t>（</w:t>
      </w:r>
      <w:r>
        <w:rPr>
          <w:rFonts w:hint="eastAsia" w:ascii="宋体" w:hAnsi="宋体" w:eastAsia="宋体" w:cs="宋体"/>
          <w:bCs/>
          <w:color w:val="auto"/>
          <w:sz w:val="24"/>
          <w:szCs w:val="24"/>
          <w:highlight w:val="none"/>
          <w:u w:val="none"/>
        </w:rPr>
        <w:t>承包人</w:t>
      </w:r>
      <w:r>
        <w:rPr>
          <w:rFonts w:hint="eastAsia" w:ascii="宋体" w:hAnsi="宋体" w:eastAsia="宋体" w:cs="宋体"/>
          <w:bCs/>
          <w:color w:val="auto"/>
          <w:sz w:val="24"/>
          <w:szCs w:val="24"/>
          <w:highlight w:val="none"/>
          <w:u w:val="none"/>
          <w:lang w:val="en-US" w:eastAsia="zh-CN"/>
        </w:rPr>
        <w:t>按结算审核价</w:t>
      </w:r>
      <w:r>
        <w:rPr>
          <w:rFonts w:hint="eastAsia" w:ascii="宋体" w:hAnsi="宋体" w:eastAsia="宋体" w:cs="宋体"/>
          <w:bCs/>
          <w:color w:val="auto"/>
          <w:sz w:val="24"/>
          <w:szCs w:val="24"/>
          <w:highlight w:val="none"/>
          <w:u w:val="none"/>
        </w:rPr>
        <w:t>提供</w:t>
      </w:r>
      <w:r>
        <w:rPr>
          <w:rFonts w:hint="eastAsia" w:ascii="宋体" w:hAnsi="宋体" w:eastAsia="宋体" w:cs="宋体"/>
          <w:bCs/>
          <w:color w:val="auto"/>
          <w:sz w:val="24"/>
          <w:szCs w:val="24"/>
          <w:highlight w:val="none"/>
          <w:u w:val="none"/>
          <w:lang w:val="en-US" w:eastAsia="zh-CN"/>
        </w:rPr>
        <w:t>100%</w:t>
      </w:r>
      <w:r>
        <w:rPr>
          <w:rFonts w:hint="eastAsia" w:ascii="宋体" w:hAnsi="宋体" w:eastAsia="宋体" w:cs="宋体"/>
          <w:bCs/>
          <w:color w:val="auto"/>
          <w:sz w:val="24"/>
          <w:szCs w:val="24"/>
          <w:highlight w:val="none"/>
          <w:u w:val="none"/>
        </w:rPr>
        <w:t>发票</w:t>
      </w:r>
      <w:r>
        <w:rPr>
          <w:rFonts w:hint="eastAsia" w:ascii="宋体" w:hAnsi="宋体" w:eastAsia="宋体" w:cs="宋体"/>
          <w:snapToGrid w:val="0"/>
          <w:color w:val="auto"/>
          <w:kern w:val="0"/>
          <w:sz w:val="24"/>
          <w:szCs w:val="24"/>
          <w:highlight w:val="none"/>
          <w:u w:val="none"/>
          <w:lang w:eastAsia="zh-CN"/>
        </w:rPr>
        <w:t>）</w:t>
      </w:r>
      <w:r>
        <w:rPr>
          <w:rFonts w:hint="eastAsia" w:ascii="宋体" w:hAnsi="宋体" w:eastAsia="宋体" w:cs="宋体"/>
          <w:snapToGrid w:val="0"/>
          <w:color w:val="auto"/>
          <w:kern w:val="0"/>
          <w:sz w:val="24"/>
          <w:szCs w:val="24"/>
          <w:highlight w:val="none"/>
        </w:rPr>
        <w:t>，剩余3%转为质量保证金；承包人提交了等额质量保证担保或质量保证保险的，于次月一次性结清审定总造价。</w:t>
      </w:r>
    </w:p>
    <w:p w14:paraId="6B0783D2">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3.8</w:t>
      </w:r>
      <w:r>
        <w:rPr>
          <w:rFonts w:hint="eastAsia" w:ascii="宋体" w:hAnsi="宋体" w:eastAsia="宋体" w:cs="宋体"/>
          <w:snapToGrid w:val="0"/>
          <w:color w:val="auto"/>
          <w:kern w:val="0"/>
          <w:sz w:val="24"/>
          <w:szCs w:val="24"/>
          <w:highlight w:val="none"/>
        </w:rPr>
        <w:t xml:space="preserve"> 本项目缺陷责任期为</w:t>
      </w:r>
      <w:r>
        <w:rPr>
          <w:rFonts w:hint="eastAsia" w:ascii="宋体" w:hAnsi="宋体" w:eastAsia="宋体" w:cs="宋体"/>
          <w:snapToGrid w:val="0"/>
          <w:color w:val="auto"/>
          <w:kern w:val="0"/>
          <w:sz w:val="24"/>
          <w:szCs w:val="24"/>
          <w:highlight w:val="none"/>
          <w:u w:val="single"/>
        </w:rPr>
        <w:t xml:space="preserve"> 2 </w:t>
      </w:r>
      <w:r>
        <w:rPr>
          <w:rFonts w:hint="eastAsia" w:ascii="宋体" w:hAnsi="宋体" w:eastAsia="宋体" w:cs="宋体"/>
          <w:snapToGrid w:val="0"/>
          <w:color w:val="auto"/>
          <w:kern w:val="0"/>
          <w:sz w:val="24"/>
          <w:szCs w:val="24"/>
          <w:highlight w:val="none"/>
        </w:rPr>
        <w:t>年（自通过竣工验收之日起计）。缺陷责任期到期后，承包人向发包人申请退还质量保证金。发包人收到退还申请后，于14天内会同承包人进行核实。经双方核实且均无异议后，发包人在核实之日起14天内将应返保证金（或质量保证担保或质量保证保险）退还承包人。</w:t>
      </w:r>
    </w:p>
    <w:p w14:paraId="2F03F873">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3.9</w:t>
      </w:r>
      <w:r>
        <w:rPr>
          <w:rFonts w:hint="eastAsia" w:ascii="宋体" w:hAnsi="宋体" w:eastAsia="宋体" w:cs="宋体"/>
          <w:snapToGrid w:val="0"/>
          <w:color w:val="auto"/>
          <w:kern w:val="0"/>
          <w:sz w:val="24"/>
          <w:szCs w:val="24"/>
          <w:highlight w:val="none"/>
        </w:rPr>
        <w:t xml:space="preserve"> 发包人每次支付工程款前，承包人均应提供符合发包人要求的</w:t>
      </w:r>
      <w:r>
        <w:rPr>
          <w:rFonts w:hint="eastAsia" w:ascii="宋体" w:hAnsi="宋体" w:eastAsia="宋体" w:cs="宋体"/>
          <w:snapToGrid w:val="0"/>
          <w:color w:val="auto"/>
          <w:kern w:val="0"/>
          <w:sz w:val="24"/>
          <w:szCs w:val="24"/>
          <w:highlight w:val="none"/>
          <w:lang w:val="en-US" w:eastAsia="zh-CN"/>
        </w:rPr>
        <w:t>等额</w:t>
      </w:r>
      <w:r>
        <w:rPr>
          <w:rFonts w:hint="eastAsia" w:ascii="宋体" w:hAnsi="宋体" w:eastAsia="宋体" w:cs="宋体"/>
          <w:snapToGrid w:val="0"/>
          <w:color w:val="auto"/>
          <w:kern w:val="0"/>
          <w:sz w:val="24"/>
          <w:szCs w:val="24"/>
          <w:highlight w:val="none"/>
        </w:rPr>
        <w:t>增值税专用发票。如果承包人无法提供符合</w:t>
      </w:r>
      <w:r>
        <w:rPr>
          <w:rFonts w:hint="eastAsia" w:ascii="宋体" w:hAnsi="宋体" w:eastAsia="宋体" w:cs="宋体"/>
          <w:snapToGrid w:val="0"/>
          <w:color w:val="auto"/>
          <w:kern w:val="0"/>
          <w:sz w:val="24"/>
          <w:szCs w:val="24"/>
          <w:highlight w:val="none"/>
          <w:lang w:val="en-US" w:eastAsia="zh-CN"/>
        </w:rPr>
        <w:t>发包人</w:t>
      </w:r>
      <w:r>
        <w:rPr>
          <w:rFonts w:hint="eastAsia" w:ascii="宋体" w:hAnsi="宋体" w:eastAsia="宋体" w:cs="宋体"/>
          <w:snapToGrid w:val="0"/>
          <w:color w:val="auto"/>
          <w:kern w:val="0"/>
          <w:sz w:val="24"/>
          <w:szCs w:val="24"/>
          <w:highlight w:val="none"/>
        </w:rPr>
        <w:t>要求的发票，由此造成的相应损失由承包人承担。</w:t>
      </w:r>
    </w:p>
    <w:p w14:paraId="4C620351">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3.10</w:t>
      </w:r>
      <w:r>
        <w:rPr>
          <w:rFonts w:hint="eastAsia" w:ascii="宋体" w:hAnsi="宋体" w:eastAsia="宋体" w:cs="宋体"/>
          <w:snapToGrid w:val="0"/>
          <w:color w:val="auto"/>
          <w:kern w:val="0"/>
          <w:sz w:val="24"/>
          <w:szCs w:val="24"/>
          <w:highlight w:val="none"/>
        </w:rPr>
        <w:t xml:space="preserve"> 暂列金额支付方式：</w:t>
      </w:r>
      <w:r>
        <w:rPr>
          <w:rFonts w:hint="eastAsia" w:ascii="宋体" w:hAnsi="宋体" w:eastAsia="宋体" w:cs="宋体"/>
          <w:snapToGrid w:val="0"/>
          <w:color w:val="auto"/>
          <w:kern w:val="0"/>
          <w:sz w:val="24"/>
          <w:szCs w:val="24"/>
          <w:highlight w:val="none"/>
          <w:u w:val="single"/>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暂停拨付。在暂列金额的范围内，最终经发包人确认后支付至该部分实际完成工程量的80％，其余部分待结算完成审核后支付至97%</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bCs/>
          <w:color w:val="auto"/>
          <w:sz w:val="24"/>
          <w:szCs w:val="24"/>
          <w:highlight w:val="none"/>
          <w:u w:val="single"/>
        </w:rPr>
        <w:t>承包人</w:t>
      </w:r>
      <w:r>
        <w:rPr>
          <w:rFonts w:hint="eastAsia" w:ascii="宋体" w:hAnsi="宋体" w:eastAsia="宋体" w:cs="宋体"/>
          <w:bCs/>
          <w:color w:val="auto"/>
          <w:sz w:val="24"/>
          <w:szCs w:val="24"/>
          <w:highlight w:val="none"/>
          <w:u w:val="single"/>
          <w:lang w:val="en-US" w:eastAsia="zh-CN"/>
        </w:rPr>
        <w:t>按结算审核价</w:t>
      </w:r>
      <w:r>
        <w:rPr>
          <w:rFonts w:hint="eastAsia" w:ascii="宋体" w:hAnsi="宋体" w:eastAsia="宋体" w:cs="宋体"/>
          <w:bCs/>
          <w:color w:val="auto"/>
          <w:sz w:val="24"/>
          <w:szCs w:val="24"/>
          <w:highlight w:val="none"/>
          <w:u w:val="single"/>
        </w:rPr>
        <w:t>提供</w:t>
      </w:r>
      <w:r>
        <w:rPr>
          <w:rFonts w:hint="eastAsia" w:ascii="宋体" w:hAnsi="宋体" w:eastAsia="宋体" w:cs="宋体"/>
          <w:bCs/>
          <w:color w:val="auto"/>
          <w:sz w:val="24"/>
          <w:szCs w:val="24"/>
          <w:highlight w:val="none"/>
          <w:u w:val="single"/>
          <w:lang w:val="en-US" w:eastAsia="zh-CN"/>
        </w:rPr>
        <w:t>100%</w:t>
      </w:r>
      <w:r>
        <w:rPr>
          <w:rFonts w:hint="eastAsia" w:ascii="宋体" w:hAnsi="宋体" w:eastAsia="宋体" w:cs="宋体"/>
          <w:bCs/>
          <w:color w:val="auto"/>
          <w:sz w:val="24"/>
          <w:szCs w:val="24"/>
          <w:highlight w:val="none"/>
          <w:u w:val="single"/>
        </w:rPr>
        <w:t>发票</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snapToGrid w:val="0"/>
          <w:color w:val="auto"/>
          <w:kern w:val="0"/>
          <w:sz w:val="24"/>
          <w:szCs w:val="24"/>
          <w:highlight w:val="none"/>
          <w:u w:val="single"/>
        </w:rPr>
        <w:t>，剩余3%为工程质量保修金</w:t>
      </w:r>
      <w:r>
        <w:rPr>
          <w:rFonts w:hint="eastAsia" w:ascii="宋体" w:hAnsi="宋体" w:eastAsia="宋体" w:cs="宋体"/>
          <w:snapToGrid w:val="0"/>
          <w:color w:val="auto"/>
          <w:kern w:val="0"/>
          <w:sz w:val="24"/>
          <w:szCs w:val="24"/>
          <w:highlight w:val="none"/>
        </w:rPr>
        <w:t>。</w:t>
      </w:r>
    </w:p>
    <w:p w14:paraId="7ACA706C">
      <w:pPr>
        <w:wordWrap w:val="0"/>
        <w:adjustRightInd w:val="0"/>
        <w:snapToGrid w:val="0"/>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snapToGrid w:val="0"/>
          <w:color w:val="auto"/>
          <w:kern w:val="0"/>
          <w:sz w:val="24"/>
          <w:szCs w:val="24"/>
          <w:highlight w:val="none"/>
        </w:rPr>
        <w:t>3.1</w:t>
      </w:r>
      <w:r>
        <w:rPr>
          <w:rFonts w:hint="eastAsia" w:ascii="宋体" w:hAnsi="宋体" w:eastAsia="宋体" w:cs="宋体"/>
          <w:b/>
          <w:bCs/>
          <w:snapToGrid w:val="0"/>
          <w:color w:val="auto"/>
          <w:kern w:val="0"/>
          <w:sz w:val="24"/>
          <w:szCs w:val="24"/>
          <w:highlight w:val="none"/>
          <w:lang w:val="en-US" w:eastAsia="zh-CN"/>
        </w:rPr>
        <w:t>1</w:t>
      </w:r>
      <w:r>
        <w:rPr>
          <w:rFonts w:hint="eastAsia" w:ascii="宋体" w:hAnsi="宋体" w:eastAsia="宋体" w:cs="宋体"/>
          <w:bCs/>
          <w:color w:val="auto"/>
          <w:sz w:val="24"/>
          <w:szCs w:val="24"/>
          <w:highlight w:val="none"/>
        </w:rPr>
        <w:t>发包人根据</w:t>
      </w:r>
      <w:r>
        <w:rPr>
          <w:rFonts w:hint="eastAsia" w:ascii="宋体" w:hAnsi="宋体" w:eastAsia="宋体" w:cs="宋体"/>
          <w:color w:val="auto"/>
          <w:sz w:val="24"/>
          <w:szCs w:val="24"/>
          <w:highlight w:val="none"/>
          <w:shd w:val="clear" w:color="auto" w:fill="FFFFFF"/>
        </w:rPr>
        <w:t>本</w:t>
      </w:r>
      <w:r>
        <w:rPr>
          <w:rFonts w:hint="eastAsia" w:ascii="宋体" w:hAnsi="宋体" w:eastAsia="宋体" w:cs="宋体"/>
          <w:color w:val="auto"/>
          <w:sz w:val="24"/>
          <w:szCs w:val="24"/>
          <w:highlight w:val="none"/>
          <w:shd w:val="clear" w:color="auto" w:fill="FFFFFF"/>
          <w:lang w:eastAsia="zh-CN"/>
        </w:rPr>
        <w:t>工程</w:t>
      </w:r>
      <w:r>
        <w:rPr>
          <w:rFonts w:hint="eastAsia" w:ascii="宋体" w:hAnsi="宋体" w:eastAsia="宋体" w:cs="宋体"/>
          <w:bCs/>
          <w:color w:val="auto"/>
          <w:sz w:val="24"/>
          <w:szCs w:val="24"/>
          <w:highlight w:val="none"/>
        </w:rPr>
        <w:t>资金情况，经双方协商可调整工程进度款支付比例。</w:t>
      </w:r>
    </w:p>
    <w:p w14:paraId="210FAD51">
      <w:pPr>
        <w:bidi w:val="0"/>
        <w:spacing w:line="360" w:lineRule="auto"/>
        <w:ind w:firstLine="480" w:firstLineChars="200"/>
        <w:outlineLvl w:val="9"/>
        <w:rPr>
          <w:b/>
          <w:bCs/>
          <w:color w:val="auto"/>
          <w:sz w:val="24"/>
          <w:szCs w:val="24"/>
          <w:highlight w:val="none"/>
        </w:rPr>
      </w:pPr>
      <w:bookmarkStart w:id="184" w:name="_Toc1404"/>
      <w:bookmarkStart w:id="185" w:name="_Toc22589"/>
      <w:bookmarkStart w:id="186" w:name="_Toc28117"/>
      <w:r>
        <w:rPr>
          <w:rFonts w:hint="eastAsia"/>
          <w:b/>
          <w:bCs/>
          <w:color w:val="auto"/>
          <w:sz w:val="24"/>
          <w:szCs w:val="24"/>
          <w:highlight w:val="none"/>
          <w:lang w:val="en-US" w:eastAsia="zh-CN"/>
        </w:rPr>
        <w:t>4.其他专用合同条款：</w:t>
      </w:r>
      <w:r>
        <w:rPr>
          <w:rFonts w:hint="eastAsia"/>
          <w:b/>
          <w:bCs/>
          <w:color w:val="auto"/>
          <w:sz w:val="24"/>
          <w:szCs w:val="24"/>
          <w:highlight w:val="none"/>
          <w:u w:val="single"/>
          <w:lang w:val="en-US" w:eastAsia="zh-CN"/>
        </w:rPr>
        <w:t>由发包人根据本工程实际情况和地方政策与承包人自行协商签订相关专用合同条款。</w:t>
      </w:r>
    </w:p>
    <w:p w14:paraId="0666DE1D">
      <w:pPr>
        <w:wordWrap w:val="0"/>
        <w:autoSpaceDE/>
        <w:autoSpaceDN/>
        <w:snapToGrid w:val="0"/>
        <w:spacing w:line="360" w:lineRule="auto"/>
        <w:ind w:firstLine="480"/>
        <w:jc w:val="both"/>
        <w:outlineLvl w:val="9"/>
        <w:rPr>
          <w:rFonts w:hint="eastAsia" w:ascii="Times New Roman"/>
          <w:b/>
          <w:strike w:val="0"/>
          <w:dstrike w:val="0"/>
          <w:snapToGrid w:val="0"/>
          <w:color w:val="auto"/>
          <w:sz w:val="24"/>
          <w:szCs w:val="24"/>
          <w:highlight w:val="none"/>
        </w:rPr>
      </w:pPr>
      <w:r>
        <w:rPr>
          <w:rFonts w:hint="eastAsia" w:ascii="Times New Roman"/>
          <w:b/>
          <w:strike w:val="0"/>
          <w:dstrike w:val="0"/>
          <w:snapToGrid w:val="0"/>
          <w:color w:val="auto"/>
          <w:sz w:val="24"/>
          <w:szCs w:val="24"/>
          <w:highlight w:val="none"/>
          <w:lang w:val="en-US" w:eastAsia="zh-CN"/>
        </w:rPr>
        <w:t>4.1</w:t>
      </w:r>
      <w:r>
        <w:rPr>
          <w:rFonts w:hint="eastAsia" w:ascii="Times New Roman"/>
          <w:b/>
          <w:strike w:val="0"/>
          <w:dstrike w:val="0"/>
          <w:snapToGrid w:val="0"/>
          <w:color w:val="auto"/>
          <w:sz w:val="24"/>
          <w:szCs w:val="24"/>
          <w:highlight w:val="none"/>
        </w:rPr>
        <w:t>专业工程分包</w:t>
      </w:r>
    </w:p>
    <w:p w14:paraId="3CE5C032">
      <w:pPr>
        <w:wordWrap w:val="0"/>
        <w:adjustRightInd w:val="0"/>
        <w:snapToGrid w:val="0"/>
        <w:spacing w:line="360" w:lineRule="auto"/>
        <w:ind w:firstLine="480" w:firstLineChars="200"/>
        <w:outlineLvl w:val="9"/>
        <w:rPr>
          <w:rFonts w:hint="eastAsia" w:ascii="Times New Roman"/>
          <w:strike w:val="0"/>
          <w:dstrike w:val="0"/>
          <w:snapToGrid w:val="0"/>
          <w:color w:val="auto"/>
          <w:kern w:val="0"/>
          <w:sz w:val="24"/>
          <w:szCs w:val="24"/>
          <w:highlight w:val="none"/>
        </w:rPr>
      </w:pPr>
      <w:r>
        <w:rPr>
          <w:rFonts w:hint="eastAsia" w:ascii="Times New Roman"/>
          <w:strike w:val="0"/>
          <w:dstrike w:val="0"/>
          <w:snapToGrid w:val="0"/>
          <w:color w:val="auto"/>
          <w:kern w:val="0"/>
          <w:sz w:val="24"/>
          <w:szCs w:val="24"/>
          <w:highlight w:val="none"/>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31667C14">
      <w:pPr>
        <w:wordWrap w:val="0"/>
        <w:autoSpaceDE/>
        <w:autoSpaceDN/>
        <w:snapToGrid w:val="0"/>
        <w:spacing w:line="360" w:lineRule="auto"/>
        <w:ind w:firstLine="480"/>
        <w:jc w:val="both"/>
        <w:outlineLvl w:val="9"/>
        <w:rPr>
          <w:rFonts w:hint="eastAsia" w:ascii="Times New Roman"/>
          <w:b/>
          <w:strike w:val="0"/>
          <w:dstrike w:val="0"/>
          <w:snapToGrid w:val="0"/>
          <w:color w:val="auto"/>
          <w:sz w:val="24"/>
          <w:szCs w:val="24"/>
          <w:highlight w:val="none"/>
        </w:rPr>
      </w:pPr>
      <w:r>
        <w:rPr>
          <w:rFonts w:hint="eastAsia" w:ascii="Times New Roman"/>
          <w:b/>
          <w:strike w:val="0"/>
          <w:dstrike w:val="0"/>
          <w:snapToGrid w:val="0"/>
          <w:color w:val="auto"/>
          <w:sz w:val="24"/>
          <w:szCs w:val="24"/>
          <w:highlight w:val="none"/>
          <w:lang w:val="en-US" w:eastAsia="zh-CN"/>
        </w:rPr>
        <w:t>4.2</w:t>
      </w:r>
      <w:r>
        <w:rPr>
          <w:rFonts w:hint="eastAsia" w:ascii="Times New Roman"/>
          <w:b/>
          <w:strike w:val="0"/>
          <w:dstrike w:val="0"/>
          <w:snapToGrid w:val="0"/>
          <w:color w:val="auto"/>
          <w:sz w:val="24"/>
          <w:szCs w:val="24"/>
          <w:highlight w:val="none"/>
        </w:rPr>
        <w:t>．工人工资支付专用账户</w:t>
      </w:r>
    </w:p>
    <w:p w14:paraId="3F313240">
      <w:pPr>
        <w:wordWrap w:val="0"/>
        <w:adjustRightInd w:val="0"/>
        <w:snapToGrid w:val="0"/>
        <w:spacing w:line="360" w:lineRule="auto"/>
        <w:ind w:firstLine="480" w:firstLineChars="200"/>
        <w:outlineLvl w:val="9"/>
        <w:rPr>
          <w:rFonts w:hint="eastAsia" w:ascii="Times New Roman"/>
          <w:strike w:val="0"/>
          <w:dstrike w:val="0"/>
          <w:snapToGrid w:val="0"/>
          <w:color w:val="auto"/>
          <w:kern w:val="0"/>
          <w:sz w:val="24"/>
          <w:szCs w:val="24"/>
          <w:highlight w:val="none"/>
        </w:rPr>
      </w:pPr>
      <w:r>
        <w:rPr>
          <w:rFonts w:hint="eastAsia" w:ascii="Times New Roman"/>
          <w:b/>
          <w:bCs/>
          <w:strike w:val="0"/>
          <w:dstrike w:val="0"/>
          <w:snapToGrid w:val="0"/>
          <w:color w:val="auto"/>
          <w:kern w:val="0"/>
          <w:sz w:val="24"/>
          <w:szCs w:val="24"/>
          <w:highlight w:val="none"/>
          <w:lang w:val="en-US" w:eastAsia="zh-CN"/>
        </w:rPr>
        <w:t>4.2</w:t>
      </w:r>
      <w:r>
        <w:rPr>
          <w:rFonts w:hint="eastAsia" w:ascii="Times New Roman"/>
          <w:b/>
          <w:bCs/>
          <w:strike w:val="0"/>
          <w:dstrike w:val="0"/>
          <w:snapToGrid w:val="0"/>
          <w:color w:val="auto"/>
          <w:kern w:val="0"/>
          <w:sz w:val="24"/>
          <w:szCs w:val="24"/>
          <w:highlight w:val="none"/>
        </w:rPr>
        <w:t>.1</w:t>
      </w:r>
      <w:r>
        <w:rPr>
          <w:rFonts w:hint="eastAsia" w:ascii="Times New Roman"/>
          <w:strike w:val="0"/>
          <w:dstrike w:val="0"/>
          <w:snapToGrid w:val="0"/>
          <w:color w:val="auto"/>
          <w:kern w:val="0"/>
          <w:sz w:val="24"/>
          <w:szCs w:val="24"/>
          <w:highlight w:val="none"/>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14:paraId="5A803802">
      <w:pPr>
        <w:keepNext w:val="0"/>
        <w:keepLines w:val="0"/>
        <w:widowControl/>
        <w:suppressLineNumbers w:val="0"/>
        <w:spacing w:line="360" w:lineRule="auto"/>
        <w:ind w:firstLine="480" w:firstLineChars="200"/>
        <w:jc w:val="left"/>
        <w:outlineLvl w:val="9"/>
        <w:rPr>
          <w:rFonts w:hint="eastAsia" w:ascii="宋体" w:hAnsi="宋体" w:eastAsia="宋体" w:cs="宋体"/>
          <w:color w:val="auto"/>
          <w:kern w:val="0"/>
          <w:sz w:val="24"/>
          <w:szCs w:val="24"/>
          <w:highlight w:val="none"/>
          <w:lang w:val="en-US" w:eastAsia="zh-CN" w:bidi="ar"/>
        </w:rPr>
      </w:pPr>
      <w:r>
        <w:rPr>
          <w:rFonts w:hint="eastAsia" w:ascii="Times New Roman"/>
          <w:b/>
          <w:bCs/>
          <w:strike w:val="0"/>
          <w:dstrike w:val="0"/>
          <w:snapToGrid w:val="0"/>
          <w:color w:val="auto"/>
          <w:kern w:val="0"/>
          <w:sz w:val="24"/>
          <w:szCs w:val="24"/>
          <w:highlight w:val="none"/>
          <w:lang w:val="en-US" w:eastAsia="zh-CN"/>
        </w:rPr>
        <w:t>4.2</w:t>
      </w:r>
      <w:r>
        <w:rPr>
          <w:rFonts w:hint="eastAsia" w:ascii="Times New Roman"/>
          <w:b/>
          <w:bCs/>
          <w:strike w:val="0"/>
          <w:dstrike w:val="0"/>
          <w:snapToGrid w:val="0"/>
          <w:color w:val="auto"/>
          <w:kern w:val="0"/>
          <w:sz w:val="24"/>
          <w:szCs w:val="24"/>
          <w:highlight w:val="none"/>
        </w:rPr>
        <w:t>.2</w:t>
      </w:r>
      <w:r>
        <w:rPr>
          <w:rFonts w:hint="eastAsia" w:ascii="宋体" w:hAnsi="宋体" w:eastAsia="宋体" w:cs="宋体"/>
          <w:color w:val="auto"/>
          <w:kern w:val="0"/>
          <w:sz w:val="24"/>
          <w:szCs w:val="24"/>
          <w:highlight w:val="none"/>
          <w:lang w:val="en-US" w:eastAsia="zh-CN" w:bidi="ar"/>
        </w:rPr>
        <w:t>依据人力资源社会保障部等十部门印发的《工程建设领域农民工工资专用账户管理暂行办法》（人社部发〔</w:t>
      </w:r>
      <w:r>
        <w:rPr>
          <w:rFonts w:hint="default" w:ascii="Times New Roman" w:hAnsi="Times New Roman" w:eastAsia="宋体" w:cs="Times New Roman"/>
          <w:color w:val="auto"/>
          <w:kern w:val="0"/>
          <w:sz w:val="24"/>
          <w:szCs w:val="24"/>
          <w:highlight w:val="none"/>
          <w:lang w:val="en-US" w:eastAsia="zh-CN" w:bidi="ar"/>
        </w:rPr>
        <w:t>2021</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 xml:space="preserve">53 </w:t>
      </w:r>
      <w:r>
        <w:rPr>
          <w:rFonts w:hint="eastAsia" w:ascii="宋体" w:hAnsi="宋体" w:eastAsia="宋体" w:cs="宋体"/>
          <w:color w:val="auto"/>
          <w:kern w:val="0"/>
          <w:sz w:val="24"/>
          <w:szCs w:val="24"/>
          <w:highlight w:val="none"/>
          <w:lang w:val="en-US" w:eastAsia="zh-CN" w:bidi="ar"/>
        </w:rPr>
        <w:t>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w:t>
      </w:r>
      <w:r>
        <w:rPr>
          <w:rFonts w:hint="default" w:ascii="Times New Roman" w:hAnsi="Times New Roman" w:eastAsia="宋体" w:cs="Times New Roman"/>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）工资发放表、付款凭证（有总包单位项目负责人签名或盖章确认）；（</w:t>
      </w:r>
      <w:r>
        <w:rPr>
          <w:rFonts w:hint="default" w:ascii="Times New Roman" w:hAnsi="Times New Roman" w:eastAsia="宋体" w:cs="Times New Roman"/>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）施工许可证（或开工报告）、工程项目总承包、专业分包、劳务分包合同；（</w:t>
      </w:r>
      <w:r>
        <w:rPr>
          <w:rFonts w:hint="default" w:ascii="Times New Roman" w:hAnsi="Times New Roman" w:eastAsia="宋体" w:cs="Times New Roman"/>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）建设单位支付工程款凭证；（</w:t>
      </w:r>
      <w:r>
        <w:rPr>
          <w:rFonts w:hint="default" w:ascii="Times New Roman" w:hAnsi="Times New Roman" w:eastAsia="宋体" w:cs="Times New Roman"/>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）花名册及身份证复印件；（</w:t>
      </w:r>
      <w:r>
        <w:rPr>
          <w:rFonts w:hint="default" w:ascii="Times New Roman" w:hAnsi="Times New Roman" w:eastAsia="宋体" w:cs="Times New Roman"/>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）劳动合同：（</w:t>
      </w:r>
      <w:r>
        <w:rPr>
          <w:rFonts w:hint="default" w:ascii="Times New Roman" w:hAnsi="Times New Roman" w:eastAsia="宋体" w:cs="Times New Roman"/>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val="en-US" w:eastAsia="zh-CN" w:bidi="ar"/>
        </w:rPr>
        <w:t>）委托书（写明委托代发工资情况）；（</w:t>
      </w:r>
      <w:r>
        <w:rPr>
          <w:rFonts w:hint="default" w:ascii="Times New Roman" w:hAnsi="Times New Roman" w:eastAsia="宋体" w:cs="Times New Roman"/>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val="en-US" w:eastAsia="zh-CN" w:bidi="ar"/>
        </w:rPr>
        <w:t>）缴纳保证金的凭证；（</w:t>
      </w:r>
      <w:r>
        <w:rPr>
          <w:rFonts w:hint="default" w:ascii="Times New Roman" w:hAnsi="Times New Roman" w:eastAsia="宋体" w:cs="Times New Roman"/>
          <w:color w:val="auto"/>
          <w:kern w:val="0"/>
          <w:sz w:val="24"/>
          <w:szCs w:val="24"/>
          <w:highlight w:val="none"/>
          <w:lang w:val="en-US" w:eastAsia="zh-CN" w:bidi="ar"/>
        </w:rPr>
        <w:t>8</w:t>
      </w:r>
      <w:r>
        <w:rPr>
          <w:rFonts w:hint="eastAsia" w:ascii="宋体" w:hAnsi="宋体" w:eastAsia="宋体" w:cs="宋体"/>
          <w:color w:val="auto"/>
          <w:kern w:val="0"/>
          <w:sz w:val="24"/>
          <w:szCs w:val="24"/>
          <w:highlight w:val="none"/>
          <w:lang w:val="en-US" w:eastAsia="zh-CN" w:bidi="ar"/>
        </w:rPr>
        <w:t>）总包企业或承包企业设立工资专用账户的凭证；（</w:t>
      </w:r>
      <w:r>
        <w:rPr>
          <w:rFonts w:hint="default" w:ascii="Times New Roman" w:hAnsi="Times New Roman" w:eastAsia="宋体" w:cs="Times New Roman"/>
          <w:color w:val="auto"/>
          <w:kern w:val="0"/>
          <w:sz w:val="24"/>
          <w:szCs w:val="24"/>
          <w:highlight w:val="none"/>
          <w:lang w:val="en-US" w:eastAsia="zh-CN" w:bidi="ar"/>
        </w:rPr>
        <w:t>9</w:t>
      </w:r>
      <w:r>
        <w:rPr>
          <w:rFonts w:hint="eastAsia" w:ascii="宋体" w:hAnsi="宋体" w:eastAsia="宋体" w:cs="宋体"/>
          <w:color w:val="auto"/>
          <w:kern w:val="0"/>
          <w:sz w:val="24"/>
          <w:szCs w:val="24"/>
          <w:highlight w:val="none"/>
          <w:lang w:val="en-US" w:eastAsia="zh-CN" w:bidi="ar"/>
        </w:rPr>
        <w:t>）维权信息告示牌情况。</w:t>
      </w:r>
    </w:p>
    <w:p w14:paraId="19ABC543">
      <w:pPr>
        <w:keepNext w:val="0"/>
        <w:keepLines w:val="0"/>
        <w:widowControl/>
        <w:suppressLineNumbers w:val="0"/>
        <w:spacing w:line="360" w:lineRule="auto"/>
        <w:ind w:firstLine="480" w:firstLineChars="200"/>
        <w:jc w:val="left"/>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按韶关市人力资源和社会保障局 韶关市住房和城乡建设管理局 韶关市交通运输局韶关市水务局 韶关市金融工作局 国家金融监督管理总局韶关监管分局关于印发《韶关市工程建设领域农民工工资保证金管理实施细则》的通知（韶人社规〔</w:t>
      </w:r>
      <w:r>
        <w:rPr>
          <w:rFonts w:hint="default" w:ascii="Times New Roman" w:hAnsi="Times New Roman" w:eastAsia="宋体" w:cs="Times New Roman"/>
          <w:color w:val="auto"/>
          <w:kern w:val="0"/>
          <w:sz w:val="24"/>
          <w:szCs w:val="24"/>
          <w:highlight w:val="none"/>
          <w:lang w:val="en-US" w:eastAsia="zh-CN" w:bidi="ar"/>
        </w:rPr>
        <w:t>2023</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 xml:space="preserve">2 </w:t>
      </w:r>
      <w:r>
        <w:rPr>
          <w:rFonts w:hint="eastAsia" w:ascii="宋体" w:hAnsi="宋体" w:eastAsia="宋体" w:cs="宋体"/>
          <w:color w:val="auto"/>
          <w:kern w:val="0"/>
          <w:sz w:val="24"/>
          <w:szCs w:val="24"/>
          <w:highlight w:val="none"/>
          <w:lang w:val="en-US" w:eastAsia="zh-CN" w:bidi="ar"/>
        </w:rPr>
        <w:t>号）及《韶关市工程建设领域农民工工资保证金管理实施细则》（韶法审〔</w:t>
      </w:r>
      <w:r>
        <w:rPr>
          <w:rFonts w:hint="default" w:ascii="Times New Roman" w:hAnsi="Times New Roman" w:eastAsia="宋体" w:cs="Times New Roman"/>
          <w:color w:val="auto"/>
          <w:kern w:val="0"/>
          <w:sz w:val="24"/>
          <w:szCs w:val="24"/>
          <w:highlight w:val="none"/>
          <w:lang w:val="en-US" w:eastAsia="zh-CN" w:bidi="ar"/>
        </w:rPr>
        <w:t>2023</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 xml:space="preserve">19 </w:t>
      </w:r>
      <w:r>
        <w:rPr>
          <w:rFonts w:hint="eastAsia" w:ascii="宋体" w:hAnsi="宋体" w:eastAsia="宋体" w:cs="宋体"/>
          <w:color w:val="auto"/>
          <w:kern w:val="0"/>
          <w:sz w:val="24"/>
          <w:szCs w:val="24"/>
          <w:highlight w:val="none"/>
          <w:lang w:val="en-US" w:eastAsia="zh-CN" w:bidi="ar"/>
        </w:rPr>
        <w:t>号） 规定执行。承包人在签订工程施工承包合同后一个月内必须办妥该事项，并将办妥回执交发包人。</w:t>
      </w:r>
    </w:p>
    <w:p w14:paraId="2A26D393">
      <w:pPr>
        <w:keepNext w:val="0"/>
        <w:keepLines w:val="0"/>
        <w:widowControl/>
        <w:suppressLineNumbers w:val="0"/>
        <w:spacing w:line="360" w:lineRule="auto"/>
        <w:ind w:firstLine="480" w:firstLineChars="200"/>
        <w:jc w:val="left"/>
        <w:outlineLvl w:val="9"/>
        <w:rPr>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如发生承包人拖欠民工工资并且向政府或发包人索要承包人拖欠工资的，发包人有权使用工人工资保证金或在剩余进度款范围内代承包人向民工支付工资，承包人对发包人垫付工资的人员范围和工资数额均不得提出异议。发包人代支的工资除了从当期工程款内直接扣除外，承包人须按照发包人所垫付的民工工资 </w:t>
      </w:r>
      <w:r>
        <w:rPr>
          <w:rFonts w:hint="default" w:ascii="Times New Roman" w:hAnsi="Times New Roman" w:eastAsia="宋体" w:cs="Times New Roman"/>
          <w:color w:val="auto"/>
          <w:kern w:val="0"/>
          <w:sz w:val="24"/>
          <w:szCs w:val="24"/>
          <w:highlight w:val="none"/>
          <w:lang w:val="en-US" w:eastAsia="zh-CN" w:bidi="ar"/>
        </w:rPr>
        <w:t xml:space="preserve">2 </w:t>
      </w:r>
      <w:r>
        <w:rPr>
          <w:rFonts w:hint="eastAsia" w:ascii="宋体" w:hAnsi="宋体" w:eastAsia="宋体" w:cs="宋体"/>
          <w:color w:val="auto"/>
          <w:kern w:val="0"/>
          <w:sz w:val="24"/>
          <w:szCs w:val="24"/>
          <w:highlight w:val="none"/>
          <w:lang w:val="en-US" w:eastAsia="zh-CN" w:bidi="ar"/>
        </w:rPr>
        <w:t>倍向发包人支付违约金。</w:t>
      </w:r>
    </w:p>
    <w:p w14:paraId="32E5F111">
      <w:pPr>
        <w:keepNext w:val="0"/>
        <w:keepLines w:val="0"/>
        <w:widowControl/>
        <w:suppressLineNumbers w:val="0"/>
        <w:spacing w:line="360" w:lineRule="auto"/>
        <w:ind w:firstLine="480" w:firstLineChars="200"/>
        <w:jc w:val="left"/>
        <w:outlineLvl w:val="9"/>
        <w:rPr>
          <w:rFonts w:hint="eastAsia" w:ascii="宋体" w:hAnsi="宋体" w:eastAsia="宋体" w:cs="宋体"/>
          <w:color w:val="auto"/>
          <w:kern w:val="0"/>
          <w:sz w:val="24"/>
          <w:szCs w:val="24"/>
          <w:highlight w:val="none"/>
          <w:lang w:val="en-US" w:eastAsia="zh-CN" w:bidi="ar"/>
        </w:rPr>
      </w:pPr>
      <w:r>
        <w:rPr>
          <w:rFonts w:hint="eastAsia" w:ascii="Times New Roman"/>
          <w:b/>
          <w:bCs/>
          <w:strike w:val="0"/>
          <w:dstrike w:val="0"/>
          <w:snapToGrid w:val="0"/>
          <w:color w:val="auto"/>
          <w:kern w:val="0"/>
          <w:sz w:val="24"/>
          <w:szCs w:val="24"/>
          <w:highlight w:val="none"/>
          <w:lang w:val="en-US" w:eastAsia="zh-CN"/>
        </w:rPr>
        <w:t>4.2</w:t>
      </w:r>
      <w:r>
        <w:rPr>
          <w:rFonts w:hint="eastAsia" w:ascii="Times New Roman"/>
          <w:b/>
          <w:bCs/>
          <w:strike w:val="0"/>
          <w:dstrike w:val="0"/>
          <w:snapToGrid w:val="0"/>
          <w:color w:val="auto"/>
          <w:kern w:val="0"/>
          <w:sz w:val="24"/>
          <w:szCs w:val="24"/>
          <w:highlight w:val="none"/>
        </w:rPr>
        <w:t>.3</w:t>
      </w:r>
      <w:r>
        <w:rPr>
          <w:rFonts w:hint="eastAsia" w:ascii="Times New Roman"/>
          <w:strike w:val="0"/>
          <w:dstrike w:val="0"/>
          <w:snapToGrid w:val="0"/>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bidi="ar"/>
        </w:rPr>
        <w:t xml:space="preserve">承包人应在工资专户开立后 </w:t>
      </w:r>
      <w:r>
        <w:rPr>
          <w:rFonts w:hint="default" w:ascii="Times New Roman" w:hAnsi="Times New Roman" w:eastAsia="宋体" w:cs="Times New Roman"/>
          <w:color w:val="auto"/>
          <w:kern w:val="0"/>
          <w:sz w:val="24"/>
          <w:szCs w:val="24"/>
          <w:highlight w:val="none"/>
          <w:lang w:val="en-US" w:eastAsia="zh-CN" w:bidi="ar"/>
        </w:rPr>
        <w:t xml:space="preserve">2 </w:t>
      </w:r>
      <w:r>
        <w:rPr>
          <w:rFonts w:hint="eastAsia" w:ascii="宋体" w:hAnsi="宋体" w:eastAsia="宋体" w:cs="宋体"/>
          <w:color w:val="auto"/>
          <w:kern w:val="0"/>
          <w:sz w:val="24"/>
          <w:szCs w:val="24"/>
          <w:highlight w:val="none"/>
          <w:lang w:val="en-US" w:eastAsia="zh-CN" w:bidi="ar"/>
        </w:rPr>
        <w:t xml:space="preserve">个工作日内，将开户银行及其账号、开户协议等资料提交给发包人。 </w:t>
      </w:r>
    </w:p>
    <w:p w14:paraId="7705AEDC">
      <w:pPr>
        <w:keepNext w:val="0"/>
        <w:keepLines w:val="0"/>
        <w:widowControl/>
        <w:suppressLineNumbers w:val="0"/>
        <w:spacing w:line="360" w:lineRule="auto"/>
        <w:ind w:firstLine="480" w:firstLineChars="200"/>
        <w:jc w:val="left"/>
        <w:outlineLvl w:val="9"/>
        <w:rPr>
          <w:color w:val="auto"/>
          <w:sz w:val="24"/>
          <w:szCs w:val="24"/>
          <w:highlight w:val="none"/>
        </w:rPr>
      </w:pP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 xml:space="preserve">）用人单位应当在建设项目动工前，在建设项目所在地商业银行设立工人工资支付专用账户。 </w:t>
      </w:r>
    </w:p>
    <w:p w14:paraId="7C644BD1">
      <w:pPr>
        <w:keepNext w:val="0"/>
        <w:keepLines w:val="0"/>
        <w:widowControl/>
        <w:suppressLineNumbers w:val="0"/>
        <w:spacing w:line="360" w:lineRule="auto"/>
        <w:ind w:firstLine="480" w:firstLineChars="200"/>
        <w:jc w:val="left"/>
        <w:outlineLvl w:val="9"/>
        <w:rPr>
          <w:color w:val="auto"/>
          <w:sz w:val="24"/>
          <w:szCs w:val="24"/>
          <w:highlight w:val="none"/>
        </w:rPr>
      </w:pP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 xml:space="preserve">）用人单位应当在用工之日起 </w:t>
      </w:r>
      <w:r>
        <w:rPr>
          <w:rFonts w:hint="default" w:ascii="Times New Roman" w:hAnsi="Times New Roman" w:eastAsia="宋体" w:cs="Times New Roman"/>
          <w:color w:val="auto"/>
          <w:kern w:val="0"/>
          <w:sz w:val="24"/>
          <w:szCs w:val="24"/>
          <w:highlight w:val="none"/>
          <w:lang w:val="en-US" w:eastAsia="zh-CN" w:bidi="ar"/>
        </w:rPr>
        <w:t xml:space="preserve">15 </w:t>
      </w:r>
      <w:r>
        <w:rPr>
          <w:rFonts w:hint="eastAsia" w:ascii="宋体" w:hAnsi="宋体" w:eastAsia="宋体" w:cs="宋体"/>
          <w:color w:val="auto"/>
          <w:kern w:val="0"/>
          <w:sz w:val="24"/>
          <w:szCs w:val="24"/>
          <w:highlight w:val="none"/>
          <w:lang w:val="en-US" w:eastAsia="zh-CN" w:bidi="ar"/>
        </w:rPr>
        <w:t xml:space="preserve">日内为每一位工人办理个人银行账户。 </w:t>
      </w:r>
    </w:p>
    <w:p w14:paraId="4F81C3A4">
      <w:pPr>
        <w:keepNext w:val="0"/>
        <w:keepLines w:val="0"/>
        <w:widowControl/>
        <w:suppressLineNumbers w:val="0"/>
        <w:spacing w:line="360" w:lineRule="auto"/>
        <w:ind w:firstLine="480" w:firstLineChars="200"/>
        <w:jc w:val="left"/>
        <w:outlineLvl w:val="9"/>
        <w:rPr>
          <w:color w:val="auto"/>
          <w:sz w:val="24"/>
          <w:szCs w:val="24"/>
          <w:highlight w:val="none"/>
        </w:rPr>
      </w:pP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 xml:space="preserve">）用人单位应当指定专人负责建设项目施工现场台账管理，真实、准确记录工人名册、劳务合同、劳动合同、工程进度、工时台账、劳务承包款和工人工资支付等信息，并保存两年以上备查。 </w:t>
      </w:r>
    </w:p>
    <w:p w14:paraId="4061A858">
      <w:pPr>
        <w:keepNext w:val="0"/>
        <w:keepLines w:val="0"/>
        <w:widowControl/>
        <w:suppressLineNumbers w:val="0"/>
        <w:spacing w:line="360" w:lineRule="auto"/>
        <w:ind w:firstLine="480" w:firstLineChars="200"/>
        <w:jc w:val="left"/>
        <w:outlineLvl w:val="9"/>
        <w:rPr>
          <w:color w:val="auto"/>
          <w:sz w:val="24"/>
          <w:szCs w:val="24"/>
          <w:highlight w:val="none"/>
        </w:rPr>
      </w:pP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）用人单位应当按照</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及时支付，按实结算</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的原则，在规定日期前通过银行工人工资支付专用账户将工人工资直接支付到工人的个人银行账户，并按月将工人工资支付明细表报施工总承包单位和建设单位备案。用人单位未建立、保存用工管理台账，或者伪造相关台账的，按照《广东省劳动保障监察条例》第五十条的规定，由人力资源社会保障部门责令改正，并可处以二千元以上二万元以下的人民币罚款。</w:t>
      </w:r>
    </w:p>
    <w:p w14:paraId="23B04EB9">
      <w:pPr>
        <w:keepNext w:val="0"/>
        <w:keepLines w:val="0"/>
        <w:widowControl/>
        <w:suppressLineNumbers w:val="0"/>
        <w:spacing w:line="360" w:lineRule="auto"/>
        <w:ind w:firstLine="482" w:firstLineChars="200"/>
        <w:jc w:val="left"/>
        <w:outlineLvl w:val="9"/>
        <w:rPr>
          <w:color w:val="auto"/>
          <w:sz w:val="24"/>
          <w:szCs w:val="24"/>
          <w:highlight w:val="none"/>
        </w:rPr>
      </w:pPr>
      <w:r>
        <w:rPr>
          <w:rFonts w:hint="default" w:ascii="Times New Roman" w:hAnsi="Times New Roman" w:eastAsia="宋体" w:cs="Times New Roman"/>
          <w:b/>
          <w:bCs/>
          <w:color w:val="auto"/>
          <w:kern w:val="0"/>
          <w:sz w:val="24"/>
          <w:szCs w:val="24"/>
          <w:highlight w:val="none"/>
          <w:lang w:val="en-US" w:eastAsia="zh-CN" w:bidi="ar"/>
        </w:rPr>
        <w:t xml:space="preserve">4.2.4 </w:t>
      </w:r>
      <w:r>
        <w:rPr>
          <w:rFonts w:hint="eastAsia" w:ascii="宋体" w:hAnsi="宋体" w:eastAsia="宋体" w:cs="宋体"/>
          <w:color w:val="auto"/>
          <w:kern w:val="0"/>
          <w:sz w:val="24"/>
          <w:szCs w:val="24"/>
          <w:highlight w:val="none"/>
          <w:lang w:val="en-US" w:eastAsia="zh-CN" w:bidi="ar"/>
        </w:rPr>
        <w:t>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40884CB3">
      <w:pPr>
        <w:wordWrap w:val="0"/>
        <w:autoSpaceDE/>
        <w:autoSpaceDN/>
        <w:snapToGrid w:val="0"/>
        <w:spacing w:line="360" w:lineRule="auto"/>
        <w:ind w:firstLine="480"/>
        <w:jc w:val="both"/>
        <w:outlineLvl w:val="9"/>
        <w:rPr>
          <w:rFonts w:hint="eastAsia" w:ascii="Times New Roman"/>
          <w:b/>
          <w:strike w:val="0"/>
          <w:dstrike w:val="0"/>
          <w:snapToGrid w:val="0"/>
          <w:color w:val="auto"/>
          <w:sz w:val="24"/>
          <w:szCs w:val="24"/>
          <w:highlight w:val="none"/>
        </w:rPr>
      </w:pPr>
      <w:r>
        <w:rPr>
          <w:rFonts w:hint="eastAsia" w:ascii="Times New Roman"/>
          <w:b/>
          <w:strike w:val="0"/>
          <w:dstrike w:val="0"/>
          <w:snapToGrid w:val="0"/>
          <w:color w:val="auto"/>
          <w:sz w:val="24"/>
          <w:szCs w:val="24"/>
          <w:highlight w:val="none"/>
          <w:lang w:val="en-US" w:eastAsia="zh-CN"/>
        </w:rPr>
        <w:t>4.3</w:t>
      </w:r>
      <w:r>
        <w:rPr>
          <w:rFonts w:hint="eastAsia" w:ascii="Times New Roman"/>
          <w:b/>
          <w:strike w:val="0"/>
          <w:dstrike w:val="0"/>
          <w:snapToGrid w:val="0"/>
          <w:color w:val="auto"/>
          <w:sz w:val="24"/>
          <w:szCs w:val="24"/>
          <w:highlight w:val="none"/>
        </w:rPr>
        <w:t>．诚信登记</w:t>
      </w:r>
    </w:p>
    <w:p w14:paraId="3C8A79DA">
      <w:pPr>
        <w:wordWrap w:val="0"/>
        <w:adjustRightInd w:val="0"/>
        <w:snapToGrid w:val="0"/>
        <w:spacing w:line="360" w:lineRule="auto"/>
        <w:ind w:firstLine="480" w:firstLineChars="200"/>
        <w:outlineLvl w:val="9"/>
        <w:rPr>
          <w:rFonts w:hint="eastAsia" w:ascii="Times New Roman"/>
          <w:b/>
          <w:strike w:val="0"/>
          <w:dstrike w:val="0"/>
          <w:snapToGrid w:val="0"/>
          <w:color w:val="auto"/>
          <w:sz w:val="24"/>
          <w:szCs w:val="24"/>
          <w:highlight w:val="none"/>
          <w:lang w:val="en-US" w:eastAsia="zh-CN"/>
        </w:rPr>
      </w:pPr>
      <w:r>
        <w:rPr>
          <w:rFonts w:hint="eastAsia" w:ascii="Times New Roman"/>
          <w:strike w:val="0"/>
          <w:dstrike w:val="0"/>
          <w:snapToGrid w:val="0"/>
          <w:color w:val="auto"/>
          <w:kern w:val="0"/>
          <w:sz w:val="24"/>
          <w:szCs w:val="24"/>
          <w:highlight w:val="none"/>
          <w:lang w:val="en-US" w:eastAsia="zh-CN"/>
        </w:rPr>
        <w:t>根据资质管理规定，许可机关应当建立、健全建筑业企业信用档案管理制度，包括企业基本信息、资质、业绩、工程质量和安全、合同履约、社会投诉和违法行为等情况</w:t>
      </w:r>
      <w:r>
        <w:rPr>
          <w:rFonts w:hint="eastAsia" w:ascii="Times New Roman"/>
          <w:strike w:val="0"/>
          <w:dstrike w:val="0"/>
          <w:snapToGrid w:val="0"/>
          <w:color w:val="auto"/>
          <w:kern w:val="0"/>
          <w:sz w:val="24"/>
          <w:szCs w:val="24"/>
          <w:highlight w:val="none"/>
        </w:rPr>
        <w:t>。</w:t>
      </w:r>
      <w:r>
        <w:rPr>
          <w:rFonts w:hint="eastAsia" w:ascii="宋体" w:hAnsi="宋体" w:eastAsia="宋体" w:cs="宋体"/>
          <w:color w:val="auto"/>
          <w:kern w:val="0"/>
          <w:sz w:val="24"/>
          <w:szCs w:val="24"/>
          <w:highlight w:val="none"/>
          <w:lang w:val="en-US" w:eastAsia="zh-CN" w:bidi="ar"/>
        </w:rPr>
        <w:t>承包人应在项目所在地住建管理部门办理诚信登记，发包人将严格按住建管理部门诚信登记管理办法对承包人履约情况进行考核。</w:t>
      </w:r>
    </w:p>
    <w:p w14:paraId="1D03BCCE">
      <w:pPr>
        <w:wordWrap w:val="0"/>
        <w:adjustRightInd w:val="0"/>
        <w:snapToGrid w:val="0"/>
        <w:spacing w:line="360" w:lineRule="auto"/>
        <w:ind w:firstLine="720" w:firstLineChars="300"/>
        <w:outlineLvl w:val="9"/>
        <w:rPr>
          <w:rFonts w:hint="eastAsia" w:ascii="Times New Roman"/>
          <w:b/>
          <w:strike w:val="0"/>
          <w:dstrike w:val="0"/>
          <w:snapToGrid w:val="0"/>
          <w:color w:val="auto"/>
          <w:sz w:val="24"/>
          <w:szCs w:val="24"/>
          <w:highlight w:val="none"/>
        </w:rPr>
      </w:pPr>
      <w:r>
        <w:rPr>
          <w:rFonts w:hint="eastAsia" w:ascii="Times New Roman"/>
          <w:b/>
          <w:strike w:val="0"/>
          <w:dstrike w:val="0"/>
          <w:snapToGrid w:val="0"/>
          <w:color w:val="auto"/>
          <w:sz w:val="24"/>
          <w:szCs w:val="24"/>
          <w:highlight w:val="none"/>
          <w:lang w:val="en-US" w:eastAsia="zh-CN"/>
        </w:rPr>
        <w:t>4.4</w:t>
      </w:r>
      <w:r>
        <w:rPr>
          <w:rFonts w:hint="eastAsia" w:ascii="Times New Roman"/>
          <w:b/>
          <w:strike w:val="0"/>
          <w:dstrike w:val="0"/>
          <w:snapToGrid w:val="0"/>
          <w:color w:val="auto"/>
          <w:sz w:val="24"/>
          <w:szCs w:val="24"/>
          <w:highlight w:val="none"/>
        </w:rPr>
        <w:t>．工期进度</w:t>
      </w:r>
    </w:p>
    <w:p w14:paraId="2F3493B9">
      <w:pPr>
        <w:tabs>
          <w:tab w:val="left" w:pos="7020"/>
        </w:tabs>
        <w:wordWrap w:val="0"/>
        <w:adjustRightInd w:val="0"/>
        <w:snapToGrid w:val="0"/>
        <w:spacing w:line="360" w:lineRule="auto"/>
        <w:ind w:firstLine="480" w:firstLineChars="200"/>
        <w:outlineLvl w:val="9"/>
        <w:rPr>
          <w:rFonts w:ascii="Times New Roman"/>
          <w:strike w:val="0"/>
          <w:dstrike w:val="0"/>
          <w:snapToGrid w:val="0"/>
          <w:color w:val="auto"/>
          <w:kern w:val="0"/>
          <w:sz w:val="24"/>
          <w:szCs w:val="24"/>
          <w:highlight w:val="none"/>
        </w:rPr>
      </w:pPr>
      <w:r>
        <w:rPr>
          <w:rFonts w:hint="eastAsia" w:ascii="Times New Roman"/>
          <w:b/>
          <w:bCs/>
          <w:strike w:val="0"/>
          <w:dstrike w:val="0"/>
          <w:snapToGrid w:val="0"/>
          <w:color w:val="auto"/>
          <w:kern w:val="0"/>
          <w:sz w:val="24"/>
          <w:szCs w:val="24"/>
          <w:highlight w:val="none"/>
          <w:lang w:val="en-US" w:eastAsia="zh-CN"/>
        </w:rPr>
        <w:t>4.4</w:t>
      </w:r>
      <w:r>
        <w:rPr>
          <w:rFonts w:ascii="Times New Roman"/>
          <w:b/>
          <w:bCs/>
          <w:strike w:val="0"/>
          <w:dstrike w:val="0"/>
          <w:snapToGrid w:val="0"/>
          <w:color w:val="auto"/>
          <w:kern w:val="0"/>
          <w:sz w:val="24"/>
          <w:szCs w:val="24"/>
          <w:highlight w:val="none"/>
        </w:rPr>
        <w:t>.1</w:t>
      </w:r>
      <w:r>
        <w:rPr>
          <w:rFonts w:hint="eastAsia" w:ascii="Times New Roman"/>
          <w:strike w:val="0"/>
          <w:dstrike w:val="0"/>
          <w:snapToGrid w:val="0"/>
          <w:color w:val="auto"/>
          <w:kern w:val="0"/>
          <w:sz w:val="24"/>
          <w:szCs w:val="24"/>
          <w:highlight w:val="none"/>
        </w:rPr>
        <w:t>本招标项目施工工期为</w:t>
      </w:r>
      <w:r>
        <w:rPr>
          <w:rFonts w:hint="eastAsia" w:ascii="Times New Roman"/>
          <w:strike w:val="0"/>
          <w:dstrike w:val="0"/>
          <w:snapToGrid w:val="0"/>
          <w:color w:val="auto"/>
          <w:kern w:val="0"/>
          <w:sz w:val="24"/>
          <w:szCs w:val="24"/>
          <w:highlight w:val="none"/>
          <w:u w:val="single"/>
          <w:lang w:val="en-US" w:eastAsia="zh-CN"/>
        </w:rPr>
        <w:t xml:space="preserve"> 200 个日历天</w:t>
      </w:r>
      <w:r>
        <w:rPr>
          <w:rFonts w:ascii="Times New Roman"/>
          <w:bCs/>
          <w:strike w:val="0"/>
          <w:dstrike w:val="0"/>
          <w:snapToGrid w:val="0"/>
          <w:color w:val="auto"/>
          <w:kern w:val="0"/>
          <w:sz w:val="24"/>
          <w:szCs w:val="24"/>
          <w:highlight w:val="none"/>
        </w:rPr>
        <w:t>，</w:t>
      </w:r>
      <w:r>
        <w:rPr>
          <w:rFonts w:hint="eastAsia" w:ascii="Times New Roman"/>
          <w:strike w:val="0"/>
          <w:dstrike w:val="0"/>
          <w:snapToGrid w:val="0"/>
          <w:color w:val="auto"/>
          <w:kern w:val="0"/>
          <w:sz w:val="24"/>
          <w:szCs w:val="24"/>
          <w:highlight w:val="none"/>
        </w:rPr>
        <w:t>承包人</w:t>
      </w:r>
      <w:r>
        <w:rPr>
          <w:rFonts w:ascii="Times New Roman"/>
          <w:strike w:val="0"/>
          <w:dstrike w:val="0"/>
          <w:snapToGrid w:val="0"/>
          <w:color w:val="auto"/>
          <w:kern w:val="0"/>
          <w:sz w:val="24"/>
          <w:szCs w:val="24"/>
          <w:highlight w:val="none"/>
        </w:rPr>
        <w:t>必须在</w:t>
      </w:r>
      <w:r>
        <w:rPr>
          <w:rFonts w:hint="eastAsia" w:ascii="Times New Roman"/>
          <w:strike w:val="0"/>
          <w:dstrike w:val="0"/>
          <w:snapToGrid w:val="0"/>
          <w:color w:val="auto"/>
          <w:kern w:val="0"/>
          <w:sz w:val="24"/>
          <w:szCs w:val="24"/>
          <w:highlight w:val="none"/>
        </w:rPr>
        <w:t>招标</w:t>
      </w:r>
      <w:r>
        <w:rPr>
          <w:rFonts w:ascii="Times New Roman"/>
          <w:strike w:val="0"/>
          <w:dstrike w:val="0"/>
          <w:snapToGrid w:val="0"/>
          <w:color w:val="auto"/>
          <w:kern w:val="0"/>
          <w:sz w:val="24"/>
          <w:szCs w:val="24"/>
          <w:highlight w:val="none"/>
        </w:rPr>
        <w:t>工期内完成招标范围内的全部内容。</w:t>
      </w:r>
    </w:p>
    <w:p w14:paraId="68A46144">
      <w:pPr>
        <w:wordWrap w:val="0"/>
        <w:adjustRightInd w:val="0"/>
        <w:snapToGrid w:val="0"/>
        <w:spacing w:line="360" w:lineRule="auto"/>
        <w:ind w:firstLine="480" w:firstLineChars="200"/>
        <w:outlineLvl w:val="9"/>
        <w:rPr>
          <w:rFonts w:ascii="Times New Roman"/>
          <w:strike w:val="0"/>
          <w:dstrike w:val="0"/>
          <w:snapToGrid w:val="0"/>
          <w:color w:val="auto"/>
          <w:kern w:val="0"/>
          <w:sz w:val="24"/>
          <w:szCs w:val="24"/>
          <w:highlight w:val="none"/>
        </w:rPr>
      </w:pPr>
      <w:r>
        <w:rPr>
          <w:rFonts w:hint="eastAsia" w:ascii="Times New Roman"/>
          <w:b/>
          <w:bCs/>
          <w:strike w:val="0"/>
          <w:dstrike w:val="0"/>
          <w:snapToGrid w:val="0"/>
          <w:color w:val="auto"/>
          <w:kern w:val="0"/>
          <w:sz w:val="24"/>
          <w:szCs w:val="24"/>
          <w:highlight w:val="none"/>
          <w:lang w:val="en-US" w:eastAsia="zh-CN"/>
        </w:rPr>
        <w:t>4.4</w:t>
      </w:r>
      <w:r>
        <w:rPr>
          <w:rFonts w:ascii="Times New Roman"/>
          <w:b/>
          <w:bCs/>
          <w:strike w:val="0"/>
          <w:dstrike w:val="0"/>
          <w:snapToGrid w:val="0"/>
          <w:color w:val="auto"/>
          <w:kern w:val="0"/>
          <w:sz w:val="24"/>
          <w:szCs w:val="24"/>
          <w:highlight w:val="none"/>
        </w:rPr>
        <w:t>.2</w:t>
      </w:r>
      <w:r>
        <w:rPr>
          <w:rFonts w:ascii="Times New Roman"/>
          <w:strike w:val="0"/>
          <w:dstrike w:val="0"/>
          <w:snapToGrid w:val="0"/>
          <w:color w:val="auto"/>
          <w:kern w:val="0"/>
          <w:sz w:val="24"/>
          <w:szCs w:val="24"/>
          <w:highlight w:val="none"/>
        </w:rPr>
        <w:t xml:space="preserve"> 施工工期从</w:t>
      </w:r>
      <w:r>
        <w:rPr>
          <w:rFonts w:hint="eastAsia" w:ascii="Times New Roman"/>
          <w:strike w:val="0"/>
          <w:dstrike w:val="0"/>
          <w:snapToGrid w:val="0"/>
          <w:color w:val="auto"/>
          <w:kern w:val="0"/>
          <w:sz w:val="24"/>
          <w:szCs w:val="24"/>
          <w:highlight w:val="none"/>
        </w:rPr>
        <w:t>承包人</w:t>
      </w:r>
      <w:r>
        <w:rPr>
          <w:rFonts w:ascii="Times New Roman"/>
          <w:strike w:val="0"/>
          <w:dstrike w:val="0"/>
          <w:snapToGrid w:val="0"/>
          <w:color w:val="auto"/>
          <w:kern w:val="0"/>
          <w:sz w:val="24"/>
          <w:szCs w:val="24"/>
          <w:highlight w:val="none"/>
        </w:rPr>
        <w:t>收到监理单位签发的开工令之日起计，至竣工验收合格之日止。</w:t>
      </w:r>
    </w:p>
    <w:p w14:paraId="07E03A2B">
      <w:pPr>
        <w:pStyle w:val="56"/>
        <w:spacing w:line="360" w:lineRule="auto"/>
        <w:ind w:firstLine="482" w:firstLineChars="200"/>
        <w:outlineLvl w:val="9"/>
        <w:rPr>
          <w:rFonts w:hint="eastAsia"/>
          <w:b w:val="0"/>
          <w:bCs w:val="0"/>
          <w:strike w:val="0"/>
          <w:dstrike w:val="0"/>
          <w:snapToGrid w:val="0"/>
          <w:color w:val="auto"/>
          <w:kern w:val="0"/>
          <w:sz w:val="24"/>
          <w:szCs w:val="24"/>
          <w:highlight w:val="none"/>
        </w:rPr>
      </w:pPr>
      <w:r>
        <w:rPr>
          <w:rFonts w:hint="eastAsia"/>
          <w:b/>
          <w:bCs/>
          <w:strike w:val="0"/>
          <w:dstrike w:val="0"/>
          <w:snapToGrid w:val="0"/>
          <w:color w:val="auto"/>
          <w:kern w:val="0"/>
          <w:sz w:val="24"/>
          <w:szCs w:val="24"/>
          <w:highlight w:val="none"/>
          <w:lang w:val="en-US" w:eastAsia="zh-CN"/>
        </w:rPr>
        <w:t>4.4</w:t>
      </w:r>
      <w:r>
        <w:rPr>
          <w:rFonts w:hint="eastAsia"/>
          <w:b/>
          <w:bCs/>
          <w:strike w:val="0"/>
          <w:dstrike w:val="0"/>
          <w:snapToGrid w:val="0"/>
          <w:color w:val="auto"/>
          <w:kern w:val="0"/>
          <w:sz w:val="24"/>
          <w:szCs w:val="24"/>
          <w:highlight w:val="none"/>
        </w:rPr>
        <w:t>.3</w:t>
      </w:r>
      <w:r>
        <w:rPr>
          <w:rFonts w:hint="eastAsia"/>
          <w:b w:val="0"/>
          <w:bCs w:val="0"/>
          <w:strike w:val="0"/>
          <w:dstrike w:val="0"/>
          <w:snapToGrid w:val="0"/>
          <w:color w:val="auto"/>
          <w:kern w:val="0"/>
          <w:sz w:val="24"/>
          <w:szCs w:val="24"/>
          <w:highlight w:val="none"/>
          <w:lang w:val="en-US" w:eastAsia="zh-CN"/>
        </w:rPr>
        <w:t>工期奖罚</w:t>
      </w:r>
    </w:p>
    <w:p w14:paraId="613B55E3">
      <w:pPr>
        <w:keepNext w:val="0"/>
        <w:keepLines w:val="0"/>
        <w:widowControl/>
        <w:suppressLineNumbers w:val="0"/>
        <w:spacing w:line="360" w:lineRule="auto"/>
        <w:jc w:val="left"/>
        <w:outlineLvl w:val="9"/>
        <w:rPr>
          <w:color w:val="auto"/>
          <w:sz w:val="24"/>
          <w:szCs w:val="24"/>
          <w:highlight w:val="none"/>
        </w:rPr>
      </w:pPr>
      <w:r>
        <w:rPr>
          <w:rFonts w:hint="eastAsia" w:ascii="宋体" w:hAnsi="宋体" w:eastAsia="宋体" w:cs="宋体"/>
          <w:color w:val="auto"/>
          <w:kern w:val="0"/>
          <w:sz w:val="24"/>
          <w:szCs w:val="24"/>
          <w:highlight w:val="none"/>
          <w:lang w:val="en-US" w:eastAsia="zh-CN" w:bidi="ar"/>
        </w:rPr>
        <w:t>□竣工验收合格交付使用每提前</w:t>
      </w:r>
      <w:r>
        <w:rPr>
          <w:rFonts w:hint="eastAsia" w:ascii="宋体" w:hAnsi="宋体" w:eastAsia="宋体" w:cs="宋体"/>
          <w:color w:val="auto"/>
          <w:kern w:val="0"/>
          <w:sz w:val="24"/>
          <w:szCs w:val="24"/>
          <w:highlight w:val="none"/>
          <w:u w:val="single"/>
          <w:lang w:val="en-US" w:eastAsia="zh-CN" w:bidi="ar"/>
        </w:rPr>
        <w:t xml:space="preserve"> / </w:t>
      </w:r>
      <w:r>
        <w:rPr>
          <w:rFonts w:hint="eastAsia" w:ascii="宋体" w:hAnsi="宋体" w:eastAsia="宋体" w:cs="宋体"/>
          <w:color w:val="auto"/>
          <w:kern w:val="0"/>
          <w:sz w:val="24"/>
          <w:szCs w:val="24"/>
          <w:highlight w:val="none"/>
          <w:lang w:val="en-US" w:eastAsia="zh-CN" w:bidi="ar"/>
        </w:rPr>
        <w:t>天竣工；奖</w:t>
      </w:r>
      <w:r>
        <w:rPr>
          <w:rFonts w:hint="eastAsia" w:ascii="宋体" w:hAnsi="宋体" w:eastAsia="宋体" w:cs="宋体"/>
          <w:color w:val="auto"/>
          <w:kern w:val="0"/>
          <w:sz w:val="24"/>
          <w:szCs w:val="24"/>
          <w:highlight w:val="none"/>
          <w:u w:val="single"/>
          <w:lang w:val="en-US" w:eastAsia="zh-CN" w:bidi="ar"/>
        </w:rPr>
        <w:t xml:space="preserve"> /  </w:t>
      </w:r>
      <w:r>
        <w:rPr>
          <w:rFonts w:hint="eastAsia" w:ascii="宋体" w:hAnsi="宋体" w:eastAsia="宋体" w:cs="宋体"/>
          <w:color w:val="auto"/>
          <w:kern w:val="0"/>
          <w:sz w:val="24"/>
          <w:szCs w:val="24"/>
          <w:highlight w:val="none"/>
          <w:lang w:val="en-US" w:eastAsia="zh-CN" w:bidi="ar"/>
        </w:rPr>
        <w:t>元，奖励金额不超过合同价款的</w:t>
      </w:r>
      <w:r>
        <w:rPr>
          <w:rFonts w:hint="default" w:ascii="Times New Roman" w:hAnsi="Times New Roman" w:eastAsia="宋体" w:cs="Times New Roman"/>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 xml:space="preserve">（一般为 </w:t>
      </w:r>
      <w:r>
        <w:rPr>
          <w:rFonts w:hint="default" w:ascii="Times New Roman" w:hAnsi="Times New Roman" w:eastAsia="宋体" w:cs="Times New Roman"/>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）且不超过</w:t>
      </w:r>
      <w:r>
        <w:rPr>
          <w:rFonts w:hint="eastAsia" w:ascii="宋体" w:hAnsi="宋体" w:eastAsia="宋体" w:cs="宋体"/>
          <w:color w:val="auto"/>
          <w:kern w:val="0"/>
          <w:sz w:val="24"/>
          <w:szCs w:val="24"/>
          <w:highlight w:val="none"/>
          <w:u w:val="single"/>
          <w:lang w:val="en-US" w:eastAsia="zh-CN" w:bidi="ar"/>
        </w:rPr>
        <w:t xml:space="preserve">  /  </w:t>
      </w:r>
      <w:r>
        <w:rPr>
          <w:rFonts w:hint="eastAsia" w:ascii="宋体" w:hAnsi="宋体" w:eastAsia="宋体" w:cs="宋体"/>
          <w:color w:val="auto"/>
          <w:kern w:val="0"/>
          <w:sz w:val="24"/>
          <w:szCs w:val="24"/>
          <w:highlight w:val="none"/>
          <w:lang w:val="en-US" w:eastAsia="zh-CN" w:bidi="ar"/>
        </w:rPr>
        <w:t xml:space="preserve">万元。 </w:t>
      </w:r>
    </w:p>
    <w:p w14:paraId="3920B93D">
      <w:pPr>
        <w:keepNext w:val="0"/>
        <w:keepLines w:val="0"/>
        <w:widowControl/>
        <w:suppressLineNumbers w:val="0"/>
        <w:spacing w:line="360" w:lineRule="auto"/>
        <w:jc w:val="left"/>
        <w:outlineLvl w:val="9"/>
        <w:rPr>
          <w:color w:val="auto"/>
          <w:sz w:val="24"/>
          <w:szCs w:val="24"/>
          <w:highlight w:val="none"/>
        </w:rPr>
      </w:pPr>
      <w:r>
        <w:rPr>
          <w:rFonts w:hint="eastAsia" w:ascii="宋体" w:hAnsi="宋体" w:eastAsia="宋体" w:cs="宋体"/>
          <w:color w:val="auto"/>
          <w:kern w:val="0"/>
          <w:sz w:val="24"/>
          <w:szCs w:val="24"/>
          <w:highlight w:val="none"/>
          <w:lang w:val="en-US" w:eastAsia="zh-CN" w:bidi="ar"/>
        </w:rPr>
        <w:t>□按施工合同期约定</w:t>
      </w:r>
      <w:r>
        <w:rPr>
          <w:rFonts w:hint="eastAsia"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因承包人原因每延误</w:t>
      </w:r>
      <w:r>
        <w:rPr>
          <w:rFonts w:hint="eastAsia" w:ascii="宋体" w:hAnsi="宋体" w:eastAsia="宋体" w:cs="宋体"/>
          <w:color w:val="auto"/>
          <w:kern w:val="0"/>
          <w:sz w:val="24"/>
          <w:szCs w:val="24"/>
          <w:highlight w:val="none"/>
          <w:u w:val="single"/>
          <w:lang w:val="en-US" w:eastAsia="zh-CN" w:bidi="ar"/>
        </w:rPr>
        <w:t xml:space="preserve"> 1</w:t>
      </w:r>
      <w:r>
        <w:rPr>
          <w:rFonts w:hint="eastAsia" w:ascii="宋体" w:hAnsi="宋体" w:eastAsia="宋体" w:cs="宋体"/>
          <w:color w:val="auto"/>
          <w:kern w:val="0"/>
          <w:sz w:val="24"/>
          <w:szCs w:val="24"/>
          <w:highlight w:val="none"/>
          <w:lang w:val="en-US" w:eastAsia="zh-CN" w:bidi="ar"/>
        </w:rPr>
        <w:t>天竣工</w:t>
      </w:r>
      <w:r>
        <w:rPr>
          <w:rFonts w:hint="eastAsia"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罚</w:t>
      </w:r>
      <w:r>
        <w:rPr>
          <w:rFonts w:hint="eastAsia" w:ascii="宋体" w:hAnsi="宋体" w:eastAsia="宋体" w:cs="宋体"/>
          <w:color w:val="auto"/>
          <w:kern w:val="0"/>
          <w:sz w:val="24"/>
          <w:szCs w:val="24"/>
          <w:highlight w:val="none"/>
          <w:u w:val="single"/>
          <w:lang w:val="en-US" w:eastAsia="zh-CN" w:bidi="ar"/>
        </w:rPr>
        <w:t xml:space="preserve"> 1000 </w:t>
      </w:r>
      <w:r>
        <w:rPr>
          <w:rFonts w:hint="eastAsia" w:ascii="宋体" w:hAnsi="宋体" w:eastAsia="宋体" w:cs="宋体"/>
          <w:color w:val="auto"/>
          <w:kern w:val="0"/>
          <w:sz w:val="24"/>
          <w:szCs w:val="24"/>
          <w:highlight w:val="none"/>
          <w:lang w:val="en-US" w:eastAsia="zh-CN" w:bidi="ar"/>
        </w:rPr>
        <w:t xml:space="preserve">元。 </w:t>
      </w:r>
    </w:p>
    <w:p w14:paraId="04339507">
      <w:pPr>
        <w:keepNext w:val="0"/>
        <w:keepLines w:val="0"/>
        <w:widowControl/>
        <w:suppressLineNumbers w:val="0"/>
        <w:spacing w:line="360" w:lineRule="auto"/>
        <w:ind w:left="240" w:hanging="240" w:hangingChars="100"/>
        <w:jc w:val="left"/>
        <w:outlineLvl w:val="9"/>
        <w:rPr>
          <w:color w:val="auto"/>
          <w:sz w:val="24"/>
          <w:szCs w:val="24"/>
          <w:highlight w:val="none"/>
        </w:rPr>
      </w:pPr>
      <w:r>
        <w:rPr>
          <w:rFonts w:hint="eastAsia" w:ascii="宋体" w:hAnsi="宋体" w:eastAsia="宋体" w:cs="宋体"/>
          <w:color w:val="auto"/>
          <w:kern w:val="0"/>
          <w:sz w:val="24"/>
          <w:szCs w:val="24"/>
          <w:highlight w:val="none"/>
          <w:lang w:val="en-US" w:eastAsia="zh-CN" w:bidi="ar"/>
        </w:rPr>
        <w:t>☑按施工合同期约定</w:t>
      </w:r>
      <w:r>
        <w:rPr>
          <w:rFonts w:hint="eastAsia"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因承包人原因延误工期</w:t>
      </w:r>
      <w:r>
        <w:rPr>
          <w:rFonts w:hint="eastAsia" w:ascii="宋体" w:hAnsi="宋体" w:eastAsia="宋体" w:cs="宋体"/>
          <w:color w:val="auto"/>
          <w:kern w:val="0"/>
          <w:sz w:val="24"/>
          <w:szCs w:val="24"/>
          <w:highlight w:val="none"/>
          <w:u w:val="single"/>
          <w:lang w:val="en-US" w:eastAsia="zh-CN" w:bidi="ar"/>
        </w:rPr>
        <w:t xml:space="preserve"> / </w:t>
      </w:r>
      <w:r>
        <w:rPr>
          <w:rFonts w:hint="eastAsia" w:ascii="宋体" w:hAnsi="宋体" w:eastAsia="宋体" w:cs="宋体"/>
          <w:color w:val="auto"/>
          <w:kern w:val="0"/>
          <w:sz w:val="24"/>
          <w:szCs w:val="24"/>
          <w:highlight w:val="none"/>
          <w:lang w:val="en-US" w:eastAsia="zh-CN" w:bidi="ar"/>
        </w:rPr>
        <w:t>天内不处罚， 自第</w:t>
      </w:r>
      <w:r>
        <w:rPr>
          <w:rFonts w:hint="eastAsia" w:ascii="宋体" w:hAnsi="宋体" w:eastAsia="宋体" w:cs="宋体"/>
          <w:color w:val="auto"/>
          <w:kern w:val="0"/>
          <w:sz w:val="24"/>
          <w:szCs w:val="24"/>
          <w:highlight w:val="none"/>
          <w:u w:val="single"/>
          <w:lang w:val="en-US" w:eastAsia="zh-CN" w:bidi="ar"/>
        </w:rPr>
        <w:t xml:space="preserve"> 1 </w:t>
      </w:r>
      <w:r>
        <w:rPr>
          <w:rFonts w:hint="eastAsia" w:ascii="宋体" w:hAnsi="宋体" w:eastAsia="宋体" w:cs="宋体"/>
          <w:color w:val="auto"/>
          <w:kern w:val="0"/>
          <w:sz w:val="24"/>
          <w:szCs w:val="24"/>
          <w:highlight w:val="none"/>
          <w:lang w:val="en-US" w:eastAsia="zh-CN" w:bidi="ar"/>
        </w:rPr>
        <w:t>天起每延误</w:t>
      </w:r>
      <w:r>
        <w:rPr>
          <w:rFonts w:hint="eastAsia" w:ascii="宋体" w:hAnsi="宋体" w:eastAsia="宋体" w:cs="宋体"/>
          <w:color w:val="auto"/>
          <w:kern w:val="0"/>
          <w:sz w:val="24"/>
          <w:szCs w:val="24"/>
          <w:highlight w:val="none"/>
          <w:u w:val="single"/>
          <w:lang w:val="en-US" w:eastAsia="zh-CN" w:bidi="ar"/>
        </w:rPr>
        <w:t xml:space="preserve"> 1 </w:t>
      </w:r>
      <w:r>
        <w:rPr>
          <w:rFonts w:hint="eastAsia" w:ascii="宋体" w:hAnsi="宋体" w:eastAsia="宋体" w:cs="宋体"/>
          <w:color w:val="auto"/>
          <w:kern w:val="0"/>
          <w:sz w:val="24"/>
          <w:szCs w:val="24"/>
          <w:highlight w:val="none"/>
          <w:lang w:val="en-US" w:eastAsia="zh-CN" w:bidi="ar"/>
        </w:rPr>
        <w:t>天竣工，</w:t>
      </w:r>
      <w:r>
        <w:rPr>
          <w:rFonts w:hint="default" w:ascii="Times New Roman" w:hAnsi="Times New Roman" w:eastAsia="宋体" w:cs="Times New Roman"/>
          <w:color w:val="auto"/>
          <w:kern w:val="0"/>
          <w:sz w:val="24"/>
          <w:szCs w:val="24"/>
          <w:highlight w:val="none"/>
          <w:lang w:val="en-US" w:eastAsia="zh-CN" w:bidi="ar"/>
        </w:rPr>
        <w:t xml:space="preserve"> </w:t>
      </w:r>
      <w:r>
        <w:rPr>
          <w:rFonts w:ascii="Times New Roman"/>
          <w:snapToGrid w:val="0"/>
          <w:color w:val="auto"/>
          <w:kern w:val="0"/>
          <w:sz w:val="24"/>
          <w:szCs w:val="24"/>
          <w:highlight w:val="none"/>
        </w:rPr>
        <w:t>按合同价的</w:t>
      </w:r>
      <w:r>
        <w:rPr>
          <w:rFonts w:ascii="Times New Roman"/>
          <w:snapToGrid w:val="0"/>
          <w:color w:val="auto"/>
          <w:kern w:val="0"/>
          <w:sz w:val="24"/>
          <w:szCs w:val="24"/>
          <w:highlight w:val="none"/>
          <w:u w:val="single"/>
        </w:rPr>
        <w:t xml:space="preserve">  3‰ </w:t>
      </w:r>
      <w:r>
        <w:rPr>
          <w:rFonts w:ascii="Times New Roman"/>
          <w:snapToGrid w:val="0"/>
          <w:color w:val="auto"/>
          <w:kern w:val="0"/>
          <w:sz w:val="24"/>
          <w:szCs w:val="24"/>
          <w:highlight w:val="none"/>
        </w:rPr>
        <w:t>向发包人</w:t>
      </w:r>
      <w:r>
        <w:rPr>
          <w:rFonts w:hint="eastAsia" w:ascii="Times New Roman"/>
          <w:snapToGrid w:val="0"/>
          <w:color w:val="auto"/>
          <w:kern w:val="0"/>
          <w:sz w:val="24"/>
          <w:szCs w:val="24"/>
          <w:highlight w:val="none"/>
          <w:lang w:eastAsia="zh-CN"/>
        </w:rPr>
        <w:t>缴纳</w:t>
      </w:r>
      <w:r>
        <w:rPr>
          <w:rFonts w:ascii="Times New Roman"/>
          <w:snapToGrid w:val="0"/>
          <w:color w:val="auto"/>
          <w:kern w:val="0"/>
          <w:sz w:val="24"/>
          <w:szCs w:val="24"/>
          <w:highlight w:val="none"/>
        </w:rPr>
        <w:t>逾期竣工违约金。</w:t>
      </w:r>
      <w:r>
        <w:rPr>
          <w:rFonts w:hint="eastAsia" w:ascii="宋体" w:hAnsi="宋体" w:eastAsia="宋体" w:cs="宋体"/>
          <w:color w:val="auto"/>
          <w:kern w:val="0"/>
          <w:sz w:val="24"/>
          <w:szCs w:val="24"/>
          <w:highlight w:val="none"/>
          <w:lang w:val="en-US" w:eastAsia="zh-CN" w:bidi="ar"/>
        </w:rPr>
        <w:t>处罚金额不超过合同价款的</w:t>
      </w:r>
      <w:r>
        <w:rPr>
          <w:rFonts w:hint="eastAsia" w:ascii="宋体" w:hAnsi="宋体" w:eastAsia="宋体" w:cs="宋体"/>
          <w:color w:val="auto"/>
          <w:kern w:val="0"/>
          <w:sz w:val="24"/>
          <w:szCs w:val="24"/>
          <w:highlight w:val="none"/>
          <w:u w:val="single"/>
          <w:lang w:val="en-US" w:eastAsia="zh-CN" w:bidi="ar"/>
        </w:rPr>
        <w:t xml:space="preserve"> 10 </w:t>
      </w:r>
      <w:r>
        <w:rPr>
          <w:rFonts w:hint="default" w:ascii="Times New Roman" w:hAnsi="Times New Roman" w:eastAsia="宋体"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累计延误工期达到</w:t>
      </w:r>
      <w:r>
        <w:rPr>
          <w:rFonts w:hint="eastAsia" w:ascii="宋体" w:hAnsi="宋体" w:eastAsia="宋体" w:cs="宋体"/>
          <w:color w:val="auto"/>
          <w:kern w:val="0"/>
          <w:sz w:val="24"/>
          <w:szCs w:val="24"/>
          <w:highlight w:val="none"/>
          <w:u w:val="single"/>
          <w:lang w:val="en-US" w:eastAsia="zh-CN" w:bidi="ar"/>
        </w:rPr>
        <w:t xml:space="preserve"> 60 </w:t>
      </w:r>
      <w:r>
        <w:rPr>
          <w:rFonts w:hint="eastAsia" w:ascii="宋体" w:hAnsi="宋体" w:eastAsia="宋体" w:cs="宋体"/>
          <w:color w:val="auto"/>
          <w:kern w:val="0"/>
          <w:sz w:val="24"/>
          <w:szCs w:val="24"/>
          <w:highlight w:val="none"/>
          <w:lang w:val="en-US" w:eastAsia="zh-CN" w:bidi="ar"/>
        </w:rPr>
        <w:t xml:space="preserve">天，报请建设行政主管部门做不良行为记录，非承包方原因或不可抗力造成延误的除外。 </w:t>
      </w:r>
    </w:p>
    <w:p w14:paraId="1D423141">
      <w:pPr>
        <w:keepNext w:val="0"/>
        <w:keepLines w:val="0"/>
        <w:widowControl/>
        <w:suppressLineNumbers w:val="0"/>
        <w:spacing w:line="360" w:lineRule="auto"/>
        <w:jc w:val="left"/>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☑其他说明：</w:t>
      </w:r>
    </w:p>
    <w:p w14:paraId="2314480F">
      <w:pPr>
        <w:pStyle w:val="38"/>
        <w:snapToGrid w:val="0"/>
        <w:ind w:firstLine="482" w:firstLineChars="200"/>
        <w:rPr>
          <w:rFonts w:hint="default" w:ascii="Times New Roman" w:hAnsi="Times New Roman" w:eastAsia="宋体" w:cs="Times New Roman"/>
          <w:snapToGrid w:val="0"/>
          <w:color w:val="auto"/>
          <w:kern w:val="0"/>
          <w:szCs w:val="24"/>
          <w:highlight w:val="none"/>
          <w:shd w:val="clear" w:color="auto" w:fill="auto"/>
        </w:rPr>
      </w:pPr>
      <w:r>
        <w:rPr>
          <w:rFonts w:hint="eastAsia" w:ascii="Times New Roman" w:hAnsi="Times New Roman" w:eastAsia="宋体" w:cs="Times New Roman"/>
          <w:b/>
          <w:bCs/>
          <w:snapToGrid w:val="0"/>
          <w:color w:val="auto"/>
          <w:kern w:val="0"/>
          <w:sz w:val="24"/>
          <w:szCs w:val="24"/>
          <w:highlight w:val="none"/>
          <w:lang w:val="en-US" w:eastAsia="zh-CN" w:bidi="ar-SA"/>
        </w:rPr>
        <w:t>4.4.5</w:t>
      </w:r>
      <w:r>
        <w:rPr>
          <w:rFonts w:hint="eastAsia" w:ascii="Times New Roman" w:cs="Times New Roman"/>
          <w:snapToGrid w:val="0"/>
          <w:color w:val="auto"/>
          <w:kern w:val="0"/>
          <w:szCs w:val="24"/>
          <w:highlight w:val="none"/>
          <w:shd w:val="clear" w:color="auto" w:fill="auto"/>
          <w:lang w:eastAsia="zh-CN"/>
        </w:rPr>
        <w:t>承包人</w:t>
      </w:r>
      <w:r>
        <w:rPr>
          <w:rFonts w:hint="default" w:ascii="Times New Roman" w:hAnsi="Times New Roman" w:eastAsia="宋体" w:cs="Times New Roman"/>
          <w:snapToGrid w:val="0"/>
          <w:color w:val="auto"/>
          <w:kern w:val="0"/>
          <w:szCs w:val="24"/>
          <w:highlight w:val="none"/>
          <w:shd w:val="clear" w:color="auto" w:fill="auto"/>
        </w:rPr>
        <w:t>应已详细了解本项目的前期工作，同时也应已勘察施工现场、周围环境、地形、地貌、水文、交通等情况。</w:t>
      </w:r>
      <w:r>
        <w:rPr>
          <w:rFonts w:hint="eastAsia" w:ascii="Times New Roman" w:cs="Times New Roman"/>
          <w:snapToGrid w:val="0"/>
          <w:color w:val="auto"/>
          <w:kern w:val="0"/>
          <w:szCs w:val="24"/>
          <w:highlight w:val="none"/>
          <w:shd w:val="clear" w:color="auto" w:fill="auto"/>
          <w:lang w:eastAsia="zh-CN"/>
        </w:rPr>
        <w:t>承包人</w:t>
      </w:r>
      <w:r>
        <w:rPr>
          <w:rFonts w:hint="default" w:ascii="Times New Roman" w:hAnsi="Times New Roman" w:eastAsia="宋体" w:cs="Times New Roman"/>
          <w:snapToGrid w:val="0"/>
          <w:color w:val="auto"/>
          <w:kern w:val="0"/>
          <w:szCs w:val="24"/>
          <w:highlight w:val="none"/>
          <w:shd w:val="clear" w:color="auto" w:fill="auto"/>
        </w:rPr>
        <w:t>投标报价应已充分考虑在施工中由于</w:t>
      </w:r>
      <w:r>
        <w:rPr>
          <w:rFonts w:hint="eastAsia" w:ascii="Times New Roman" w:cs="Times New Roman"/>
          <w:snapToGrid w:val="0"/>
          <w:color w:val="auto"/>
          <w:kern w:val="0"/>
          <w:szCs w:val="24"/>
          <w:highlight w:val="none"/>
          <w:shd w:val="clear" w:color="auto" w:fill="auto"/>
          <w:lang w:eastAsia="zh-CN"/>
        </w:rPr>
        <w:t>发包人</w:t>
      </w:r>
      <w:r>
        <w:rPr>
          <w:rFonts w:hint="default" w:ascii="Times New Roman" w:hAnsi="Times New Roman" w:eastAsia="宋体" w:cs="Times New Roman"/>
          <w:snapToGrid w:val="0"/>
          <w:color w:val="auto"/>
          <w:kern w:val="0"/>
          <w:szCs w:val="24"/>
          <w:highlight w:val="none"/>
          <w:shd w:val="clear" w:color="auto" w:fill="auto"/>
        </w:rPr>
        <w:t>原因造成停工或工期延误等因素所产生的相关费用，</w:t>
      </w:r>
      <w:r>
        <w:rPr>
          <w:rFonts w:hint="eastAsia" w:ascii="Times New Roman" w:cs="Times New Roman"/>
          <w:snapToGrid w:val="0"/>
          <w:color w:val="auto"/>
          <w:kern w:val="0"/>
          <w:szCs w:val="24"/>
          <w:highlight w:val="none"/>
          <w:shd w:val="clear" w:color="auto" w:fill="auto"/>
          <w:lang w:eastAsia="zh-CN"/>
        </w:rPr>
        <w:t>发包人</w:t>
      </w:r>
      <w:r>
        <w:rPr>
          <w:rFonts w:hint="default" w:ascii="Times New Roman" w:hAnsi="Times New Roman" w:eastAsia="宋体" w:cs="Times New Roman"/>
          <w:snapToGrid w:val="0"/>
          <w:color w:val="auto"/>
          <w:kern w:val="0"/>
          <w:szCs w:val="24"/>
          <w:highlight w:val="none"/>
          <w:shd w:val="clear" w:color="auto" w:fill="auto"/>
        </w:rPr>
        <w:t>不予另计费；</w:t>
      </w:r>
      <w:r>
        <w:rPr>
          <w:rFonts w:hint="eastAsia" w:ascii="Times New Roman" w:cs="Times New Roman"/>
          <w:snapToGrid w:val="0"/>
          <w:color w:val="auto"/>
          <w:kern w:val="0"/>
          <w:szCs w:val="24"/>
          <w:highlight w:val="none"/>
          <w:shd w:val="clear" w:color="auto" w:fill="auto"/>
          <w:lang w:eastAsia="zh-CN"/>
        </w:rPr>
        <w:t>承包人</w:t>
      </w:r>
      <w:r>
        <w:rPr>
          <w:rFonts w:hint="default" w:ascii="Times New Roman" w:hAnsi="Times New Roman" w:eastAsia="宋体" w:cs="Times New Roman"/>
          <w:snapToGrid w:val="0"/>
          <w:color w:val="auto"/>
          <w:kern w:val="0"/>
          <w:szCs w:val="24"/>
          <w:highlight w:val="none"/>
          <w:shd w:val="clear" w:color="auto" w:fill="auto"/>
        </w:rPr>
        <w:t>不得以不完全了解项目的前期工作及现场情况为理由，提出因外界因素造成停工或工期延误的额外付款要求；对此类要求，</w:t>
      </w:r>
      <w:r>
        <w:rPr>
          <w:rFonts w:hint="eastAsia" w:ascii="Times New Roman" w:cs="Times New Roman"/>
          <w:snapToGrid w:val="0"/>
          <w:color w:val="auto"/>
          <w:kern w:val="0"/>
          <w:szCs w:val="24"/>
          <w:highlight w:val="none"/>
          <w:shd w:val="clear" w:color="auto" w:fill="auto"/>
          <w:lang w:eastAsia="zh-CN"/>
        </w:rPr>
        <w:t>发包人</w:t>
      </w:r>
      <w:r>
        <w:rPr>
          <w:rFonts w:hint="default" w:ascii="Times New Roman" w:hAnsi="Times New Roman" w:eastAsia="宋体" w:cs="Times New Roman"/>
          <w:snapToGrid w:val="0"/>
          <w:color w:val="auto"/>
          <w:kern w:val="0"/>
          <w:szCs w:val="24"/>
          <w:highlight w:val="none"/>
          <w:shd w:val="clear" w:color="auto" w:fill="auto"/>
        </w:rPr>
        <w:t>不</w:t>
      </w:r>
      <w:r>
        <w:rPr>
          <w:rFonts w:hint="default" w:ascii="Times New Roman" w:hAnsi="Times New Roman" w:eastAsia="宋体" w:cs="Times New Roman"/>
          <w:snapToGrid w:val="0"/>
          <w:color w:val="auto"/>
          <w:kern w:val="0"/>
          <w:szCs w:val="24"/>
          <w:highlight w:val="none"/>
          <w:shd w:val="clear" w:color="auto" w:fill="auto"/>
          <w:lang w:eastAsia="zh-CN"/>
        </w:rPr>
        <w:t>做</w:t>
      </w:r>
      <w:r>
        <w:rPr>
          <w:rFonts w:hint="default" w:ascii="Times New Roman" w:hAnsi="Times New Roman" w:eastAsia="宋体" w:cs="Times New Roman"/>
          <w:snapToGrid w:val="0"/>
          <w:color w:val="auto"/>
          <w:kern w:val="0"/>
          <w:szCs w:val="24"/>
          <w:highlight w:val="none"/>
          <w:shd w:val="clear" w:color="auto" w:fill="auto"/>
        </w:rPr>
        <w:t>任何考虑及答复。</w:t>
      </w:r>
    </w:p>
    <w:p w14:paraId="790A39F2">
      <w:pPr>
        <w:pStyle w:val="38"/>
        <w:wordWrap w:val="0"/>
        <w:adjustRightInd w:val="0"/>
        <w:snapToGrid w:val="0"/>
        <w:spacing w:line="360" w:lineRule="auto"/>
        <w:ind w:firstLine="560"/>
        <w:rPr>
          <w:rFonts w:hint="eastAsia" w:hAnsi="宋体"/>
          <w:b/>
          <w:bCs/>
          <w:color w:val="auto"/>
          <w:highlight w:val="none"/>
          <w:shd w:val="clear" w:color="auto" w:fill="FFFFFF"/>
        </w:rPr>
      </w:pPr>
      <w:r>
        <w:rPr>
          <w:rFonts w:hint="eastAsia" w:ascii="Times New Roman" w:hAnsi="Times New Roman" w:eastAsia="宋体" w:cs="Times New Roman"/>
          <w:b/>
          <w:bCs/>
          <w:snapToGrid w:val="0"/>
          <w:color w:val="auto"/>
          <w:kern w:val="0"/>
          <w:szCs w:val="24"/>
          <w:highlight w:val="none"/>
          <w:shd w:val="clear" w:color="auto" w:fill="auto"/>
          <w:lang w:val="en-US" w:eastAsia="zh-CN"/>
        </w:rPr>
        <w:t>4.4.6</w:t>
      </w:r>
      <w:r>
        <w:rPr>
          <w:rFonts w:hint="eastAsia" w:hAnsi="宋体"/>
          <w:color w:val="auto"/>
          <w:highlight w:val="none"/>
          <w:shd w:val="clear" w:color="auto" w:fill="FFFFFF"/>
          <w:lang w:eastAsia="zh-CN"/>
        </w:rPr>
        <w:t>承包人</w:t>
      </w:r>
      <w:r>
        <w:rPr>
          <w:rFonts w:hint="eastAsia" w:hAnsi="宋体"/>
          <w:color w:val="auto"/>
          <w:highlight w:val="none"/>
          <w:shd w:val="clear" w:color="auto" w:fill="FFFFFF"/>
        </w:rPr>
        <w:t>应当清楚并充分预计</w:t>
      </w:r>
      <w:r>
        <w:rPr>
          <w:rFonts w:hint="eastAsia" w:hAnsi="宋体"/>
          <w:color w:val="auto"/>
          <w:highlight w:val="none"/>
          <w:shd w:val="clear" w:color="auto" w:fill="FFFFFF"/>
          <w:lang w:eastAsia="zh-CN"/>
        </w:rPr>
        <w:t>到</w:t>
      </w:r>
      <w:r>
        <w:rPr>
          <w:rFonts w:hint="eastAsia" w:hAnsi="宋体"/>
          <w:color w:val="auto"/>
          <w:highlight w:val="none"/>
          <w:shd w:val="clear" w:color="auto" w:fill="FFFFFF"/>
        </w:rPr>
        <w:t>工程前期施工场地征地拆迁工作的各种困难及其对工程进展的不利影响，甚至是严重影响。对此，</w:t>
      </w:r>
      <w:r>
        <w:rPr>
          <w:rFonts w:hint="eastAsia" w:hAnsi="宋体"/>
          <w:color w:val="auto"/>
          <w:highlight w:val="none"/>
          <w:shd w:val="clear" w:color="auto" w:fill="FFFFFF"/>
          <w:lang w:eastAsia="zh-CN"/>
        </w:rPr>
        <w:t>承包人</w:t>
      </w:r>
      <w:r>
        <w:rPr>
          <w:rFonts w:hint="eastAsia" w:hAnsi="宋体"/>
          <w:color w:val="auto"/>
          <w:highlight w:val="none"/>
          <w:shd w:val="clear" w:color="auto" w:fill="FFFFFF"/>
        </w:rPr>
        <w:t>应积极主动做好协调、配合工作，并尽量创造各种条件和采取各种有效措施，以确保项目顺利推进及工期目标的实现。这种困难或影响不能免除</w:t>
      </w:r>
      <w:r>
        <w:rPr>
          <w:rFonts w:hint="eastAsia" w:hAnsi="宋体"/>
          <w:color w:val="auto"/>
          <w:highlight w:val="none"/>
          <w:shd w:val="clear" w:color="auto" w:fill="FFFFFF"/>
          <w:lang w:eastAsia="zh-CN"/>
        </w:rPr>
        <w:t>承包人</w:t>
      </w:r>
      <w:r>
        <w:rPr>
          <w:rFonts w:hint="eastAsia" w:hAnsi="宋体"/>
          <w:color w:val="auto"/>
          <w:highlight w:val="none"/>
          <w:shd w:val="clear" w:color="auto" w:fill="FFFFFF"/>
        </w:rPr>
        <w:t>对工期目标未能实现的责任，并不得以此为理由要求顺延工期或增加各种费用，但由此产生的工期延误</w:t>
      </w:r>
      <w:r>
        <w:rPr>
          <w:rFonts w:hint="eastAsia" w:hAnsi="宋体"/>
          <w:color w:val="auto"/>
          <w:highlight w:val="none"/>
          <w:shd w:val="clear" w:color="auto" w:fill="FFFFFF"/>
          <w:lang w:eastAsia="zh-CN"/>
        </w:rPr>
        <w:t>发包人</w:t>
      </w:r>
      <w:r>
        <w:rPr>
          <w:rFonts w:hint="eastAsia" w:hAnsi="宋体"/>
          <w:color w:val="auto"/>
          <w:highlight w:val="none"/>
          <w:shd w:val="clear" w:color="auto" w:fill="FFFFFF"/>
        </w:rPr>
        <w:t>可不向</w:t>
      </w:r>
      <w:r>
        <w:rPr>
          <w:rFonts w:hint="eastAsia" w:hAnsi="宋体"/>
          <w:color w:val="auto"/>
          <w:highlight w:val="none"/>
          <w:shd w:val="clear" w:color="auto" w:fill="FFFFFF"/>
          <w:lang w:eastAsia="zh-CN"/>
        </w:rPr>
        <w:t>承包人</w:t>
      </w:r>
      <w:r>
        <w:rPr>
          <w:rFonts w:hint="eastAsia" w:hAnsi="宋体"/>
          <w:color w:val="auto"/>
          <w:highlight w:val="none"/>
          <w:shd w:val="clear" w:color="auto" w:fill="FFFFFF"/>
        </w:rPr>
        <w:t>提出索赔。</w:t>
      </w:r>
    </w:p>
    <w:p w14:paraId="0B113B49">
      <w:pPr>
        <w:pStyle w:val="38"/>
        <w:snapToGrid w:val="0"/>
        <w:ind w:firstLine="482" w:firstLineChars="200"/>
        <w:rPr>
          <w:rFonts w:hint="default"/>
          <w:lang w:val="en-US"/>
        </w:rPr>
      </w:pPr>
      <w:r>
        <w:rPr>
          <w:rFonts w:hint="eastAsia" w:ascii="Times New Roman" w:hAnsi="Times New Roman" w:eastAsia="宋体" w:cs="Times New Roman"/>
          <w:b/>
          <w:bCs/>
          <w:snapToGrid w:val="0"/>
          <w:color w:val="auto"/>
          <w:kern w:val="0"/>
          <w:szCs w:val="24"/>
          <w:highlight w:val="none"/>
          <w:shd w:val="clear" w:color="auto" w:fill="auto"/>
          <w:lang w:val="en-US" w:eastAsia="zh-CN"/>
        </w:rPr>
        <w:t>4.4.7</w:t>
      </w:r>
      <w:r>
        <w:rPr>
          <w:rFonts w:hint="default" w:ascii="Times New Roman" w:hAnsi="Times New Roman" w:eastAsia="宋体" w:cs="Times New Roman"/>
          <w:snapToGrid w:val="0"/>
          <w:color w:val="auto"/>
          <w:kern w:val="0"/>
          <w:szCs w:val="24"/>
          <w:highlight w:val="none"/>
          <w:shd w:val="clear" w:color="auto" w:fill="auto"/>
        </w:rPr>
        <w:t>如因</w:t>
      </w:r>
      <w:r>
        <w:rPr>
          <w:rFonts w:hint="eastAsia" w:ascii="Times New Roman" w:cs="Times New Roman"/>
          <w:snapToGrid w:val="0"/>
          <w:color w:val="auto"/>
          <w:kern w:val="0"/>
          <w:szCs w:val="24"/>
          <w:highlight w:val="none"/>
          <w:shd w:val="clear" w:color="auto" w:fill="auto"/>
          <w:lang w:eastAsia="zh-CN"/>
        </w:rPr>
        <w:t>发包人</w:t>
      </w:r>
      <w:r>
        <w:rPr>
          <w:rFonts w:hint="default" w:ascii="Times New Roman" w:hAnsi="Times New Roman" w:eastAsia="宋体" w:cs="Times New Roman"/>
          <w:snapToGrid w:val="0"/>
          <w:color w:val="auto"/>
          <w:kern w:val="0"/>
          <w:szCs w:val="24"/>
          <w:highlight w:val="none"/>
          <w:shd w:val="clear" w:color="auto" w:fill="auto"/>
        </w:rPr>
        <w:t>原因（自然灾害等不可抗力因素除外），项目不能按期开工，或开工后全部停滞，工期按相关规定予以顺延。停工发生后，若可复工时，</w:t>
      </w:r>
      <w:r>
        <w:rPr>
          <w:rFonts w:hint="eastAsia" w:ascii="Times New Roman" w:cs="Times New Roman"/>
          <w:snapToGrid w:val="0"/>
          <w:color w:val="auto"/>
          <w:kern w:val="0"/>
          <w:szCs w:val="24"/>
          <w:highlight w:val="none"/>
          <w:shd w:val="clear" w:color="auto" w:fill="auto"/>
          <w:lang w:eastAsia="zh-CN"/>
        </w:rPr>
        <w:t>承包人</w:t>
      </w:r>
      <w:r>
        <w:rPr>
          <w:rFonts w:hint="default" w:ascii="Times New Roman" w:hAnsi="Times New Roman" w:eastAsia="宋体" w:cs="Times New Roman"/>
          <w:snapToGrid w:val="0"/>
          <w:color w:val="auto"/>
          <w:kern w:val="0"/>
          <w:szCs w:val="24"/>
          <w:highlight w:val="none"/>
          <w:shd w:val="clear" w:color="auto" w:fill="auto"/>
        </w:rPr>
        <w:t>应在收到</w:t>
      </w:r>
      <w:r>
        <w:rPr>
          <w:rFonts w:hint="eastAsia" w:ascii="Times New Roman" w:cs="Times New Roman"/>
          <w:snapToGrid w:val="0"/>
          <w:color w:val="auto"/>
          <w:kern w:val="0"/>
          <w:szCs w:val="24"/>
          <w:highlight w:val="none"/>
          <w:shd w:val="clear" w:color="auto" w:fill="auto"/>
          <w:lang w:eastAsia="zh-CN"/>
        </w:rPr>
        <w:t>发包人</w:t>
      </w:r>
      <w:r>
        <w:rPr>
          <w:rFonts w:hint="default" w:ascii="Times New Roman" w:hAnsi="Times New Roman" w:eastAsia="宋体" w:cs="Times New Roman"/>
          <w:snapToGrid w:val="0"/>
          <w:color w:val="auto"/>
          <w:kern w:val="0"/>
          <w:szCs w:val="24"/>
          <w:highlight w:val="none"/>
          <w:shd w:val="clear" w:color="auto" w:fill="auto"/>
        </w:rPr>
        <w:t>发出的复工通知书后3日内开始复工。</w:t>
      </w:r>
    </w:p>
    <w:p w14:paraId="1E5D787F">
      <w:pPr>
        <w:wordWrap w:val="0"/>
        <w:autoSpaceDE/>
        <w:autoSpaceDN/>
        <w:snapToGrid w:val="0"/>
        <w:spacing w:line="360" w:lineRule="auto"/>
        <w:ind w:firstLine="480"/>
        <w:jc w:val="both"/>
        <w:outlineLvl w:val="9"/>
        <w:rPr>
          <w:rFonts w:hint="eastAsia" w:ascii="Times New Roman"/>
          <w:strike w:val="0"/>
          <w:dstrike w:val="0"/>
          <w:snapToGrid w:val="0"/>
          <w:color w:val="auto"/>
          <w:sz w:val="24"/>
          <w:szCs w:val="24"/>
          <w:highlight w:val="none"/>
        </w:rPr>
      </w:pPr>
      <w:r>
        <w:rPr>
          <w:rFonts w:hint="eastAsia" w:ascii="Times New Roman"/>
          <w:b/>
          <w:strike w:val="0"/>
          <w:dstrike w:val="0"/>
          <w:snapToGrid w:val="0"/>
          <w:color w:val="auto"/>
          <w:sz w:val="24"/>
          <w:szCs w:val="24"/>
          <w:highlight w:val="none"/>
          <w:lang w:val="en-US" w:eastAsia="zh-CN"/>
        </w:rPr>
        <w:t>4.5</w:t>
      </w:r>
      <w:r>
        <w:rPr>
          <w:rFonts w:hint="eastAsia" w:ascii="Times New Roman"/>
          <w:b/>
          <w:strike w:val="0"/>
          <w:dstrike w:val="0"/>
          <w:snapToGrid w:val="0"/>
          <w:color w:val="auto"/>
          <w:sz w:val="24"/>
          <w:szCs w:val="24"/>
          <w:highlight w:val="none"/>
        </w:rPr>
        <w:t>．项目管理机构</w:t>
      </w:r>
    </w:p>
    <w:p w14:paraId="35EDD222">
      <w:pPr>
        <w:wordWrap w:val="0"/>
        <w:adjustRightInd w:val="0"/>
        <w:snapToGrid w:val="0"/>
        <w:spacing w:line="360" w:lineRule="auto"/>
        <w:ind w:firstLine="480" w:firstLineChars="200"/>
        <w:rPr>
          <w:rFonts w:hint="eastAsia" w:ascii="Times New Roman"/>
          <w:strike w:val="0"/>
          <w:dstrike w:val="0"/>
          <w:snapToGrid w:val="0"/>
          <w:color w:val="auto"/>
          <w:kern w:val="0"/>
          <w:sz w:val="24"/>
          <w:szCs w:val="24"/>
          <w:highlight w:val="none"/>
        </w:rPr>
      </w:pPr>
      <w:r>
        <w:rPr>
          <w:rFonts w:hint="eastAsia" w:ascii="Times New Roman"/>
          <w:b/>
          <w:bCs/>
          <w:strike w:val="0"/>
          <w:dstrike w:val="0"/>
          <w:snapToGrid w:val="0"/>
          <w:color w:val="auto"/>
          <w:kern w:val="0"/>
          <w:sz w:val="24"/>
          <w:szCs w:val="24"/>
          <w:highlight w:val="none"/>
          <w:lang w:val="en-US" w:eastAsia="zh-CN"/>
        </w:rPr>
        <w:t>4.5</w:t>
      </w:r>
      <w:r>
        <w:rPr>
          <w:rFonts w:hint="eastAsia" w:ascii="Times New Roman"/>
          <w:b/>
          <w:bCs/>
          <w:strike w:val="0"/>
          <w:dstrike w:val="0"/>
          <w:snapToGrid w:val="0"/>
          <w:color w:val="auto"/>
          <w:kern w:val="0"/>
          <w:sz w:val="24"/>
          <w:szCs w:val="24"/>
          <w:highlight w:val="none"/>
        </w:rPr>
        <w:t>.1</w:t>
      </w:r>
      <w:r>
        <w:rPr>
          <w:rFonts w:hint="eastAsia" w:ascii="Times New Roman"/>
          <w:strike w:val="0"/>
          <w:dstrike w:val="0"/>
          <w:snapToGrid w:val="0"/>
          <w:color w:val="auto"/>
          <w:kern w:val="0"/>
          <w:sz w:val="24"/>
          <w:szCs w:val="24"/>
          <w:highlight w:val="none"/>
        </w:rPr>
        <w:t xml:space="preserve"> 承包人派驻的项目管理班子成员必须为其投标文件确定的人员，否则发包人有权终止合同。</w:t>
      </w:r>
    </w:p>
    <w:p w14:paraId="14506E33">
      <w:pPr>
        <w:wordWrap w:val="0"/>
        <w:adjustRightInd w:val="0"/>
        <w:snapToGrid w:val="0"/>
        <w:spacing w:line="360" w:lineRule="auto"/>
        <w:ind w:firstLine="560"/>
        <w:rPr>
          <w:rFonts w:hint="eastAsia" w:ascii="Times New Roman"/>
          <w:strike w:val="0"/>
          <w:dstrike w:val="0"/>
          <w:snapToGrid w:val="0"/>
          <w:color w:val="auto"/>
          <w:kern w:val="0"/>
          <w:sz w:val="24"/>
          <w:szCs w:val="24"/>
          <w:highlight w:val="none"/>
        </w:rPr>
      </w:pPr>
      <w:r>
        <w:rPr>
          <w:rFonts w:hint="eastAsia" w:ascii="Times New Roman"/>
          <w:b/>
          <w:bCs/>
          <w:strike w:val="0"/>
          <w:dstrike w:val="0"/>
          <w:snapToGrid w:val="0"/>
          <w:color w:val="auto"/>
          <w:kern w:val="0"/>
          <w:sz w:val="24"/>
          <w:szCs w:val="24"/>
          <w:highlight w:val="none"/>
          <w:lang w:val="en-US" w:eastAsia="zh-CN"/>
        </w:rPr>
        <w:t>4.5</w:t>
      </w:r>
      <w:r>
        <w:rPr>
          <w:rFonts w:hint="eastAsia" w:ascii="Times New Roman"/>
          <w:b/>
          <w:bCs/>
          <w:strike w:val="0"/>
          <w:dstrike w:val="0"/>
          <w:snapToGrid w:val="0"/>
          <w:color w:val="auto"/>
          <w:kern w:val="0"/>
          <w:sz w:val="24"/>
          <w:szCs w:val="24"/>
          <w:highlight w:val="none"/>
        </w:rPr>
        <w:t>.2</w:t>
      </w:r>
      <w:r>
        <w:rPr>
          <w:rFonts w:hint="eastAsia" w:ascii="Times New Roman"/>
          <w:strike w:val="0"/>
          <w:dstrike w:val="0"/>
          <w:snapToGrid w:val="0"/>
          <w:color w:val="auto"/>
          <w:kern w:val="0"/>
          <w:sz w:val="24"/>
          <w:szCs w:val="24"/>
          <w:highlight w:val="none"/>
        </w:rPr>
        <w:t xml:space="preserve">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159804B5">
      <w:pPr>
        <w:wordWrap w:val="0"/>
        <w:autoSpaceDE/>
        <w:autoSpaceDN/>
        <w:snapToGrid w:val="0"/>
        <w:spacing w:line="360" w:lineRule="auto"/>
        <w:ind w:firstLine="480"/>
        <w:jc w:val="both"/>
        <w:outlineLvl w:val="9"/>
        <w:rPr>
          <w:rFonts w:hint="eastAsia" w:ascii="Times New Roman"/>
          <w:b/>
          <w:strike w:val="0"/>
          <w:dstrike w:val="0"/>
          <w:snapToGrid w:val="0"/>
          <w:color w:val="auto"/>
          <w:sz w:val="24"/>
          <w:szCs w:val="24"/>
          <w:highlight w:val="none"/>
        </w:rPr>
      </w:pPr>
      <w:r>
        <w:rPr>
          <w:rFonts w:hint="eastAsia" w:ascii="Times New Roman"/>
          <w:b/>
          <w:strike w:val="0"/>
          <w:dstrike w:val="0"/>
          <w:snapToGrid w:val="0"/>
          <w:color w:val="auto"/>
          <w:sz w:val="24"/>
          <w:szCs w:val="24"/>
          <w:highlight w:val="none"/>
          <w:lang w:val="en-US" w:eastAsia="zh-CN"/>
        </w:rPr>
        <w:t>4.6</w:t>
      </w:r>
      <w:r>
        <w:rPr>
          <w:rFonts w:hint="eastAsia" w:ascii="Times New Roman"/>
          <w:b/>
          <w:strike w:val="0"/>
          <w:dstrike w:val="0"/>
          <w:snapToGrid w:val="0"/>
          <w:color w:val="auto"/>
          <w:sz w:val="24"/>
          <w:szCs w:val="24"/>
          <w:highlight w:val="none"/>
        </w:rPr>
        <w:t>．现场管理</w:t>
      </w:r>
    </w:p>
    <w:p w14:paraId="0422EAC6">
      <w:pPr>
        <w:wordWrap w:val="0"/>
        <w:adjustRightInd w:val="0"/>
        <w:snapToGrid w:val="0"/>
        <w:spacing w:line="360" w:lineRule="auto"/>
        <w:ind w:firstLine="480" w:firstLineChars="200"/>
        <w:outlineLvl w:val="9"/>
        <w:rPr>
          <w:rFonts w:hint="eastAsia" w:ascii="Times New Roman"/>
          <w:strike w:val="0"/>
          <w:dstrike w:val="0"/>
          <w:snapToGrid w:val="0"/>
          <w:color w:val="auto"/>
          <w:kern w:val="0"/>
          <w:sz w:val="24"/>
          <w:szCs w:val="24"/>
          <w:highlight w:val="none"/>
        </w:rPr>
      </w:pPr>
      <w:r>
        <w:rPr>
          <w:rFonts w:hint="eastAsia" w:ascii="Times New Roman"/>
          <w:b/>
          <w:bCs/>
          <w:strike w:val="0"/>
          <w:dstrike w:val="0"/>
          <w:snapToGrid w:val="0"/>
          <w:color w:val="auto"/>
          <w:kern w:val="0"/>
          <w:sz w:val="24"/>
          <w:szCs w:val="24"/>
          <w:highlight w:val="none"/>
          <w:lang w:val="en-US" w:eastAsia="zh-CN"/>
        </w:rPr>
        <w:t>4.6</w:t>
      </w:r>
      <w:r>
        <w:rPr>
          <w:rFonts w:hint="eastAsia" w:ascii="Times New Roman"/>
          <w:b/>
          <w:bCs/>
          <w:strike w:val="0"/>
          <w:dstrike w:val="0"/>
          <w:snapToGrid w:val="0"/>
          <w:color w:val="auto"/>
          <w:kern w:val="0"/>
          <w:sz w:val="24"/>
          <w:szCs w:val="24"/>
          <w:highlight w:val="none"/>
        </w:rPr>
        <w:t>1</w:t>
      </w:r>
      <w:r>
        <w:rPr>
          <w:rFonts w:hint="eastAsia" w:ascii="Times New Roman"/>
          <w:strike w:val="0"/>
          <w:dstrike w:val="0"/>
          <w:snapToGrid w:val="0"/>
          <w:color w:val="auto"/>
          <w:kern w:val="0"/>
          <w:sz w:val="24"/>
          <w:szCs w:val="24"/>
          <w:highlight w:val="none"/>
        </w:rPr>
        <w:t xml:space="preserve"> 承包人在施工期间应严格遵守国家、广东省、韶关市有关绿色施工、文明施工、</w:t>
      </w:r>
      <w:r>
        <w:rPr>
          <w:rFonts w:hint="eastAsia" w:ascii="Times New Roman" w:eastAsia="宋体"/>
          <w:strike w:val="0"/>
          <w:dstrike w:val="0"/>
          <w:snapToGrid w:val="0"/>
          <w:color w:val="auto"/>
          <w:kern w:val="0"/>
          <w:sz w:val="24"/>
          <w:szCs w:val="24"/>
          <w:highlight w:val="none"/>
          <w:lang w:eastAsia="zh-CN"/>
        </w:rPr>
        <w:t>噪声</w:t>
      </w:r>
      <w:r>
        <w:rPr>
          <w:rFonts w:hint="eastAsia" w:ascii="Times New Roman"/>
          <w:strike w:val="0"/>
          <w:dstrike w:val="0"/>
          <w:snapToGrid w:val="0"/>
          <w:color w:val="auto"/>
          <w:kern w:val="0"/>
          <w:sz w:val="24"/>
          <w:szCs w:val="24"/>
          <w:highlight w:val="none"/>
        </w:rPr>
        <w:t>扬尘、消防爆破、环境卫生、渣土清运、治安保卫等方面的规定，并建立相应规章制度和保障措施。否则由此造成的经济损失和法律责任，均由承包人承担。</w:t>
      </w:r>
    </w:p>
    <w:p w14:paraId="4FB25B26">
      <w:pPr>
        <w:wordWrap w:val="0"/>
        <w:adjustRightInd w:val="0"/>
        <w:snapToGrid w:val="0"/>
        <w:spacing w:line="360" w:lineRule="auto"/>
        <w:ind w:firstLine="480" w:firstLineChars="200"/>
        <w:outlineLvl w:val="9"/>
        <w:rPr>
          <w:rFonts w:hint="eastAsia" w:ascii="Times New Roman"/>
          <w:strike w:val="0"/>
          <w:dstrike w:val="0"/>
          <w:snapToGrid w:val="0"/>
          <w:color w:val="auto"/>
          <w:kern w:val="0"/>
          <w:sz w:val="24"/>
          <w:szCs w:val="24"/>
          <w:highlight w:val="none"/>
        </w:rPr>
      </w:pPr>
      <w:r>
        <w:rPr>
          <w:rFonts w:hint="eastAsia" w:ascii="Times New Roman"/>
          <w:b/>
          <w:bCs/>
          <w:strike w:val="0"/>
          <w:dstrike w:val="0"/>
          <w:snapToGrid w:val="0"/>
          <w:color w:val="auto"/>
          <w:kern w:val="0"/>
          <w:sz w:val="24"/>
          <w:szCs w:val="24"/>
          <w:highlight w:val="none"/>
          <w:lang w:val="en-US" w:eastAsia="zh-CN"/>
        </w:rPr>
        <w:t>4.6</w:t>
      </w:r>
      <w:r>
        <w:rPr>
          <w:rFonts w:hint="eastAsia" w:ascii="Times New Roman"/>
          <w:b/>
          <w:bCs/>
          <w:strike w:val="0"/>
          <w:dstrike w:val="0"/>
          <w:snapToGrid w:val="0"/>
          <w:color w:val="auto"/>
          <w:kern w:val="0"/>
          <w:sz w:val="24"/>
          <w:szCs w:val="24"/>
          <w:highlight w:val="none"/>
        </w:rPr>
        <w:t>.2</w:t>
      </w:r>
      <w:r>
        <w:rPr>
          <w:rFonts w:hint="eastAsia" w:ascii="Times New Roman"/>
          <w:strike w:val="0"/>
          <w:dstrike w:val="0"/>
          <w:snapToGrid w:val="0"/>
          <w:color w:val="auto"/>
          <w:kern w:val="0"/>
          <w:sz w:val="24"/>
          <w:szCs w:val="24"/>
          <w:highlight w:val="none"/>
        </w:rPr>
        <w:t xml:space="preserve"> 承包人应按安全施工有关规定，采取严格、科学的安全防护措施，确保施工和人员（包括第三者）的安全，</w:t>
      </w:r>
      <w:r>
        <w:rPr>
          <w:rFonts w:hint="eastAsia" w:ascii="Times New Roman" w:eastAsia="宋体"/>
          <w:strike w:val="0"/>
          <w:dstrike w:val="0"/>
          <w:snapToGrid w:val="0"/>
          <w:color w:val="auto"/>
          <w:kern w:val="0"/>
          <w:sz w:val="24"/>
          <w:szCs w:val="24"/>
          <w:highlight w:val="none"/>
          <w:lang w:eastAsia="zh-CN"/>
        </w:rPr>
        <w:t>承担由自身</w:t>
      </w:r>
      <w:r>
        <w:rPr>
          <w:rFonts w:hint="eastAsia" w:ascii="Times New Roman"/>
          <w:strike w:val="0"/>
          <w:dstrike w:val="0"/>
          <w:snapToGrid w:val="0"/>
          <w:color w:val="auto"/>
          <w:kern w:val="0"/>
          <w:sz w:val="24"/>
          <w:szCs w:val="24"/>
          <w:highlight w:val="none"/>
        </w:rPr>
        <w:t>安全防护措施不力所造成的安全事故责任和发生的费用。</w:t>
      </w:r>
    </w:p>
    <w:p w14:paraId="3888B6C1">
      <w:pPr>
        <w:wordWrap w:val="0"/>
        <w:adjustRightInd w:val="0"/>
        <w:snapToGrid w:val="0"/>
        <w:spacing w:line="360" w:lineRule="auto"/>
        <w:ind w:firstLine="480" w:firstLineChars="200"/>
        <w:outlineLvl w:val="9"/>
        <w:rPr>
          <w:rFonts w:hint="eastAsia" w:ascii="Times New Roman"/>
          <w:strike w:val="0"/>
          <w:dstrike w:val="0"/>
          <w:snapToGrid w:val="0"/>
          <w:color w:val="auto"/>
          <w:kern w:val="0"/>
          <w:sz w:val="24"/>
          <w:szCs w:val="24"/>
          <w:highlight w:val="none"/>
        </w:rPr>
      </w:pPr>
      <w:r>
        <w:rPr>
          <w:rFonts w:hint="eastAsia" w:ascii="Times New Roman"/>
          <w:b/>
          <w:bCs/>
          <w:strike w:val="0"/>
          <w:dstrike w:val="0"/>
          <w:snapToGrid w:val="0"/>
          <w:color w:val="auto"/>
          <w:kern w:val="0"/>
          <w:sz w:val="24"/>
          <w:szCs w:val="24"/>
          <w:highlight w:val="none"/>
          <w:lang w:val="en-US" w:eastAsia="zh-CN"/>
        </w:rPr>
        <w:t>4.6.</w:t>
      </w:r>
      <w:r>
        <w:rPr>
          <w:rFonts w:hint="eastAsia" w:ascii="Times New Roman"/>
          <w:b/>
          <w:bCs/>
          <w:strike w:val="0"/>
          <w:dstrike w:val="0"/>
          <w:snapToGrid w:val="0"/>
          <w:color w:val="auto"/>
          <w:kern w:val="0"/>
          <w:sz w:val="24"/>
          <w:szCs w:val="24"/>
          <w:highlight w:val="none"/>
        </w:rPr>
        <w:t>3</w:t>
      </w:r>
      <w:r>
        <w:rPr>
          <w:rFonts w:hint="eastAsia" w:ascii="Times New Roman"/>
          <w:strike w:val="0"/>
          <w:dstrike w:val="0"/>
          <w:snapToGrid w:val="0"/>
          <w:color w:val="auto"/>
          <w:kern w:val="0"/>
          <w:sz w:val="24"/>
          <w:szCs w:val="24"/>
          <w:highlight w:val="none"/>
        </w:rPr>
        <w:t xml:space="preserve"> 为保证施工现场的环境卫生，承包人在本招标项目施工过程中，所有的车辆必须按发包人规定的行车路线行驶。</w:t>
      </w:r>
    </w:p>
    <w:p w14:paraId="20A66BC7">
      <w:pPr>
        <w:pStyle w:val="16"/>
        <w:spacing w:line="360" w:lineRule="auto"/>
        <w:rPr>
          <w:rFonts w:hint="eastAsia" w:hAnsi="宋体"/>
          <w:color w:val="auto"/>
          <w:sz w:val="24"/>
          <w:szCs w:val="24"/>
          <w:highlight w:val="none"/>
          <w:shd w:val="clear" w:color="auto" w:fill="FFFFFF"/>
        </w:rPr>
      </w:pPr>
      <w:r>
        <w:rPr>
          <w:rFonts w:hint="eastAsia" w:ascii="Times New Roman" w:hAnsi="Times New Roman" w:eastAsia="宋体" w:cs="Times New Roman"/>
          <w:b/>
          <w:bCs/>
          <w:strike w:val="0"/>
          <w:dstrike w:val="0"/>
          <w:snapToGrid w:val="0"/>
          <w:color w:val="auto"/>
          <w:kern w:val="0"/>
          <w:sz w:val="24"/>
          <w:szCs w:val="24"/>
          <w:highlight w:val="none"/>
          <w:lang w:val="en-US" w:eastAsia="zh-CN"/>
        </w:rPr>
        <w:t>4.6.4</w:t>
      </w:r>
      <w:r>
        <w:rPr>
          <w:rFonts w:hint="eastAsia" w:hAnsi="宋体"/>
          <w:color w:val="auto"/>
          <w:sz w:val="24"/>
          <w:szCs w:val="24"/>
          <w:highlight w:val="none"/>
          <w:shd w:val="clear" w:color="auto" w:fill="FFFFFF"/>
          <w:lang w:eastAsia="zh-CN"/>
        </w:rPr>
        <w:t>承包人</w:t>
      </w:r>
      <w:r>
        <w:rPr>
          <w:rFonts w:hint="eastAsia" w:hAnsi="宋体"/>
          <w:color w:val="auto"/>
          <w:sz w:val="24"/>
          <w:szCs w:val="24"/>
          <w:highlight w:val="none"/>
          <w:shd w:val="clear" w:color="auto" w:fill="FFFFFF"/>
        </w:rPr>
        <w:t>应充分考虑施工对接情况，为</w:t>
      </w:r>
      <w:r>
        <w:rPr>
          <w:rFonts w:hint="eastAsia" w:hAnsi="宋体"/>
          <w:color w:val="auto"/>
          <w:sz w:val="24"/>
          <w:szCs w:val="24"/>
          <w:highlight w:val="none"/>
          <w:shd w:val="clear" w:color="auto" w:fill="FFFFFF"/>
          <w:lang w:eastAsia="zh-CN"/>
        </w:rPr>
        <w:t>本工程</w:t>
      </w:r>
      <w:r>
        <w:rPr>
          <w:rFonts w:hint="eastAsia" w:hAnsi="宋体"/>
          <w:color w:val="auto"/>
          <w:sz w:val="24"/>
          <w:szCs w:val="24"/>
          <w:highlight w:val="none"/>
          <w:shd w:val="clear" w:color="auto" w:fill="FFFFFF"/>
        </w:rPr>
        <w:t>的其他参建单位提供工作便利、配合及服务（如水源、电源接口等），并有针对性地组织施工；</w:t>
      </w:r>
      <w:r>
        <w:rPr>
          <w:rFonts w:hint="eastAsia" w:hAnsi="宋体"/>
          <w:color w:val="auto"/>
          <w:sz w:val="24"/>
          <w:szCs w:val="24"/>
          <w:highlight w:val="none"/>
          <w:shd w:val="clear" w:color="auto" w:fill="FFFFFF"/>
          <w:lang w:eastAsia="zh-CN"/>
        </w:rPr>
        <w:t>承包人与</w:t>
      </w:r>
      <w:r>
        <w:rPr>
          <w:rFonts w:hint="eastAsia" w:hAnsi="宋体"/>
          <w:color w:val="auto"/>
          <w:sz w:val="24"/>
          <w:szCs w:val="24"/>
          <w:highlight w:val="none"/>
          <w:shd w:val="clear" w:color="auto" w:fill="FFFFFF"/>
        </w:rPr>
        <w:t>本</w:t>
      </w:r>
      <w:r>
        <w:rPr>
          <w:rFonts w:hint="eastAsia" w:hAnsi="宋体"/>
          <w:color w:val="auto"/>
          <w:sz w:val="24"/>
          <w:szCs w:val="24"/>
          <w:highlight w:val="none"/>
          <w:shd w:val="clear" w:color="auto" w:fill="FFFFFF"/>
          <w:lang w:eastAsia="zh-CN"/>
        </w:rPr>
        <w:t>工程</w:t>
      </w:r>
      <w:r>
        <w:rPr>
          <w:rFonts w:hint="eastAsia" w:hAnsi="宋体"/>
          <w:color w:val="auto"/>
          <w:sz w:val="24"/>
          <w:szCs w:val="24"/>
          <w:highlight w:val="none"/>
          <w:shd w:val="clear" w:color="auto" w:fill="FFFFFF"/>
        </w:rPr>
        <w:t>的其他参建单位就协调、配合、服务等不能达成一致的，由监理工程师协调，并遵照监理工程师指令执行；</w:t>
      </w:r>
      <w:r>
        <w:rPr>
          <w:rFonts w:hint="eastAsia" w:hAnsi="宋体"/>
          <w:color w:val="auto"/>
          <w:sz w:val="24"/>
          <w:szCs w:val="24"/>
          <w:highlight w:val="none"/>
          <w:shd w:val="clear" w:color="auto" w:fill="FFFFFF"/>
          <w:lang w:eastAsia="zh-CN"/>
        </w:rPr>
        <w:t>承包人</w:t>
      </w:r>
      <w:r>
        <w:rPr>
          <w:rFonts w:hint="eastAsia" w:hAnsi="宋体"/>
          <w:color w:val="auto"/>
          <w:sz w:val="24"/>
          <w:szCs w:val="24"/>
          <w:highlight w:val="none"/>
          <w:shd w:val="clear" w:color="auto" w:fill="FFFFFF"/>
        </w:rPr>
        <w:t>应负责统筹安排本</w:t>
      </w:r>
      <w:r>
        <w:rPr>
          <w:rFonts w:hint="eastAsia" w:hAnsi="宋体"/>
          <w:color w:val="auto"/>
          <w:sz w:val="24"/>
          <w:szCs w:val="24"/>
          <w:highlight w:val="none"/>
          <w:shd w:val="clear" w:color="auto" w:fill="FFFFFF"/>
          <w:lang w:eastAsia="zh-CN"/>
        </w:rPr>
        <w:t>工程</w:t>
      </w:r>
      <w:r>
        <w:rPr>
          <w:rFonts w:hint="eastAsia" w:hAnsi="宋体"/>
          <w:color w:val="auto"/>
          <w:sz w:val="24"/>
          <w:szCs w:val="24"/>
          <w:highlight w:val="none"/>
          <w:shd w:val="clear" w:color="auto" w:fill="FFFFFF"/>
        </w:rPr>
        <w:t>范围内的各项工程的协调与配合，确保工程建设有序进行。</w:t>
      </w:r>
      <w:r>
        <w:rPr>
          <w:rFonts w:hint="eastAsia" w:hAnsi="宋体"/>
          <w:color w:val="auto"/>
          <w:sz w:val="24"/>
          <w:szCs w:val="24"/>
          <w:highlight w:val="none"/>
          <w:shd w:val="clear" w:color="auto" w:fill="FFFFFF"/>
          <w:lang w:eastAsia="zh-CN"/>
        </w:rPr>
        <w:t>承包人</w:t>
      </w:r>
      <w:r>
        <w:rPr>
          <w:rFonts w:hint="eastAsia" w:hAnsi="宋体"/>
          <w:color w:val="auto"/>
          <w:sz w:val="24"/>
          <w:szCs w:val="24"/>
          <w:highlight w:val="none"/>
          <w:shd w:val="clear" w:color="auto" w:fill="FFFFFF"/>
        </w:rPr>
        <w:t>由此增加的费用应认为已包括在</w:t>
      </w:r>
      <w:r>
        <w:rPr>
          <w:rFonts w:hint="eastAsia" w:hAnsi="宋体"/>
          <w:color w:val="auto"/>
          <w:sz w:val="24"/>
          <w:szCs w:val="24"/>
          <w:highlight w:val="none"/>
          <w:shd w:val="clear" w:color="auto" w:fill="FFFFFF"/>
          <w:lang w:eastAsia="zh-CN"/>
        </w:rPr>
        <w:t>承包人</w:t>
      </w:r>
      <w:r>
        <w:rPr>
          <w:rFonts w:hint="eastAsia" w:hAnsi="宋体"/>
          <w:color w:val="auto"/>
          <w:sz w:val="24"/>
          <w:szCs w:val="24"/>
          <w:highlight w:val="none"/>
          <w:shd w:val="clear" w:color="auto" w:fill="FFFFFF"/>
        </w:rPr>
        <w:t>的投标报价之中，</w:t>
      </w:r>
      <w:r>
        <w:rPr>
          <w:rFonts w:hint="eastAsia" w:hAnsi="宋体"/>
          <w:color w:val="auto"/>
          <w:sz w:val="24"/>
          <w:szCs w:val="24"/>
          <w:highlight w:val="none"/>
          <w:shd w:val="clear" w:color="auto" w:fill="FFFFFF"/>
          <w:lang w:eastAsia="zh-CN"/>
        </w:rPr>
        <w:t>发包人</w:t>
      </w:r>
      <w:r>
        <w:rPr>
          <w:rFonts w:hint="eastAsia" w:hAnsi="宋体"/>
          <w:color w:val="auto"/>
          <w:sz w:val="24"/>
          <w:szCs w:val="24"/>
          <w:highlight w:val="none"/>
          <w:shd w:val="clear" w:color="auto" w:fill="FFFFFF"/>
        </w:rPr>
        <w:t>不另行支付。</w:t>
      </w:r>
    </w:p>
    <w:p w14:paraId="216902CE">
      <w:pPr>
        <w:pStyle w:val="16"/>
        <w:spacing w:line="360" w:lineRule="auto"/>
        <w:rPr>
          <w:rFonts w:hint="eastAsia" w:ascii="宋体" w:hAnsi="宋体" w:eastAsia="宋体" w:cs="Times New Roman"/>
          <w:color w:val="auto"/>
          <w:sz w:val="24"/>
          <w:szCs w:val="24"/>
          <w:highlight w:val="none"/>
          <w:shd w:val="clear" w:color="auto" w:fill="FFFFFF"/>
        </w:rPr>
      </w:pPr>
      <w:r>
        <w:rPr>
          <w:rFonts w:hint="eastAsia" w:ascii="Times New Roman" w:hAnsi="Times New Roman" w:eastAsia="宋体" w:cs="Times New Roman"/>
          <w:b/>
          <w:bCs/>
          <w:snapToGrid w:val="0"/>
          <w:color w:val="auto"/>
          <w:kern w:val="0"/>
          <w:sz w:val="24"/>
          <w:szCs w:val="24"/>
          <w:highlight w:val="none"/>
          <w:shd w:val="clear" w:color="auto" w:fill="auto"/>
          <w:lang w:val="en-US" w:eastAsia="zh-CN"/>
        </w:rPr>
        <w:t>4.6.5</w:t>
      </w:r>
      <w:r>
        <w:rPr>
          <w:rFonts w:hint="eastAsia" w:ascii="宋体" w:hAnsi="宋体" w:eastAsia="宋体" w:cs="Times New Roman"/>
          <w:color w:val="auto"/>
          <w:sz w:val="24"/>
          <w:szCs w:val="24"/>
          <w:highlight w:val="none"/>
          <w:shd w:val="clear" w:color="auto" w:fill="FFFFFF"/>
        </w:rPr>
        <w:t>施工现场采取覆盖、洒水和专人清扫等措施，确保不扬尘、不泥泞；施工现场配备洒水设备，进行喷水抑尘。必须做到韶关市住房和城乡建设管理局所要求的绿色文明施工要求。</w:t>
      </w:r>
    </w:p>
    <w:p w14:paraId="51B2F55B">
      <w:pPr>
        <w:pStyle w:val="16"/>
        <w:spacing w:line="360" w:lineRule="auto"/>
        <w:rPr>
          <w:rFonts w:hint="eastAsia" w:hAnsi="宋体"/>
          <w:color w:val="auto"/>
          <w:sz w:val="24"/>
          <w:szCs w:val="24"/>
          <w:highlight w:val="none"/>
          <w:shd w:val="clear" w:color="auto" w:fill="FFFFFF"/>
        </w:rPr>
      </w:pPr>
      <w:r>
        <w:rPr>
          <w:rFonts w:hint="eastAsia" w:ascii="Times New Roman" w:hAnsi="Times New Roman" w:eastAsia="宋体" w:cs="Times New Roman"/>
          <w:b/>
          <w:bCs/>
          <w:snapToGrid w:val="0"/>
          <w:color w:val="auto"/>
          <w:kern w:val="0"/>
          <w:sz w:val="24"/>
          <w:szCs w:val="24"/>
          <w:highlight w:val="none"/>
          <w:shd w:val="clear" w:color="auto" w:fill="auto"/>
          <w:lang w:val="en-US" w:eastAsia="zh-CN"/>
        </w:rPr>
        <w:t>4.6.6</w:t>
      </w:r>
      <w:r>
        <w:rPr>
          <w:rFonts w:hint="eastAsia" w:hAnsi="宋体"/>
          <w:color w:val="auto"/>
          <w:sz w:val="24"/>
          <w:szCs w:val="24"/>
          <w:highlight w:val="none"/>
          <w:shd w:val="clear" w:color="auto" w:fill="FFFFFF"/>
        </w:rPr>
        <w:t>由</w:t>
      </w:r>
      <w:r>
        <w:rPr>
          <w:rFonts w:hint="eastAsia" w:hAnsi="宋体"/>
          <w:color w:val="auto"/>
          <w:sz w:val="24"/>
          <w:szCs w:val="24"/>
          <w:highlight w:val="none"/>
          <w:shd w:val="clear" w:color="auto" w:fill="FFFFFF"/>
          <w:lang w:val="en-US" w:eastAsia="zh-CN"/>
        </w:rPr>
        <w:t>承包</w:t>
      </w:r>
      <w:r>
        <w:rPr>
          <w:rFonts w:hint="eastAsia" w:hAnsi="宋体"/>
          <w:color w:val="auto"/>
          <w:sz w:val="24"/>
          <w:szCs w:val="24"/>
          <w:highlight w:val="none"/>
          <w:shd w:val="clear" w:color="auto" w:fill="FFFFFF"/>
        </w:rPr>
        <w:t>人全面负责所有留在现场上的人员的安全，保护其</w:t>
      </w:r>
      <w:r>
        <w:rPr>
          <w:rFonts w:hint="eastAsia" w:hAnsi="宋体"/>
          <w:color w:val="auto"/>
          <w:sz w:val="24"/>
          <w:szCs w:val="24"/>
          <w:highlight w:val="none"/>
          <w:shd w:val="clear" w:color="auto" w:fill="FFFFFF"/>
          <w:lang w:val="en-US" w:eastAsia="zh-CN"/>
        </w:rPr>
        <w:t>管辖辖区</w:t>
      </w:r>
      <w:r>
        <w:rPr>
          <w:rFonts w:hint="eastAsia" w:hAnsi="宋体"/>
          <w:color w:val="auto"/>
          <w:sz w:val="24"/>
          <w:szCs w:val="24"/>
          <w:highlight w:val="none"/>
          <w:shd w:val="clear" w:color="auto" w:fill="FFFFFF"/>
        </w:rPr>
        <w:t>范围的现场（包括某些尚未完工的和</w:t>
      </w:r>
      <w:r>
        <w:rPr>
          <w:rFonts w:hint="eastAsia" w:hAnsi="宋体"/>
          <w:color w:val="auto"/>
          <w:sz w:val="24"/>
          <w:szCs w:val="24"/>
          <w:highlight w:val="none"/>
          <w:shd w:val="clear" w:color="auto" w:fill="FFFFFF"/>
          <w:lang w:val="en-US" w:eastAsia="zh-CN"/>
        </w:rPr>
        <w:t>发包</w:t>
      </w:r>
      <w:r>
        <w:rPr>
          <w:rFonts w:hint="eastAsia" w:hAnsi="宋体"/>
          <w:color w:val="auto"/>
          <w:sz w:val="24"/>
          <w:szCs w:val="24"/>
          <w:highlight w:val="none"/>
          <w:shd w:val="clear" w:color="auto" w:fill="FFFFFF"/>
        </w:rPr>
        <w:t>人尚未接管的工程）处于有条不紊和良好的状态。</w:t>
      </w:r>
    </w:p>
    <w:p w14:paraId="0AA5CE98">
      <w:pPr>
        <w:pStyle w:val="16"/>
        <w:spacing w:line="360" w:lineRule="auto"/>
        <w:rPr>
          <w:rFonts w:hint="eastAsia" w:hAnsi="宋体"/>
          <w:color w:val="auto"/>
          <w:sz w:val="24"/>
          <w:szCs w:val="24"/>
          <w:highlight w:val="none"/>
          <w:shd w:val="clear" w:color="auto" w:fill="FFFFFF"/>
        </w:rPr>
      </w:pPr>
      <w:r>
        <w:rPr>
          <w:rFonts w:hint="eastAsia" w:ascii="Times New Roman" w:hAnsi="Times New Roman" w:eastAsia="宋体" w:cs="Times New Roman"/>
          <w:b/>
          <w:bCs/>
          <w:snapToGrid w:val="0"/>
          <w:color w:val="auto"/>
          <w:kern w:val="0"/>
          <w:sz w:val="24"/>
          <w:szCs w:val="24"/>
          <w:highlight w:val="none"/>
          <w:shd w:val="clear" w:color="auto" w:fill="auto"/>
          <w:lang w:val="en-US" w:eastAsia="zh-CN"/>
        </w:rPr>
        <w:t>4.6.7</w:t>
      </w:r>
      <w:r>
        <w:rPr>
          <w:rFonts w:hint="eastAsia" w:hAnsi="宋体"/>
          <w:color w:val="auto"/>
          <w:sz w:val="24"/>
          <w:szCs w:val="24"/>
          <w:highlight w:val="none"/>
          <w:shd w:val="clear" w:color="auto" w:fill="FFFFFF"/>
        </w:rPr>
        <w:t>遵守和执行防火、安全文明施工和夜间施工规定。</w:t>
      </w:r>
      <w:r>
        <w:rPr>
          <w:rFonts w:hint="eastAsia" w:hAnsi="宋体"/>
          <w:color w:val="auto"/>
          <w:sz w:val="24"/>
          <w:szCs w:val="24"/>
          <w:highlight w:val="none"/>
          <w:shd w:val="clear" w:color="auto" w:fill="FFFFFF"/>
          <w:lang w:eastAsia="zh-CN"/>
        </w:rPr>
        <w:t>承包人</w:t>
      </w:r>
      <w:r>
        <w:rPr>
          <w:rFonts w:hint="eastAsia" w:hAnsi="宋体"/>
          <w:color w:val="auto"/>
          <w:sz w:val="24"/>
          <w:szCs w:val="24"/>
          <w:highlight w:val="none"/>
          <w:shd w:val="clear" w:color="auto" w:fill="FFFFFF"/>
        </w:rPr>
        <w:t>应保证施工期间行人、车辆等的通行，除非得到有关部门批准，否则不能进行全封闭施工。施工临时占用人行道、车道等设施，由</w:t>
      </w:r>
      <w:r>
        <w:rPr>
          <w:rFonts w:hint="eastAsia" w:hAnsi="宋体"/>
          <w:color w:val="auto"/>
          <w:sz w:val="24"/>
          <w:szCs w:val="24"/>
          <w:highlight w:val="none"/>
          <w:shd w:val="clear" w:color="auto" w:fill="FFFFFF"/>
          <w:lang w:eastAsia="zh-CN"/>
        </w:rPr>
        <w:t>承包人</w:t>
      </w:r>
      <w:r>
        <w:rPr>
          <w:rFonts w:hint="eastAsia" w:hAnsi="宋体"/>
          <w:color w:val="auto"/>
          <w:sz w:val="24"/>
          <w:szCs w:val="24"/>
          <w:highlight w:val="none"/>
          <w:shd w:val="clear" w:color="auto" w:fill="FFFFFF"/>
        </w:rPr>
        <w:t>办理有关手续，</w:t>
      </w:r>
      <w:r>
        <w:rPr>
          <w:rFonts w:hint="eastAsia" w:hAnsi="宋体"/>
          <w:color w:val="auto"/>
          <w:sz w:val="24"/>
          <w:szCs w:val="24"/>
          <w:highlight w:val="none"/>
          <w:shd w:val="clear" w:color="auto" w:fill="FFFFFF"/>
          <w:lang w:eastAsia="zh-CN"/>
        </w:rPr>
        <w:t>发包人</w:t>
      </w:r>
      <w:r>
        <w:rPr>
          <w:rFonts w:hint="eastAsia" w:hAnsi="宋体"/>
          <w:color w:val="auto"/>
          <w:sz w:val="24"/>
          <w:szCs w:val="24"/>
          <w:highlight w:val="none"/>
          <w:shd w:val="clear" w:color="auto" w:fill="FFFFFF"/>
        </w:rPr>
        <w:t>协助，所需费用由</w:t>
      </w:r>
      <w:r>
        <w:rPr>
          <w:rFonts w:hint="eastAsia" w:hAnsi="宋体"/>
          <w:color w:val="auto"/>
          <w:sz w:val="24"/>
          <w:szCs w:val="24"/>
          <w:highlight w:val="none"/>
          <w:shd w:val="clear" w:color="auto" w:fill="FFFFFF"/>
          <w:lang w:eastAsia="zh-CN"/>
        </w:rPr>
        <w:t>承包人</w:t>
      </w:r>
      <w:r>
        <w:rPr>
          <w:rFonts w:hint="eastAsia" w:hAnsi="宋体"/>
          <w:color w:val="auto"/>
          <w:sz w:val="24"/>
          <w:szCs w:val="24"/>
          <w:highlight w:val="none"/>
          <w:shd w:val="clear" w:color="auto" w:fill="FFFFFF"/>
        </w:rPr>
        <w:t>负责。</w:t>
      </w:r>
    </w:p>
    <w:p w14:paraId="0911CD4D">
      <w:pPr>
        <w:pStyle w:val="16"/>
        <w:spacing w:line="360" w:lineRule="auto"/>
        <w:rPr>
          <w:rFonts w:hint="eastAsia" w:hAnsi="宋体"/>
          <w:color w:val="auto"/>
          <w:sz w:val="24"/>
          <w:szCs w:val="24"/>
          <w:highlight w:val="none"/>
          <w:shd w:val="clear" w:color="auto" w:fill="FFFFFF"/>
        </w:rPr>
      </w:pPr>
      <w:r>
        <w:rPr>
          <w:rFonts w:hint="eastAsia" w:ascii="Times New Roman" w:hAnsi="Times New Roman" w:eastAsia="宋体" w:cs="Times New Roman"/>
          <w:b/>
          <w:bCs/>
          <w:snapToGrid w:val="0"/>
          <w:color w:val="auto"/>
          <w:kern w:val="0"/>
          <w:sz w:val="24"/>
          <w:szCs w:val="24"/>
          <w:highlight w:val="none"/>
          <w:shd w:val="clear" w:color="auto" w:fill="auto"/>
          <w:lang w:val="en-US" w:eastAsia="zh-CN"/>
        </w:rPr>
        <w:t>4.6.8</w:t>
      </w:r>
      <w:r>
        <w:rPr>
          <w:rFonts w:hint="eastAsia" w:hAnsi="宋体"/>
          <w:color w:val="auto"/>
          <w:sz w:val="24"/>
          <w:szCs w:val="24"/>
          <w:highlight w:val="none"/>
          <w:shd w:val="clear" w:color="auto" w:fill="FFFFFF"/>
          <w:lang w:eastAsia="zh-CN"/>
        </w:rPr>
        <w:t>承包人</w:t>
      </w:r>
      <w:r>
        <w:rPr>
          <w:rFonts w:hint="eastAsia" w:hAnsi="宋体"/>
          <w:color w:val="auto"/>
          <w:sz w:val="24"/>
          <w:szCs w:val="24"/>
          <w:highlight w:val="none"/>
          <w:shd w:val="clear" w:color="auto" w:fill="FFFFFF"/>
        </w:rPr>
        <w:t>有责任协助公安、交通等部门维护所在现场地段的交通与人流，既保证施工安全，也保护车辆和行人的畅通和安全。</w:t>
      </w:r>
    </w:p>
    <w:p w14:paraId="07D9935E">
      <w:pPr>
        <w:pStyle w:val="16"/>
        <w:spacing w:line="360" w:lineRule="auto"/>
        <w:rPr>
          <w:rFonts w:hint="eastAsia" w:ascii="宋体" w:hAnsi="宋体" w:eastAsia="宋体" w:cs="Times New Roman"/>
          <w:color w:val="auto"/>
          <w:sz w:val="24"/>
          <w:szCs w:val="24"/>
          <w:highlight w:val="none"/>
          <w:shd w:val="clear" w:color="auto" w:fill="FFFFFF"/>
        </w:rPr>
      </w:pPr>
      <w:r>
        <w:rPr>
          <w:rFonts w:hint="eastAsia" w:ascii="Times New Roman" w:hAnsi="Times New Roman" w:eastAsia="宋体" w:cs="Times New Roman"/>
          <w:b/>
          <w:bCs/>
          <w:snapToGrid w:val="0"/>
          <w:color w:val="auto"/>
          <w:kern w:val="0"/>
          <w:sz w:val="24"/>
          <w:szCs w:val="24"/>
          <w:highlight w:val="none"/>
          <w:shd w:val="clear" w:color="auto" w:fill="auto"/>
          <w:lang w:val="en-US" w:eastAsia="zh-CN"/>
        </w:rPr>
        <w:t>4.6.9</w:t>
      </w:r>
      <w:r>
        <w:rPr>
          <w:rFonts w:hint="eastAsia" w:hAnsi="宋体" w:cs="Times New Roman"/>
          <w:color w:val="auto"/>
          <w:sz w:val="24"/>
          <w:szCs w:val="24"/>
          <w:highlight w:val="none"/>
          <w:shd w:val="clear" w:color="auto" w:fill="FFFFFF"/>
          <w:lang w:eastAsia="zh-CN"/>
        </w:rPr>
        <w:t>承包人</w:t>
      </w:r>
      <w:r>
        <w:rPr>
          <w:rFonts w:hint="eastAsia" w:ascii="宋体" w:hAnsi="宋体" w:eastAsia="宋体" w:cs="Times New Roman"/>
          <w:color w:val="auto"/>
          <w:sz w:val="24"/>
          <w:szCs w:val="24"/>
          <w:highlight w:val="none"/>
          <w:shd w:val="clear" w:color="auto" w:fill="FFFFFF"/>
        </w:rPr>
        <w:t>应当清楚地预计到施工期间对外界可能产生的不可避免的干扰，并为此保证主动努力减少这些干扰对外界的影响，且应当积极主动与外界进行协调。</w:t>
      </w:r>
    </w:p>
    <w:p w14:paraId="736000AF">
      <w:pPr>
        <w:pStyle w:val="38"/>
        <w:wordWrap w:val="0"/>
        <w:adjustRightInd w:val="0"/>
        <w:snapToGrid w:val="0"/>
        <w:spacing w:line="360" w:lineRule="auto"/>
        <w:ind w:firstLine="482" w:firstLineChars="200"/>
        <w:rPr>
          <w:rFonts w:hint="eastAsia" w:ascii="宋体" w:hAnsi="宋体" w:eastAsia="宋体" w:cs="Times New Roman"/>
          <w:color w:val="auto"/>
          <w:highlight w:val="none"/>
          <w:shd w:val="clear" w:color="auto" w:fill="FFFFFF"/>
        </w:rPr>
      </w:pPr>
      <w:r>
        <w:rPr>
          <w:rFonts w:hint="eastAsia" w:ascii="Times New Roman" w:hAnsi="Times New Roman" w:eastAsia="宋体" w:cs="Times New Roman"/>
          <w:b/>
          <w:bCs/>
          <w:snapToGrid w:val="0"/>
          <w:color w:val="auto"/>
          <w:kern w:val="0"/>
          <w:szCs w:val="24"/>
          <w:highlight w:val="none"/>
          <w:shd w:val="clear" w:color="auto" w:fill="auto"/>
          <w:lang w:val="en-US" w:eastAsia="zh-CN"/>
        </w:rPr>
        <w:t>4.6.10</w:t>
      </w:r>
      <w:r>
        <w:rPr>
          <w:rFonts w:hint="eastAsia" w:hAnsi="宋体" w:cs="Times New Roman"/>
          <w:color w:val="auto"/>
          <w:highlight w:val="none"/>
          <w:shd w:val="clear" w:color="auto" w:fill="FFFFFF"/>
          <w:lang w:val="en-US" w:eastAsia="zh-CN"/>
        </w:rPr>
        <w:t>承包人</w:t>
      </w:r>
      <w:r>
        <w:rPr>
          <w:rFonts w:hint="eastAsia" w:hAnsi="宋体"/>
          <w:color w:val="auto"/>
          <w:highlight w:val="none"/>
          <w:shd w:val="clear" w:color="auto" w:fill="FFFFFF"/>
        </w:rPr>
        <w:t>应负责施工期</w:t>
      </w:r>
      <w:r>
        <w:rPr>
          <w:rFonts w:hint="eastAsia" w:hAnsi="宋体"/>
          <w:color w:val="auto"/>
          <w:highlight w:val="none"/>
          <w:shd w:val="clear" w:color="auto" w:fill="FFFFFF"/>
          <w:lang w:val="en-US" w:eastAsia="zh-CN"/>
        </w:rPr>
        <w:t>间与其他在建工程涉及交叉作业的权属单位的协调配合工作，</w:t>
      </w:r>
      <w:r>
        <w:rPr>
          <w:rFonts w:hint="eastAsia" w:hAnsi="宋体"/>
          <w:color w:val="auto"/>
          <w:highlight w:val="none"/>
          <w:shd w:val="clear" w:color="auto" w:fill="FFFFFF"/>
          <w:lang w:eastAsia="zh-CN"/>
        </w:rPr>
        <w:t>发包人</w:t>
      </w:r>
      <w:r>
        <w:rPr>
          <w:rFonts w:hAnsi="宋体"/>
          <w:color w:val="auto"/>
          <w:highlight w:val="none"/>
          <w:shd w:val="clear" w:color="auto" w:fill="FFFFFF"/>
        </w:rPr>
        <w:t>不负责</w:t>
      </w:r>
      <w:r>
        <w:rPr>
          <w:rFonts w:hint="eastAsia" w:hAnsi="宋体"/>
          <w:color w:val="auto"/>
          <w:highlight w:val="none"/>
          <w:shd w:val="clear" w:color="auto" w:fill="FFFFFF"/>
        </w:rPr>
        <w:t>协调</w:t>
      </w:r>
      <w:r>
        <w:rPr>
          <w:rFonts w:hAnsi="宋体"/>
          <w:color w:val="auto"/>
          <w:highlight w:val="none"/>
          <w:shd w:val="clear" w:color="auto" w:fill="FFFFFF"/>
        </w:rPr>
        <w:t>双方因施工</w:t>
      </w:r>
      <w:r>
        <w:rPr>
          <w:rFonts w:hint="eastAsia" w:hAnsi="宋体"/>
          <w:color w:val="auto"/>
          <w:highlight w:val="none"/>
          <w:shd w:val="clear" w:color="auto" w:fill="FFFFFF"/>
          <w:lang w:val="en-US" w:eastAsia="zh-CN"/>
        </w:rPr>
        <w:t>工艺及</w:t>
      </w:r>
      <w:r>
        <w:rPr>
          <w:rFonts w:hAnsi="宋体"/>
          <w:color w:val="auto"/>
          <w:highlight w:val="none"/>
          <w:shd w:val="clear" w:color="auto" w:fill="FFFFFF"/>
        </w:rPr>
        <w:t>工序等技术原因导致的任何问题</w:t>
      </w:r>
      <w:r>
        <w:rPr>
          <w:rFonts w:hint="eastAsia" w:hAnsi="宋体"/>
          <w:color w:val="auto"/>
          <w:highlight w:val="none"/>
          <w:shd w:val="clear" w:color="auto" w:fill="FFFFFF"/>
        </w:rPr>
        <w:t>。</w:t>
      </w:r>
    </w:p>
    <w:p w14:paraId="5143F7FB">
      <w:pPr>
        <w:pStyle w:val="16"/>
        <w:spacing w:line="360" w:lineRule="auto"/>
        <w:ind w:firstLine="482" w:firstLineChars="200"/>
        <w:rPr>
          <w:rFonts w:hint="default" w:hAnsi="宋体"/>
          <w:color w:val="auto"/>
          <w:sz w:val="24"/>
          <w:szCs w:val="24"/>
          <w:highlight w:val="none"/>
          <w:shd w:val="clear" w:color="auto" w:fill="FFFFFF"/>
          <w:lang w:val="en-US" w:eastAsia="zh-CN"/>
        </w:rPr>
      </w:pPr>
      <w:r>
        <w:rPr>
          <w:rFonts w:hint="eastAsia" w:ascii="Times New Roman" w:hAnsi="Times New Roman" w:eastAsia="宋体" w:cs="Times New Roman"/>
          <w:b/>
          <w:bCs/>
          <w:snapToGrid w:val="0"/>
          <w:color w:val="auto"/>
          <w:kern w:val="0"/>
          <w:sz w:val="24"/>
          <w:szCs w:val="24"/>
          <w:highlight w:val="none"/>
          <w:shd w:val="clear" w:color="auto" w:fill="auto"/>
          <w:lang w:val="en-US" w:eastAsia="zh-CN"/>
        </w:rPr>
        <w:t>4.6.11</w:t>
      </w:r>
      <w:r>
        <w:rPr>
          <w:rFonts w:hint="eastAsia" w:hAnsi="宋体"/>
          <w:color w:val="auto"/>
          <w:sz w:val="24"/>
          <w:szCs w:val="24"/>
          <w:highlight w:val="none"/>
          <w:shd w:val="clear" w:color="auto" w:fill="FFFFFF"/>
        </w:rPr>
        <w:t>工程完工后，为了本</w:t>
      </w:r>
      <w:r>
        <w:rPr>
          <w:rFonts w:hint="eastAsia" w:hAnsi="宋体"/>
          <w:color w:val="auto"/>
          <w:sz w:val="24"/>
          <w:szCs w:val="24"/>
          <w:highlight w:val="none"/>
          <w:shd w:val="clear" w:color="auto" w:fill="FFFFFF"/>
          <w:lang w:eastAsia="zh-CN"/>
        </w:rPr>
        <w:t>工程</w:t>
      </w:r>
      <w:r>
        <w:rPr>
          <w:rFonts w:hint="eastAsia" w:hAnsi="宋体"/>
          <w:color w:val="auto"/>
          <w:sz w:val="24"/>
          <w:szCs w:val="24"/>
          <w:highlight w:val="none"/>
          <w:shd w:val="clear" w:color="auto" w:fill="FFFFFF"/>
        </w:rPr>
        <w:t>整体竣工验收的需要，</w:t>
      </w:r>
      <w:r>
        <w:rPr>
          <w:rFonts w:hint="eastAsia" w:hAnsi="宋体"/>
          <w:strike w:val="0"/>
          <w:color w:val="auto"/>
          <w:sz w:val="24"/>
          <w:szCs w:val="24"/>
          <w:highlight w:val="none"/>
          <w:shd w:val="clear" w:color="auto" w:fill="FFFFFF"/>
          <w:lang w:val="en-US" w:eastAsia="zh-CN"/>
        </w:rPr>
        <w:t>承包人</w:t>
      </w:r>
      <w:r>
        <w:rPr>
          <w:rFonts w:hint="eastAsia" w:hAnsi="宋体"/>
          <w:color w:val="auto"/>
          <w:sz w:val="24"/>
          <w:szCs w:val="24"/>
          <w:highlight w:val="none"/>
          <w:shd w:val="clear" w:color="auto" w:fill="FFFFFF"/>
        </w:rPr>
        <w:t>必须在</w:t>
      </w:r>
      <w:r>
        <w:rPr>
          <w:rFonts w:hint="eastAsia" w:hAnsi="宋体"/>
          <w:strike w:val="0"/>
          <w:color w:val="auto"/>
          <w:sz w:val="24"/>
          <w:szCs w:val="24"/>
          <w:highlight w:val="none"/>
          <w:shd w:val="clear" w:color="auto" w:fill="FFFFFF"/>
          <w:lang w:val="en-US" w:eastAsia="zh-CN"/>
        </w:rPr>
        <w:t>发包</w:t>
      </w:r>
      <w:r>
        <w:rPr>
          <w:rFonts w:hint="eastAsia" w:hAnsi="宋体"/>
          <w:color w:val="auto"/>
          <w:sz w:val="24"/>
          <w:szCs w:val="24"/>
          <w:highlight w:val="none"/>
          <w:shd w:val="clear" w:color="auto" w:fill="FFFFFF"/>
        </w:rPr>
        <w:t>人的统筹安排下，与为本</w:t>
      </w:r>
      <w:r>
        <w:rPr>
          <w:rFonts w:hint="eastAsia" w:hAnsi="宋体"/>
          <w:color w:val="auto"/>
          <w:sz w:val="24"/>
          <w:szCs w:val="24"/>
          <w:highlight w:val="none"/>
          <w:shd w:val="clear" w:color="auto" w:fill="FFFFFF"/>
          <w:lang w:eastAsia="zh-CN"/>
        </w:rPr>
        <w:t>工程</w:t>
      </w:r>
      <w:r>
        <w:rPr>
          <w:rFonts w:hint="eastAsia" w:hAnsi="宋体"/>
          <w:color w:val="auto"/>
          <w:sz w:val="24"/>
          <w:szCs w:val="24"/>
          <w:highlight w:val="none"/>
          <w:shd w:val="clear" w:color="auto" w:fill="FFFFFF"/>
        </w:rPr>
        <w:t>其他工程服务的单位进行协同配合，做好竣工验收的各项工作，交付的工程必须符合各专业工程管养单位的相关要求。</w:t>
      </w:r>
    </w:p>
    <w:p w14:paraId="1674F0C5">
      <w:pPr>
        <w:wordWrap w:val="0"/>
        <w:autoSpaceDE/>
        <w:autoSpaceDN/>
        <w:snapToGrid w:val="0"/>
        <w:spacing w:line="360" w:lineRule="auto"/>
        <w:ind w:firstLine="480"/>
        <w:jc w:val="both"/>
        <w:outlineLvl w:val="9"/>
        <w:rPr>
          <w:rFonts w:hint="eastAsia" w:ascii="Times New Roman"/>
          <w:b/>
          <w:strike w:val="0"/>
          <w:dstrike w:val="0"/>
          <w:snapToGrid w:val="0"/>
          <w:color w:val="auto"/>
          <w:sz w:val="24"/>
          <w:szCs w:val="24"/>
          <w:highlight w:val="none"/>
        </w:rPr>
      </w:pPr>
      <w:r>
        <w:rPr>
          <w:rFonts w:hint="eastAsia" w:ascii="Times New Roman"/>
          <w:b/>
          <w:strike w:val="0"/>
          <w:dstrike w:val="0"/>
          <w:snapToGrid w:val="0"/>
          <w:color w:val="auto"/>
          <w:sz w:val="24"/>
          <w:szCs w:val="24"/>
          <w:highlight w:val="none"/>
          <w:lang w:val="en-US" w:eastAsia="zh-CN"/>
        </w:rPr>
        <w:t>4.7</w:t>
      </w:r>
      <w:r>
        <w:rPr>
          <w:rFonts w:hint="eastAsia" w:ascii="Times New Roman"/>
          <w:b/>
          <w:strike w:val="0"/>
          <w:dstrike w:val="0"/>
          <w:snapToGrid w:val="0"/>
          <w:color w:val="auto"/>
          <w:sz w:val="24"/>
          <w:szCs w:val="24"/>
          <w:highlight w:val="none"/>
        </w:rPr>
        <w:t>．监督实施</w:t>
      </w:r>
    </w:p>
    <w:p w14:paraId="1DA9B6F7">
      <w:pPr>
        <w:wordWrap w:val="0"/>
        <w:adjustRightInd w:val="0"/>
        <w:snapToGrid w:val="0"/>
        <w:spacing w:line="360" w:lineRule="auto"/>
        <w:ind w:firstLine="560"/>
        <w:outlineLvl w:val="9"/>
        <w:rPr>
          <w:rFonts w:hint="eastAsia" w:ascii="Times New Roman"/>
          <w:strike w:val="0"/>
          <w:dstrike w:val="0"/>
          <w:snapToGrid w:val="0"/>
          <w:color w:val="auto"/>
          <w:kern w:val="0"/>
          <w:sz w:val="24"/>
          <w:szCs w:val="24"/>
          <w:highlight w:val="none"/>
        </w:rPr>
      </w:pPr>
      <w:r>
        <w:rPr>
          <w:rFonts w:hint="eastAsia" w:ascii="Times New Roman"/>
          <w:strike w:val="0"/>
          <w:dstrike w:val="0"/>
          <w:snapToGrid w:val="0"/>
          <w:color w:val="auto"/>
          <w:kern w:val="0"/>
          <w:sz w:val="24"/>
          <w:szCs w:val="24"/>
          <w:highlight w:val="none"/>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33F4D062">
      <w:pPr>
        <w:wordWrap w:val="0"/>
        <w:autoSpaceDE/>
        <w:autoSpaceDN/>
        <w:snapToGrid w:val="0"/>
        <w:spacing w:line="360" w:lineRule="auto"/>
        <w:ind w:firstLine="480"/>
        <w:jc w:val="both"/>
        <w:outlineLvl w:val="9"/>
        <w:rPr>
          <w:rFonts w:hint="eastAsia" w:ascii="Times New Roman"/>
          <w:b/>
          <w:strike w:val="0"/>
          <w:dstrike w:val="0"/>
          <w:snapToGrid w:val="0"/>
          <w:color w:val="auto"/>
          <w:sz w:val="24"/>
          <w:szCs w:val="24"/>
          <w:highlight w:val="none"/>
        </w:rPr>
      </w:pPr>
      <w:r>
        <w:rPr>
          <w:rFonts w:hint="eastAsia" w:ascii="Times New Roman"/>
          <w:b/>
          <w:strike w:val="0"/>
          <w:dstrike w:val="0"/>
          <w:snapToGrid w:val="0"/>
          <w:color w:val="auto"/>
          <w:sz w:val="24"/>
          <w:szCs w:val="24"/>
          <w:highlight w:val="none"/>
          <w:lang w:val="en-US" w:eastAsia="zh-CN"/>
        </w:rPr>
        <w:t>4.8</w:t>
      </w:r>
      <w:r>
        <w:rPr>
          <w:rFonts w:hint="eastAsia" w:ascii="Times New Roman"/>
          <w:b/>
          <w:strike w:val="0"/>
          <w:dstrike w:val="0"/>
          <w:snapToGrid w:val="0"/>
          <w:color w:val="auto"/>
          <w:sz w:val="24"/>
          <w:szCs w:val="24"/>
          <w:highlight w:val="none"/>
        </w:rPr>
        <w:t>．主材的采购和使用</w:t>
      </w:r>
    </w:p>
    <w:p w14:paraId="0C2A9B51">
      <w:pPr>
        <w:wordWrap w:val="0"/>
        <w:adjustRightInd w:val="0"/>
        <w:snapToGrid w:val="0"/>
        <w:spacing w:line="360" w:lineRule="auto"/>
        <w:ind w:firstLine="560"/>
        <w:outlineLvl w:val="9"/>
        <w:rPr>
          <w:rFonts w:hint="eastAsia" w:ascii="Times New Roman"/>
          <w:bCs/>
          <w:strike w:val="0"/>
          <w:dstrike w:val="0"/>
          <w:snapToGrid w:val="0"/>
          <w:color w:val="auto"/>
          <w:kern w:val="0"/>
          <w:sz w:val="24"/>
          <w:szCs w:val="24"/>
          <w:highlight w:val="none"/>
        </w:rPr>
      </w:pPr>
      <w:r>
        <w:rPr>
          <w:rFonts w:hint="eastAsia" w:ascii="Times New Roman"/>
          <w:bCs/>
          <w:strike w:val="0"/>
          <w:dstrike w:val="0"/>
          <w:snapToGrid w:val="0"/>
          <w:color w:val="auto"/>
          <w:kern w:val="0"/>
          <w:sz w:val="24"/>
          <w:szCs w:val="24"/>
          <w:highlight w:val="none"/>
          <w:lang w:eastAsia="zh-CN"/>
        </w:rPr>
        <w:t>发包人</w:t>
      </w:r>
      <w:r>
        <w:rPr>
          <w:rFonts w:hint="eastAsia" w:ascii="Times New Roman"/>
          <w:bCs/>
          <w:strike w:val="0"/>
          <w:dstrike w:val="0"/>
          <w:snapToGrid w:val="0"/>
          <w:color w:val="auto"/>
          <w:kern w:val="0"/>
          <w:sz w:val="24"/>
          <w:szCs w:val="24"/>
          <w:highlight w:val="none"/>
        </w:rPr>
        <w:t>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20CE7C64">
      <w:pPr>
        <w:wordWrap w:val="0"/>
        <w:autoSpaceDE/>
        <w:autoSpaceDN/>
        <w:snapToGrid w:val="0"/>
        <w:spacing w:line="360" w:lineRule="auto"/>
        <w:ind w:firstLine="480"/>
        <w:jc w:val="both"/>
        <w:outlineLvl w:val="9"/>
        <w:rPr>
          <w:rFonts w:hint="eastAsia" w:ascii="Times New Roman"/>
          <w:b/>
          <w:strike w:val="0"/>
          <w:dstrike w:val="0"/>
          <w:snapToGrid w:val="0"/>
          <w:color w:val="auto"/>
          <w:sz w:val="24"/>
          <w:szCs w:val="24"/>
          <w:highlight w:val="none"/>
        </w:rPr>
      </w:pPr>
      <w:r>
        <w:rPr>
          <w:rFonts w:hint="eastAsia" w:ascii="Times New Roman"/>
          <w:b/>
          <w:strike w:val="0"/>
          <w:dstrike w:val="0"/>
          <w:snapToGrid w:val="0"/>
          <w:color w:val="auto"/>
          <w:sz w:val="24"/>
          <w:szCs w:val="24"/>
          <w:highlight w:val="none"/>
          <w:lang w:val="en-US" w:eastAsia="zh-CN"/>
        </w:rPr>
        <w:t>4.9</w:t>
      </w:r>
      <w:r>
        <w:rPr>
          <w:rFonts w:hint="eastAsia" w:ascii="Times New Roman"/>
          <w:b/>
          <w:strike w:val="0"/>
          <w:dstrike w:val="0"/>
          <w:snapToGrid w:val="0"/>
          <w:color w:val="auto"/>
          <w:sz w:val="24"/>
          <w:szCs w:val="24"/>
          <w:highlight w:val="none"/>
        </w:rPr>
        <w:t>．竣工资料移交</w:t>
      </w:r>
    </w:p>
    <w:p w14:paraId="5003080C">
      <w:pPr>
        <w:wordWrap w:val="0"/>
        <w:adjustRightInd w:val="0"/>
        <w:snapToGrid w:val="0"/>
        <w:spacing w:line="360" w:lineRule="auto"/>
        <w:ind w:firstLine="560"/>
        <w:outlineLvl w:val="9"/>
        <w:rPr>
          <w:rFonts w:hint="eastAsia"/>
          <w:strike w:val="0"/>
          <w:dstrike w:val="0"/>
          <w:color w:val="auto"/>
          <w:sz w:val="24"/>
          <w:szCs w:val="24"/>
          <w:highlight w:val="none"/>
        </w:rPr>
      </w:pPr>
      <w:r>
        <w:rPr>
          <w:rFonts w:hint="eastAsia" w:ascii="Times New Roman"/>
          <w:bCs/>
          <w:strike w:val="0"/>
          <w:dstrike w:val="0"/>
          <w:snapToGrid w:val="0"/>
          <w:color w:val="auto"/>
          <w:kern w:val="0"/>
          <w:sz w:val="24"/>
          <w:szCs w:val="24"/>
          <w:highlight w:val="none"/>
        </w:rPr>
        <w:t>项目竣工验收时，</w:t>
      </w:r>
      <w:r>
        <w:rPr>
          <w:rFonts w:hint="eastAsia" w:ascii="Times New Roman"/>
          <w:strike w:val="0"/>
          <w:dstrike w:val="0"/>
          <w:snapToGrid w:val="0"/>
          <w:color w:val="auto"/>
          <w:kern w:val="0"/>
          <w:sz w:val="24"/>
          <w:szCs w:val="24"/>
          <w:highlight w:val="none"/>
        </w:rPr>
        <w:t>承包</w:t>
      </w:r>
      <w:r>
        <w:rPr>
          <w:rFonts w:hint="eastAsia" w:ascii="Times New Roman"/>
          <w:bCs/>
          <w:strike w:val="0"/>
          <w:dstrike w:val="0"/>
          <w:snapToGrid w:val="0"/>
          <w:color w:val="auto"/>
          <w:kern w:val="0"/>
          <w:sz w:val="24"/>
          <w:szCs w:val="24"/>
          <w:highlight w:val="none"/>
        </w:rPr>
        <w:t>人应向监理单位和</w:t>
      </w:r>
      <w:r>
        <w:rPr>
          <w:rFonts w:hint="eastAsia" w:ascii="Times New Roman"/>
          <w:strike w:val="0"/>
          <w:dstrike w:val="0"/>
          <w:snapToGrid w:val="0"/>
          <w:color w:val="auto"/>
          <w:kern w:val="0"/>
          <w:sz w:val="24"/>
          <w:szCs w:val="24"/>
          <w:highlight w:val="none"/>
        </w:rPr>
        <w:t>发包</w:t>
      </w:r>
      <w:r>
        <w:rPr>
          <w:rFonts w:hint="eastAsia" w:ascii="Times New Roman"/>
          <w:bCs/>
          <w:strike w:val="0"/>
          <w:dstrike w:val="0"/>
          <w:snapToGrid w:val="0"/>
          <w:color w:val="auto"/>
          <w:kern w:val="0"/>
          <w:sz w:val="24"/>
          <w:szCs w:val="24"/>
          <w:highlight w:val="none"/>
        </w:rPr>
        <w:t>人提供符合国家档案部门备案要求的，编制成册的竣工图及有关的技术档案资料（含声像档案）一式</w:t>
      </w:r>
      <w:r>
        <w:rPr>
          <w:rFonts w:hint="eastAsia" w:ascii="Times New Roman"/>
          <w:bCs/>
          <w:strike w:val="0"/>
          <w:dstrike w:val="0"/>
          <w:snapToGrid w:val="0"/>
          <w:color w:val="auto"/>
          <w:kern w:val="0"/>
          <w:sz w:val="24"/>
          <w:szCs w:val="24"/>
          <w:highlight w:val="none"/>
          <w:u w:val="single"/>
        </w:rPr>
        <w:t>八</w:t>
      </w:r>
      <w:r>
        <w:rPr>
          <w:rFonts w:hint="eastAsia" w:ascii="Times New Roman"/>
          <w:bCs/>
          <w:strike w:val="0"/>
          <w:dstrike w:val="0"/>
          <w:snapToGrid w:val="0"/>
          <w:color w:val="auto"/>
          <w:kern w:val="0"/>
          <w:sz w:val="24"/>
          <w:szCs w:val="24"/>
          <w:highlight w:val="none"/>
        </w:rPr>
        <w:t>份。</w:t>
      </w:r>
    </w:p>
    <w:p w14:paraId="4CFBE8A7">
      <w:pPr>
        <w:wordWrap w:val="0"/>
        <w:autoSpaceDE/>
        <w:autoSpaceDN/>
        <w:snapToGrid w:val="0"/>
        <w:spacing w:line="360" w:lineRule="auto"/>
        <w:ind w:firstLine="480"/>
        <w:jc w:val="both"/>
        <w:outlineLvl w:val="9"/>
        <w:rPr>
          <w:rFonts w:hint="eastAsia" w:ascii="Times New Roman"/>
          <w:b/>
          <w:strike w:val="0"/>
          <w:dstrike w:val="0"/>
          <w:snapToGrid w:val="0"/>
          <w:color w:val="auto"/>
          <w:sz w:val="24"/>
          <w:szCs w:val="24"/>
          <w:highlight w:val="none"/>
        </w:rPr>
      </w:pPr>
      <w:r>
        <w:rPr>
          <w:rFonts w:hint="eastAsia" w:ascii="Times New Roman"/>
          <w:b/>
          <w:strike w:val="0"/>
          <w:dstrike w:val="0"/>
          <w:snapToGrid w:val="0"/>
          <w:color w:val="auto"/>
          <w:sz w:val="24"/>
          <w:szCs w:val="24"/>
          <w:highlight w:val="none"/>
          <w:lang w:val="en-US" w:eastAsia="zh-CN"/>
        </w:rPr>
        <w:t>4.10</w:t>
      </w:r>
      <w:r>
        <w:rPr>
          <w:rFonts w:hint="eastAsia" w:ascii="Times New Roman"/>
          <w:b/>
          <w:strike w:val="0"/>
          <w:dstrike w:val="0"/>
          <w:snapToGrid w:val="0"/>
          <w:color w:val="auto"/>
          <w:sz w:val="24"/>
          <w:szCs w:val="24"/>
          <w:highlight w:val="none"/>
        </w:rPr>
        <w:t>．质量保证</w:t>
      </w:r>
    </w:p>
    <w:p w14:paraId="6D9639C5">
      <w:pPr>
        <w:wordWrap w:val="0"/>
        <w:adjustRightInd w:val="0"/>
        <w:snapToGrid w:val="0"/>
        <w:spacing w:line="360" w:lineRule="auto"/>
        <w:ind w:firstLine="560"/>
        <w:outlineLvl w:val="9"/>
        <w:rPr>
          <w:rFonts w:hint="eastAsia" w:ascii="Times New Roman"/>
          <w:bCs/>
          <w:strike w:val="0"/>
          <w:dstrike w:val="0"/>
          <w:snapToGrid w:val="0"/>
          <w:color w:val="auto"/>
          <w:kern w:val="0"/>
          <w:sz w:val="24"/>
          <w:szCs w:val="24"/>
          <w:highlight w:val="none"/>
        </w:rPr>
      </w:pPr>
      <w:r>
        <w:rPr>
          <w:rFonts w:hint="eastAsia" w:ascii="Times New Roman"/>
          <w:b/>
          <w:bCs/>
          <w:strike w:val="0"/>
          <w:dstrike w:val="0"/>
          <w:snapToGrid w:val="0"/>
          <w:color w:val="auto"/>
          <w:kern w:val="0"/>
          <w:sz w:val="24"/>
          <w:szCs w:val="24"/>
          <w:highlight w:val="none"/>
          <w:lang w:val="en-US" w:eastAsia="zh-CN"/>
        </w:rPr>
        <w:t>4.10</w:t>
      </w:r>
      <w:r>
        <w:rPr>
          <w:rFonts w:hint="eastAsia" w:ascii="Times New Roman"/>
          <w:b/>
          <w:bCs/>
          <w:strike w:val="0"/>
          <w:dstrike w:val="0"/>
          <w:snapToGrid w:val="0"/>
          <w:color w:val="auto"/>
          <w:kern w:val="0"/>
          <w:sz w:val="24"/>
          <w:szCs w:val="24"/>
          <w:highlight w:val="none"/>
        </w:rPr>
        <w:t>.1</w:t>
      </w:r>
      <w:r>
        <w:rPr>
          <w:rFonts w:hint="eastAsia" w:ascii="Times New Roman"/>
          <w:bCs/>
          <w:strike w:val="0"/>
          <w:dstrike w:val="0"/>
          <w:snapToGrid w:val="0"/>
          <w:color w:val="auto"/>
          <w:kern w:val="0"/>
          <w:sz w:val="24"/>
          <w:szCs w:val="24"/>
          <w:highlight w:val="none"/>
        </w:rPr>
        <w:t xml:space="preserve"> 本招标项目缺陷责任期为</w:t>
      </w:r>
      <w:r>
        <w:rPr>
          <w:rFonts w:hint="eastAsia" w:ascii="Times New Roman"/>
          <w:bCs/>
          <w:strike w:val="0"/>
          <w:dstrike w:val="0"/>
          <w:snapToGrid w:val="0"/>
          <w:color w:val="auto"/>
          <w:kern w:val="0"/>
          <w:sz w:val="24"/>
          <w:szCs w:val="24"/>
          <w:highlight w:val="none"/>
          <w:u w:val="single"/>
        </w:rPr>
        <w:t xml:space="preserve"> </w:t>
      </w:r>
      <w:r>
        <w:rPr>
          <w:rFonts w:hint="eastAsia" w:ascii="Times New Roman"/>
          <w:bCs/>
          <w:strike w:val="0"/>
          <w:dstrike w:val="0"/>
          <w:snapToGrid w:val="0"/>
          <w:color w:val="auto"/>
          <w:kern w:val="0"/>
          <w:sz w:val="24"/>
          <w:szCs w:val="24"/>
          <w:highlight w:val="none"/>
          <w:u w:val="single"/>
          <w:lang w:val="en-US" w:eastAsia="zh-CN"/>
        </w:rPr>
        <w:t>2</w:t>
      </w:r>
      <w:r>
        <w:rPr>
          <w:rFonts w:hint="eastAsia" w:ascii="Times New Roman"/>
          <w:bCs/>
          <w:strike w:val="0"/>
          <w:dstrike w:val="0"/>
          <w:snapToGrid w:val="0"/>
          <w:color w:val="auto"/>
          <w:kern w:val="0"/>
          <w:sz w:val="24"/>
          <w:szCs w:val="24"/>
          <w:highlight w:val="none"/>
        </w:rPr>
        <w:t>年（自通过竣工验收之日起计），在此期间预留金额为结算价</w:t>
      </w:r>
      <w:r>
        <w:rPr>
          <w:rFonts w:hint="eastAsia" w:ascii="Times New Roman"/>
          <w:bCs/>
          <w:strike w:val="0"/>
          <w:dstrike w:val="0"/>
          <w:snapToGrid w:val="0"/>
          <w:color w:val="auto"/>
          <w:kern w:val="0"/>
          <w:sz w:val="24"/>
          <w:szCs w:val="24"/>
          <w:highlight w:val="none"/>
          <w:u w:val="single"/>
        </w:rPr>
        <w:t xml:space="preserve"> 3% </w:t>
      </w:r>
      <w:r>
        <w:rPr>
          <w:rFonts w:hint="eastAsia" w:ascii="Times New Roman"/>
          <w:bCs/>
          <w:strike w:val="0"/>
          <w:dstrike w:val="0"/>
          <w:snapToGrid w:val="0"/>
          <w:color w:val="auto"/>
          <w:kern w:val="0"/>
          <w:sz w:val="24"/>
          <w:szCs w:val="24"/>
          <w:highlight w:val="none"/>
        </w:rPr>
        <w:t>的质量保证。</w:t>
      </w:r>
    </w:p>
    <w:p w14:paraId="35819879">
      <w:pPr>
        <w:wordWrap w:val="0"/>
        <w:adjustRightInd w:val="0"/>
        <w:snapToGrid w:val="0"/>
        <w:spacing w:line="360" w:lineRule="auto"/>
        <w:ind w:firstLine="560"/>
        <w:outlineLvl w:val="9"/>
        <w:rPr>
          <w:rFonts w:hAnsi="宋体" w:cs="宋体"/>
          <w:bCs/>
          <w:strike w:val="0"/>
          <w:dstrike w:val="0"/>
          <w:snapToGrid w:val="0"/>
          <w:color w:val="auto"/>
          <w:kern w:val="0"/>
          <w:sz w:val="24"/>
          <w:szCs w:val="24"/>
          <w:highlight w:val="none"/>
        </w:rPr>
      </w:pPr>
      <w:r>
        <w:rPr>
          <w:rFonts w:hint="eastAsia" w:ascii="Times New Roman"/>
          <w:b/>
          <w:bCs/>
          <w:strike w:val="0"/>
          <w:dstrike w:val="0"/>
          <w:snapToGrid w:val="0"/>
          <w:color w:val="auto"/>
          <w:kern w:val="0"/>
          <w:sz w:val="24"/>
          <w:szCs w:val="24"/>
          <w:highlight w:val="none"/>
          <w:lang w:val="en-US" w:eastAsia="zh-CN"/>
        </w:rPr>
        <w:t>4.10</w:t>
      </w:r>
      <w:r>
        <w:rPr>
          <w:rFonts w:ascii="Times New Roman"/>
          <w:b/>
          <w:bCs/>
          <w:strike w:val="0"/>
          <w:dstrike w:val="0"/>
          <w:snapToGrid w:val="0"/>
          <w:color w:val="auto"/>
          <w:kern w:val="0"/>
          <w:sz w:val="24"/>
          <w:szCs w:val="24"/>
          <w:highlight w:val="none"/>
        </w:rPr>
        <w:t xml:space="preserve">.2 </w:t>
      </w:r>
      <w:r>
        <w:rPr>
          <w:rFonts w:hAnsi="宋体" w:cs="宋体"/>
          <w:bCs/>
          <w:strike w:val="0"/>
          <w:dstrike w:val="0"/>
          <w:snapToGrid w:val="0"/>
          <w:color w:val="auto"/>
          <w:kern w:val="0"/>
          <w:sz w:val="24"/>
          <w:szCs w:val="24"/>
          <w:highlight w:val="none"/>
        </w:rPr>
        <w:t>质量保证的形式：采用质量保证金，在结清审定总造价时一次性扣留相应金额作为质量保证金。</w:t>
      </w:r>
    </w:p>
    <w:p w14:paraId="25BD6C59">
      <w:pPr>
        <w:keepNext w:val="0"/>
        <w:keepLines w:val="0"/>
        <w:widowControl/>
        <w:suppressLineNumbers w:val="0"/>
        <w:spacing w:line="360" w:lineRule="auto"/>
        <w:jc w:val="left"/>
        <w:outlineLvl w:val="9"/>
        <w:rPr>
          <w:color w:val="auto"/>
          <w:sz w:val="24"/>
          <w:szCs w:val="24"/>
          <w:highlight w:val="none"/>
        </w:rPr>
      </w:pP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 xml:space="preserve">）采用质量保证金形式的，在结清审定总造价时一次性扣留相应金额作为质量保证金。 </w:t>
      </w:r>
    </w:p>
    <w:p w14:paraId="4C755340">
      <w:pPr>
        <w:keepNext w:val="0"/>
        <w:keepLines w:val="0"/>
        <w:widowControl/>
        <w:suppressLineNumbers w:val="0"/>
        <w:spacing w:line="360" w:lineRule="auto"/>
        <w:jc w:val="left"/>
        <w:outlineLvl w:val="9"/>
        <w:rPr>
          <w:color w:val="auto"/>
          <w:sz w:val="24"/>
          <w:szCs w:val="24"/>
          <w:highlight w:val="none"/>
        </w:rPr>
      </w:pP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采用质量保证担保或质量保证保险的，承包人应在竣工验收时向发包人提交有效的商业保函、银行保函或保险合同（或保险单）原件，商业保函、银行保函或保险合同（或保险单）的有效期不得短于缺陷责任期。</w:t>
      </w:r>
    </w:p>
    <w:p w14:paraId="67687F62">
      <w:pPr>
        <w:wordWrap w:val="0"/>
        <w:adjustRightInd w:val="0"/>
        <w:snapToGrid w:val="0"/>
        <w:spacing w:line="360" w:lineRule="auto"/>
        <w:ind w:firstLine="560"/>
        <w:outlineLvl w:val="9"/>
        <w:rPr>
          <w:rFonts w:hint="eastAsia" w:ascii="Times New Roman"/>
          <w:bCs/>
          <w:strike w:val="0"/>
          <w:dstrike w:val="0"/>
          <w:snapToGrid w:val="0"/>
          <w:color w:val="auto"/>
          <w:kern w:val="0"/>
          <w:sz w:val="24"/>
          <w:szCs w:val="24"/>
          <w:highlight w:val="none"/>
        </w:rPr>
      </w:pPr>
      <w:r>
        <w:rPr>
          <w:rFonts w:hint="eastAsia" w:ascii="Times New Roman"/>
          <w:b/>
          <w:bCs/>
          <w:strike w:val="0"/>
          <w:dstrike w:val="0"/>
          <w:snapToGrid w:val="0"/>
          <w:color w:val="auto"/>
          <w:kern w:val="0"/>
          <w:sz w:val="24"/>
          <w:szCs w:val="24"/>
          <w:highlight w:val="none"/>
          <w:lang w:val="en-US" w:eastAsia="zh-CN"/>
        </w:rPr>
        <w:t>4.10</w:t>
      </w:r>
      <w:r>
        <w:rPr>
          <w:rFonts w:hint="eastAsia" w:ascii="Times New Roman"/>
          <w:b/>
          <w:bCs/>
          <w:strike w:val="0"/>
          <w:dstrike w:val="0"/>
          <w:snapToGrid w:val="0"/>
          <w:color w:val="auto"/>
          <w:kern w:val="0"/>
          <w:sz w:val="24"/>
          <w:szCs w:val="24"/>
          <w:highlight w:val="none"/>
        </w:rPr>
        <w:t>.3</w:t>
      </w:r>
      <w:r>
        <w:rPr>
          <w:rFonts w:hint="eastAsia" w:ascii="Times New Roman"/>
          <w:bCs/>
          <w:strike w:val="0"/>
          <w:dstrike w:val="0"/>
          <w:snapToGrid w:val="0"/>
          <w:color w:val="auto"/>
          <w:kern w:val="0"/>
          <w:sz w:val="24"/>
          <w:szCs w:val="24"/>
          <w:highlight w:val="none"/>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47B01A51">
      <w:pPr>
        <w:wordWrap w:val="0"/>
        <w:adjustRightInd w:val="0"/>
        <w:snapToGrid w:val="0"/>
        <w:spacing w:line="360" w:lineRule="auto"/>
        <w:ind w:firstLine="560"/>
        <w:outlineLvl w:val="9"/>
        <w:rPr>
          <w:rFonts w:ascii="Times New Roman"/>
          <w:bCs/>
          <w:strike w:val="0"/>
          <w:dstrike w:val="0"/>
          <w:snapToGrid w:val="0"/>
          <w:color w:val="auto"/>
          <w:kern w:val="0"/>
          <w:sz w:val="24"/>
          <w:szCs w:val="24"/>
          <w:highlight w:val="none"/>
        </w:rPr>
      </w:pPr>
      <w:r>
        <w:rPr>
          <w:rFonts w:ascii="Times New Roman"/>
          <w:bCs/>
          <w:strike w:val="0"/>
          <w:dstrike w:val="0"/>
          <w:snapToGrid w:val="0"/>
          <w:color w:val="auto"/>
          <w:kern w:val="0"/>
          <w:sz w:val="24"/>
          <w:szCs w:val="24"/>
          <w:highlight w:val="none"/>
        </w:rPr>
        <w:t>由他人原因造成的缺陷，发包人负责组织维修，承包人不承担费用，且发包人不得从</w:t>
      </w:r>
      <w:r>
        <w:rPr>
          <w:rFonts w:hint="eastAsia" w:ascii="Times New Roman"/>
          <w:bCs/>
          <w:strike w:val="0"/>
          <w:dstrike w:val="0"/>
          <w:snapToGrid w:val="0"/>
          <w:color w:val="auto"/>
          <w:kern w:val="0"/>
          <w:sz w:val="24"/>
          <w:szCs w:val="24"/>
          <w:highlight w:val="none"/>
        </w:rPr>
        <w:t>质量</w:t>
      </w:r>
      <w:r>
        <w:rPr>
          <w:rFonts w:ascii="Times New Roman"/>
          <w:bCs/>
          <w:strike w:val="0"/>
          <w:dstrike w:val="0"/>
          <w:snapToGrid w:val="0"/>
          <w:color w:val="auto"/>
          <w:kern w:val="0"/>
          <w:sz w:val="24"/>
          <w:szCs w:val="24"/>
          <w:highlight w:val="none"/>
        </w:rPr>
        <w:t>保证中扣除费用。</w:t>
      </w:r>
    </w:p>
    <w:p w14:paraId="76D6FE4A">
      <w:pPr>
        <w:wordWrap w:val="0"/>
        <w:adjustRightInd w:val="0"/>
        <w:snapToGrid w:val="0"/>
        <w:spacing w:line="360" w:lineRule="auto"/>
        <w:ind w:firstLine="560"/>
        <w:outlineLvl w:val="9"/>
        <w:rPr>
          <w:rFonts w:ascii="Times New Roman"/>
          <w:bCs/>
          <w:strike w:val="0"/>
          <w:dstrike w:val="0"/>
          <w:snapToGrid w:val="0"/>
          <w:color w:val="auto"/>
          <w:kern w:val="0"/>
          <w:sz w:val="24"/>
          <w:szCs w:val="24"/>
          <w:highlight w:val="none"/>
        </w:rPr>
      </w:pPr>
      <w:r>
        <w:rPr>
          <w:rFonts w:hint="eastAsia" w:ascii="Times New Roman"/>
          <w:b/>
          <w:bCs/>
          <w:strike w:val="0"/>
          <w:dstrike w:val="0"/>
          <w:snapToGrid w:val="0"/>
          <w:color w:val="auto"/>
          <w:kern w:val="0"/>
          <w:sz w:val="24"/>
          <w:szCs w:val="24"/>
          <w:highlight w:val="none"/>
          <w:lang w:val="en-US" w:eastAsia="zh-CN"/>
        </w:rPr>
        <w:t>4.10.</w:t>
      </w:r>
      <w:r>
        <w:rPr>
          <w:rFonts w:hint="eastAsia" w:ascii="Times New Roman"/>
          <w:b/>
          <w:bCs/>
          <w:strike w:val="0"/>
          <w:dstrike w:val="0"/>
          <w:snapToGrid w:val="0"/>
          <w:color w:val="auto"/>
          <w:kern w:val="0"/>
          <w:sz w:val="24"/>
          <w:szCs w:val="24"/>
          <w:highlight w:val="none"/>
        </w:rPr>
        <w:t>4</w:t>
      </w:r>
      <w:r>
        <w:rPr>
          <w:rFonts w:hint="eastAsia" w:ascii="Times New Roman"/>
          <w:bCs/>
          <w:strike w:val="0"/>
          <w:dstrike w:val="0"/>
          <w:snapToGrid w:val="0"/>
          <w:color w:val="auto"/>
          <w:kern w:val="0"/>
          <w:sz w:val="24"/>
          <w:szCs w:val="24"/>
          <w:highlight w:val="none"/>
        </w:rPr>
        <w:t xml:space="preserve"> </w:t>
      </w:r>
      <w:r>
        <w:rPr>
          <w:rFonts w:ascii="Times New Roman"/>
          <w:bCs/>
          <w:strike w:val="0"/>
          <w:dstrike w:val="0"/>
          <w:snapToGrid w:val="0"/>
          <w:color w:val="auto"/>
          <w:kern w:val="0"/>
          <w:sz w:val="24"/>
          <w:szCs w:val="24"/>
          <w:highlight w:val="none"/>
        </w:rPr>
        <w:t>缺陷责任期内，承包人</w:t>
      </w:r>
      <w:r>
        <w:rPr>
          <w:rFonts w:hint="eastAsia" w:ascii="Times New Roman"/>
          <w:bCs/>
          <w:strike w:val="0"/>
          <w:dstrike w:val="0"/>
          <w:snapToGrid w:val="0"/>
          <w:color w:val="auto"/>
          <w:kern w:val="0"/>
          <w:sz w:val="24"/>
          <w:szCs w:val="24"/>
          <w:highlight w:val="none"/>
        </w:rPr>
        <w:t>应</w:t>
      </w:r>
      <w:r>
        <w:rPr>
          <w:rFonts w:ascii="Times New Roman"/>
          <w:bCs/>
          <w:strike w:val="0"/>
          <w:dstrike w:val="0"/>
          <w:snapToGrid w:val="0"/>
          <w:color w:val="auto"/>
          <w:kern w:val="0"/>
          <w:sz w:val="24"/>
          <w:szCs w:val="24"/>
          <w:highlight w:val="none"/>
        </w:rPr>
        <w:t>认真履行合同约定的责任</w:t>
      </w:r>
      <w:r>
        <w:rPr>
          <w:rFonts w:hint="eastAsia" w:ascii="Times New Roman"/>
          <w:bCs/>
          <w:strike w:val="0"/>
          <w:dstrike w:val="0"/>
          <w:snapToGrid w:val="0"/>
          <w:color w:val="auto"/>
          <w:kern w:val="0"/>
          <w:sz w:val="24"/>
          <w:szCs w:val="24"/>
          <w:highlight w:val="none"/>
        </w:rPr>
        <w:t>。</w:t>
      </w:r>
      <w:r>
        <w:rPr>
          <w:rFonts w:ascii="Times New Roman"/>
          <w:bCs/>
          <w:strike w:val="0"/>
          <w:dstrike w:val="0"/>
          <w:snapToGrid w:val="0"/>
          <w:color w:val="auto"/>
          <w:kern w:val="0"/>
          <w:sz w:val="24"/>
          <w:szCs w:val="24"/>
          <w:highlight w:val="none"/>
        </w:rPr>
        <w:t>缺陷责任期到期后，承包人向发包人申请</w:t>
      </w:r>
      <w:r>
        <w:rPr>
          <w:rFonts w:hint="eastAsia" w:ascii="Times New Roman"/>
          <w:bCs/>
          <w:strike w:val="0"/>
          <w:dstrike w:val="0"/>
          <w:snapToGrid w:val="0"/>
          <w:color w:val="auto"/>
          <w:kern w:val="0"/>
          <w:sz w:val="24"/>
          <w:szCs w:val="24"/>
          <w:highlight w:val="none"/>
        </w:rPr>
        <w:t>退还质量</w:t>
      </w:r>
      <w:r>
        <w:rPr>
          <w:rFonts w:ascii="Times New Roman"/>
          <w:bCs/>
          <w:strike w:val="0"/>
          <w:dstrike w:val="0"/>
          <w:snapToGrid w:val="0"/>
          <w:color w:val="auto"/>
          <w:kern w:val="0"/>
          <w:sz w:val="24"/>
          <w:szCs w:val="24"/>
          <w:highlight w:val="none"/>
        </w:rPr>
        <w:t>保</w:t>
      </w:r>
      <w:r>
        <w:rPr>
          <w:rFonts w:hint="eastAsia" w:ascii="Times New Roman" w:eastAsia="宋体"/>
          <w:bCs/>
          <w:strike w:val="0"/>
          <w:dstrike w:val="0"/>
          <w:snapToGrid w:val="0"/>
          <w:color w:val="auto"/>
          <w:kern w:val="0"/>
          <w:sz w:val="24"/>
          <w:szCs w:val="24"/>
          <w:highlight w:val="none"/>
          <w:lang w:eastAsia="zh-CN"/>
        </w:rPr>
        <w:t>证金</w:t>
      </w:r>
      <w:r>
        <w:rPr>
          <w:rFonts w:hint="eastAsia" w:ascii="Times New Roman"/>
          <w:bCs/>
          <w:strike w:val="0"/>
          <w:dstrike w:val="0"/>
          <w:snapToGrid w:val="0"/>
          <w:color w:val="auto"/>
          <w:kern w:val="0"/>
          <w:sz w:val="24"/>
          <w:szCs w:val="24"/>
          <w:highlight w:val="none"/>
        </w:rPr>
        <w:t>，发包人应按照《建设工程质量保证金管理办法》有关规定将质量</w:t>
      </w:r>
      <w:r>
        <w:rPr>
          <w:rFonts w:ascii="Times New Roman"/>
          <w:bCs/>
          <w:strike w:val="0"/>
          <w:dstrike w:val="0"/>
          <w:snapToGrid w:val="0"/>
          <w:color w:val="auto"/>
          <w:kern w:val="0"/>
          <w:sz w:val="24"/>
          <w:szCs w:val="24"/>
          <w:highlight w:val="none"/>
        </w:rPr>
        <w:t>保</w:t>
      </w:r>
      <w:r>
        <w:rPr>
          <w:rFonts w:hint="eastAsia" w:ascii="Times New Roman" w:eastAsia="宋体"/>
          <w:bCs/>
          <w:strike w:val="0"/>
          <w:dstrike w:val="0"/>
          <w:snapToGrid w:val="0"/>
          <w:color w:val="auto"/>
          <w:kern w:val="0"/>
          <w:sz w:val="24"/>
          <w:szCs w:val="24"/>
          <w:highlight w:val="none"/>
          <w:lang w:eastAsia="zh-CN"/>
        </w:rPr>
        <w:t>证金</w:t>
      </w:r>
      <w:r>
        <w:rPr>
          <w:rFonts w:hint="eastAsia" w:ascii="Times New Roman"/>
          <w:bCs/>
          <w:strike w:val="0"/>
          <w:dstrike w:val="0"/>
          <w:snapToGrid w:val="0"/>
          <w:color w:val="auto"/>
          <w:kern w:val="0"/>
          <w:sz w:val="24"/>
          <w:szCs w:val="24"/>
          <w:highlight w:val="none"/>
        </w:rPr>
        <w:t>退还给承包人</w:t>
      </w:r>
      <w:r>
        <w:rPr>
          <w:rFonts w:ascii="Times New Roman"/>
          <w:bCs/>
          <w:strike w:val="0"/>
          <w:dstrike w:val="0"/>
          <w:snapToGrid w:val="0"/>
          <w:color w:val="auto"/>
          <w:kern w:val="0"/>
          <w:sz w:val="24"/>
          <w:szCs w:val="24"/>
          <w:highlight w:val="none"/>
        </w:rPr>
        <w:t>。</w:t>
      </w:r>
    </w:p>
    <w:p w14:paraId="56079BCD">
      <w:pPr>
        <w:wordWrap w:val="0"/>
        <w:autoSpaceDE/>
        <w:autoSpaceDN/>
        <w:snapToGrid w:val="0"/>
        <w:spacing w:line="360" w:lineRule="auto"/>
        <w:ind w:firstLine="480"/>
        <w:jc w:val="both"/>
        <w:outlineLvl w:val="9"/>
        <w:rPr>
          <w:rFonts w:hint="eastAsia" w:ascii="Times New Roman"/>
          <w:b/>
          <w:strike w:val="0"/>
          <w:dstrike w:val="0"/>
          <w:snapToGrid w:val="0"/>
          <w:color w:val="auto"/>
          <w:sz w:val="24"/>
          <w:szCs w:val="24"/>
          <w:highlight w:val="none"/>
        </w:rPr>
      </w:pPr>
      <w:r>
        <w:rPr>
          <w:rFonts w:hint="eastAsia" w:ascii="Times New Roman"/>
          <w:b/>
          <w:strike w:val="0"/>
          <w:dstrike w:val="0"/>
          <w:snapToGrid w:val="0"/>
          <w:color w:val="auto"/>
          <w:sz w:val="24"/>
          <w:szCs w:val="24"/>
          <w:highlight w:val="none"/>
          <w:lang w:val="en-US" w:eastAsia="zh-CN"/>
        </w:rPr>
        <w:t>4.11</w:t>
      </w:r>
      <w:r>
        <w:rPr>
          <w:rFonts w:hint="eastAsia" w:ascii="Times New Roman"/>
          <w:b/>
          <w:strike w:val="0"/>
          <w:dstrike w:val="0"/>
          <w:snapToGrid w:val="0"/>
          <w:color w:val="auto"/>
          <w:sz w:val="24"/>
          <w:szCs w:val="24"/>
          <w:highlight w:val="none"/>
        </w:rPr>
        <w:t>．不良行为处理</w:t>
      </w:r>
    </w:p>
    <w:p w14:paraId="12E62F38">
      <w:pPr>
        <w:pStyle w:val="53"/>
        <w:wordWrap w:val="0"/>
        <w:adjustRightInd w:val="0"/>
        <w:snapToGrid w:val="0"/>
        <w:spacing w:line="360" w:lineRule="auto"/>
        <w:ind w:firstLine="480" w:firstLineChars="200"/>
        <w:jc w:val="left"/>
        <w:outlineLvl w:val="9"/>
        <w:rPr>
          <w:rFonts w:hint="eastAsia"/>
          <w:strike w:val="0"/>
          <w:dstrike w:val="0"/>
          <w:snapToGrid w:val="0"/>
          <w:color w:val="auto"/>
          <w:kern w:val="0"/>
          <w:szCs w:val="24"/>
          <w:highlight w:val="none"/>
        </w:rPr>
      </w:pPr>
      <w:r>
        <w:rPr>
          <w:rFonts w:hint="eastAsia"/>
          <w:strike w:val="0"/>
          <w:dstrike w:val="0"/>
          <w:snapToGrid w:val="0"/>
          <w:color w:val="auto"/>
          <w:kern w:val="0"/>
          <w:szCs w:val="24"/>
          <w:highlight w:val="none"/>
        </w:rPr>
        <w:t>承包人及其有关人员有下列行为之一的，发包人应及时向建设行政主管部门报告。除按照有关</w:t>
      </w:r>
      <w:r>
        <w:rPr>
          <w:rFonts w:hint="eastAsia"/>
          <w:strike w:val="0"/>
          <w:dstrike w:val="0"/>
          <w:snapToGrid w:val="0"/>
          <w:color w:val="auto"/>
          <w:kern w:val="0"/>
          <w:szCs w:val="24"/>
          <w:highlight w:val="none"/>
          <w:lang w:eastAsia="zh-CN"/>
        </w:rPr>
        <w:t>法律法规</w:t>
      </w:r>
      <w:r>
        <w:rPr>
          <w:rFonts w:hint="eastAsia"/>
          <w:strike w:val="0"/>
          <w:dstrike w:val="0"/>
          <w:snapToGrid w:val="0"/>
          <w:color w:val="auto"/>
          <w:kern w:val="0"/>
          <w:szCs w:val="24"/>
          <w:highlight w:val="none"/>
        </w:rPr>
        <w:t>进行处罚外，不良行为将</w:t>
      </w:r>
      <w:r>
        <w:rPr>
          <w:rFonts w:hint="eastAsia"/>
          <w:strike w:val="0"/>
          <w:dstrike w:val="0"/>
          <w:snapToGrid w:val="0"/>
          <w:color w:val="auto"/>
          <w:kern w:val="0"/>
          <w:szCs w:val="24"/>
          <w:highlight w:val="none"/>
          <w:lang w:eastAsia="zh-CN"/>
        </w:rPr>
        <w:t>记入</w:t>
      </w:r>
      <w:r>
        <w:rPr>
          <w:rFonts w:hint="eastAsia"/>
          <w:strike w:val="0"/>
          <w:dstrike w:val="0"/>
          <w:snapToGrid w:val="0"/>
          <w:color w:val="auto"/>
          <w:kern w:val="0"/>
          <w:szCs w:val="24"/>
          <w:highlight w:val="none"/>
        </w:rPr>
        <w:t>企业及有关个人诚信档案，并在韶关市住房和城乡建设管理局网站（http://zgj.sg.gov.cn）公示。</w:t>
      </w:r>
    </w:p>
    <w:p w14:paraId="43EDE0B9">
      <w:pPr>
        <w:pStyle w:val="53"/>
        <w:wordWrap w:val="0"/>
        <w:adjustRightInd w:val="0"/>
        <w:snapToGrid w:val="0"/>
        <w:spacing w:line="360" w:lineRule="auto"/>
        <w:ind w:firstLine="480" w:firstLineChars="200"/>
        <w:jc w:val="left"/>
        <w:outlineLvl w:val="9"/>
        <w:rPr>
          <w:rFonts w:hint="eastAsia"/>
          <w:strike w:val="0"/>
          <w:dstrike w:val="0"/>
          <w:snapToGrid w:val="0"/>
          <w:color w:val="auto"/>
          <w:kern w:val="0"/>
          <w:szCs w:val="24"/>
          <w:highlight w:val="none"/>
        </w:rPr>
      </w:pPr>
      <w:r>
        <w:rPr>
          <w:rFonts w:hint="eastAsia"/>
          <w:strike w:val="0"/>
          <w:dstrike w:val="0"/>
          <w:snapToGrid w:val="0"/>
          <w:color w:val="auto"/>
          <w:kern w:val="0"/>
          <w:szCs w:val="24"/>
          <w:highlight w:val="none"/>
        </w:rPr>
        <w:t>（1）转包、违法分包或违反投标承诺分包工程的；</w:t>
      </w:r>
    </w:p>
    <w:p w14:paraId="35BFCAEC">
      <w:pPr>
        <w:pStyle w:val="53"/>
        <w:wordWrap w:val="0"/>
        <w:adjustRightInd w:val="0"/>
        <w:snapToGrid w:val="0"/>
        <w:spacing w:line="360" w:lineRule="auto"/>
        <w:ind w:firstLine="480" w:firstLineChars="200"/>
        <w:jc w:val="left"/>
        <w:outlineLvl w:val="9"/>
        <w:rPr>
          <w:rFonts w:hint="eastAsia"/>
          <w:strike w:val="0"/>
          <w:dstrike w:val="0"/>
          <w:snapToGrid w:val="0"/>
          <w:color w:val="auto"/>
          <w:kern w:val="0"/>
          <w:szCs w:val="24"/>
          <w:highlight w:val="none"/>
        </w:rPr>
      </w:pPr>
      <w:r>
        <w:rPr>
          <w:rFonts w:hint="eastAsia"/>
          <w:strike w:val="0"/>
          <w:dstrike w:val="0"/>
          <w:snapToGrid w:val="0"/>
          <w:color w:val="auto"/>
          <w:kern w:val="0"/>
          <w:szCs w:val="24"/>
          <w:highlight w:val="none"/>
        </w:rPr>
        <w:t>（2）非原参加投标中标的项目经理负责组织施工或在实施过程中擅自更换项目经理的、项目的其他主要管理人员与中标文件确定的人员不相符的；</w:t>
      </w:r>
    </w:p>
    <w:p w14:paraId="337B4F59">
      <w:pPr>
        <w:pStyle w:val="53"/>
        <w:wordWrap w:val="0"/>
        <w:adjustRightInd w:val="0"/>
        <w:snapToGrid w:val="0"/>
        <w:spacing w:line="360" w:lineRule="auto"/>
        <w:ind w:firstLine="480" w:firstLineChars="200"/>
        <w:jc w:val="left"/>
        <w:outlineLvl w:val="9"/>
        <w:rPr>
          <w:rFonts w:hint="eastAsia"/>
          <w:strike w:val="0"/>
          <w:dstrike w:val="0"/>
          <w:snapToGrid w:val="0"/>
          <w:color w:val="auto"/>
          <w:kern w:val="0"/>
          <w:szCs w:val="24"/>
          <w:highlight w:val="none"/>
        </w:rPr>
      </w:pPr>
      <w:r>
        <w:rPr>
          <w:rFonts w:hint="eastAsia"/>
          <w:strike w:val="0"/>
          <w:dstrike w:val="0"/>
          <w:snapToGrid w:val="0"/>
          <w:color w:val="auto"/>
          <w:kern w:val="0"/>
          <w:szCs w:val="24"/>
          <w:highlight w:val="none"/>
        </w:rPr>
        <w:t>（3）投标文件确定的大型机械设备没有进入施工现场的；</w:t>
      </w:r>
    </w:p>
    <w:p w14:paraId="5A41324D">
      <w:pPr>
        <w:pStyle w:val="53"/>
        <w:wordWrap w:val="0"/>
        <w:adjustRightInd w:val="0"/>
        <w:snapToGrid w:val="0"/>
        <w:spacing w:line="360" w:lineRule="auto"/>
        <w:ind w:firstLine="480" w:firstLineChars="200"/>
        <w:jc w:val="left"/>
        <w:outlineLvl w:val="9"/>
        <w:rPr>
          <w:rFonts w:hint="eastAsia"/>
          <w:strike w:val="0"/>
          <w:dstrike w:val="0"/>
          <w:snapToGrid w:val="0"/>
          <w:color w:val="auto"/>
          <w:kern w:val="0"/>
          <w:szCs w:val="24"/>
          <w:highlight w:val="none"/>
        </w:rPr>
      </w:pPr>
      <w:r>
        <w:rPr>
          <w:rFonts w:hint="eastAsia"/>
          <w:strike w:val="0"/>
          <w:dstrike w:val="0"/>
          <w:snapToGrid w:val="0"/>
          <w:color w:val="auto"/>
          <w:kern w:val="0"/>
          <w:szCs w:val="24"/>
          <w:highlight w:val="none"/>
        </w:rPr>
        <w:t>（4）与建设单位、监理单位串通，签认虚假工程量或工程造价的；</w:t>
      </w:r>
    </w:p>
    <w:p w14:paraId="671423EB">
      <w:pPr>
        <w:pStyle w:val="53"/>
        <w:wordWrap w:val="0"/>
        <w:adjustRightInd w:val="0"/>
        <w:snapToGrid w:val="0"/>
        <w:spacing w:line="360" w:lineRule="auto"/>
        <w:ind w:firstLine="480" w:firstLineChars="200"/>
        <w:jc w:val="left"/>
        <w:outlineLvl w:val="9"/>
        <w:rPr>
          <w:rFonts w:hint="eastAsia"/>
          <w:strike w:val="0"/>
          <w:dstrike w:val="0"/>
          <w:snapToGrid w:val="0"/>
          <w:color w:val="auto"/>
          <w:kern w:val="0"/>
          <w:szCs w:val="24"/>
          <w:highlight w:val="none"/>
        </w:rPr>
      </w:pPr>
      <w:r>
        <w:rPr>
          <w:rFonts w:hint="eastAsia"/>
          <w:strike w:val="0"/>
          <w:dstrike w:val="0"/>
          <w:snapToGrid w:val="0"/>
          <w:color w:val="auto"/>
          <w:kern w:val="0"/>
          <w:szCs w:val="24"/>
          <w:highlight w:val="none"/>
        </w:rPr>
        <w:t>（5）项目经理施工现场管理不到位的；</w:t>
      </w:r>
    </w:p>
    <w:p w14:paraId="00E60FD6">
      <w:pPr>
        <w:pStyle w:val="53"/>
        <w:wordWrap w:val="0"/>
        <w:adjustRightInd w:val="0"/>
        <w:snapToGrid w:val="0"/>
        <w:spacing w:line="360" w:lineRule="auto"/>
        <w:ind w:firstLine="480" w:firstLineChars="200"/>
        <w:jc w:val="left"/>
        <w:outlineLvl w:val="9"/>
        <w:rPr>
          <w:rFonts w:hint="eastAsia"/>
          <w:strike w:val="0"/>
          <w:dstrike w:val="0"/>
          <w:snapToGrid w:val="0"/>
          <w:color w:val="auto"/>
          <w:kern w:val="0"/>
          <w:szCs w:val="24"/>
          <w:highlight w:val="none"/>
        </w:rPr>
      </w:pPr>
      <w:r>
        <w:rPr>
          <w:rFonts w:hint="eastAsia"/>
          <w:strike w:val="0"/>
          <w:dstrike w:val="0"/>
          <w:snapToGrid w:val="0"/>
          <w:color w:val="auto"/>
          <w:kern w:val="0"/>
          <w:szCs w:val="24"/>
          <w:highlight w:val="none"/>
        </w:rPr>
        <w:t>（6）项目经理在非本人资格证书注册单位从事工程项目施工管理的；</w:t>
      </w:r>
    </w:p>
    <w:p w14:paraId="05EA2432">
      <w:pPr>
        <w:pStyle w:val="53"/>
        <w:wordWrap w:val="0"/>
        <w:adjustRightInd w:val="0"/>
        <w:snapToGrid w:val="0"/>
        <w:spacing w:line="360" w:lineRule="auto"/>
        <w:ind w:firstLine="480" w:firstLineChars="200"/>
        <w:jc w:val="left"/>
        <w:outlineLvl w:val="9"/>
        <w:rPr>
          <w:rFonts w:hint="eastAsia"/>
          <w:strike w:val="0"/>
          <w:dstrike w:val="0"/>
          <w:snapToGrid w:val="0"/>
          <w:color w:val="auto"/>
          <w:kern w:val="0"/>
          <w:szCs w:val="24"/>
          <w:highlight w:val="none"/>
        </w:rPr>
      </w:pPr>
      <w:r>
        <w:rPr>
          <w:rFonts w:hint="eastAsia"/>
          <w:strike w:val="0"/>
          <w:dstrike w:val="0"/>
          <w:snapToGrid w:val="0"/>
          <w:color w:val="auto"/>
          <w:kern w:val="0"/>
          <w:szCs w:val="24"/>
          <w:highlight w:val="none"/>
        </w:rPr>
        <w:t>（7）项目经理同时承担超过一项工程项目的；</w:t>
      </w:r>
    </w:p>
    <w:p w14:paraId="5E20F5D4">
      <w:pPr>
        <w:pStyle w:val="53"/>
        <w:wordWrap w:val="0"/>
        <w:adjustRightInd w:val="0"/>
        <w:snapToGrid w:val="0"/>
        <w:spacing w:line="360" w:lineRule="auto"/>
        <w:ind w:firstLine="480" w:firstLineChars="200"/>
        <w:jc w:val="left"/>
        <w:outlineLvl w:val="9"/>
        <w:rPr>
          <w:rFonts w:hint="eastAsia"/>
          <w:strike w:val="0"/>
          <w:dstrike w:val="0"/>
          <w:snapToGrid w:val="0"/>
          <w:color w:val="auto"/>
          <w:kern w:val="0"/>
          <w:szCs w:val="24"/>
          <w:highlight w:val="none"/>
        </w:rPr>
      </w:pPr>
      <w:r>
        <w:rPr>
          <w:rFonts w:hint="eastAsia"/>
          <w:strike w:val="0"/>
          <w:dstrike w:val="0"/>
          <w:snapToGrid w:val="0"/>
          <w:color w:val="auto"/>
          <w:kern w:val="0"/>
          <w:szCs w:val="24"/>
          <w:highlight w:val="none"/>
        </w:rPr>
        <w:t>（8）违反有关</w:t>
      </w:r>
      <w:r>
        <w:rPr>
          <w:rFonts w:hint="eastAsia"/>
          <w:strike w:val="0"/>
          <w:dstrike w:val="0"/>
          <w:snapToGrid w:val="0"/>
          <w:color w:val="auto"/>
          <w:kern w:val="0"/>
          <w:szCs w:val="24"/>
          <w:highlight w:val="none"/>
          <w:lang w:eastAsia="zh-CN"/>
        </w:rPr>
        <w:t>法律法规</w:t>
      </w:r>
      <w:r>
        <w:rPr>
          <w:rFonts w:hint="eastAsia"/>
          <w:strike w:val="0"/>
          <w:dstrike w:val="0"/>
          <w:snapToGrid w:val="0"/>
          <w:color w:val="auto"/>
          <w:kern w:val="0"/>
          <w:szCs w:val="24"/>
          <w:highlight w:val="none"/>
        </w:rPr>
        <w:t>、规章规定的其它行为。</w:t>
      </w:r>
    </w:p>
    <w:p w14:paraId="6F14A16C">
      <w:pPr>
        <w:wordWrap w:val="0"/>
        <w:autoSpaceDE/>
        <w:autoSpaceDN/>
        <w:snapToGrid w:val="0"/>
        <w:spacing w:line="360" w:lineRule="auto"/>
        <w:ind w:firstLine="480"/>
        <w:jc w:val="both"/>
        <w:outlineLvl w:val="9"/>
        <w:rPr>
          <w:rFonts w:hint="eastAsia" w:ascii="Times New Roman"/>
          <w:b/>
          <w:strike w:val="0"/>
          <w:dstrike w:val="0"/>
          <w:snapToGrid w:val="0"/>
          <w:color w:val="auto"/>
          <w:sz w:val="24"/>
          <w:szCs w:val="24"/>
          <w:highlight w:val="none"/>
        </w:rPr>
      </w:pPr>
      <w:r>
        <w:rPr>
          <w:rFonts w:hint="eastAsia" w:ascii="Times New Roman"/>
          <w:b/>
          <w:strike w:val="0"/>
          <w:dstrike w:val="0"/>
          <w:snapToGrid w:val="0"/>
          <w:color w:val="auto"/>
          <w:sz w:val="24"/>
          <w:szCs w:val="24"/>
          <w:highlight w:val="none"/>
          <w:lang w:val="en-US" w:eastAsia="zh-CN"/>
        </w:rPr>
        <w:t>4.12</w:t>
      </w:r>
      <w:r>
        <w:rPr>
          <w:rFonts w:hint="eastAsia" w:ascii="Times New Roman"/>
          <w:b/>
          <w:strike w:val="0"/>
          <w:dstrike w:val="0"/>
          <w:snapToGrid w:val="0"/>
          <w:color w:val="auto"/>
          <w:sz w:val="24"/>
          <w:szCs w:val="24"/>
          <w:highlight w:val="none"/>
        </w:rPr>
        <w:t>．信用评价条款内容</w:t>
      </w:r>
    </w:p>
    <w:p w14:paraId="745ED708">
      <w:pPr>
        <w:pStyle w:val="38"/>
        <w:wordWrap w:val="0"/>
        <w:adjustRightInd w:val="0"/>
        <w:snapToGrid w:val="0"/>
        <w:spacing w:line="360" w:lineRule="auto"/>
        <w:ind w:firstLine="560"/>
        <w:rPr>
          <w:rFonts w:hint="eastAsia" w:ascii="Times New Roman"/>
          <w:b/>
          <w:bCs/>
          <w:strike w:val="0"/>
          <w:dstrike w:val="0"/>
          <w:snapToGrid w:val="0"/>
          <w:color w:val="auto"/>
          <w:kern w:val="0"/>
          <w:highlight w:val="none"/>
        </w:rPr>
      </w:pPr>
      <w:r>
        <w:rPr>
          <w:rFonts w:hint="eastAsia" w:ascii="Times New Roman"/>
          <w:strike w:val="0"/>
          <w:dstrike w:val="0"/>
          <w:snapToGrid w:val="0"/>
          <w:color w:val="auto"/>
          <w:kern w:val="0"/>
          <w:szCs w:val="24"/>
          <w:highlight w:val="none"/>
        </w:rPr>
        <w:t>由</w:t>
      </w:r>
      <w:r>
        <w:rPr>
          <w:rFonts w:hint="eastAsia" w:ascii="Times New Roman"/>
          <w:strike w:val="0"/>
          <w:dstrike w:val="0"/>
          <w:snapToGrid w:val="0"/>
          <w:color w:val="auto"/>
          <w:kern w:val="0"/>
          <w:szCs w:val="24"/>
          <w:highlight w:val="none"/>
          <w:lang w:eastAsia="zh-CN"/>
        </w:rPr>
        <w:t>发包人</w:t>
      </w:r>
      <w:r>
        <w:rPr>
          <w:rFonts w:hint="eastAsia" w:ascii="Times New Roman"/>
          <w:strike w:val="0"/>
          <w:dstrike w:val="0"/>
          <w:snapToGrid w:val="0"/>
          <w:color w:val="auto"/>
          <w:kern w:val="0"/>
          <w:szCs w:val="24"/>
          <w:highlight w:val="none"/>
        </w:rPr>
        <w:t>决定是否对施工单位的履约情况进行信用评价。若进行信用评价，评价条款由</w:t>
      </w:r>
      <w:r>
        <w:rPr>
          <w:rFonts w:hint="eastAsia" w:ascii="Times New Roman"/>
          <w:strike w:val="0"/>
          <w:dstrike w:val="0"/>
          <w:snapToGrid w:val="0"/>
          <w:color w:val="auto"/>
          <w:kern w:val="0"/>
          <w:szCs w:val="24"/>
          <w:highlight w:val="none"/>
          <w:lang w:eastAsia="zh-CN"/>
        </w:rPr>
        <w:t>发包人</w:t>
      </w:r>
      <w:r>
        <w:rPr>
          <w:rFonts w:hint="eastAsia" w:ascii="Times New Roman"/>
          <w:strike w:val="0"/>
          <w:dstrike w:val="0"/>
          <w:snapToGrid w:val="0"/>
          <w:color w:val="auto"/>
          <w:kern w:val="0"/>
          <w:szCs w:val="24"/>
          <w:highlight w:val="none"/>
        </w:rPr>
        <w:t>自拟，条款内容可参考人员到位情况、服务配合程度、服务成果质量、项目后期服务及信用评价结果的运用等。</w:t>
      </w:r>
    </w:p>
    <w:p w14:paraId="3A6AE000">
      <w:pPr>
        <w:pStyle w:val="38"/>
        <w:snapToGrid w:val="0"/>
        <w:spacing w:line="360" w:lineRule="auto"/>
        <w:ind w:firstLine="482" w:firstLineChars="200"/>
        <w:rPr>
          <w:rFonts w:hint="eastAsia" w:ascii="宋体" w:hAnsi="宋体" w:eastAsia="宋体" w:cs="Times New Roman"/>
          <w:strike w:val="0"/>
          <w:dstrike w:val="0"/>
          <w:color w:val="auto"/>
          <w:highlight w:val="none"/>
          <w:shd w:val="clear" w:color="auto" w:fill="FFFFFF"/>
        </w:rPr>
      </w:pPr>
      <w:r>
        <w:rPr>
          <w:rFonts w:hint="eastAsia" w:ascii="Times New Roman"/>
          <w:b/>
          <w:strike w:val="0"/>
          <w:dstrike w:val="0"/>
          <w:snapToGrid w:val="0"/>
          <w:color w:val="auto"/>
          <w:highlight w:val="none"/>
          <w:lang w:val="en-US" w:eastAsia="zh-CN"/>
        </w:rPr>
        <w:t>4.13</w:t>
      </w:r>
      <w:r>
        <w:rPr>
          <w:rFonts w:hint="eastAsia" w:hAnsi="宋体"/>
          <w:b/>
          <w:bCs/>
          <w:strike w:val="0"/>
          <w:dstrike w:val="0"/>
          <w:color w:val="auto"/>
          <w:highlight w:val="none"/>
          <w:shd w:val="clear" w:color="auto" w:fill="FFFFFF"/>
        </w:rPr>
        <w:t xml:space="preserve"> </w:t>
      </w:r>
      <w:r>
        <w:rPr>
          <w:rFonts w:hint="eastAsia" w:ascii="宋体" w:hAnsi="宋体" w:eastAsia="宋体" w:cs="Times New Roman"/>
          <w:strike w:val="0"/>
          <w:dstrike w:val="0"/>
          <w:color w:val="auto"/>
          <w:highlight w:val="none"/>
          <w:shd w:val="clear" w:color="auto" w:fill="FFFFFF"/>
        </w:rPr>
        <w:t>危险性较大的分部分项工程安全管理约定 。</w:t>
      </w:r>
      <w:r>
        <w:rPr>
          <w:rFonts w:hint="eastAsia" w:hAnsi="宋体" w:cs="Times New Roman"/>
          <w:strike w:val="0"/>
          <w:dstrike w:val="0"/>
          <w:color w:val="auto"/>
          <w:highlight w:val="none"/>
          <w:shd w:val="clear" w:color="auto" w:fill="FFFFFF"/>
          <w:lang w:eastAsia="zh-CN"/>
        </w:rPr>
        <w:t>承包人</w:t>
      </w:r>
      <w:r>
        <w:rPr>
          <w:rFonts w:hint="eastAsia" w:ascii="宋体" w:hAnsi="宋体" w:eastAsia="宋体" w:cs="Times New Roman"/>
          <w:strike w:val="0"/>
          <w:dstrike w:val="0"/>
          <w:color w:val="auto"/>
          <w:highlight w:val="none"/>
          <w:shd w:val="clear" w:color="auto" w:fill="FFFFFF"/>
        </w:rPr>
        <w:t>应对建设单位组织的勘察、设计等单位在施工招标文件中列出的危大工程清单进行投标文件回应。对危险性较大的工程必须按《危险性较大的分部分项工程安全管理规定》（中华人民共和国住房和城乡建设部令第37号）的规定编制专项施工方案。同时，</w:t>
      </w:r>
      <w:r>
        <w:rPr>
          <w:rFonts w:hint="eastAsia" w:hAnsi="宋体" w:cs="Times New Roman"/>
          <w:strike w:val="0"/>
          <w:dstrike w:val="0"/>
          <w:color w:val="auto"/>
          <w:highlight w:val="none"/>
          <w:shd w:val="clear" w:color="auto" w:fill="FFFFFF"/>
          <w:lang w:eastAsia="zh-CN"/>
        </w:rPr>
        <w:t>承包人</w:t>
      </w:r>
      <w:r>
        <w:rPr>
          <w:rFonts w:hint="eastAsia" w:ascii="宋体" w:hAnsi="宋体" w:eastAsia="宋体" w:cs="Times New Roman"/>
          <w:strike w:val="0"/>
          <w:dstrike w:val="0"/>
          <w:color w:val="auto"/>
          <w:highlight w:val="none"/>
          <w:shd w:val="clear" w:color="auto" w:fill="FFFFFF"/>
        </w:rPr>
        <w:t>必须按照《危险性较大的分部分项工程安全管理规定》的规定和经审批的专项施工方案履行安全职责，严格执行国家、地方政府有关施工安全管理方面的</w:t>
      </w:r>
      <w:r>
        <w:rPr>
          <w:rFonts w:hint="eastAsia" w:ascii="宋体" w:hAnsi="宋体" w:eastAsia="宋体" w:cs="Times New Roman"/>
          <w:strike w:val="0"/>
          <w:dstrike w:val="0"/>
          <w:color w:val="auto"/>
          <w:highlight w:val="none"/>
          <w:shd w:val="clear" w:color="auto" w:fill="FFFFFF"/>
          <w:lang w:eastAsia="zh-CN"/>
        </w:rPr>
        <w:t>法律法规</w:t>
      </w:r>
      <w:r>
        <w:rPr>
          <w:rFonts w:hint="eastAsia" w:ascii="宋体" w:hAnsi="宋体" w:eastAsia="宋体" w:cs="Times New Roman"/>
          <w:strike w:val="0"/>
          <w:dstrike w:val="0"/>
          <w:color w:val="auto"/>
          <w:highlight w:val="none"/>
          <w:shd w:val="clear" w:color="auto" w:fill="FFFFFF"/>
        </w:rPr>
        <w:t>及规章制度，同时严格执行</w:t>
      </w:r>
      <w:r>
        <w:rPr>
          <w:rFonts w:hint="eastAsia" w:hAnsi="宋体" w:cs="Times New Roman"/>
          <w:strike w:val="0"/>
          <w:dstrike w:val="0"/>
          <w:color w:val="auto"/>
          <w:highlight w:val="none"/>
          <w:shd w:val="clear" w:color="auto" w:fill="FFFFFF"/>
          <w:lang w:eastAsia="zh-CN"/>
        </w:rPr>
        <w:t>发包人</w:t>
      </w:r>
      <w:r>
        <w:rPr>
          <w:rFonts w:hint="eastAsia" w:ascii="宋体" w:hAnsi="宋体" w:eastAsia="宋体" w:cs="Times New Roman"/>
          <w:strike w:val="0"/>
          <w:dstrike w:val="0"/>
          <w:color w:val="auto"/>
          <w:highlight w:val="none"/>
          <w:shd w:val="clear" w:color="auto" w:fill="FFFFFF"/>
        </w:rPr>
        <w:t>制订的本项目安全生产管理方面的规章制度、安全检查程序及施工安全管理要求，以及监理人有关安全工作的指令。</w:t>
      </w:r>
    </w:p>
    <w:p w14:paraId="1904FDEC">
      <w:pPr>
        <w:keepNext w:val="0"/>
        <w:keepLines w:val="0"/>
        <w:widowControl/>
        <w:suppressLineNumbers w:val="0"/>
        <w:spacing w:line="360" w:lineRule="auto"/>
        <w:ind w:firstLine="480" w:firstLineChars="200"/>
        <w:jc w:val="left"/>
        <w:rPr>
          <w:color w:val="auto"/>
          <w:sz w:val="24"/>
          <w:szCs w:val="24"/>
          <w:highlight w:val="none"/>
        </w:rPr>
      </w:pPr>
      <w:r>
        <w:rPr>
          <w:rFonts w:hint="eastAsia" w:ascii="宋体" w:hAnsi="宋体" w:eastAsia="宋体" w:cs="宋体"/>
          <w:color w:val="auto"/>
          <w:kern w:val="0"/>
          <w:sz w:val="24"/>
          <w:szCs w:val="24"/>
          <w:highlight w:val="none"/>
          <w:lang w:val="en-US" w:eastAsia="zh-CN" w:bidi="ar"/>
        </w:rPr>
        <w:t>承包人应根据《危险性较大的分部分项工程安全管理规定》（住房和城乡建设部令第 37 号）、《住房和城乡建设部办公厅关于实施〈危险性较大的分部分项工程安全管理规定〉有关问题的通知》（建办质〔2018〕31 号）、《广东省住房和城乡建设厅关于房屋市政工程危险性较大的分部分项工程安全管理的实施细则的通知》（粤建规范〔2019〕2号） 和《广东省安全生产委员会办公室 广东省住房和城乡建设厅关于〈严格落实危险性较大的分部分项工程“六不施工”要求的通知》（粤安办〔2020〕151 号）等有关危险性较大的分部分项工程的法规规定通知，履行建设工程安全生产管理职责。</w:t>
      </w:r>
    </w:p>
    <w:p w14:paraId="481D71D3">
      <w:pPr>
        <w:pStyle w:val="38"/>
        <w:snapToGrid w:val="0"/>
        <w:spacing w:line="360" w:lineRule="auto"/>
        <w:ind w:firstLine="482" w:firstLineChars="200"/>
        <w:rPr>
          <w:rFonts w:hint="eastAsia" w:hAnsi="宋体"/>
          <w:strike w:val="0"/>
          <w:dstrike w:val="0"/>
          <w:color w:val="auto"/>
          <w:highlight w:val="none"/>
          <w:shd w:val="clear" w:color="auto" w:fill="FFFFFF"/>
        </w:rPr>
      </w:pPr>
      <w:r>
        <w:rPr>
          <w:rFonts w:hint="eastAsia" w:ascii="Times New Roman" w:hAnsi="Times New Roman" w:eastAsia="宋体" w:cs="Times New Roman"/>
          <w:b/>
          <w:bCs w:val="0"/>
          <w:strike w:val="0"/>
          <w:dstrike w:val="0"/>
          <w:snapToGrid w:val="0"/>
          <w:color w:val="auto"/>
          <w:szCs w:val="24"/>
          <w:highlight w:val="none"/>
          <w:shd w:val="clear" w:color="auto" w:fill="auto"/>
          <w:lang w:val="en-US" w:eastAsia="zh-CN"/>
        </w:rPr>
        <w:t>4.14</w:t>
      </w:r>
      <w:r>
        <w:rPr>
          <w:rFonts w:hint="eastAsia" w:ascii="宋体" w:hAnsi="宋体" w:eastAsia="宋体" w:cs="宋体"/>
          <w:b w:val="0"/>
          <w:bCs w:val="0"/>
          <w:strike w:val="0"/>
          <w:dstrike w:val="0"/>
          <w:color w:val="auto"/>
          <w:kern w:val="0"/>
          <w:highlight w:val="none"/>
          <w:shd w:val="clear" w:color="auto" w:fill="auto"/>
          <w:lang w:val="en-US" w:eastAsia="zh-CN" w:bidi="ar"/>
        </w:rPr>
        <w:t>承包</w:t>
      </w:r>
      <w:r>
        <w:rPr>
          <w:rFonts w:hint="eastAsia" w:ascii="宋体" w:hAnsi="宋体" w:eastAsia="宋体" w:cs="宋体"/>
          <w:strike w:val="0"/>
          <w:dstrike w:val="0"/>
          <w:color w:val="auto"/>
          <w:kern w:val="0"/>
          <w:highlight w:val="none"/>
          <w:shd w:val="clear" w:color="auto" w:fill="auto"/>
          <w:lang w:bidi="ar"/>
        </w:rPr>
        <w:t>人</w:t>
      </w:r>
      <w:r>
        <w:rPr>
          <w:rFonts w:hint="eastAsia" w:hAnsi="宋体"/>
          <w:strike w:val="0"/>
          <w:dstrike w:val="0"/>
          <w:color w:val="auto"/>
          <w:highlight w:val="none"/>
          <w:shd w:val="clear" w:color="auto" w:fill="FFFFFF"/>
        </w:rPr>
        <w:t>在工程实施过程中，按照国家、省、市的相关规定制定相关的专项安全施工方案（如高支模、基坑支护、沉井等），编制专项施工方案报监理人、</w:t>
      </w:r>
      <w:r>
        <w:rPr>
          <w:rFonts w:hint="eastAsia" w:hAnsi="宋体"/>
          <w:strike w:val="0"/>
          <w:dstrike w:val="0"/>
          <w:color w:val="auto"/>
          <w:highlight w:val="none"/>
          <w:shd w:val="clear" w:color="auto" w:fill="FFFFFF"/>
          <w:lang w:eastAsia="zh-CN"/>
        </w:rPr>
        <w:t>发包人</w:t>
      </w:r>
      <w:r>
        <w:rPr>
          <w:rFonts w:hint="eastAsia" w:hAnsi="宋体"/>
          <w:strike w:val="0"/>
          <w:dstrike w:val="0"/>
          <w:color w:val="auto"/>
          <w:highlight w:val="none"/>
          <w:shd w:val="clear" w:color="auto" w:fill="FFFFFF"/>
        </w:rPr>
        <w:t>审批后方可开展专项工程的施工。</w:t>
      </w:r>
    </w:p>
    <w:p w14:paraId="1ADE4925">
      <w:pPr>
        <w:pStyle w:val="38"/>
        <w:snapToGrid w:val="0"/>
        <w:spacing w:line="360" w:lineRule="auto"/>
        <w:ind w:firstLine="482" w:firstLineChars="200"/>
        <w:rPr>
          <w:rFonts w:hint="eastAsia" w:hAnsi="宋体"/>
          <w:strike w:val="0"/>
          <w:dstrike w:val="0"/>
          <w:color w:val="auto"/>
          <w:highlight w:val="none"/>
          <w:shd w:val="clear" w:color="auto" w:fill="FFFFFF"/>
        </w:rPr>
      </w:pPr>
      <w:r>
        <w:rPr>
          <w:rFonts w:hint="eastAsia" w:ascii="Times New Roman" w:hAnsi="Times New Roman" w:eastAsia="宋体" w:cs="Times New Roman"/>
          <w:b/>
          <w:bCs w:val="0"/>
          <w:strike w:val="0"/>
          <w:dstrike w:val="0"/>
          <w:snapToGrid w:val="0"/>
          <w:color w:val="auto"/>
          <w:szCs w:val="24"/>
          <w:highlight w:val="none"/>
          <w:shd w:val="clear" w:color="auto" w:fill="auto"/>
          <w:lang w:val="en-US" w:eastAsia="zh-CN"/>
        </w:rPr>
        <w:t>4.15</w:t>
      </w:r>
      <w:r>
        <w:rPr>
          <w:rFonts w:hint="eastAsia" w:hAnsi="宋体"/>
          <w:strike w:val="0"/>
          <w:dstrike w:val="0"/>
          <w:color w:val="auto"/>
          <w:highlight w:val="none"/>
          <w:shd w:val="clear" w:color="auto" w:fill="FFFFFF"/>
          <w:lang w:eastAsia="zh-CN"/>
        </w:rPr>
        <w:t>承包人</w:t>
      </w:r>
      <w:r>
        <w:rPr>
          <w:rFonts w:hint="eastAsia" w:hAnsi="宋体"/>
          <w:strike w:val="0"/>
          <w:dstrike w:val="0"/>
          <w:color w:val="auto"/>
          <w:highlight w:val="none"/>
          <w:shd w:val="clear" w:color="auto" w:fill="FFFFFF"/>
        </w:rPr>
        <w:t>须按照《韶关市建筑垃圾管理条例》（2021年5月1日起施行），将弃土运至</w:t>
      </w:r>
      <w:r>
        <w:rPr>
          <w:rFonts w:hint="eastAsia" w:hAnsi="宋体"/>
          <w:strike w:val="0"/>
          <w:dstrike w:val="0"/>
          <w:color w:val="auto"/>
          <w:highlight w:val="none"/>
          <w:shd w:val="clear" w:color="auto" w:fill="FFFFFF"/>
          <w:lang w:eastAsia="zh-CN"/>
        </w:rPr>
        <w:t>发包人</w:t>
      </w:r>
      <w:r>
        <w:rPr>
          <w:rFonts w:hint="eastAsia" w:hAnsi="宋体"/>
          <w:strike w:val="0"/>
          <w:dstrike w:val="0"/>
          <w:color w:val="auto"/>
          <w:highlight w:val="none"/>
          <w:shd w:val="clear" w:color="auto" w:fill="FFFFFF"/>
        </w:rPr>
        <w:t>指定的场所，否则</w:t>
      </w:r>
      <w:r>
        <w:rPr>
          <w:rFonts w:hint="eastAsia" w:hAnsi="宋体"/>
          <w:strike w:val="0"/>
          <w:dstrike w:val="0"/>
          <w:color w:val="auto"/>
          <w:highlight w:val="none"/>
          <w:shd w:val="clear" w:color="auto" w:fill="FFFFFF"/>
          <w:lang w:eastAsia="zh-CN"/>
        </w:rPr>
        <w:t>发包人</w:t>
      </w:r>
      <w:r>
        <w:rPr>
          <w:rFonts w:hint="eastAsia" w:hAnsi="宋体"/>
          <w:strike w:val="0"/>
          <w:dstrike w:val="0"/>
          <w:color w:val="auto"/>
          <w:highlight w:val="none"/>
          <w:shd w:val="clear" w:color="auto" w:fill="FFFFFF"/>
        </w:rPr>
        <w:t>有权要求</w:t>
      </w:r>
      <w:r>
        <w:rPr>
          <w:rFonts w:hint="eastAsia" w:hAnsi="宋体"/>
          <w:strike w:val="0"/>
          <w:dstrike w:val="0"/>
          <w:color w:val="auto"/>
          <w:highlight w:val="none"/>
          <w:shd w:val="clear" w:color="auto" w:fill="FFFFFF"/>
          <w:lang w:eastAsia="zh-CN"/>
        </w:rPr>
        <w:t>承包人</w:t>
      </w:r>
      <w:r>
        <w:rPr>
          <w:rFonts w:hint="eastAsia" w:hAnsi="宋体"/>
          <w:strike w:val="0"/>
          <w:dstrike w:val="0"/>
          <w:color w:val="auto"/>
          <w:highlight w:val="none"/>
          <w:shd w:val="clear" w:color="auto" w:fill="FFFFFF"/>
        </w:rPr>
        <w:t>无条件将弃土从违约弃土点运至</w:t>
      </w:r>
      <w:r>
        <w:rPr>
          <w:rFonts w:hint="eastAsia" w:hAnsi="宋体"/>
          <w:strike w:val="0"/>
          <w:dstrike w:val="0"/>
          <w:color w:val="auto"/>
          <w:highlight w:val="none"/>
          <w:shd w:val="clear" w:color="auto" w:fill="FFFFFF"/>
          <w:lang w:eastAsia="zh-CN"/>
        </w:rPr>
        <w:t>发包人</w:t>
      </w:r>
      <w:r>
        <w:rPr>
          <w:rFonts w:hint="eastAsia" w:hAnsi="宋体"/>
          <w:strike w:val="0"/>
          <w:dstrike w:val="0"/>
          <w:color w:val="auto"/>
          <w:highlight w:val="none"/>
          <w:shd w:val="clear" w:color="auto" w:fill="FFFFFF"/>
        </w:rPr>
        <w:t xml:space="preserve">指定的场所并扣除违约金 </w:t>
      </w:r>
      <w:r>
        <w:rPr>
          <w:rFonts w:hint="eastAsia" w:hAnsi="宋体"/>
          <w:strike w:val="0"/>
          <w:dstrike w:val="0"/>
          <w:color w:val="auto"/>
          <w:highlight w:val="none"/>
          <w:u w:val="single"/>
          <w:shd w:val="clear" w:color="auto" w:fill="FFFFFF"/>
        </w:rPr>
        <w:t xml:space="preserve">  </w:t>
      </w:r>
      <w:r>
        <w:rPr>
          <w:rFonts w:hint="eastAsia" w:hAnsi="宋体"/>
          <w:strike w:val="0"/>
          <w:dstrike w:val="0"/>
          <w:color w:val="auto"/>
          <w:highlight w:val="none"/>
          <w:u w:val="single"/>
          <w:shd w:val="clear" w:color="auto" w:fill="FFFFFF"/>
          <w:lang w:val="en-US" w:eastAsia="zh-CN"/>
        </w:rPr>
        <w:t>5000</w:t>
      </w:r>
      <w:r>
        <w:rPr>
          <w:rFonts w:hint="eastAsia" w:hAnsi="宋体"/>
          <w:strike w:val="0"/>
          <w:dstrike w:val="0"/>
          <w:color w:val="auto"/>
          <w:highlight w:val="none"/>
          <w:u w:val="single"/>
          <w:shd w:val="clear" w:color="auto" w:fill="FFFFFF"/>
        </w:rPr>
        <w:t xml:space="preserve"> </w:t>
      </w:r>
      <w:r>
        <w:rPr>
          <w:rFonts w:hint="eastAsia" w:hAnsi="宋体"/>
          <w:strike w:val="0"/>
          <w:dstrike w:val="0"/>
          <w:color w:val="auto"/>
          <w:highlight w:val="none"/>
          <w:shd w:val="clear" w:color="auto" w:fill="FFFFFF"/>
        </w:rPr>
        <w:t>元人民币/次。</w:t>
      </w:r>
      <w:r>
        <w:rPr>
          <w:rFonts w:hint="eastAsia" w:hAnsi="宋体"/>
          <w:strike w:val="0"/>
          <w:dstrike w:val="0"/>
          <w:color w:val="auto"/>
          <w:highlight w:val="none"/>
          <w:shd w:val="clear" w:color="auto" w:fill="FFFFFF"/>
          <w:lang w:eastAsia="zh-CN"/>
        </w:rPr>
        <w:t>承包人</w:t>
      </w:r>
      <w:r>
        <w:rPr>
          <w:rFonts w:hint="eastAsia" w:hAnsi="宋体"/>
          <w:strike w:val="0"/>
          <w:dstrike w:val="0"/>
          <w:color w:val="auto"/>
          <w:highlight w:val="none"/>
          <w:shd w:val="clear" w:color="auto" w:fill="FFFFFF"/>
        </w:rPr>
        <w:t>对建筑垃圾须按《韶关市建筑垃圾管理条例》（2021年5月1日起施行）的相关规定进行排放和运输，投标人在投标报价时综合考虑在报价内。</w:t>
      </w:r>
      <w:r>
        <w:rPr>
          <w:rFonts w:hint="eastAsia" w:hAnsi="宋体"/>
          <w:strike w:val="0"/>
          <w:dstrike w:val="0"/>
          <w:color w:val="auto"/>
          <w:highlight w:val="none"/>
          <w:shd w:val="clear" w:color="auto" w:fill="FFFFFF"/>
          <w:lang w:eastAsia="zh-CN"/>
        </w:rPr>
        <w:t>承包人</w:t>
      </w:r>
      <w:r>
        <w:rPr>
          <w:rFonts w:hint="eastAsia" w:hAnsi="宋体"/>
          <w:strike w:val="0"/>
          <w:dstrike w:val="0"/>
          <w:color w:val="auto"/>
          <w:highlight w:val="none"/>
          <w:shd w:val="clear" w:color="auto" w:fill="FFFFFF"/>
        </w:rPr>
        <w:t>应在施工现场建立洗车槽和临时排水系统等确保外运车辆（土方运输车辆应符合韶关市相关规定）不带泥上路，投标人在投标报价时综合考虑在报价内，</w:t>
      </w:r>
      <w:r>
        <w:rPr>
          <w:rFonts w:hint="eastAsia" w:hAnsi="宋体"/>
          <w:strike w:val="0"/>
          <w:dstrike w:val="0"/>
          <w:color w:val="auto"/>
          <w:highlight w:val="none"/>
          <w:shd w:val="clear" w:color="auto" w:fill="FFFFFF"/>
          <w:lang w:eastAsia="zh-CN"/>
        </w:rPr>
        <w:t>发包人</w:t>
      </w:r>
      <w:r>
        <w:rPr>
          <w:rFonts w:hint="eastAsia" w:hAnsi="宋体"/>
          <w:strike w:val="0"/>
          <w:dstrike w:val="0"/>
          <w:color w:val="auto"/>
          <w:highlight w:val="none"/>
          <w:shd w:val="clear" w:color="auto" w:fill="FFFFFF"/>
        </w:rPr>
        <w:t>不另行支付该部分费用）。建设单位、施工单位应当在施工工地出入口显著位置公示建筑垃圾处理方案主要信息，包括建设工程垃圾种类、产生量、外运处置去向等信息及各相关单位名称、联系人及联系电话等。</w:t>
      </w:r>
    </w:p>
    <w:p w14:paraId="23A9972D">
      <w:pPr>
        <w:pStyle w:val="38"/>
        <w:snapToGrid w:val="0"/>
        <w:spacing w:line="360" w:lineRule="auto"/>
        <w:ind w:firstLine="482" w:firstLineChars="200"/>
        <w:rPr>
          <w:rFonts w:hint="eastAsia" w:hAnsi="宋体"/>
          <w:strike w:val="0"/>
          <w:dstrike w:val="0"/>
          <w:color w:val="auto"/>
          <w:highlight w:val="none"/>
          <w:shd w:val="clear" w:color="auto" w:fill="FFFFFF"/>
        </w:rPr>
      </w:pPr>
      <w:r>
        <w:rPr>
          <w:rFonts w:hint="eastAsia" w:ascii="Times New Roman" w:hAnsi="Times New Roman" w:eastAsia="宋体" w:cs="Times New Roman"/>
          <w:b/>
          <w:bCs w:val="0"/>
          <w:strike w:val="0"/>
          <w:dstrike w:val="0"/>
          <w:snapToGrid w:val="0"/>
          <w:color w:val="auto"/>
          <w:szCs w:val="24"/>
          <w:highlight w:val="none"/>
          <w:shd w:val="clear" w:color="auto" w:fill="auto"/>
          <w:lang w:val="en-US" w:eastAsia="zh-CN"/>
        </w:rPr>
        <w:t>4.16</w:t>
      </w:r>
      <w:r>
        <w:rPr>
          <w:rFonts w:hint="eastAsia" w:hAnsi="宋体"/>
          <w:strike w:val="0"/>
          <w:dstrike w:val="0"/>
          <w:color w:val="auto"/>
          <w:highlight w:val="none"/>
          <w:shd w:val="clear" w:color="auto" w:fill="FFFFFF"/>
        </w:rPr>
        <w:t>工程竣工验收后15日内，</w:t>
      </w:r>
      <w:r>
        <w:rPr>
          <w:rFonts w:hint="eastAsia" w:hAnsi="宋体"/>
          <w:strike w:val="0"/>
          <w:dstrike w:val="0"/>
          <w:color w:val="auto"/>
          <w:highlight w:val="none"/>
          <w:shd w:val="clear" w:color="auto" w:fill="FFFFFF"/>
          <w:lang w:eastAsia="zh-CN"/>
        </w:rPr>
        <w:t>承包人</w:t>
      </w:r>
      <w:r>
        <w:rPr>
          <w:rFonts w:hint="eastAsia" w:hAnsi="宋体"/>
          <w:strike w:val="0"/>
          <w:dstrike w:val="0"/>
          <w:color w:val="auto"/>
          <w:highlight w:val="none"/>
          <w:shd w:val="clear" w:color="auto" w:fill="FFFFFF"/>
        </w:rPr>
        <w:t>应按市城建档案馆的要求（质量、数量），将编制成册的施工档案资料（含声像档案和电子档案）提供给</w:t>
      </w:r>
      <w:r>
        <w:rPr>
          <w:rFonts w:hint="eastAsia" w:hAnsi="宋体"/>
          <w:strike w:val="0"/>
          <w:dstrike w:val="0"/>
          <w:color w:val="auto"/>
          <w:highlight w:val="none"/>
          <w:shd w:val="clear" w:color="auto" w:fill="FFFFFF"/>
          <w:lang w:eastAsia="zh-CN"/>
        </w:rPr>
        <w:t>发包人</w:t>
      </w:r>
      <w:r>
        <w:rPr>
          <w:rFonts w:hint="eastAsia" w:hAnsi="宋体"/>
          <w:strike w:val="0"/>
          <w:dstrike w:val="0"/>
          <w:color w:val="auto"/>
          <w:highlight w:val="none"/>
          <w:shd w:val="clear" w:color="auto" w:fill="FFFFFF"/>
        </w:rPr>
        <w:t>、市城建档案馆、市住建管理局、管养单位及监理单位，并承担档案涉及的所有费用（制作标准和相关要求按市城建档案馆的有关规定执行）。</w:t>
      </w:r>
      <w:r>
        <w:rPr>
          <w:rFonts w:hint="eastAsia" w:hAnsi="宋体"/>
          <w:strike w:val="0"/>
          <w:dstrike w:val="0"/>
          <w:color w:val="auto"/>
          <w:highlight w:val="none"/>
          <w:shd w:val="clear" w:color="auto" w:fill="FFFFFF"/>
          <w:lang w:eastAsia="zh-CN"/>
        </w:rPr>
        <w:t>承包人</w:t>
      </w:r>
      <w:r>
        <w:rPr>
          <w:rFonts w:hint="eastAsia" w:hAnsi="宋体"/>
          <w:strike w:val="0"/>
          <w:dstrike w:val="0"/>
          <w:color w:val="auto"/>
          <w:highlight w:val="none"/>
          <w:shd w:val="clear" w:color="auto" w:fill="FFFFFF"/>
        </w:rPr>
        <w:t>提交符合城建档案馆要求的竣工资料经</w:t>
      </w:r>
      <w:r>
        <w:rPr>
          <w:rFonts w:hint="eastAsia" w:hAnsi="宋体"/>
          <w:strike w:val="0"/>
          <w:dstrike w:val="0"/>
          <w:color w:val="auto"/>
          <w:highlight w:val="none"/>
          <w:shd w:val="clear" w:color="auto" w:fill="FFFFFF"/>
          <w:lang w:eastAsia="zh-CN"/>
        </w:rPr>
        <w:t>发包人</w:t>
      </w:r>
      <w:r>
        <w:rPr>
          <w:rFonts w:hint="eastAsia" w:hAnsi="宋体"/>
          <w:strike w:val="0"/>
          <w:dstrike w:val="0"/>
          <w:color w:val="auto"/>
          <w:highlight w:val="none"/>
          <w:shd w:val="clear" w:color="auto" w:fill="FFFFFF"/>
        </w:rPr>
        <w:t>确认签收后，即可办理工程结算手续。</w:t>
      </w:r>
    </w:p>
    <w:p w14:paraId="78BD290B">
      <w:pPr>
        <w:keepNext w:val="0"/>
        <w:keepLines w:val="0"/>
        <w:widowControl/>
        <w:suppressLineNumbers w:val="0"/>
        <w:spacing w:line="360" w:lineRule="auto"/>
        <w:ind w:firstLine="482" w:firstLineChars="200"/>
        <w:jc w:val="left"/>
        <w:rPr>
          <w:rFonts w:hint="eastAsia" w:ascii="宋体" w:hAnsi="宋体" w:eastAsia="宋体" w:cs="宋体"/>
          <w:color w:val="auto"/>
          <w:kern w:val="0"/>
          <w:sz w:val="24"/>
          <w:szCs w:val="24"/>
          <w:highlight w:val="none"/>
          <w:lang w:val="en-US" w:eastAsia="zh-CN" w:bidi="ar"/>
        </w:rPr>
      </w:pPr>
      <w:r>
        <w:rPr>
          <w:rFonts w:hint="eastAsia" w:ascii="Times New Roman" w:hAnsi="Times New Roman" w:eastAsia="宋体" w:cs="Times New Roman"/>
          <w:b/>
          <w:bCs w:val="0"/>
          <w:snapToGrid w:val="0"/>
          <w:color w:val="auto"/>
          <w:kern w:val="2"/>
          <w:sz w:val="24"/>
          <w:szCs w:val="24"/>
          <w:highlight w:val="none"/>
          <w:lang w:val="en-US" w:eastAsia="zh-CN" w:bidi="ar-SA"/>
        </w:rPr>
        <w:t>4.17</w:t>
      </w:r>
      <w:r>
        <w:rPr>
          <w:rFonts w:hint="eastAsia" w:ascii="宋体" w:hAnsi="宋体" w:eastAsia="宋体" w:cs="宋体"/>
          <w:color w:val="auto"/>
          <w:kern w:val="0"/>
          <w:sz w:val="24"/>
          <w:szCs w:val="24"/>
          <w:highlight w:val="none"/>
          <w:lang w:val="en-US" w:eastAsia="zh-CN" w:bidi="ar"/>
        </w:rPr>
        <w:t xml:space="preserve">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 </w:t>
      </w:r>
    </w:p>
    <w:p w14:paraId="0E075B67">
      <w:pPr>
        <w:keepNext w:val="0"/>
        <w:keepLines w:val="0"/>
        <w:widowControl/>
        <w:suppressLineNumbers w:val="0"/>
        <w:spacing w:line="360" w:lineRule="auto"/>
        <w:ind w:firstLine="482" w:firstLineChars="200"/>
        <w:jc w:val="left"/>
        <w:rPr>
          <w:rFonts w:hint="eastAsia" w:ascii="宋体" w:hAnsi="宋体" w:eastAsia="宋体" w:cs="宋体"/>
          <w:color w:val="auto"/>
          <w:kern w:val="0"/>
          <w:sz w:val="24"/>
          <w:szCs w:val="24"/>
          <w:highlight w:val="none"/>
          <w:lang w:val="en-US" w:eastAsia="zh-CN" w:bidi="ar"/>
        </w:rPr>
      </w:pPr>
      <w:r>
        <w:rPr>
          <w:rFonts w:hint="eastAsia" w:ascii="Times New Roman" w:hAnsi="Times New Roman" w:eastAsia="宋体" w:cs="Times New Roman"/>
          <w:b/>
          <w:snapToGrid w:val="0"/>
          <w:color w:val="auto"/>
          <w:kern w:val="2"/>
          <w:sz w:val="24"/>
          <w:szCs w:val="24"/>
          <w:highlight w:val="none"/>
          <w:lang w:val="en-US" w:eastAsia="zh-CN" w:bidi="ar-SA"/>
        </w:rPr>
        <w:t>4.18</w:t>
      </w:r>
      <w:r>
        <w:rPr>
          <w:rFonts w:hint="eastAsia" w:ascii="宋体" w:hAnsi="宋体" w:eastAsia="宋体" w:cs="宋体"/>
          <w:color w:val="auto"/>
          <w:kern w:val="0"/>
          <w:sz w:val="24"/>
          <w:szCs w:val="24"/>
          <w:highlight w:val="none"/>
          <w:lang w:val="en-US" w:eastAsia="zh-CN" w:bidi="ar"/>
        </w:rPr>
        <w:t>余泥渣土运输费用应按余泥渣土运输政府指导价包含在本合同价中。</w:t>
      </w:r>
    </w:p>
    <w:p w14:paraId="44E55079">
      <w:pPr>
        <w:keepNext w:val="0"/>
        <w:keepLines w:val="0"/>
        <w:widowControl/>
        <w:suppressLineNumbers w:val="0"/>
        <w:spacing w:line="360" w:lineRule="auto"/>
        <w:ind w:firstLine="482" w:firstLineChars="200"/>
        <w:jc w:val="left"/>
        <w:rPr>
          <w:rFonts w:hint="eastAsia" w:ascii="宋体" w:hAnsi="宋体" w:eastAsia="宋体" w:cs="宋体"/>
          <w:color w:val="auto"/>
          <w:kern w:val="0"/>
          <w:sz w:val="24"/>
          <w:szCs w:val="24"/>
          <w:highlight w:val="none"/>
          <w:lang w:val="en-US" w:eastAsia="zh-CN" w:bidi="ar"/>
        </w:rPr>
      </w:pPr>
      <w:r>
        <w:rPr>
          <w:rFonts w:hint="eastAsia" w:ascii="Times New Roman" w:hAnsi="Times New Roman" w:eastAsia="宋体" w:cs="Times New Roman"/>
          <w:b/>
          <w:snapToGrid w:val="0"/>
          <w:color w:val="auto"/>
          <w:kern w:val="2"/>
          <w:sz w:val="24"/>
          <w:szCs w:val="24"/>
          <w:highlight w:val="none"/>
          <w:lang w:val="en-US" w:eastAsia="zh-CN" w:bidi="ar-SA"/>
        </w:rPr>
        <w:t>4.19</w:t>
      </w:r>
      <w:r>
        <w:rPr>
          <w:rFonts w:hint="eastAsia" w:ascii="宋体" w:hAnsi="宋体" w:eastAsia="宋体" w:cs="宋体"/>
          <w:color w:val="auto"/>
          <w:kern w:val="0"/>
          <w:sz w:val="24"/>
          <w:szCs w:val="24"/>
          <w:highlight w:val="none"/>
          <w:lang w:val="en-US" w:eastAsia="zh-CN" w:bidi="ar"/>
        </w:rPr>
        <w:t>项目施工过程中，由于施工场地障碍条件或现场各种不利条件发生造成大型机械多次进退场的费用、怠工费、仓保费，均由</w:t>
      </w:r>
      <w:r>
        <w:rPr>
          <w:rFonts w:hint="eastAsia" w:hAnsi="宋体" w:cs="宋体"/>
          <w:color w:val="auto"/>
          <w:kern w:val="0"/>
          <w:sz w:val="24"/>
          <w:szCs w:val="24"/>
          <w:highlight w:val="none"/>
          <w:lang w:val="en-US" w:eastAsia="zh-CN" w:bidi="ar"/>
        </w:rPr>
        <w:t>承包人</w:t>
      </w:r>
      <w:r>
        <w:rPr>
          <w:rFonts w:hint="eastAsia" w:ascii="宋体" w:hAnsi="宋体" w:eastAsia="宋体" w:cs="宋体"/>
          <w:color w:val="auto"/>
          <w:kern w:val="0"/>
          <w:sz w:val="24"/>
          <w:szCs w:val="24"/>
          <w:highlight w:val="none"/>
          <w:lang w:val="en-US" w:eastAsia="zh-CN" w:bidi="ar"/>
        </w:rPr>
        <w:t>承担。</w:t>
      </w:r>
    </w:p>
    <w:p w14:paraId="713B132D">
      <w:pPr>
        <w:keepNext w:val="0"/>
        <w:keepLines w:val="0"/>
        <w:widowControl/>
        <w:suppressLineNumbers w:val="0"/>
        <w:spacing w:line="360" w:lineRule="auto"/>
        <w:ind w:firstLine="482" w:firstLineChars="200"/>
        <w:jc w:val="left"/>
        <w:rPr>
          <w:rFonts w:hint="eastAsia" w:ascii="宋体" w:hAnsi="宋体" w:eastAsia="宋体" w:cs="宋体"/>
          <w:color w:val="auto"/>
          <w:kern w:val="0"/>
          <w:sz w:val="24"/>
          <w:szCs w:val="24"/>
          <w:highlight w:val="none"/>
          <w:lang w:val="en-US" w:eastAsia="zh-CN" w:bidi="ar"/>
        </w:rPr>
      </w:pPr>
      <w:r>
        <w:rPr>
          <w:rFonts w:hint="eastAsia" w:ascii="Times New Roman" w:hAnsi="Times New Roman" w:eastAsia="宋体" w:cs="Times New Roman"/>
          <w:b/>
          <w:snapToGrid w:val="0"/>
          <w:color w:val="auto"/>
          <w:kern w:val="2"/>
          <w:sz w:val="24"/>
          <w:szCs w:val="24"/>
          <w:highlight w:val="none"/>
          <w:lang w:val="en-US" w:eastAsia="zh-CN" w:bidi="ar-SA"/>
        </w:rPr>
        <w:t>4.20</w:t>
      </w:r>
      <w:r>
        <w:rPr>
          <w:rFonts w:hint="eastAsia" w:ascii="宋体" w:hAnsi="宋体" w:eastAsia="宋体" w:cs="宋体"/>
          <w:color w:val="auto"/>
          <w:kern w:val="0"/>
          <w:sz w:val="24"/>
          <w:szCs w:val="24"/>
          <w:highlight w:val="none"/>
          <w:lang w:val="en-US" w:eastAsia="zh-CN" w:bidi="ar"/>
        </w:rPr>
        <w:t>施工中因穿越障碍物</w:t>
      </w:r>
      <w:r>
        <w:rPr>
          <w:rFonts w:hint="eastAsia" w:ascii="宋体" w:hAnsi="宋体" w:eastAsia="宋体" w:cs="宋体"/>
          <w:i w:val="0"/>
          <w:iCs w:val="0"/>
          <w:caps w:val="0"/>
          <w:color w:val="auto"/>
          <w:spacing w:val="0"/>
          <w:kern w:val="0"/>
          <w:sz w:val="24"/>
          <w:szCs w:val="24"/>
          <w:highlight w:val="none"/>
          <w:shd w:val="clear" w:color="auto" w:fill="auto"/>
          <w:lang w:bidi="ar"/>
        </w:rPr>
        <w:t>，</w:t>
      </w:r>
      <w:r>
        <w:rPr>
          <w:rFonts w:hint="eastAsia" w:ascii="宋体" w:hAnsi="宋体" w:eastAsia="宋体" w:cs="宋体"/>
          <w:i w:val="0"/>
          <w:iCs w:val="0"/>
          <w:caps w:val="0"/>
          <w:color w:val="auto"/>
          <w:spacing w:val="0"/>
          <w:kern w:val="0"/>
          <w:sz w:val="24"/>
          <w:szCs w:val="24"/>
          <w:highlight w:val="none"/>
          <w:u w:val="none"/>
          <w:shd w:val="clear" w:color="auto" w:fill="auto"/>
          <w:lang w:bidi="ar"/>
        </w:rPr>
        <w:t>以及常规施工现场的场地清表费用</w:t>
      </w:r>
      <w:r>
        <w:rPr>
          <w:rFonts w:hint="eastAsia" w:ascii="宋体" w:hAnsi="宋体" w:eastAsia="宋体" w:cs="宋体"/>
          <w:color w:val="auto"/>
          <w:kern w:val="0"/>
          <w:sz w:val="24"/>
          <w:szCs w:val="24"/>
          <w:highlight w:val="none"/>
          <w:lang w:val="en-US" w:eastAsia="zh-CN" w:bidi="ar"/>
        </w:rPr>
        <w:t>而产生的相关费用已包含在合同价款中。</w:t>
      </w:r>
    </w:p>
    <w:p w14:paraId="37870B74">
      <w:pPr>
        <w:keepNext w:val="0"/>
        <w:keepLines w:val="0"/>
        <w:widowControl/>
        <w:suppressLineNumbers w:val="0"/>
        <w:spacing w:line="360" w:lineRule="auto"/>
        <w:ind w:firstLine="482" w:firstLineChars="200"/>
        <w:jc w:val="left"/>
        <w:rPr>
          <w:color w:val="auto"/>
          <w:sz w:val="24"/>
          <w:szCs w:val="24"/>
          <w:highlight w:val="none"/>
        </w:rPr>
      </w:pPr>
      <w:r>
        <w:rPr>
          <w:rFonts w:hint="eastAsia" w:ascii="Times New Roman" w:hAnsi="Times New Roman" w:eastAsia="宋体" w:cs="Times New Roman"/>
          <w:b/>
          <w:snapToGrid w:val="0"/>
          <w:color w:val="auto"/>
          <w:kern w:val="2"/>
          <w:sz w:val="24"/>
          <w:szCs w:val="24"/>
          <w:highlight w:val="none"/>
          <w:lang w:val="en-US" w:eastAsia="zh-CN" w:bidi="ar-SA"/>
        </w:rPr>
        <w:t>4.20</w:t>
      </w:r>
      <w:r>
        <w:rPr>
          <w:rFonts w:hint="eastAsia" w:ascii="宋体" w:hAnsi="宋体" w:eastAsia="宋体" w:cs="宋体"/>
          <w:color w:val="auto"/>
          <w:kern w:val="0"/>
          <w:sz w:val="24"/>
          <w:szCs w:val="24"/>
          <w:highlight w:val="none"/>
          <w:lang w:val="en-US" w:eastAsia="zh-CN" w:bidi="ar"/>
        </w:rPr>
        <w:t xml:space="preserve">承包人中标后必须按规定及时缴交工人工资保证金、环境噪声排污费等。 </w:t>
      </w:r>
    </w:p>
    <w:p w14:paraId="5F9296F4">
      <w:pPr>
        <w:keepNext w:val="0"/>
        <w:keepLines w:val="0"/>
        <w:widowControl/>
        <w:suppressLineNumbers w:val="0"/>
        <w:spacing w:line="360" w:lineRule="auto"/>
        <w:ind w:firstLine="482" w:firstLineChars="200"/>
        <w:jc w:val="left"/>
        <w:rPr>
          <w:rFonts w:hint="eastAsia" w:ascii="宋体" w:hAnsi="宋体" w:eastAsia="宋体" w:cs="宋体"/>
          <w:color w:val="auto"/>
          <w:kern w:val="0"/>
          <w:sz w:val="24"/>
          <w:szCs w:val="24"/>
          <w:highlight w:val="none"/>
          <w:lang w:val="en-US" w:eastAsia="zh-CN" w:bidi="ar"/>
        </w:rPr>
      </w:pPr>
      <w:r>
        <w:rPr>
          <w:rFonts w:hint="eastAsia" w:ascii="Times New Roman" w:hAnsi="Times New Roman" w:eastAsia="宋体" w:cs="Times New Roman"/>
          <w:b/>
          <w:snapToGrid w:val="0"/>
          <w:color w:val="auto"/>
          <w:kern w:val="2"/>
          <w:sz w:val="24"/>
          <w:szCs w:val="24"/>
          <w:highlight w:val="none"/>
          <w:lang w:val="en-US" w:eastAsia="zh-CN" w:bidi="ar-SA"/>
        </w:rPr>
        <w:t xml:space="preserve">4.21 </w:t>
      </w:r>
      <w:r>
        <w:rPr>
          <w:rFonts w:hint="eastAsia" w:ascii="宋体" w:hAnsi="宋体" w:eastAsia="宋体" w:cs="宋体"/>
          <w:color w:val="auto"/>
          <w:kern w:val="0"/>
          <w:sz w:val="24"/>
          <w:szCs w:val="24"/>
          <w:highlight w:val="none"/>
          <w:lang w:val="en-US" w:eastAsia="zh-CN" w:bidi="ar"/>
        </w:rPr>
        <w:t>承包人应按韶关市住房和城乡建设管理局、韶关市人力资源和社会保障局等职能部门对用工实名制的相关规定，落实工人及相关软硬件设施要求。</w:t>
      </w:r>
    </w:p>
    <w:p w14:paraId="37C02B14">
      <w:pPr>
        <w:pStyle w:val="38"/>
        <w:wordWrap w:val="0"/>
        <w:adjustRightInd w:val="0"/>
        <w:snapToGrid w:val="0"/>
        <w:spacing w:line="360" w:lineRule="auto"/>
        <w:ind w:firstLine="560"/>
        <w:rPr>
          <w:rFonts w:hint="eastAsia" w:ascii="Times New Roman" w:hAnsi="Times New Roman" w:eastAsia="宋体" w:cs="Times New Roman"/>
          <w:b/>
          <w:snapToGrid w:val="0"/>
          <w:color w:val="auto"/>
          <w:szCs w:val="24"/>
          <w:highlight w:val="none"/>
          <w:shd w:val="clear" w:color="auto" w:fill="auto"/>
        </w:rPr>
      </w:pPr>
      <w:r>
        <w:rPr>
          <w:rFonts w:hint="eastAsia" w:ascii="Times New Roman" w:hAnsi="Times New Roman" w:eastAsia="宋体" w:cs="Times New Roman"/>
          <w:b/>
          <w:snapToGrid w:val="0"/>
          <w:color w:val="auto"/>
          <w:szCs w:val="24"/>
          <w:highlight w:val="none"/>
          <w:shd w:val="clear" w:color="auto" w:fill="auto"/>
          <w:lang w:val="en-US" w:eastAsia="zh-CN"/>
        </w:rPr>
        <w:t>4.22</w:t>
      </w:r>
      <w:r>
        <w:rPr>
          <w:rFonts w:hint="eastAsia" w:ascii="Times New Roman" w:hAnsi="Times New Roman" w:eastAsia="宋体" w:cs="Times New Roman"/>
          <w:b/>
          <w:snapToGrid w:val="0"/>
          <w:color w:val="auto"/>
          <w:szCs w:val="24"/>
          <w:highlight w:val="none"/>
          <w:shd w:val="clear" w:color="auto" w:fill="auto"/>
        </w:rPr>
        <w:t>安全文明施工的约定</w:t>
      </w:r>
    </w:p>
    <w:p w14:paraId="700B2DF1">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（一）相关要求</w:t>
      </w:r>
    </w:p>
    <w:p w14:paraId="2537CE86">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（1）</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 xml:space="preserve">建立安全责任制，明确各部门安全工作的岗位责任人，建立健全正常运转的各种安全工作保证体系和规章制度，将安全生产目标分解落到实处。 </w:t>
      </w:r>
    </w:p>
    <w:p w14:paraId="393590F9">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（2）</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 xml:space="preserve">按规定数量配置安全员。 </w:t>
      </w:r>
    </w:p>
    <w:p w14:paraId="1BC4F520">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（3）</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 xml:space="preserve">在开工前须向质量安全监督机构提交备案的书面资料。 </w:t>
      </w:r>
    </w:p>
    <w:p w14:paraId="20F7C016">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（4）</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在编制施工组织设计时，应当根据工程的特点编制相应的安全技术措施。</w:t>
      </w:r>
    </w:p>
    <w:p w14:paraId="2B0A0769">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（5）</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按有关技术安全和防护的规定组织施工生产，不得使用</w:t>
      </w:r>
      <w:r>
        <w:rPr>
          <w:rFonts w:hint="eastAsia" w:ascii="宋体" w:hAnsi="宋体" w:eastAsia="宋体" w:cs="宋体"/>
          <w:color w:val="auto"/>
          <w:kern w:val="0"/>
          <w:highlight w:val="none"/>
          <w:shd w:val="clear" w:color="auto" w:fill="auto"/>
          <w:lang w:eastAsia="zh-CN" w:bidi="ar"/>
        </w:rPr>
        <w:t>不符</w:t>
      </w:r>
      <w:r>
        <w:rPr>
          <w:rFonts w:hint="eastAsia" w:ascii="宋体" w:hAnsi="宋体" w:eastAsia="宋体" w:cs="宋体"/>
          <w:color w:val="auto"/>
          <w:kern w:val="0"/>
          <w:highlight w:val="none"/>
          <w:shd w:val="clear" w:color="auto" w:fill="auto"/>
          <w:lang w:bidi="ar"/>
        </w:rPr>
        <w:t>合标准的防护器材、机具和材料。</w:t>
      </w:r>
    </w:p>
    <w:p w14:paraId="3E9657C3">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（6）现场安全文明施工必须严格</w:t>
      </w:r>
      <w:r>
        <w:rPr>
          <w:rFonts w:hint="eastAsia" w:ascii="宋体" w:hAnsi="宋体" w:eastAsia="宋体" w:cs="宋体"/>
          <w:color w:val="auto"/>
          <w:kern w:val="0"/>
          <w:highlight w:val="none"/>
          <w:shd w:val="clear" w:color="auto" w:fill="auto"/>
          <w:lang w:eastAsia="zh-CN" w:bidi="ar"/>
        </w:rPr>
        <w:t>按照</w:t>
      </w:r>
      <w:r>
        <w:rPr>
          <w:rFonts w:hint="eastAsia" w:ascii="宋体" w:hAnsi="宋体" w:eastAsia="宋体" w:cs="宋体"/>
          <w:color w:val="auto"/>
          <w:kern w:val="0"/>
          <w:highlight w:val="none"/>
          <w:shd w:val="clear" w:color="auto" w:fill="auto"/>
          <w:lang w:bidi="ar"/>
        </w:rPr>
        <w:t>《建筑施工安全检查标准》（JGJ 59-2011）及韶关市有关建设工程现场文明施工的规定等法律法规及本合同专用条款有关安全文明施工条款的规定执行，如有违反或</w:t>
      </w:r>
      <w:r>
        <w:rPr>
          <w:rFonts w:hint="eastAsia" w:hAnsi="宋体" w:cs="宋体"/>
          <w:color w:val="auto"/>
          <w:kern w:val="0"/>
          <w:highlight w:val="none"/>
          <w:shd w:val="clear" w:color="auto" w:fill="auto"/>
          <w:lang w:eastAsia="zh-CN" w:bidi="ar"/>
        </w:rPr>
        <w:t>发包人</w:t>
      </w:r>
      <w:r>
        <w:rPr>
          <w:rFonts w:hint="eastAsia" w:ascii="宋体" w:hAnsi="宋体" w:eastAsia="宋体" w:cs="宋体"/>
          <w:color w:val="auto"/>
          <w:kern w:val="0"/>
          <w:highlight w:val="none"/>
          <w:shd w:val="clear" w:color="auto" w:fill="auto"/>
          <w:lang w:bidi="ar"/>
        </w:rPr>
        <w:t>在任何检查中被发现存在安全事故隐患、违章行为或管理不到位现象的，根据专用条款有关规定及《工程安全文明施工协议书》的规定进行整改、扣罚，直至</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按</w:t>
      </w:r>
      <w:r>
        <w:rPr>
          <w:rFonts w:hint="eastAsia" w:hAnsi="宋体" w:cs="宋体"/>
          <w:color w:val="auto"/>
          <w:kern w:val="0"/>
          <w:highlight w:val="none"/>
          <w:shd w:val="clear" w:color="auto" w:fill="auto"/>
          <w:lang w:eastAsia="zh-CN" w:bidi="ar"/>
        </w:rPr>
        <w:t>发包人</w:t>
      </w:r>
      <w:r>
        <w:rPr>
          <w:rFonts w:hint="eastAsia" w:ascii="宋体" w:hAnsi="宋体" w:eastAsia="宋体" w:cs="宋体"/>
          <w:color w:val="auto"/>
          <w:kern w:val="0"/>
          <w:highlight w:val="none"/>
          <w:shd w:val="clear" w:color="auto" w:fill="auto"/>
          <w:lang w:bidi="ar"/>
        </w:rPr>
        <w:t xml:space="preserve">的要求整改完毕为止。 </w:t>
      </w:r>
    </w:p>
    <w:p w14:paraId="370AACF4">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（7）</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 xml:space="preserve">应在施工现场采取维护安全、防范危险、预防火灾等措施，在特殊作业环境应对作业人员采取劳动保护措施。 </w:t>
      </w:r>
    </w:p>
    <w:p w14:paraId="347715D8">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（8）</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 xml:space="preserve">应采取安全防护措施，避免施工活动对周边的建筑物和构筑物造成损害。 </w:t>
      </w:r>
    </w:p>
    <w:p w14:paraId="2E05E485">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（9）</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 xml:space="preserve">应按规定对工程施工人员进行安全教育和管理。 </w:t>
      </w:r>
    </w:p>
    <w:p w14:paraId="456CA99C">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（10）</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应书面记录专项安全施工组织设计方案审查、安全检查、安全技术交底、安全隐患整改、安全教育等重要安全管理活动。</w:t>
      </w:r>
    </w:p>
    <w:p w14:paraId="7CBD7573">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（二）事故的处理</w:t>
      </w:r>
    </w:p>
    <w:p w14:paraId="7533CECB">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 xml:space="preserve">（1）如发生安全事故，除按法定程序办理有关事宜外，还必须按以下程序进行处理： </w:t>
      </w:r>
    </w:p>
    <w:p w14:paraId="29191967">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（2）报告安全事故：安全事故发生后，</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应在1小时内用最快的信息传递手段，将发生事故的时间、地点、伤亡人数、事故原因等情况，报总监理工程师和发包人。</w:t>
      </w:r>
    </w:p>
    <w:p w14:paraId="6A4F2A13">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（3）事故处理：</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 xml:space="preserve">负责抢救伤员、排除险情，防止事故蔓延扩大，保护好现场，并做好标识；并启动保险理赔程序。 </w:t>
      </w:r>
    </w:p>
    <w:p w14:paraId="4257D874">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（4）事故调查：</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 xml:space="preserve">应组织内部技术安全、质量部门的人员组成调查组，开展调查，并配合做好发包人或政府有关部门组织的调查工作。 </w:t>
      </w:r>
    </w:p>
    <w:p w14:paraId="5341CB96">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（5）调查报告：</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 xml:space="preserve">应把事故发生经过、原因、性质、损失、责任、处理意见、纠正和预防措施撰写成调查报告，送总监理工程师会审后报发包人。 </w:t>
      </w:r>
    </w:p>
    <w:p w14:paraId="5CC32028">
      <w:pPr>
        <w:pStyle w:val="38"/>
        <w:wordWrap w:val="0"/>
        <w:adjustRightInd w:val="0"/>
        <w:snapToGrid w:val="0"/>
        <w:spacing w:line="360" w:lineRule="auto"/>
        <w:ind w:firstLine="560"/>
        <w:rPr>
          <w:rFonts w:hint="eastAsia" w:ascii="宋体" w:hAnsi="宋体" w:eastAsia="宋体" w:cs="宋体"/>
          <w:color w:val="auto"/>
          <w:kern w:val="0"/>
          <w:highlight w:val="none"/>
          <w:shd w:val="clear" w:color="auto" w:fill="auto"/>
          <w:lang w:bidi="ar"/>
        </w:rPr>
      </w:pPr>
      <w:r>
        <w:rPr>
          <w:rFonts w:hint="eastAsia" w:ascii="宋体" w:hAnsi="宋体" w:eastAsia="宋体" w:cs="宋体"/>
          <w:color w:val="auto"/>
          <w:kern w:val="0"/>
          <w:highlight w:val="none"/>
          <w:shd w:val="clear" w:color="auto" w:fill="auto"/>
          <w:lang w:bidi="ar"/>
        </w:rPr>
        <w:t>（6）因</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原因发生安全事故，由</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 xml:space="preserve">承担一切经济损失及法律责任。 </w:t>
      </w:r>
    </w:p>
    <w:p w14:paraId="32773397">
      <w:pPr>
        <w:pStyle w:val="38"/>
        <w:wordWrap w:val="0"/>
        <w:adjustRightInd w:val="0"/>
        <w:snapToGrid w:val="0"/>
        <w:ind w:firstLine="560"/>
        <w:rPr>
          <w:rFonts w:hint="eastAsia"/>
          <w:color w:val="auto"/>
          <w:lang w:val="en-US" w:eastAsia="zh-CN"/>
        </w:rPr>
      </w:pPr>
      <w:r>
        <w:rPr>
          <w:rFonts w:hint="eastAsia" w:ascii="宋体" w:hAnsi="宋体" w:eastAsia="宋体" w:cs="宋体"/>
          <w:color w:val="auto"/>
          <w:kern w:val="0"/>
          <w:highlight w:val="none"/>
          <w:shd w:val="clear" w:color="auto" w:fill="auto"/>
          <w:lang w:bidi="ar"/>
        </w:rPr>
        <w:t>（7）若</w:t>
      </w:r>
      <w:r>
        <w:rPr>
          <w:rFonts w:hint="eastAsia" w:hAnsi="宋体" w:cs="宋体"/>
          <w:color w:val="auto"/>
          <w:kern w:val="0"/>
          <w:highlight w:val="none"/>
          <w:shd w:val="clear" w:color="auto" w:fill="auto"/>
          <w:lang w:eastAsia="zh-CN" w:bidi="ar"/>
        </w:rPr>
        <w:t>发包人</w:t>
      </w:r>
      <w:r>
        <w:rPr>
          <w:rFonts w:hint="eastAsia" w:ascii="宋体" w:hAnsi="宋体" w:eastAsia="宋体" w:cs="宋体"/>
          <w:color w:val="auto"/>
          <w:kern w:val="0"/>
          <w:highlight w:val="none"/>
          <w:shd w:val="clear" w:color="auto" w:fill="auto"/>
          <w:lang w:bidi="ar"/>
        </w:rPr>
        <w:t>针对工程项目发出任何指令或有任何设计变更时，</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都必须依此指令或变更采取足够的施工安全措施。如因此而发生安全事故，由</w:t>
      </w:r>
      <w:r>
        <w:rPr>
          <w:rFonts w:hint="eastAsia" w:hAnsi="宋体" w:cs="宋体"/>
          <w:color w:val="auto"/>
          <w:kern w:val="0"/>
          <w:highlight w:val="none"/>
          <w:shd w:val="clear" w:color="auto" w:fill="auto"/>
          <w:lang w:eastAsia="zh-CN" w:bidi="ar"/>
        </w:rPr>
        <w:t>承包人</w:t>
      </w:r>
      <w:r>
        <w:rPr>
          <w:rFonts w:hint="eastAsia" w:ascii="宋体" w:hAnsi="宋体" w:eastAsia="宋体" w:cs="宋体"/>
          <w:color w:val="auto"/>
          <w:kern w:val="0"/>
          <w:highlight w:val="none"/>
          <w:shd w:val="clear" w:color="auto" w:fill="auto"/>
          <w:lang w:bidi="ar"/>
        </w:rPr>
        <w:t>承担一切经济损失及法律责任。</w:t>
      </w:r>
    </w:p>
    <w:p w14:paraId="7C19827E">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4.2</w:t>
      </w:r>
      <w:r>
        <w:rPr>
          <w:rFonts w:hint="eastAsia" w:ascii="Times New Roman"/>
          <w:b/>
          <w:bCs/>
          <w:snapToGrid w:val="0"/>
          <w:color w:val="auto"/>
          <w:kern w:val="0"/>
          <w:sz w:val="24"/>
          <w:szCs w:val="24"/>
          <w:highlight w:val="none"/>
          <w:lang w:val="en-US" w:eastAsia="zh-CN"/>
        </w:rPr>
        <w:t>3</w:t>
      </w:r>
      <w:r>
        <w:rPr>
          <w:rFonts w:ascii="Times New Roman"/>
          <w:b/>
          <w:bCs/>
          <w:snapToGrid w:val="0"/>
          <w:color w:val="auto"/>
          <w:kern w:val="0"/>
          <w:sz w:val="24"/>
          <w:szCs w:val="24"/>
          <w:highlight w:val="none"/>
        </w:rPr>
        <w:t xml:space="preserve"> </w:t>
      </w:r>
      <w:r>
        <w:rPr>
          <w:rFonts w:hAnsi="宋体" w:cs="宋体"/>
          <w:color w:val="auto"/>
          <w:sz w:val="24"/>
          <w:szCs w:val="24"/>
          <w:highlight w:val="none"/>
        </w:rPr>
        <w:t>质量违约</w:t>
      </w:r>
    </w:p>
    <w:p w14:paraId="1C5E82A9">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4.2</w:t>
      </w:r>
      <w:r>
        <w:rPr>
          <w:rFonts w:hint="eastAsia" w:ascii="Times New Roman"/>
          <w:b/>
          <w:bCs/>
          <w:snapToGrid w:val="0"/>
          <w:color w:val="auto"/>
          <w:kern w:val="0"/>
          <w:sz w:val="24"/>
          <w:szCs w:val="24"/>
          <w:highlight w:val="none"/>
          <w:lang w:val="en-US" w:eastAsia="zh-CN"/>
        </w:rPr>
        <w:t>3</w:t>
      </w:r>
      <w:r>
        <w:rPr>
          <w:rFonts w:ascii="Times New Roman"/>
          <w:b/>
          <w:bCs/>
          <w:snapToGrid w:val="0"/>
          <w:color w:val="auto"/>
          <w:kern w:val="0"/>
          <w:sz w:val="24"/>
          <w:szCs w:val="24"/>
          <w:highlight w:val="none"/>
        </w:rPr>
        <w:t>.1</w:t>
      </w:r>
      <w:r>
        <w:rPr>
          <w:rFonts w:hAnsi="宋体" w:cs="宋体"/>
          <w:color w:val="auto"/>
          <w:sz w:val="24"/>
          <w:szCs w:val="24"/>
          <w:highlight w:val="none"/>
        </w:rPr>
        <w:t>材料违约处理：若发现材料不符合国家标准或发包人在技术规范中规定的标准，视为承包人违约，按现行《建设工程质量管理条例》处理。</w:t>
      </w:r>
    </w:p>
    <w:p w14:paraId="6ACB21CF">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4.2</w:t>
      </w:r>
      <w:r>
        <w:rPr>
          <w:rFonts w:hint="eastAsia" w:ascii="Times New Roman"/>
          <w:b/>
          <w:bCs/>
          <w:snapToGrid w:val="0"/>
          <w:color w:val="auto"/>
          <w:kern w:val="0"/>
          <w:sz w:val="24"/>
          <w:szCs w:val="24"/>
          <w:highlight w:val="none"/>
          <w:lang w:val="en-US" w:eastAsia="zh-CN"/>
        </w:rPr>
        <w:t>3</w:t>
      </w:r>
      <w:r>
        <w:rPr>
          <w:rFonts w:ascii="Times New Roman"/>
          <w:b/>
          <w:bCs/>
          <w:snapToGrid w:val="0"/>
          <w:color w:val="auto"/>
          <w:kern w:val="0"/>
          <w:sz w:val="24"/>
          <w:szCs w:val="24"/>
          <w:highlight w:val="none"/>
        </w:rPr>
        <w:t>.2</w:t>
      </w:r>
      <w:r>
        <w:rPr>
          <w:rFonts w:hAnsi="宋体" w:cs="宋体"/>
          <w:color w:val="auto"/>
          <w:sz w:val="24"/>
          <w:szCs w:val="24"/>
          <w:highlight w:val="none"/>
        </w:rPr>
        <w:t>工程质量违约：</w:t>
      </w:r>
    </w:p>
    <w:p w14:paraId="6D15B94E">
      <w:pPr>
        <w:spacing w:line="360" w:lineRule="auto"/>
        <w:ind w:firstLine="352" w:firstLineChars="147"/>
        <w:rPr>
          <w:rFonts w:hAnsi="宋体" w:cs="宋体"/>
          <w:color w:val="auto"/>
          <w:sz w:val="24"/>
          <w:szCs w:val="24"/>
          <w:highlight w:val="none"/>
        </w:rPr>
      </w:pPr>
      <w:r>
        <w:rPr>
          <w:rFonts w:hAnsi="宋体" w:cs="宋体"/>
          <w:color w:val="auto"/>
          <w:sz w:val="24"/>
          <w:szCs w:val="24"/>
          <w:highlight w:val="none"/>
        </w:rPr>
        <w:t>如工程未达到合格标准，则按合同价款的1%向发包人缴纳质量违约金，并将工程整改至合格标准，整改所发生的一切费用均由</w:t>
      </w:r>
      <w:r>
        <w:rPr>
          <w:rFonts w:hint="eastAsia" w:hAnsi="宋体" w:cs="宋体"/>
          <w:color w:val="auto"/>
          <w:sz w:val="24"/>
          <w:szCs w:val="24"/>
          <w:highlight w:val="none"/>
          <w:lang w:eastAsia="zh-CN"/>
        </w:rPr>
        <w:t>承包人</w:t>
      </w:r>
      <w:r>
        <w:rPr>
          <w:rFonts w:hAnsi="宋体" w:cs="宋体"/>
          <w:color w:val="auto"/>
          <w:sz w:val="24"/>
          <w:szCs w:val="24"/>
          <w:highlight w:val="none"/>
        </w:rPr>
        <w:t>承担。</w:t>
      </w:r>
    </w:p>
    <w:p w14:paraId="29AF5F6E">
      <w:pPr>
        <w:spacing w:line="360" w:lineRule="auto"/>
        <w:ind w:firstLine="473" w:firstLineChars="197"/>
        <w:rPr>
          <w:rFonts w:hint="eastAsia" w:hAnsi="宋体" w:cs="宋体"/>
          <w:color w:val="auto"/>
          <w:sz w:val="24"/>
          <w:szCs w:val="24"/>
          <w:highlight w:val="none"/>
        </w:rPr>
      </w:pPr>
      <w:r>
        <w:rPr>
          <w:rFonts w:hint="eastAsia"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24</w:t>
      </w:r>
      <w:r>
        <w:rPr>
          <w:rFonts w:hint="eastAsia" w:hAnsi="宋体" w:cs="宋体"/>
          <w:color w:val="auto"/>
          <w:sz w:val="24"/>
          <w:szCs w:val="24"/>
          <w:highlight w:val="none"/>
        </w:rPr>
        <w:t>一般及以上等级事故违约</w:t>
      </w:r>
    </w:p>
    <w:p w14:paraId="57EBE33B">
      <w:pPr>
        <w:spacing w:line="360" w:lineRule="auto"/>
        <w:ind w:firstLine="473" w:firstLineChars="197"/>
        <w:rPr>
          <w:rFonts w:hint="eastAsia" w:hAnsi="宋体" w:cs="宋体"/>
          <w:color w:val="auto"/>
          <w:sz w:val="24"/>
          <w:szCs w:val="24"/>
          <w:highlight w:val="none"/>
        </w:rPr>
      </w:pPr>
      <w:r>
        <w:rPr>
          <w:rFonts w:hint="eastAsia"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24</w:t>
      </w:r>
      <w:r>
        <w:rPr>
          <w:rFonts w:hint="eastAsia" w:ascii="Times New Roman"/>
          <w:b/>
          <w:bCs/>
          <w:snapToGrid w:val="0"/>
          <w:color w:val="auto"/>
          <w:kern w:val="0"/>
          <w:sz w:val="24"/>
          <w:szCs w:val="24"/>
          <w:highlight w:val="none"/>
        </w:rPr>
        <w:t>.1</w:t>
      </w:r>
      <w:r>
        <w:rPr>
          <w:rFonts w:hint="eastAsia" w:hAnsi="宋体" w:cs="宋体"/>
          <w:color w:val="auto"/>
          <w:sz w:val="24"/>
          <w:szCs w:val="24"/>
          <w:highlight w:val="none"/>
        </w:rPr>
        <w:t>承包人因违反国家安全质量法规及合同有关条款约定</w:t>
      </w:r>
      <w:r>
        <w:rPr>
          <w:rFonts w:hint="eastAsia" w:hAnsi="宋体" w:cs="宋体"/>
          <w:color w:val="auto"/>
          <w:sz w:val="24"/>
          <w:szCs w:val="24"/>
          <w:highlight w:val="none"/>
          <w:lang w:eastAsia="zh-CN"/>
        </w:rPr>
        <w:t>，</w:t>
      </w:r>
      <w:r>
        <w:rPr>
          <w:rFonts w:hint="eastAsia" w:hAnsi="宋体" w:cs="宋体"/>
          <w:color w:val="auto"/>
          <w:sz w:val="24"/>
          <w:szCs w:val="24"/>
          <w:highlight w:val="none"/>
        </w:rPr>
        <w:t>出现火灾、坍塌、人员重伤、死亡等一般及以上等级事故</w:t>
      </w:r>
      <w:r>
        <w:rPr>
          <w:rFonts w:hint="eastAsia" w:hAnsi="宋体" w:cs="宋体"/>
          <w:color w:val="auto"/>
          <w:sz w:val="24"/>
          <w:szCs w:val="24"/>
          <w:highlight w:val="none"/>
          <w:lang w:eastAsia="zh-CN"/>
        </w:rPr>
        <w:t>，</w:t>
      </w:r>
      <w:r>
        <w:rPr>
          <w:rFonts w:hint="eastAsia" w:hAnsi="宋体" w:cs="宋体"/>
          <w:color w:val="auto"/>
          <w:sz w:val="24"/>
          <w:szCs w:val="24"/>
          <w:highlight w:val="none"/>
        </w:rPr>
        <w:t>则承包人应承担全部损失</w:t>
      </w:r>
      <w:r>
        <w:rPr>
          <w:rFonts w:hint="eastAsia" w:hAnsi="宋体" w:cs="宋体"/>
          <w:color w:val="auto"/>
          <w:sz w:val="24"/>
          <w:szCs w:val="24"/>
          <w:highlight w:val="none"/>
          <w:lang w:eastAsia="zh-CN"/>
        </w:rPr>
        <w:t>，</w:t>
      </w:r>
      <w:r>
        <w:rPr>
          <w:rFonts w:hint="eastAsia" w:hAnsi="宋体" w:cs="宋体"/>
          <w:color w:val="auto"/>
          <w:sz w:val="24"/>
          <w:szCs w:val="24"/>
          <w:highlight w:val="none"/>
        </w:rPr>
        <w:t>并按相关法规接受行政处罚；如造成发包人</w:t>
      </w:r>
      <w:r>
        <w:rPr>
          <w:rFonts w:hint="eastAsia" w:hAnsi="宋体" w:cs="宋体"/>
          <w:color w:val="auto"/>
          <w:sz w:val="24"/>
          <w:szCs w:val="24"/>
          <w:highlight w:val="none"/>
          <w:lang w:eastAsia="zh-CN"/>
        </w:rPr>
        <w:t>及</w:t>
      </w:r>
      <w:r>
        <w:rPr>
          <w:rFonts w:hint="eastAsia" w:hAnsi="宋体" w:cs="宋体"/>
          <w:color w:val="auto"/>
          <w:sz w:val="24"/>
          <w:szCs w:val="24"/>
          <w:highlight w:val="none"/>
        </w:rPr>
        <w:t>第三人利益的损害</w:t>
      </w:r>
      <w:r>
        <w:rPr>
          <w:rFonts w:hint="eastAsia" w:hAnsi="宋体" w:cs="宋体"/>
          <w:color w:val="auto"/>
          <w:sz w:val="24"/>
          <w:szCs w:val="24"/>
          <w:highlight w:val="none"/>
          <w:lang w:eastAsia="zh-CN"/>
        </w:rPr>
        <w:t>，</w:t>
      </w:r>
      <w:r>
        <w:rPr>
          <w:rFonts w:hint="eastAsia" w:hAnsi="宋体" w:cs="宋体"/>
          <w:color w:val="auto"/>
          <w:sz w:val="24"/>
          <w:szCs w:val="24"/>
          <w:highlight w:val="none"/>
        </w:rPr>
        <w:t>该等损害赔偿责任均由承包人承担。同时</w:t>
      </w:r>
      <w:r>
        <w:rPr>
          <w:rFonts w:hint="eastAsia" w:hAnsi="宋体" w:cs="宋体"/>
          <w:color w:val="auto"/>
          <w:sz w:val="24"/>
          <w:szCs w:val="24"/>
          <w:highlight w:val="none"/>
          <w:lang w:eastAsia="zh-CN"/>
        </w:rPr>
        <w:t>，</w:t>
      </w:r>
      <w:r>
        <w:rPr>
          <w:rFonts w:hint="eastAsia" w:hAnsi="宋体" w:cs="宋体"/>
          <w:color w:val="auto"/>
          <w:sz w:val="24"/>
          <w:szCs w:val="24"/>
          <w:highlight w:val="none"/>
        </w:rPr>
        <w:t>每出现一次一般及以上等级事故</w:t>
      </w:r>
      <w:r>
        <w:rPr>
          <w:rFonts w:hint="eastAsia" w:hAnsi="宋体" w:cs="宋体"/>
          <w:color w:val="auto"/>
          <w:sz w:val="24"/>
          <w:szCs w:val="24"/>
          <w:highlight w:val="none"/>
          <w:lang w:eastAsia="zh-CN"/>
        </w:rPr>
        <w:t>，</w:t>
      </w:r>
      <w:r>
        <w:rPr>
          <w:rFonts w:hint="eastAsia" w:hAnsi="宋体" w:cs="宋体"/>
          <w:color w:val="auto"/>
          <w:sz w:val="24"/>
          <w:szCs w:val="24"/>
          <w:highlight w:val="none"/>
        </w:rPr>
        <w:t xml:space="preserve"> 承包人应同时支付惩罚性违约金50万元。</w:t>
      </w:r>
    </w:p>
    <w:p w14:paraId="152E6E79">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25</w:t>
      </w:r>
      <w:r>
        <w:rPr>
          <w:rFonts w:hAnsi="宋体" w:cs="宋体"/>
          <w:color w:val="auto"/>
          <w:sz w:val="24"/>
          <w:szCs w:val="24"/>
          <w:highlight w:val="none"/>
        </w:rPr>
        <w:t>用工违约</w:t>
      </w:r>
    </w:p>
    <w:p w14:paraId="76EB6497">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25</w:t>
      </w:r>
      <w:r>
        <w:rPr>
          <w:rFonts w:ascii="Times New Roman"/>
          <w:b/>
          <w:bCs/>
          <w:snapToGrid w:val="0"/>
          <w:color w:val="auto"/>
          <w:kern w:val="0"/>
          <w:sz w:val="24"/>
          <w:szCs w:val="24"/>
          <w:highlight w:val="none"/>
        </w:rPr>
        <w:t>.1</w:t>
      </w:r>
      <w:r>
        <w:rPr>
          <w:rFonts w:hAnsi="宋体" w:cs="宋体"/>
          <w:color w:val="auto"/>
          <w:sz w:val="24"/>
          <w:szCs w:val="24"/>
          <w:highlight w:val="none"/>
        </w:rPr>
        <w:t>在合同履行期间，如经查实承包人拖欠或克扣农民工或劳务工工资，导致劳资纠纷或发生危及公共安全或正常社会秩序的事件的，按承包人违约处理，承包人应按拖欠或克扣农民工或劳务工工资总金额3倍的标准向发包人支付违约金。</w:t>
      </w:r>
    </w:p>
    <w:p w14:paraId="0C264A1D">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26</w:t>
      </w:r>
      <w:r>
        <w:rPr>
          <w:rFonts w:ascii="Times New Roman"/>
          <w:b/>
          <w:bCs/>
          <w:snapToGrid w:val="0"/>
          <w:color w:val="auto"/>
          <w:kern w:val="0"/>
          <w:sz w:val="24"/>
          <w:szCs w:val="24"/>
          <w:highlight w:val="none"/>
        </w:rPr>
        <w:t xml:space="preserve"> </w:t>
      </w:r>
      <w:r>
        <w:rPr>
          <w:rFonts w:hAnsi="宋体" w:cs="宋体"/>
          <w:color w:val="auto"/>
          <w:sz w:val="24"/>
          <w:szCs w:val="24"/>
          <w:highlight w:val="none"/>
        </w:rPr>
        <w:t>安全文明施工违约</w:t>
      </w:r>
    </w:p>
    <w:p w14:paraId="16FB5FF4">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26</w:t>
      </w:r>
      <w:r>
        <w:rPr>
          <w:rFonts w:ascii="Times New Roman"/>
          <w:b/>
          <w:bCs/>
          <w:snapToGrid w:val="0"/>
          <w:color w:val="auto"/>
          <w:kern w:val="0"/>
          <w:sz w:val="24"/>
          <w:szCs w:val="24"/>
          <w:highlight w:val="none"/>
        </w:rPr>
        <w:t>.1</w:t>
      </w:r>
      <w:r>
        <w:rPr>
          <w:rFonts w:hAnsi="宋体" w:cs="宋体"/>
          <w:color w:val="auto"/>
          <w:sz w:val="24"/>
          <w:szCs w:val="24"/>
          <w:highlight w:val="none"/>
        </w:rPr>
        <w:t>如承包人违反国家、广东省、发包人及合同关于安全文明施工的规定，但尚未造成安全责任事故，承包人应及时改正行为并赔偿相关方的损失，如未及时整改，针对每一违约行为每持续一天应支付违约金</w:t>
      </w:r>
      <w:r>
        <w:rPr>
          <w:rFonts w:hint="eastAsia" w:hAnsi="宋体" w:cs="宋体"/>
          <w:color w:val="auto"/>
          <w:sz w:val="24"/>
          <w:szCs w:val="24"/>
          <w:highlight w:val="none"/>
          <w:lang w:val="en-US" w:eastAsia="zh-CN"/>
        </w:rPr>
        <w:t>3000</w:t>
      </w:r>
      <w:r>
        <w:rPr>
          <w:rFonts w:hAnsi="宋体" w:cs="宋体"/>
          <w:color w:val="auto"/>
          <w:sz w:val="24"/>
          <w:szCs w:val="24"/>
          <w:highlight w:val="none"/>
        </w:rPr>
        <w:t>元。</w:t>
      </w:r>
    </w:p>
    <w:p w14:paraId="2D32BDC1">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27</w:t>
      </w:r>
      <w:r>
        <w:rPr>
          <w:rFonts w:ascii="Times New Roman"/>
          <w:b/>
          <w:bCs/>
          <w:snapToGrid w:val="0"/>
          <w:color w:val="auto"/>
          <w:kern w:val="0"/>
          <w:sz w:val="24"/>
          <w:szCs w:val="24"/>
          <w:highlight w:val="none"/>
        </w:rPr>
        <w:t>.2</w:t>
      </w:r>
      <w:r>
        <w:rPr>
          <w:rFonts w:hAnsi="宋体" w:cs="宋体"/>
          <w:color w:val="auto"/>
          <w:sz w:val="24"/>
          <w:szCs w:val="24"/>
          <w:highlight w:val="none"/>
        </w:rPr>
        <w:t>承包人现场施工人员存在野蛮施工行为，经现场发包人（含监理单位）管理人员确认后，承包人须按2万元/次支付违约金，并承担因野蛮施工行为所造成的全部责任。</w:t>
      </w:r>
    </w:p>
    <w:p w14:paraId="359CEAFB">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27</w:t>
      </w:r>
      <w:r>
        <w:rPr>
          <w:rFonts w:ascii="Times New Roman"/>
          <w:b/>
          <w:bCs/>
          <w:snapToGrid w:val="0"/>
          <w:color w:val="auto"/>
          <w:kern w:val="0"/>
          <w:sz w:val="24"/>
          <w:szCs w:val="24"/>
          <w:highlight w:val="none"/>
        </w:rPr>
        <w:t>.3</w:t>
      </w:r>
      <w:r>
        <w:rPr>
          <w:rFonts w:hAnsi="宋体" w:cs="宋体"/>
          <w:color w:val="auto"/>
          <w:sz w:val="24"/>
          <w:szCs w:val="24"/>
          <w:highlight w:val="none"/>
        </w:rPr>
        <w:t>承包人必须接受发包人组织的安全、文明施工的检查，检查中的不合格项目、安全隐患必须在规定的时间内整改完成，否则每拖延一天处以1万元人民币违约金，直至整改合格。</w:t>
      </w:r>
    </w:p>
    <w:p w14:paraId="31ADEA01">
      <w:pPr>
        <w:spacing w:line="360" w:lineRule="auto"/>
        <w:ind w:firstLine="353" w:firstLineChars="147"/>
        <w:rPr>
          <w:rFonts w:hAnsi="宋体" w:cs="宋体"/>
          <w:color w:val="auto"/>
          <w:kern w:val="0"/>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27</w:t>
      </w:r>
      <w:r>
        <w:rPr>
          <w:rFonts w:ascii="Times New Roman"/>
          <w:b/>
          <w:bCs/>
          <w:snapToGrid w:val="0"/>
          <w:color w:val="auto"/>
          <w:kern w:val="0"/>
          <w:sz w:val="24"/>
          <w:szCs w:val="24"/>
          <w:highlight w:val="none"/>
        </w:rPr>
        <w:t>.4</w:t>
      </w:r>
      <w:r>
        <w:rPr>
          <w:rFonts w:hAnsi="宋体" w:cs="宋体"/>
          <w:color w:val="auto"/>
          <w:kern w:val="0"/>
          <w:sz w:val="24"/>
          <w:szCs w:val="24"/>
          <w:highlight w:val="none"/>
        </w:rPr>
        <w:t>因施工造成的道路交通中断、通讯中断、管线漏水漏气等全部责任事故，由承包人承担责任，并支付违约金2万元人民币。</w:t>
      </w:r>
    </w:p>
    <w:p w14:paraId="3D65A391">
      <w:pPr>
        <w:spacing w:line="360" w:lineRule="auto"/>
        <w:ind w:firstLine="354" w:firstLineChars="147"/>
        <w:rPr>
          <w:rFonts w:hint="default" w:eastAsia="宋体"/>
          <w:color w:val="auto"/>
          <w:sz w:val="24"/>
          <w:szCs w:val="24"/>
          <w:highlight w:val="none"/>
          <w:lang w:val="en-US" w:eastAsia="zh-CN"/>
        </w:rPr>
      </w:pPr>
      <w:r>
        <w:rPr>
          <w:rFonts w:hint="eastAsia" w:ascii="Times New Roman" w:hAnsi="Times New Roman" w:eastAsia="宋体" w:cs="Times New Roman"/>
          <w:b/>
          <w:bCs/>
          <w:snapToGrid w:val="0"/>
          <w:color w:val="auto"/>
          <w:kern w:val="0"/>
          <w:sz w:val="24"/>
          <w:szCs w:val="24"/>
          <w:highlight w:val="none"/>
          <w:lang w:val="en-US" w:eastAsia="zh-CN"/>
        </w:rPr>
        <w:t>4.27.5</w:t>
      </w:r>
      <w:r>
        <w:rPr>
          <w:rFonts w:hint="eastAsia" w:ascii="宋体" w:hAnsi="宋体" w:eastAsia="宋体" w:cs="宋体"/>
          <w:color w:val="auto"/>
          <w:kern w:val="0"/>
          <w:sz w:val="24"/>
          <w:szCs w:val="24"/>
          <w:highlight w:val="none"/>
        </w:rPr>
        <w:t>承包人应按发包人要求恢复临时占地及清理场地，承包人未按发包人的要求恢复临时占地，或者场地清理未达到合同约定要求的，发包人有权委托其他人恢复或清理，所发生的费用由承包人承担</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因此产生的费用</w:t>
      </w:r>
      <w:r>
        <w:rPr>
          <w:rFonts w:hAnsi="宋体" w:cs="宋体"/>
          <w:color w:val="auto"/>
          <w:sz w:val="24"/>
          <w:szCs w:val="24"/>
          <w:highlight w:val="none"/>
        </w:rPr>
        <w:t>结算时一并扣除</w:t>
      </w:r>
      <w:r>
        <w:rPr>
          <w:rFonts w:ascii="Times New Roman"/>
          <w:snapToGrid w:val="0"/>
          <w:color w:val="auto"/>
          <w:kern w:val="0"/>
          <w:sz w:val="24"/>
          <w:szCs w:val="24"/>
          <w:highlight w:val="none"/>
        </w:rPr>
        <w:t>。</w:t>
      </w:r>
    </w:p>
    <w:p w14:paraId="31D14314">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28</w:t>
      </w:r>
      <w:r>
        <w:rPr>
          <w:rFonts w:ascii="Times New Roman"/>
          <w:b/>
          <w:bCs/>
          <w:snapToGrid w:val="0"/>
          <w:color w:val="auto"/>
          <w:kern w:val="0"/>
          <w:sz w:val="24"/>
          <w:szCs w:val="24"/>
          <w:highlight w:val="none"/>
        </w:rPr>
        <w:t xml:space="preserve"> </w:t>
      </w:r>
      <w:r>
        <w:rPr>
          <w:rFonts w:hAnsi="宋体" w:cs="宋体"/>
          <w:color w:val="auto"/>
          <w:sz w:val="24"/>
          <w:szCs w:val="24"/>
          <w:highlight w:val="none"/>
        </w:rPr>
        <w:t>其他违约</w:t>
      </w:r>
    </w:p>
    <w:p w14:paraId="572D698E">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28</w:t>
      </w:r>
      <w:r>
        <w:rPr>
          <w:rFonts w:ascii="Times New Roman"/>
          <w:b/>
          <w:bCs/>
          <w:snapToGrid w:val="0"/>
          <w:color w:val="auto"/>
          <w:kern w:val="0"/>
          <w:sz w:val="24"/>
          <w:szCs w:val="24"/>
          <w:highlight w:val="none"/>
        </w:rPr>
        <w:t>.1</w:t>
      </w:r>
      <w:r>
        <w:rPr>
          <w:rFonts w:hAnsi="宋体" w:cs="宋体"/>
          <w:color w:val="auto"/>
          <w:sz w:val="24"/>
          <w:szCs w:val="24"/>
          <w:highlight w:val="none"/>
        </w:rPr>
        <w:t>承包人安排在施工场地的主要管理人员（主要指项目经理、项目技术负责人和专职安全生产管理人员）应与承包人投标文件承诺的名单一致，并保持相对稳定。未经总监理工程师批准，上述人员不应无故不到位或被替换。若确实无法到位或需替换，需经总监理工程师审核并报发包人批准后，承包人可安排同等资历的人员替换；考勤指模打卡每月累计不到位次数超过10天，</w:t>
      </w:r>
      <w:r>
        <w:rPr>
          <w:rFonts w:hint="eastAsia" w:hAnsi="宋体" w:cs="宋体"/>
          <w:color w:val="auto"/>
          <w:sz w:val="24"/>
          <w:szCs w:val="24"/>
          <w:highlight w:val="none"/>
          <w:lang w:eastAsia="zh-CN"/>
        </w:rPr>
        <w:t>发包人有权进行处罚。</w:t>
      </w:r>
    </w:p>
    <w:p w14:paraId="4C773670">
      <w:pPr>
        <w:spacing w:line="360" w:lineRule="auto"/>
        <w:ind w:firstLine="473" w:firstLineChars="197"/>
        <w:rPr>
          <w:rFonts w:ascii="Times New Roman"/>
          <w:b/>
          <w:bCs/>
          <w:snapToGrid w:val="0"/>
          <w:color w:val="auto"/>
          <w:kern w:val="0"/>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28</w:t>
      </w:r>
      <w:r>
        <w:rPr>
          <w:rFonts w:ascii="Times New Roman"/>
          <w:b/>
          <w:bCs/>
          <w:snapToGrid w:val="0"/>
          <w:color w:val="auto"/>
          <w:kern w:val="0"/>
          <w:sz w:val="24"/>
          <w:szCs w:val="24"/>
          <w:highlight w:val="none"/>
        </w:rPr>
        <w:t>.</w:t>
      </w:r>
      <w:r>
        <w:rPr>
          <w:rFonts w:hint="eastAsia" w:ascii="Times New Roman"/>
          <w:b/>
          <w:bCs/>
          <w:snapToGrid w:val="0"/>
          <w:color w:val="auto"/>
          <w:kern w:val="0"/>
          <w:sz w:val="24"/>
          <w:szCs w:val="24"/>
          <w:highlight w:val="none"/>
          <w:lang w:val="en-US" w:eastAsia="zh-CN"/>
        </w:rPr>
        <w:t>2</w:t>
      </w:r>
      <w:r>
        <w:rPr>
          <w:rFonts w:hAnsi="宋体" w:cs="宋体"/>
          <w:color w:val="auto"/>
          <w:sz w:val="24"/>
          <w:szCs w:val="24"/>
          <w:highlight w:val="none"/>
        </w:rPr>
        <w:t>承包人安排在施工场地的主要</w:t>
      </w:r>
      <w:r>
        <w:rPr>
          <w:rFonts w:hint="eastAsia" w:hAnsi="宋体" w:cs="宋体"/>
          <w:color w:val="auto"/>
          <w:sz w:val="24"/>
          <w:szCs w:val="24"/>
          <w:highlight w:val="none"/>
          <w:lang w:val="en-US" w:eastAsia="zh-CN"/>
        </w:rPr>
        <w:t>人员名单与数量</w:t>
      </w:r>
      <w:r>
        <w:rPr>
          <w:rFonts w:hAnsi="宋体" w:cs="宋体"/>
          <w:color w:val="auto"/>
          <w:sz w:val="24"/>
          <w:szCs w:val="24"/>
          <w:highlight w:val="none"/>
        </w:rPr>
        <w:t>应与承包人投标文件承诺的名单一致，并保持相对稳定。若确实无法到位或需替换，需经总监理工程师审核并报发包人批准后，承包人可安排同等资历的人员替换；考勤指模打卡每月累计不到位次数超过10天，</w:t>
      </w:r>
      <w:r>
        <w:rPr>
          <w:rFonts w:hint="eastAsia" w:hAnsi="宋体" w:cs="宋体"/>
          <w:color w:val="auto"/>
          <w:sz w:val="24"/>
          <w:szCs w:val="24"/>
          <w:highlight w:val="none"/>
          <w:lang w:eastAsia="zh-CN"/>
        </w:rPr>
        <w:t>发包人有权进行处罚。</w:t>
      </w:r>
    </w:p>
    <w:p w14:paraId="062644D8">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28</w:t>
      </w:r>
      <w:r>
        <w:rPr>
          <w:rFonts w:ascii="Times New Roman"/>
          <w:b/>
          <w:bCs/>
          <w:snapToGrid w:val="0"/>
          <w:color w:val="auto"/>
          <w:kern w:val="0"/>
          <w:sz w:val="24"/>
          <w:szCs w:val="24"/>
          <w:highlight w:val="none"/>
        </w:rPr>
        <w:t>.</w:t>
      </w:r>
      <w:r>
        <w:rPr>
          <w:rFonts w:hint="eastAsia" w:ascii="Times New Roman"/>
          <w:b/>
          <w:bCs/>
          <w:snapToGrid w:val="0"/>
          <w:color w:val="auto"/>
          <w:kern w:val="0"/>
          <w:sz w:val="24"/>
          <w:szCs w:val="24"/>
          <w:highlight w:val="none"/>
          <w:lang w:val="en-US" w:eastAsia="zh-CN"/>
        </w:rPr>
        <w:t>3</w:t>
      </w:r>
      <w:r>
        <w:rPr>
          <w:rFonts w:hAnsi="宋体" w:cs="宋体"/>
          <w:color w:val="auto"/>
          <w:sz w:val="24"/>
          <w:szCs w:val="24"/>
          <w:highlight w:val="none"/>
        </w:rPr>
        <w:t>发包人要求承包人替换项目部中不称职人员，而承包人不予替换，视为承包人违约。</w:t>
      </w:r>
    </w:p>
    <w:p w14:paraId="4A34E0F3">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28</w:t>
      </w:r>
      <w:r>
        <w:rPr>
          <w:rFonts w:ascii="Times New Roman"/>
          <w:b/>
          <w:bCs/>
          <w:snapToGrid w:val="0"/>
          <w:color w:val="auto"/>
          <w:kern w:val="0"/>
          <w:sz w:val="24"/>
          <w:szCs w:val="24"/>
          <w:highlight w:val="none"/>
        </w:rPr>
        <w:t>.</w:t>
      </w:r>
      <w:r>
        <w:rPr>
          <w:rFonts w:hint="eastAsia" w:ascii="Times New Roman"/>
          <w:b/>
          <w:bCs/>
          <w:snapToGrid w:val="0"/>
          <w:color w:val="auto"/>
          <w:kern w:val="0"/>
          <w:sz w:val="24"/>
          <w:szCs w:val="24"/>
          <w:highlight w:val="none"/>
          <w:lang w:val="en-US" w:eastAsia="zh-CN"/>
        </w:rPr>
        <w:t>4</w:t>
      </w:r>
      <w:r>
        <w:rPr>
          <w:rFonts w:hAnsi="宋体" w:cs="宋体"/>
          <w:color w:val="auto"/>
          <w:sz w:val="24"/>
          <w:szCs w:val="24"/>
          <w:highlight w:val="none"/>
        </w:rPr>
        <w:t>发包人对上述约定中的规定并不免除承包人接受国家、地方政府相关部门依法对承包人的处罚。</w:t>
      </w:r>
    </w:p>
    <w:p w14:paraId="3AA09253">
      <w:pPr>
        <w:spacing w:line="360" w:lineRule="auto"/>
        <w:ind w:firstLine="473" w:firstLineChars="197"/>
        <w:rPr>
          <w:rFonts w:hAnsi="宋体" w:cs="宋体"/>
          <w:color w:val="auto"/>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28</w:t>
      </w:r>
      <w:r>
        <w:rPr>
          <w:rFonts w:ascii="Times New Roman"/>
          <w:b/>
          <w:bCs/>
          <w:snapToGrid w:val="0"/>
          <w:color w:val="auto"/>
          <w:kern w:val="0"/>
          <w:sz w:val="24"/>
          <w:szCs w:val="24"/>
          <w:highlight w:val="none"/>
        </w:rPr>
        <w:t>.</w:t>
      </w:r>
      <w:r>
        <w:rPr>
          <w:rFonts w:hint="eastAsia" w:ascii="Times New Roman"/>
          <w:b/>
          <w:bCs/>
          <w:snapToGrid w:val="0"/>
          <w:color w:val="auto"/>
          <w:kern w:val="0"/>
          <w:sz w:val="24"/>
          <w:szCs w:val="24"/>
          <w:highlight w:val="none"/>
          <w:lang w:val="en-US" w:eastAsia="zh-CN"/>
        </w:rPr>
        <w:t>5</w:t>
      </w:r>
      <w:r>
        <w:rPr>
          <w:rFonts w:hAnsi="宋体" w:cs="宋体"/>
          <w:color w:val="auto"/>
          <w:sz w:val="24"/>
          <w:szCs w:val="24"/>
          <w:highlight w:val="none"/>
        </w:rPr>
        <w:t>承包人没有正当合理的理由中途退场，可扣除承包人已递交的所有履约风险保证金</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同时，除工人工资外其他应付款不予结算</w:t>
      </w:r>
      <w:r>
        <w:rPr>
          <w:rFonts w:hAnsi="宋体" w:cs="宋体"/>
          <w:color w:val="auto"/>
          <w:sz w:val="24"/>
          <w:szCs w:val="24"/>
          <w:highlight w:val="none"/>
        </w:rPr>
        <w:t>。</w:t>
      </w:r>
    </w:p>
    <w:p w14:paraId="682DA773">
      <w:pPr>
        <w:spacing w:line="360" w:lineRule="auto"/>
        <w:ind w:firstLine="473" w:firstLineChars="197"/>
        <w:rPr>
          <w:rFonts w:hint="eastAsia" w:hAnsi="宋体" w:cs="宋体"/>
          <w:color w:val="auto"/>
          <w:sz w:val="24"/>
          <w:szCs w:val="24"/>
          <w:highlight w:val="none"/>
        </w:rPr>
      </w:pPr>
      <w:r>
        <w:rPr>
          <w:rFonts w:hint="eastAsia"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28</w:t>
      </w:r>
      <w:r>
        <w:rPr>
          <w:rFonts w:hint="eastAsia" w:ascii="Times New Roman"/>
          <w:b/>
          <w:bCs/>
          <w:snapToGrid w:val="0"/>
          <w:color w:val="auto"/>
          <w:kern w:val="0"/>
          <w:sz w:val="24"/>
          <w:szCs w:val="24"/>
          <w:highlight w:val="none"/>
        </w:rPr>
        <w:t>.</w:t>
      </w:r>
      <w:r>
        <w:rPr>
          <w:rFonts w:hint="eastAsia" w:ascii="Times New Roman"/>
          <w:b/>
          <w:bCs/>
          <w:snapToGrid w:val="0"/>
          <w:color w:val="auto"/>
          <w:kern w:val="0"/>
          <w:sz w:val="24"/>
          <w:szCs w:val="24"/>
          <w:highlight w:val="none"/>
          <w:lang w:val="en-US" w:eastAsia="zh-CN"/>
        </w:rPr>
        <w:t>6</w:t>
      </w:r>
      <w:r>
        <w:rPr>
          <w:rFonts w:hint="eastAsia" w:hAnsi="宋体" w:cs="宋体"/>
          <w:color w:val="auto"/>
          <w:sz w:val="24"/>
          <w:szCs w:val="24"/>
          <w:highlight w:val="none"/>
        </w:rPr>
        <w:t>有下列情况之一的，承包人在一年内不得参与发包人的任何工程任务，并勒令从现施工的工地退场，同时支付10万元违约金：</w:t>
      </w:r>
    </w:p>
    <w:p w14:paraId="38EA665D">
      <w:pPr>
        <w:spacing w:line="360" w:lineRule="auto"/>
        <w:ind w:firstLine="352" w:firstLineChars="147"/>
        <w:rPr>
          <w:rFonts w:hint="eastAsia" w:hAnsi="宋体" w:cs="宋体"/>
          <w:color w:val="auto"/>
          <w:sz w:val="24"/>
          <w:szCs w:val="24"/>
          <w:highlight w:val="none"/>
        </w:rPr>
      </w:pPr>
      <w:r>
        <w:rPr>
          <w:rFonts w:hint="eastAsia" w:hAnsi="宋体" w:cs="宋体"/>
          <w:color w:val="auto"/>
          <w:sz w:val="24"/>
          <w:szCs w:val="24"/>
          <w:highlight w:val="none"/>
        </w:rPr>
        <w:t>A</w:t>
      </w:r>
      <w:r>
        <w:rPr>
          <w:rFonts w:hint="eastAsia" w:hAnsi="宋体" w:cs="宋体"/>
          <w:color w:val="auto"/>
          <w:sz w:val="24"/>
          <w:szCs w:val="24"/>
          <w:highlight w:val="none"/>
          <w:lang w:eastAsia="zh-CN"/>
        </w:rPr>
        <w:t>.</w:t>
      </w:r>
      <w:r>
        <w:rPr>
          <w:rFonts w:hint="eastAsia" w:hAnsi="宋体" w:cs="宋体"/>
          <w:color w:val="auto"/>
          <w:sz w:val="24"/>
          <w:szCs w:val="24"/>
          <w:highlight w:val="none"/>
        </w:rPr>
        <w:t>路面沉降、开裂超过规范要求并造成不良社会影响的；</w:t>
      </w:r>
    </w:p>
    <w:p w14:paraId="67A8EA86">
      <w:pPr>
        <w:spacing w:line="360" w:lineRule="auto"/>
        <w:ind w:firstLine="352" w:firstLineChars="147"/>
        <w:rPr>
          <w:rFonts w:hint="eastAsia" w:hAnsi="宋体" w:cs="宋体"/>
          <w:color w:val="auto"/>
          <w:sz w:val="24"/>
          <w:szCs w:val="24"/>
          <w:highlight w:val="none"/>
          <w:u w:val="none"/>
        </w:rPr>
      </w:pPr>
      <w:r>
        <w:rPr>
          <w:rFonts w:hint="eastAsia" w:hAnsi="宋体" w:cs="宋体"/>
          <w:color w:val="auto"/>
          <w:sz w:val="24"/>
          <w:szCs w:val="24"/>
          <w:highlight w:val="none"/>
          <w:u w:val="none"/>
        </w:rPr>
        <w:t>B</w:t>
      </w:r>
      <w:r>
        <w:rPr>
          <w:rFonts w:hint="eastAsia" w:hAnsi="宋体" w:cs="宋体"/>
          <w:color w:val="auto"/>
          <w:sz w:val="24"/>
          <w:szCs w:val="24"/>
          <w:highlight w:val="none"/>
          <w:u w:val="none"/>
          <w:lang w:eastAsia="zh-CN"/>
        </w:rPr>
        <w:t>.</w:t>
      </w:r>
      <w:r>
        <w:rPr>
          <w:rFonts w:hint="eastAsia" w:hAnsi="宋体" w:cs="宋体"/>
          <w:color w:val="auto"/>
          <w:sz w:val="24"/>
          <w:szCs w:val="24"/>
          <w:highlight w:val="none"/>
          <w:u w:val="none"/>
        </w:rPr>
        <w:t>发生一般及以上等级质量安全事故的；</w:t>
      </w:r>
    </w:p>
    <w:p w14:paraId="4E7D3CF6">
      <w:pPr>
        <w:spacing w:line="360" w:lineRule="auto"/>
        <w:ind w:firstLine="352" w:firstLineChars="147"/>
        <w:rPr>
          <w:rFonts w:hint="eastAsia" w:hAnsi="宋体" w:cs="宋体"/>
          <w:color w:val="auto"/>
          <w:sz w:val="24"/>
          <w:szCs w:val="24"/>
          <w:highlight w:val="none"/>
        </w:rPr>
      </w:pPr>
      <w:r>
        <w:rPr>
          <w:rFonts w:hint="eastAsia" w:hAnsi="宋体" w:cs="宋体"/>
          <w:color w:val="auto"/>
          <w:sz w:val="24"/>
          <w:szCs w:val="24"/>
          <w:highlight w:val="none"/>
        </w:rPr>
        <w:t>C</w:t>
      </w:r>
      <w:r>
        <w:rPr>
          <w:rFonts w:hint="eastAsia" w:hAnsi="宋体" w:cs="宋体"/>
          <w:color w:val="auto"/>
          <w:sz w:val="24"/>
          <w:szCs w:val="24"/>
          <w:highlight w:val="none"/>
          <w:lang w:eastAsia="zh-CN"/>
        </w:rPr>
        <w:t>.</w:t>
      </w:r>
      <w:r>
        <w:rPr>
          <w:rFonts w:hint="eastAsia" w:hAnsi="宋体" w:cs="宋体"/>
          <w:color w:val="auto"/>
          <w:sz w:val="24"/>
          <w:szCs w:val="24"/>
          <w:highlight w:val="none"/>
        </w:rPr>
        <w:t>承包人所承担的施工任务在施工期间，由于工程质量或工程进度原因，监理单位发出10个以上﹙含10个﹚停工令的；</w:t>
      </w:r>
    </w:p>
    <w:p w14:paraId="565D02A2">
      <w:pPr>
        <w:wordWrap w:val="0"/>
        <w:autoSpaceDE/>
        <w:autoSpaceDN/>
        <w:snapToGrid w:val="0"/>
        <w:spacing w:line="360" w:lineRule="auto"/>
        <w:ind w:firstLine="352" w:firstLineChars="147"/>
        <w:jc w:val="both"/>
        <w:rPr>
          <w:rFonts w:hint="eastAsia" w:hAnsi="宋体" w:cs="宋体"/>
          <w:color w:val="auto"/>
          <w:sz w:val="24"/>
          <w:szCs w:val="24"/>
          <w:highlight w:val="none"/>
        </w:rPr>
      </w:pPr>
      <w:r>
        <w:rPr>
          <w:rFonts w:hint="eastAsia" w:hAnsi="宋体" w:cs="宋体"/>
          <w:color w:val="auto"/>
          <w:sz w:val="24"/>
          <w:szCs w:val="24"/>
          <w:highlight w:val="none"/>
        </w:rPr>
        <w:t>D</w:t>
      </w:r>
      <w:r>
        <w:rPr>
          <w:rFonts w:hint="eastAsia" w:hAnsi="宋体" w:cs="宋体"/>
          <w:color w:val="auto"/>
          <w:sz w:val="24"/>
          <w:szCs w:val="24"/>
          <w:highlight w:val="none"/>
          <w:lang w:eastAsia="zh-CN"/>
        </w:rPr>
        <w:t>.</w:t>
      </w:r>
      <w:r>
        <w:rPr>
          <w:rFonts w:hint="eastAsia" w:hAnsi="宋体" w:cs="宋体"/>
          <w:color w:val="auto"/>
          <w:sz w:val="24"/>
          <w:szCs w:val="24"/>
          <w:highlight w:val="none"/>
        </w:rPr>
        <w:t>质量监督部门在抽检时发出5个以上（含5个）由于工程质量原因通报的；</w:t>
      </w:r>
    </w:p>
    <w:p w14:paraId="55C51643">
      <w:pPr>
        <w:wordWrap w:val="0"/>
        <w:autoSpaceDE/>
        <w:autoSpaceDN/>
        <w:snapToGrid w:val="0"/>
        <w:spacing w:line="360" w:lineRule="auto"/>
        <w:ind w:firstLine="353" w:firstLineChars="147"/>
        <w:jc w:val="both"/>
        <w:rPr>
          <w:rFonts w:ascii="Times New Roman"/>
          <w:snapToGrid w:val="0"/>
          <w:color w:val="auto"/>
          <w:kern w:val="0"/>
          <w:sz w:val="24"/>
          <w:szCs w:val="24"/>
          <w:highlight w:val="none"/>
        </w:rPr>
      </w:pPr>
      <w:r>
        <w:rPr>
          <w:rFonts w:ascii="Times New Roman"/>
          <w:b/>
          <w:bCs/>
          <w:snapToGrid w:val="0"/>
          <w:color w:val="auto"/>
          <w:kern w:val="0"/>
          <w:sz w:val="24"/>
          <w:szCs w:val="24"/>
          <w:highlight w:val="none"/>
        </w:rPr>
        <w:t>4.</w:t>
      </w:r>
      <w:r>
        <w:rPr>
          <w:rFonts w:hint="eastAsia" w:ascii="Times New Roman"/>
          <w:b/>
          <w:bCs/>
          <w:snapToGrid w:val="0"/>
          <w:color w:val="auto"/>
          <w:kern w:val="0"/>
          <w:sz w:val="24"/>
          <w:szCs w:val="24"/>
          <w:highlight w:val="none"/>
          <w:lang w:val="en-US" w:eastAsia="zh-CN"/>
        </w:rPr>
        <w:t>29</w:t>
      </w:r>
      <w:r>
        <w:rPr>
          <w:rFonts w:ascii="Times New Roman"/>
          <w:b/>
          <w:bCs/>
          <w:snapToGrid w:val="0"/>
          <w:color w:val="auto"/>
          <w:kern w:val="0"/>
          <w:sz w:val="24"/>
          <w:szCs w:val="24"/>
          <w:highlight w:val="none"/>
        </w:rPr>
        <w:t xml:space="preserve"> </w:t>
      </w:r>
      <w:r>
        <w:rPr>
          <w:rFonts w:hAnsi="宋体" w:cs="宋体"/>
          <w:color w:val="auto"/>
          <w:sz w:val="24"/>
          <w:szCs w:val="24"/>
          <w:highlight w:val="none"/>
        </w:rPr>
        <w:t>承包人因违约行为而</w:t>
      </w:r>
      <w:r>
        <w:rPr>
          <w:rFonts w:hint="eastAsia" w:hAnsi="宋体" w:eastAsia="宋体" w:cs="宋体"/>
          <w:color w:val="auto"/>
          <w:sz w:val="24"/>
          <w:szCs w:val="24"/>
          <w:highlight w:val="none"/>
          <w:lang w:eastAsia="zh-CN"/>
        </w:rPr>
        <w:t>需</w:t>
      </w:r>
      <w:r>
        <w:rPr>
          <w:rFonts w:hAnsi="宋体" w:cs="宋体"/>
          <w:color w:val="auto"/>
          <w:sz w:val="24"/>
          <w:szCs w:val="24"/>
          <w:highlight w:val="none"/>
        </w:rPr>
        <w:t>缴纳的违约金在工程进度款中和结算时一并扣除</w:t>
      </w:r>
      <w:r>
        <w:rPr>
          <w:rFonts w:ascii="Times New Roman"/>
          <w:snapToGrid w:val="0"/>
          <w:color w:val="auto"/>
          <w:kern w:val="0"/>
          <w:sz w:val="24"/>
          <w:szCs w:val="24"/>
          <w:highlight w:val="none"/>
        </w:rPr>
        <w:t>。</w:t>
      </w:r>
    </w:p>
    <w:p w14:paraId="0F17CFDE">
      <w:pPr>
        <w:widowControl w:val="0"/>
        <w:kinsoku/>
        <w:wordWrap w:val="0"/>
        <w:topLinePunct/>
        <w:autoSpaceDE/>
        <w:autoSpaceDN/>
        <w:ind w:right="84" w:rightChars="40" w:firstLine="482" w:firstLineChars="200"/>
        <w:rPr>
          <w:rFonts w:hint="eastAsia" w:ascii="宋体" w:hAnsi="宋体" w:eastAsia="宋体" w:cs="宋体"/>
          <w:color w:val="auto"/>
          <w:sz w:val="24"/>
          <w:szCs w:val="24"/>
          <w:highlight w:val="none"/>
          <w:lang w:eastAsia="zh-CN"/>
        </w:rPr>
      </w:pPr>
      <w:r>
        <w:rPr>
          <w:rFonts w:hint="eastAsia" w:ascii="宋体" w:hAnsi="宋体" w:eastAsia="宋体" w:cs="宋体"/>
          <w:b/>
          <w:bCs w:val="0"/>
          <w:snapToGrid w:val="0"/>
          <w:color w:val="auto"/>
          <w:kern w:val="0"/>
          <w:sz w:val="24"/>
          <w:szCs w:val="24"/>
          <w:highlight w:val="none"/>
          <w:lang w:val="en-US" w:eastAsia="zh-CN"/>
        </w:rPr>
        <w:t>5.其他未尽事宜可由发包人与承包人自行协商在施工合同中约定。</w:t>
      </w:r>
      <w:bookmarkEnd w:id="184"/>
      <w:bookmarkEnd w:id="185"/>
      <w:bookmarkEnd w:id="186"/>
    </w:p>
    <w:p w14:paraId="6EE2E99C">
      <w:pPr>
        <w:pStyle w:val="15"/>
        <w:rPr>
          <w:rFonts w:hint="eastAsia" w:ascii="宋体" w:hAnsi="宋体" w:eastAsia="宋体" w:cs="宋体"/>
          <w:color w:val="auto"/>
          <w:sz w:val="24"/>
          <w:szCs w:val="24"/>
          <w:highlight w:val="none"/>
          <w:lang w:eastAsia="zh-CN"/>
        </w:rPr>
      </w:pPr>
    </w:p>
    <w:p w14:paraId="4BDA0E56">
      <w:pPr>
        <w:pStyle w:val="15"/>
        <w:rPr>
          <w:rFonts w:hint="eastAsia" w:ascii="宋体" w:hAnsi="宋体" w:eastAsia="宋体" w:cs="宋体"/>
          <w:color w:val="auto"/>
          <w:sz w:val="24"/>
          <w:szCs w:val="24"/>
          <w:highlight w:val="none"/>
          <w:lang w:eastAsia="zh-CN"/>
        </w:rPr>
      </w:pPr>
    </w:p>
    <w:p w14:paraId="673329EB">
      <w:pPr>
        <w:pStyle w:val="15"/>
        <w:rPr>
          <w:rFonts w:hint="eastAsia" w:ascii="宋体" w:hAnsi="宋体" w:eastAsia="宋体" w:cs="宋体"/>
          <w:color w:val="auto"/>
          <w:sz w:val="24"/>
          <w:szCs w:val="24"/>
          <w:highlight w:val="none"/>
          <w:lang w:eastAsia="zh-CN"/>
        </w:rPr>
      </w:pPr>
    </w:p>
    <w:p w14:paraId="42CDD58A">
      <w:pPr>
        <w:spacing w:before="78" w:line="219" w:lineRule="auto"/>
        <w:outlineLvl w:val="9"/>
        <w:rPr>
          <w:rFonts w:hint="eastAsia" w:ascii="宋体" w:hAnsi="宋体" w:eastAsia="宋体" w:cs="宋体"/>
          <w:b/>
          <w:bCs/>
          <w:color w:val="auto"/>
          <w:spacing w:val="-3"/>
          <w:sz w:val="24"/>
          <w:szCs w:val="24"/>
          <w:highlight w:val="none"/>
        </w:rPr>
      </w:pPr>
      <w:bookmarkStart w:id="187" w:name="bookmark96"/>
      <w:bookmarkEnd w:id="187"/>
    </w:p>
    <w:p w14:paraId="2BDC7F7A">
      <w:pPr>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br w:type="page"/>
      </w:r>
    </w:p>
    <w:p w14:paraId="18B8A5F2">
      <w:pPr>
        <w:pStyle w:val="2"/>
        <w:tabs>
          <w:tab w:val="left" w:pos="885"/>
        </w:tabs>
        <w:wordWrap w:val="0"/>
        <w:autoSpaceDE/>
        <w:autoSpaceDN/>
        <w:snapToGrid w:val="0"/>
        <w:spacing w:line="360" w:lineRule="auto"/>
        <w:ind w:left="885" w:hanging="885"/>
        <w:jc w:val="center"/>
        <w:rPr>
          <w:rFonts w:hint="eastAsia" w:ascii="宋体" w:hAnsi="宋体" w:eastAsia="宋体" w:cs="宋体"/>
          <w:b/>
          <w:snapToGrid w:val="0"/>
          <w:color w:val="auto"/>
          <w:kern w:val="0"/>
          <w:sz w:val="24"/>
          <w:szCs w:val="24"/>
          <w:highlight w:val="none"/>
        </w:rPr>
      </w:pPr>
      <w:bookmarkStart w:id="188" w:name="bookmark146"/>
      <w:bookmarkEnd w:id="188"/>
      <w:bookmarkStart w:id="189" w:name="bookmark100"/>
      <w:bookmarkEnd w:id="189"/>
      <w:bookmarkStart w:id="190" w:name="_Toc24106"/>
      <w:bookmarkStart w:id="191" w:name="_Hlt69698796"/>
      <w:bookmarkStart w:id="192" w:name="_Toc32130"/>
      <w:r>
        <w:rPr>
          <w:rFonts w:hint="eastAsia" w:ascii="宋体" w:hAnsi="宋体" w:eastAsia="宋体" w:cs="宋体"/>
          <w:b/>
          <w:snapToGrid w:val="0"/>
          <w:color w:val="auto"/>
          <w:sz w:val="24"/>
          <w:szCs w:val="24"/>
          <w:highlight w:val="none"/>
        </w:rPr>
        <w:t>第四章</w:t>
      </w:r>
      <w:bookmarkStart w:id="193" w:name="_Hlt87793853"/>
      <w:bookmarkEnd w:id="193"/>
      <w:r>
        <w:rPr>
          <w:rFonts w:hint="eastAsia" w:ascii="宋体" w:hAnsi="宋体" w:eastAsia="宋体" w:cs="宋体"/>
          <w:b/>
          <w:snapToGrid w:val="0"/>
          <w:color w:val="auto"/>
          <w:sz w:val="24"/>
          <w:szCs w:val="24"/>
          <w:highlight w:val="none"/>
        </w:rPr>
        <w:t xml:space="preserve"> 技术要求</w:t>
      </w:r>
      <w:bookmarkEnd w:id="190"/>
      <w:bookmarkEnd w:id="191"/>
      <w:bookmarkEnd w:id="192"/>
      <w:bookmarkStart w:id="194" w:name="_Hlt69358207"/>
      <w:bookmarkEnd w:id="194"/>
      <w:bookmarkStart w:id="195" w:name="_Hlt87793346"/>
      <w:bookmarkEnd w:id="195"/>
      <w:bookmarkStart w:id="196" w:name="_Hlt87793370"/>
      <w:bookmarkEnd w:id="196"/>
      <w:bookmarkStart w:id="197" w:name="_Hlt80411122"/>
      <w:bookmarkEnd w:id="197"/>
      <w:bookmarkStart w:id="198" w:name="_Hlt69265216"/>
      <w:bookmarkEnd w:id="198"/>
      <w:bookmarkStart w:id="199" w:name="_Hlt69116854"/>
      <w:bookmarkEnd w:id="199"/>
      <w:bookmarkStart w:id="200" w:name="_Hlt69357851"/>
      <w:bookmarkEnd w:id="200"/>
      <w:bookmarkStart w:id="201" w:name="_Hlt75685840"/>
      <w:bookmarkEnd w:id="201"/>
      <w:bookmarkStart w:id="202" w:name="_Hlt66104926"/>
      <w:bookmarkEnd w:id="202"/>
      <w:bookmarkStart w:id="203" w:name="_Hlt68774758"/>
      <w:bookmarkEnd w:id="203"/>
      <w:bookmarkStart w:id="204" w:name="_Hlt69359335"/>
      <w:bookmarkEnd w:id="204"/>
    </w:p>
    <w:p w14:paraId="077B7BAF">
      <w:pPr>
        <w:spacing w:line="360" w:lineRule="auto"/>
        <w:ind w:left="480"/>
        <w:rPr>
          <w:rFonts w:hint="eastAsia" w:ascii="宋体" w:hAnsi="宋体" w:eastAsia="宋体" w:cs="宋体"/>
          <w:b/>
          <w:color w:val="auto"/>
          <w:sz w:val="24"/>
          <w:szCs w:val="24"/>
          <w:highlight w:val="none"/>
        </w:rPr>
      </w:pPr>
      <w:bookmarkStart w:id="205" w:name="_Toc641"/>
      <w:bookmarkStart w:id="206" w:name="_Toc29846"/>
      <w:bookmarkStart w:id="207" w:name="_Toc23373"/>
      <w:r>
        <w:rPr>
          <w:rFonts w:hint="eastAsia" w:ascii="宋体" w:hAnsi="宋体" w:eastAsia="宋体" w:cs="宋体"/>
          <w:b/>
          <w:color w:val="auto"/>
          <w:sz w:val="24"/>
          <w:szCs w:val="24"/>
          <w:highlight w:val="none"/>
          <w:lang w:eastAsia="zh-CN"/>
        </w:rPr>
        <w:t>1.</w:t>
      </w:r>
      <w:r>
        <w:rPr>
          <w:rFonts w:hint="eastAsia" w:ascii="宋体" w:hAnsi="宋体" w:eastAsia="宋体" w:cs="宋体"/>
          <w:b/>
          <w:color w:val="auto"/>
          <w:sz w:val="24"/>
          <w:szCs w:val="24"/>
          <w:highlight w:val="none"/>
        </w:rPr>
        <w:t>市政基础设施工程建设项目</w:t>
      </w:r>
    </w:p>
    <w:p w14:paraId="546E0153">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市政基础设施工程建设项目必须执行的现行技术规范，包括且不限于：</w:t>
      </w:r>
    </w:p>
    <w:p w14:paraId="00AFFF75">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（1）《城镇燃气设计规范》</w:t>
      </w:r>
      <w:r>
        <w:rPr>
          <w:rFonts w:hint="eastAsia" w:ascii="宋体" w:hAnsi="宋体" w:eastAsia="宋体" w:cs="宋体"/>
          <w:bCs/>
          <w:snapToGrid w:val="0"/>
          <w:color w:val="auto"/>
          <w:kern w:val="0"/>
          <w:sz w:val="24"/>
          <w:szCs w:val="24"/>
          <w:highlight w:val="none"/>
          <w:lang w:eastAsia="zh-CN"/>
        </w:rPr>
        <w:t>（GB 50028-2006[2020年版]）</w:t>
      </w:r>
      <w:r>
        <w:rPr>
          <w:rFonts w:hint="eastAsia" w:ascii="宋体" w:hAnsi="宋体" w:eastAsia="宋体" w:cs="宋体"/>
          <w:bCs/>
          <w:snapToGrid w:val="0"/>
          <w:color w:val="auto"/>
          <w:kern w:val="0"/>
          <w:sz w:val="24"/>
          <w:szCs w:val="24"/>
          <w:highlight w:val="none"/>
        </w:rPr>
        <w:t>；</w:t>
      </w:r>
    </w:p>
    <w:p w14:paraId="0F00AD15">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w:t>
      </w:r>
      <w:r>
        <w:rPr>
          <w:rFonts w:hint="eastAsia" w:ascii="宋体" w:hAnsi="宋体" w:eastAsia="宋体" w:cs="宋体"/>
          <w:bCs/>
          <w:snapToGrid w:val="0"/>
          <w:color w:val="auto"/>
          <w:kern w:val="0"/>
          <w:sz w:val="24"/>
          <w:szCs w:val="24"/>
          <w:highlight w:val="none"/>
          <w:lang w:val="en-US" w:eastAsia="zh-CN"/>
        </w:rPr>
        <w:t>2</w:t>
      </w:r>
      <w:r>
        <w:rPr>
          <w:rFonts w:hint="eastAsia" w:ascii="宋体" w:hAnsi="宋体" w:eastAsia="宋体" w:cs="宋体"/>
          <w:bCs/>
          <w:snapToGrid w:val="0"/>
          <w:color w:val="auto"/>
          <w:kern w:val="0"/>
          <w:sz w:val="24"/>
          <w:szCs w:val="24"/>
          <w:highlight w:val="none"/>
        </w:rPr>
        <w:t>）《燃气工程项目规范》</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GB 55009-2021</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61AF2696">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w:t>
      </w:r>
      <w:r>
        <w:rPr>
          <w:rFonts w:hint="eastAsia" w:ascii="宋体" w:hAnsi="宋体" w:eastAsia="宋体" w:cs="宋体"/>
          <w:bCs/>
          <w:snapToGrid w:val="0"/>
          <w:color w:val="auto"/>
          <w:kern w:val="0"/>
          <w:sz w:val="24"/>
          <w:szCs w:val="24"/>
          <w:highlight w:val="none"/>
          <w:lang w:val="en-US" w:eastAsia="zh-CN"/>
        </w:rPr>
        <w:t>3</w:t>
      </w:r>
      <w:r>
        <w:rPr>
          <w:rFonts w:hint="eastAsia" w:ascii="宋体" w:hAnsi="宋体" w:eastAsia="宋体" w:cs="宋体"/>
          <w:bCs/>
          <w:snapToGrid w:val="0"/>
          <w:color w:val="auto"/>
          <w:kern w:val="0"/>
          <w:sz w:val="24"/>
          <w:szCs w:val="24"/>
          <w:highlight w:val="none"/>
        </w:rPr>
        <w:t>）《城镇燃气输配工程施工及验收标准》</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GB/T 51455-2023</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1A0D7729">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（5）《聚乙烯燃气管道工程技术标准》</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CJJ 63-2018</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756A6DBA">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（6）《燃气用埋地聚乙烯</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PE</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管道系统 第1~5部分》</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GB/T 15558.1~5-2023</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7082535D">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（7）《压力管道规范 公用管道》</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GB/T 38942-2020</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304CF24C">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（8）《压力管道监督检验规则》</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TSG D7006—2020</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6B4AF01E">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（9）《燃气用聚乙烯管道焊接技术规则》</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TSG D2002-2006</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18D3D84B">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（10）《城镇燃气管道穿跨越工程技术规程》</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CJJ/T 250-2016</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75E3CE04">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（11）《城市工程管线综合规划规范》</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GB 50289-2016</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7E40DE76">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（12）《建筑与市政工程抗震通用规范》</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GB 55002-2021</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7BE64A92">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（13）《室外给水排水和燃气热力工程抗震设计规范》</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GB 50032-2003</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14B894AA">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（14）《《翁源县天然气</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城镇燃气</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专项规划</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2021-2035</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15861458">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w:t>
      </w:r>
      <w:r>
        <w:rPr>
          <w:rFonts w:hint="eastAsia" w:ascii="宋体" w:hAnsi="宋体" w:eastAsia="宋体" w:cs="宋体"/>
          <w:bCs/>
          <w:snapToGrid w:val="0"/>
          <w:color w:val="auto"/>
          <w:kern w:val="0"/>
          <w:sz w:val="24"/>
          <w:szCs w:val="24"/>
          <w:highlight w:val="none"/>
          <w:lang w:val="en-US" w:eastAsia="zh-CN"/>
        </w:rPr>
        <w:t>5</w:t>
      </w:r>
      <w:r>
        <w:rPr>
          <w:rFonts w:hint="eastAsia" w:ascii="宋体" w:hAnsi="宋体" w:eastAsia="宋体" w:cs="宋体"/>
          <w:bCs/>
          <w:snapToGrid w:val="0"/>
          <w:color w:val="auto"/>
          <w:kern w:val="0"/>
          <w:sz w:val="24"/>
          <w:szCs w:val="24"/>
          <w:highlight w:val="none"/>
        </w:rPr>
        <w:t>）其他现行国家、广东省关于市政工程的技术及验收规范、定额、规程、标准。</w:t>
      </w:r>
    </w:p>
    <w:p w14:paraId="3C7807FA">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注：以上规范或规定如有更新，则以更新后的规范及规定为准。</w:t>
      </w:r>
    </w:p>
    <w:p w14:paraId="6FE3AE5D">
      <w:pPr>
        <w:spacing w:line="360" w:lineRule="auto"/>
        <w:ind w:firstLine="482" w:firstLineChars="200"/>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3.</w:t>
      </w:r>
      <w:r>
        <w:rPr>
          <w:rFonts w:hint="eastAsia" w:ascii="宋体" w:hAnsi="宋体" w:eastAsia="宋体" w:cs="宋体"/>
          <w:b/>
          <w:bCs/>
          <w:color w:val="auto"/>
          <w:sz w:val="24"/>
          <w:szCs w:val="24"/>
          <w:highlight w:val="none"/>
        </w:rPr>
        <w:t>备查要求</w:t>
      </w:r>
      <w:bookmarkEnd w:id="205"/>
      <w:bookmarkEnd w:id="206"/>
      <w:bookmarkEnd w:id="207"/>
    </w:p>
    <w:p w14:paraId="16D3EB6B">
      <w:pPr>
        <w:wordWrap w:val="0"/>
        <w:adjustRightInd w:val="0"/>
        <w:snapToGrid w:val="0"/>
        <w:spacing w:line="360" w:lineRule="auto"/>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人必须在施工现场准备至少一套上述规范，</w:t>
      </w:r>
      <w:r>
        <w:rPr>
          <w:rFonts w:hint="eastAsia" w:ascii="宋体" w:hAnsi="宋体" w:eastAsia="宋体" w:cs="宋体"/>
          <w:snapToGrid w:val="0"/>
          <w:color w:val="auto"/>
          <w:kern w:val="0"/>
          <w:sz w:val="24"/>
          <w:szCs w:val="24"/>
          <w:highlight w:val="none"/>
        </w:rPr>
        <w:t>发包</w:t>
      </w:r>
      <w:r>
        <w:rPr>
          <w:rFonts w:hint="eastAsia" w:ascii="宋体" w:hAnsi="宋体" w:eastAsia="宋体" w:cs="宋体"/>
          <w:bCs/>
          <w:snapToGrid w:val="0"/>
          <w:color w:val="auto"/>
          <w:kern w:val="0"/>
          <w:sz w:val="24"/>
          <w:szCs w:val="24"/>
          <w:highlight w:val="none"/>
        </w:rPr>
        <w:t>人和监理单位可随时检查</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人的上述规范，并监督</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人按规范要求执行。</w:t>
      </w:r>
    </w:p>
    <w:p w14:paraId="18A8B50D">
      <w:pPr>
        <w:wordWrap w:val="0"/>
        <w:adjustRightInd w:val="0"/>
        <w:snapToGrid w:val="0"/>
        <w:spacing w:line="360" w:lineRule="auto"/>
        <w:ind w:firstLine="560"/>
        <w:rPr>
          <w:rFonts w:hint="eastAsia" w:ascii="宋体" w:hAnsi="宋体" w:eastAsia="宋体" w:cs="宋体"/>
          <w:strike/>
          <w:snapToGrid w:val="0"/>
          <w:color w:val="auto"/>
          <w:kern w:val="0"/>
          <w:sz w:val="24"/>
          <w:szCs w:val="24"/>
          <w:highlight w:val="none"/>
        </w:rPr>
        <w:sectPr>
          <w:footerReference r:id="rId9" w:type="default"/>
          <w:endnotePr>
            <w:numFmt w:val="decimal"/>
          </w:endnotePr>
          <w:pgSz w:w="11906" w:h="16838"/>
          <w:pgMar w:top="1440" w:right="1080" w:bottom="1440" w:left="1080" w:header="850" w:footer="992" w:gutter="0"/>
          <w:pgNumType w:fmt="decimal"/>
          <w:cols w:space="720" w:num="1"/>
          <w:docGrid w:linePitch="327" w:charSpace="0"/>
        </w:sectPr>
      </w:pPr>
      <w:bookmarkStart w:id="208" w:name="_Hlt69670335"/>
      <w:bookmarkEnd w:id="208"/>
    </w:p>
    <w:p w14:paraId="41B0234B">
      <w:pPr>
        <w:spacing w:before="78" w:line="219" w:lineRule="auto"/>
        <w:jc w:val="center"/>
        <w:outlineLvl w:val="0"/>
        <w:rPr>
          <w:rFonts w:hint="eastAsia" w:ascii="宋体" w:hAnsi="宋体" w:eastAsia="宋体" w:cs="宋体"/>
          <w:color w:val="auto"/>
          <w:sz w:val="24"/>
          <w:szCs w:val="24"/>
          <w:highlight w:val="none"/>
        </w:rPr>
      </w:pPr>
      <w:bookmarkStart w:id="209" w:name="_Toc6224"/>
      <w:r>
        <w:rPr>
          <w:rFonts w:hint="eastAsia" w:ascii="宋体" w:hAnsi="宋体" w:eastAsia="宋体" w:cs="宋体"/>
          <w:b/>
          <w:bCs/>
          <w:color w:val="auto"/>
          <w:spacing w:val="-5"/>
          <w:sz w:val="24"/>
          <w:szCs w:val="24"/>
          <w:highlight w:val="none"/>
        </w:rPr>
        <w:t>第五章</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5"/>
          <w:sz w:val="24"/>
          <w:szCs w:val="24"/>
          <w:highlight w:val="none"/>
        </w:rPr>
        <w:t>图纸和招标工程量清单</w:t>
      </w:r>
      <w:bookmarkEnd w:id="209"/>
    </w:p>
    <w:p w14:paraId="7C6C80E2">
      <w:pPr>
        <w:pStyle w:val="6"/>
        <w:spacing w:line="283" w:lineRule="auto"/>
        <w:rPr>
          <w:rFonts w:hint="eastAsia" w:ascii="宋体" w:hAnsi="宋体" w:eastAsia="宋体" w:cs="宋体"/>
          <w:color w:val="auto"/>
          <w:highlight w:val="none"/>
        </w:rPr>
      </w:pPr>
    </w:p>
    <w:p w14:paraId="58148A80">
      <w:pPr>
        <w:pStyle w:val="6"/>
        <w:spacing w:line="284" w:lineRule="auto"/>
        <w:rPr>
          <w:rFonts w:hint="eastAsia" w:ascii="宋体" w:hAnsi="宋体" w:eastAsia="宋体" w:cs="宋体"/>
          <w:color w:val="auto"/>
          <w:highlight w:val="none"/>
        </w:rPr>
      </w:pPr>
    </w:p>
    <w:p w14:paraId="116B6A3B">
      <w:pPr>
        <w:spacing w:before="78" w:line="219" w:lineRule="auto"/>
        <w:ind w:left="106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 xml:space="preserve">□有，另附复印件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有，自行网上下载</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浏览</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 xml:space="preserve">           □无</w:t>
      </w:r>
    </w:p>
    <w:p w14:paraId="48F75832">
      <w:pPr>
        <w:pStyle w:val="6"/>
        <w:spacing w:line="265" w:lineRule="auto"/>
        <w:rPr>
          <w:rFonts w:hint="eastAsia" w:ascii="宋体" w:hAnsi="宋体" w:eastAsia="宋体" w:cs="宋体"/>
          <w:color w:val="auto"/>
          <w:highlight w:val="none"/>
        </w:rPr>
      </w:pPr>
    </w:p>
    <w:p w14:paraId="45CC48D5">
      <w:pPr>
        <w:spacing w:before="151" w:line="222" w:lineRule="auto"/>
        <w:ind w:left="715"/>
        <w:outlineLvl w:val="2"/>
        <w:rPr>
          <w:rFonts w:hint="eastAsia" w:ascii="宋体" w:hAnsi="宋体" w:eastAsia="宋体" w:cs="宋体"/>
          <w:color w:val="auto"/>
          <w:sz w:val="24"/>
          <w:szCs w:val="24"/>
          <w:highlight w:val="none"/>
        </w:rPr>
      </w:pPr>
      <w:bookmarkStart w:id="210" w:name="_Toc24446"/>
      <w:bookmarkStart w:id="211" w:name="_Toc1950"/>
      <w:r>
        <w:rPr>
          <w:rFonts w:hint="eastAsia" w:ascii="宋体" w:hAnsi="宋体" w:eastAsia="宋体" w:cs="宋体"/>
          <w:b/>
          <w:bCs/>
          <w:color w:val="auto"/>
          <w:spacing w:val="-14"/>
          <w:sz w:val="24"/>
          <w:szCs w:val="24"/>
          <w:highlight w:val="none"/>
        </w:rPr>
        <w:t>1</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14"/>
          <w:sz w:val="24"/>
          <w:szCs w:val="24"/>
          <w:highlight w:val="none"/>
        </w:rPr>
        <w:t>．图纸</w:t>
      </w:r>
      <w:bookmarkEnd w:id="210"/>
      <w:bookmarkEnd w:id="211"/>
    </w:p>
    <w:p w14:paraId="022ED3AB">
      <w:pPr>
        <w:spacing w:before="150" w:line="330" w:lineRule="auto"/>
        <w:ind w:left="230" w:firstLine="480"/>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本招标文件随文另附施工图（电子文件）一套。</w:t>
      </w:r>
    </w:p>
    <w:p w14:paraId="19E440D0">
      <w:pPr>
        <w:pStyle w:val="6"/>
        <w:spacing w:line="253" w:lineRule="auto"/>
        <w:rPr>
          <w:rFonts w:hint="eastAsia" w:ascii="宋体" w:hAnsi="宋体" w:eastAsia="宋体" w:cs="宋体"/>
          <w:color w:val="auto"/>
          <w:highlight w:val="none"/>
        </w:rPr>
      </w:pPr>
    </w:p>
    <w:p w14:paraId="05E465DE">
      <w:pPr>
        <w:spacing w:before="79" w:line="221" w:lineRule="auto"/>
        <w:ind w:left="705"/>
        <w:outlineLvl w:val="2"/>
        <w:rPr>
          <w:rFonts w:hint="eastAsia" w:ascii="宋体" w:hAnsi="宋体" w:eastAsia="宋体" w:cs="宋体"/>
          <w:color w:val="auto"/>
          <w:sz w:val="24"/>
          <w:szCs w:val="24"/>
          <w:highlight w:val="none"/>
        </w:rPr>
      </w:pPr>
      <w:bookmarkStart w:id="212" w:name="_Toc25322"/>
      <w:bookmarkStart w:id="213" w:name="_Toc9064"/>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6"/>
          <w:sz w:val="24"/>
          <w:szCs w:val="24"/>
          <w:highlight w:val="none"/>
        </w:rPr>
        <w:t>．招标工程量清单</w:t>
      </w:r>
      <w:bookmarkEnd w:id="212"/>
      <w:bookmarkEnd w:id="213"/>
    </w:p>
    <w:p w14:paraId="3D4BF4B7">
      <w:pPr>
        <w:spacing w:before="117" w:line="312" w:lineRule="auto"/>
        <w:ind w:left="23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2.1  </w:t>
      </w:r>
      <w:r>
        <w:rPr>
          <w:rFonts w:hint="eastAsia" w:ascii="宋体" w:hAnsi="宋体" w:eastAsia="宋体" w:cs="宋体"/>
          <w:color w:val="auto"/>
          <w:spacing w:val="-3"/>
          <w:sz w:val="24"/>
          <w:szCs w:val="24"/>
          <w:highlight w:val="none"/>
        </w:rPr>
        <w:t>本招标文件随文另附</w:t>
      </w:r>
      <w:bookmarkStart w:id="214" w:name="OLE_LINK33"/>
      <w:r>
        <w:rPr>
          <w:rFonts w:hint="eastAsia" w:ascii="宋体" w:hAnsi="宋体" w:eastAsia="宋体" w:cs="宋体"/>
          <w:color w:val="auto"/>
          <w:spacing w:val="-3"/>
          <w:sz w:val="24"/>
          <w:szCs w:val="24"/>
          <w:highlight w:val="none"/>
          <w:u w:val="single"/>
        </w:rPr>
        <w:t>招标工程量清单EXCEL版</w:t>
      </w:r>
      <w:r>
        <w:rPr>
          <w:rFonts w:hint="eastAsia" w:ascii="宋体" w:hAnsi="宋体" w:eastAsia="宋体" w:cs="宋体"/>
          <w:color w:val="auto"/>
          <w:spacing w:val="-3"/>
          <w:sz w:val="24"/>
          <w:szCs w:val="24"/>
          <w:highlight w:val="none"/>
          <w:u w:val="single"/>
          <w:lang w:val="en-US" w:eastAsia="zh-CN"/>
        </w:rPr>
        <w:t>和</w:t>
      </w:r>
      <w:bookmarkEnd w:id="214"/>
      <w:r>
        <w:rPr>
          <w:rFonts w:hint="eastAsia" w:ascii="宋体" w:hAnsi="宋体" w:eastAsia="宋体" w:cs="宋体"/>
          <w:color w:val="auto"/>
          <w:spacing w:val="-3"/>
          <w:sz w:val="24"/>
          <w:szCs w:val="24"/>
          <w:highlight w:val="none"/>
          <w:u w:val="single"/>
          <w:lang w:val="en-US" w:eastAsia="zh-CN"/>
        </w:rPr>
        <w:t>最高投标限价PDF</w:t>
      </w:r>
      <w:r>
        <w:rPr>
          <w:rFonts w:hint="eastAsia" w:ascii="宋体" w:hAnsi="宋体" w:eastAsia="宋体" w:cs="宋体"/>
          <w:color w:val="auto"/>
          <w:spacing w:val="37"/>
          <w:sz w:val="24"/>
          <w:szCs w:val="24"/>
          <w:highlight w:val="none"/>
          <w:u w:val="single"/>
        </w:rPr>
        <w:t xml:space="preserve"> </w:t>
      </w:r>
      <w:r>
        <w:rPr>
          <w:rFonts w:hint="eastAsia" w:ascii="宋体" w:hAnsi="宋体" w:eastAsia="宋体" w:cs="宋体"/>
          <w:color w:val="auto"/>
          <w:spacing w:val="-3"/>
          <w:sz w:val="24"/>
          <w:szCs w:val="24"/>
          <w:highlight w:val="none"/>
        </w:rPr>
        <w:t>电子文件一套。</w:t>
      </w:r>
    </w:p>
    <w:p w14:paraId="7B802B52">
      <w:pPr>
        <w:spacing w:before="78" w:line="219" w:lineRule="auto"/>
        <w:ind w:left="478" w:firstLine="239" w:firstLineChars="100"/>
        <w:rPr>
          <w:rFonts w:hint="eastAsia" w:ascii="宋体" w:hAnsi="宋体" w:eastAsia="宋体" w:cs="宋体"/>
          <w:color w:val="auto"/>
          <w:sz w:val="24"/>
          <w:szCs w:val="24"/>
          <w:highlight w:val="none"/>
        </w:rPr>
      </w:pPr>
      <w:bookmarkStart w:id="215" w:name="bookmark147"/>
      <w:bookmarkEnd w:id="215"/>
      <w:r>
        <w:rPr>
          <w:rFonts w:hint="eastAsia" w:ascii="宋体" w:hAnsi="宋体" w:eastAsia="宋体" w:cs="宋体"/>
          <w:b/>
          <w:bCs/>
          <w:color w:val="auto"/>
          <w:spacing w:val="-1"/>
          <w:sz w:val="24"/>
          <w:szCs w:val="24"/>
          <w:highlight w:val="none"/>
        </w:rPr>
        <w:t xml:space="preserve">2.2  </w:t>
      </w:r>
      <w:r>
        <w:rPr>
          <w:rFonts w:hint="eastAsia" w:ascii="宋体" w:hAnsi="宋体" w:eastAsia="宋体" w:cs="宋体"/>
          <w:color w:val="auto"/>
          <w:spacing w:val="-1"/>
          <w:sz w:val="24"/>
          <w:szCs w:val="24"/>
          <w:highlight w:val="none"/>
        </w:rPr>
        <w:t>本工程按照以下依据编制</w:t>
      </w:r>
      <w:r>
        <w:rPr>
          <w:rFonts w:hint="eastAsia" w:ascii="宋体" w:hAnsi="宋体" w:eastAsia="宋体" w:cs="宋体"/>
          <w:color w:val="auto"/>
          <w:spacing w:val="-1"/>
          <w:sz w:val="24"/>
          <w:szCs w:val="24"/>
          <w:highlight w:val="none"/>
          <w:u w:val="single"/>
        </w:rPr>
        <w:t>招标工程量清单</w:t>
      </w:r>
      <w:r>
        <w:rPr>
          <w:rFonts w:hint="eastAsia" w:ascii="宋体" w:hAnsi="宋体" w:eastAsia="宋体" w:cs="宋体"/>
          <w:color w:val="auto"/>
          <w:spacing w:val="-1"/>
          <w:sz w:val="24"/>
          <w:szCs w:val="24"/>
          <w:highlight w:val="none"/>
        </w:rPr>
        <w:t>：</w:t>
      </w:r>
    </w:p>
    <w:p w14:paraId="02362135">
      <w:pPr>
        <w:spacing w:before="123"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4"/>
          <w:sz w:val="24"/>
          <w:szCs w:val="24"/>
          <w:highlight w:val="none"/>
        </w:rPr>
        <w:t>）；</w:t>
      </w:r>
    </w:p>
    <w:p w14:paraId="61B98E77">
      <w:pPr>
        <w:spacing w:before="115" w:line="299" w:lineRule="auto"/>
        <w:ind w:firstLine="493"/>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（2）投标人应对招标人提供的工程量清单进行认真细致的复核。这种复核包括对</w:t>
      </w:r>
      <w:r>
        <w:rPr>
          <w:rFonts w:hint="eastAsia" w:ascii="宋体" w:hAnsi="宋体" w:eastAsia="宋体" w:cs="宋体"/>
          <w:color w:val="auto"/>
          <w:spacing w:val="-1"/>
          <w:sz w:val="24"/>
          <w:szCs w:val="24"/>
          <w:highlight w:val="none"/>
        </w:rPr>
        <w:t>招标人提供的工程量清单中的子目编码、子目名称、子</w:t>
      </w:r>
      <w:r>
        <w:rPr>
          <w:rFonts w:hint="eastAsia" w:ascii="宋体" w:hAnsi="宋体" w:eastAsia="宋体" w:cs="宋体"/>
          <w:color w:val="auto"/>
          <w:spacing w:val="-2"/>
          <w:sz w:val="24"/>
          <w:szCs w:val="24"/>
          <w:highlight w:val="none"/>
        </w:rPr>
        <w:t>目特征描述、计量单位、工程量</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的准确性以及可能存在的任何书写、打印错误进行检查</w:t>
      </w:r>
      <w:r>
        <w:rPr>
          <w:rFonts w:hint="eastAsia" w:ascii="宋体" w:hAnsi="宋体" w:eastAsia="宋体" w:cs="宋体"/>
          <w:color w:val="auto"/>
          <w:spacing w:val="-2"/>
          <w:sz w:val="24"/>
          <w:szCs w:val="24"/>
          <w:highlight w:val="none"/>
        </w:rPr>
        <w:t>和复核，特别是对“分部分项工</w:t>
      </w:r>
      <w:r>
        <w:rPr>
          <w:rFonts w:hint="eastAsia" w:ascii="宋体" w:hAnsi="宋体" w:eastAsia="宋体" w:cs="宋体"/>
          <w:color w:val="auto"/>
          <w:spacing w:val="-1"/>
          <w:sz w:val="24"/>
          <w:szCs w:val="24"/>
          <w:highlight w:val="none"/>
        </w:rPr>
        <w:t>程量清单与计价表”中每个工作子目的工程量进</w:t>
      </w:r>
      <w:r>
        <w:rPr>
          <w:rFonts w:hint="eastAsia" w:ascii="宋体" w:hAnsi="宋体" w:eastAsia="宋体" w:cs="宋体"/>
          <w:color w:val="auto"/>
          <w:spacing w:val="-2"/>
          <w:sz w:val="24"/>
          <w:szCs w:val="24"/>
          <w:highlight w:val="none"/>
        </w:rPr>
        <w:t>行重新计算和校核。如果投标人经过检</w:t>
      </w:r>
      <w:r>
        <w:rPr>
          <w:rFonts w:hint="eastAsia" w:ascii="宋体" w:hAnsi="宋体" w:eastAsia="宋体" w:cs="宋体"/>
          <w:color w:val="auto"/>
          <w:spacing w:val="-1"/>
          <w:sz w:val="24"/>
          <w:szCs w:val="24"/>
          <w:highlight w:val="none"/>
        </w:rPr>
        <w:t>查和复核以后认为招标人提供的工程量清单存在</w:t>
      </w:r>
      <w:r>
        <w:rPr>
          <w:rFonts w:hint="eastAsia" w:ascii="宋体" w:hAnsi="宋体" w:eastAsia="宋体" w:cs="宋体"/>
          <w:color w:val="auto"/>
          <w:spacing w:val="-2"/>
          <w:sz w:val="24"/>
          <w:szCs w:val="24"/>
          <w:highlight w:val="none"/>
        </w:rPr>
        <w:t>差异，则投标人应将此类差异的详细情</w:t>
      </w:r>
      <w:r>
        <w:rPr>
          <w:rFonts w:hint="eastAsia" w:ascii="宋体" w:hAnsi="宋体" w:eastAsia="宋体" w:cs="宋体"/>
          <w:color w:val="auto"/>
          <w:spacing w:val="-8"/>
          <w:sz w:val="24"/>
          <w:szCs w:val="24"/>
          <w:highlight w:val="none"/>
        </w:rPr>
        <w:t>况连同按“投标须知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8"/>
          <w:sz w:val="24"/>
          <w:szCs w:val="24"/>
          <w:highlight w:val="none"/>
        </w:rPr>
        <w:t>”规定提交的要求招标人澄清的其他</w:t>
      </w:r>
      <w:r>
        <w:rPr>
          <w:rFonts w:hint="eastAsia" w:ascii="宋体" w:hAnsi="宋体" w:eastAsia="宋体" w:cs="宋体"/>
          <w:color w:val="auto"/>
          <w:spacing w:val="-9"/>
          <w:sz w:val="24"/>
          <w:szCs w:val="24"/>
          <w:highlight w:val="none"/>
        </w:rPr>
        <w:t>问题一起提交给招标人，招标人</w:t>
      </w:r>
      <w:r>
        <w:rPr>
          <w:rFonts w:hint="eastAsia" w:ascii="宋体" w:hAnsi="宋体" w:eastAsia="宋体" w:cs="宋体"/>
          <w:color w:val="auto"/>
          <w:spacing w:val="-2"/>
          <w:sz w:val="24"/>
          <w:szCs w:val="24"/>
          <w:highlight w:val="none"/>
        </w:rPr>
        <w:t>将根据实际情况决定是否颁发</w:t>
      </w:r>
      <w:r>
        <w:rPr>
          <w:rFonts w:hint="eastAsia" w:ascii="宋体" w:hAnsi="宋体" w:eastAsia="宋体" w:cs="宋体"/>
          <w:color w:val="auto"/>
          <w:spacing w:val="-2"/>
          <w:sz w:val="24"/>
          <w:szCs w:val="24"/>
          <w:highlight w:val="none"/>
          <w:u w:val="single"/>
        </w:rPr>
        <w:t>工程量清单</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8"/>
          <w:sz w:val="24"/>
          <w:szCs w:val="24"/>
          <w:highlight w:val="none"/>
          <w:lang w:eastAsia="zh-CN"/>
        </w:rPr>
        <w:t>最高投标限价</w:t>
      </w:r>
      <w:r>
        <w:rPr>
          <w:rFonts w:hint="eastAsia" w:ascii="宋体" w:hAnsi="宋体" w:eastAsia="宋体" w:cs="宋体"/>
          <w:color w:val="auto"/>
          <w:spacing w:val="-8"/>
          <w:sz w:val="24"/>
          <w:szCs w:val="24"/>
          <w:highlight w:val="none"/>
        </w:rPr>
        <w:t>的</w:t>
      </w:r>
      <w:r>
        <w:rPr>
          <w:rFonts w:hint="eastAsia" w:ascii="宋体" w:hAnsi="宋体" w:eastAsia="宋体" w:cs="宋体"/>
          <w:color w:val="auto"/>
          <w:spacing w:val="-2"/>
          <w:sz w:val="24"/>
          <w:szCs w:val="24"/>
          <w:highlight w:val="none"/>
        </w:rPr>
        <w:t>补充和</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或</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修改文件。</w:t>
      </w:r>
    </w:p>
    <w:p w14:paraId="3FCA4C7D">
      <w:pPr>
        <w:spacing w:before="79" w:line="263" w:lineRule="auto"/>
        <w:ind w:left="2" w:right="2" w:firstLine="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（3）本招标工程量清单措施项目中的</w:t>
      </w:r>
      <w:r>
        <w:rPr>
          <w:rFonts w:hint="eastAsia" w:ascii="宋体" w:hAnsi="宋体" w:eastAsia="宋体" w:cs="宋体"/>
          <w:b/>
          <w:bCs/>
          <w:color w:val="auto"/>
          <w:spacing w:val="-6"/>
          <w:sz w:val="24"/>
          <w:szCs w:val="24"/>
          <w:highlight w:val="none"/>
          <w:u w:val="single"/>
        </w:rPr>
        <w:t>暂列金额、暂估价</w:t>
      </w:r>
      <w:r>
        <w:rPr>
          <w:rFonts w:hint="eastAsia" w:ascii="宋体" w:hAnsi="宋体" w:eastAsia="宋体" w:cs="宋体"/>
          <w:color w:val="auto"/>
          <w:spacing w:val="-2"/>
          <w:sz w:val="24"/>
          <w:szCs w:val="24"/>
          <w:highlight w:val="none"/>
        </w:rPr>
        <w:t>不得作为竞争性费用，投标报价必须按本招标工程量清</w:t>
      </w:r>
      <w:r>
        <w:rPr>
          <w:rFonts w:hint="eastAsia" w:ascii="宋体" w:hAnsi="宋体" w:eastAsia="宋体" w:cs="宋体"/>
          <w:color w:val="auto"/>
          <w:spacing w:val="-3"/>
          <w:sz w:val="24"/>
          <w:szCs w:val="24"/>
          <w:highlight w:val="none"/>
        </w:rPr>
        <w:t>单规定</w:t>
      </w:r>
      <w:r>
        <w:rPr>
          <w:rFonts w:hint="eastAsia" w:ascii="宋体" w:hAnsi="宋体" w:eastAsia="宋体" w:cs="宋体"/>
          <w:color w:val="auto"/>
          <w:spacing w:val="-2"/>
          <w:sz w:val="24"/>
          <w:szCs w:val="24"/>
          <w:highlight w:val="none"/>
        </w:rPr>
        <w:t>的金额填</w:t>
      </w:r>
      <w:r>
        <w:rPr>
          <w:rFonts w:hint="eastAsia" w:ascii="宋体" w:hAnsi="宋体" w:eastAsia="宋体" w:cs="宋体"/>
          <w:color w:val="auto"/>
          <w:spacing w:val="-3"/>
          <w:sz w:val="24"/>
          <w:szCs w:val="24"/>
          <w:highlight w:val="none"/>
        </w:rPr>
        <w:t>报。</w:t>
      </w:r>
    </w:p>
    <w:p w14:paraId="771762E6">
      <w:pPr>
        <w:spacing w:before="118" w:line="265" w:lineRule="auto"/>
        <w:ind w:left="7" w:right="4" w:firstLine="48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（4）投标报价使用的表格格式须按照 GB50500-20</w:t>
      </w:r>
      <w:r>
        <w:rPr>
          <w:rFonts w:hint="eastAsia" w:ascii="宋体" w:hAnsi="宋体" w:eastAsia="宋体" w:cs="宋体"/>
          <w:color w:val="auto"/>
          <w:spacing w:val="-2"/>
          <w:sz w:val="24"/>
          <w:szCs w:val="24"/>
          <w:highlight w:val="none"/>
          <w:lang w:val="en-US" w:eastAsia="zh-CN"/>
        </w:rPr>
        <w:t>24</w:t>
      </w:r>
      <w:r>
        <w:rPr>
          <w:rFonts w:hint="eastAsia" w:ascii="宋体" w:hAnsi="宋体" w:eastAsia="宋体" w:cs="宋体"/>
          <w:color w:val="auto"/>
          <w:spacing w:val="-2"/>
          <w:sz w:val="24"/>
          <w:szCs w:val="24"/>
          <w:highlight w:val="none"/>
        </w:rPr>
        <w:t>《建设工程工程量清单计价</w:t>
      </w:r>
      <w:r>
        <w:rPr>
          <w:rFonts w:hint="eastAsia" w:ascii="宋体" w:hAnsi="宋体" w:eastAsia="宋体" w:cs="宋体"/>
          <w:color w:val="auto"/>
          <w:spacing w:val="-2"/>
          <w:sz w:val="24"/>
          <w:szCs w:val="24"/>
          <w:highlight w:val="none"/>
          <w:lang w:val="en-US" w:eastAsia="zh-CN"/>
        </w:rPr>
        <w:t>标准</w:t>
      </w:r>
      <w:r>
        <w:rPr>
          <w:rFonts w:hint="eastAsia" w:ascii="宋体" w:hAnsi="宋体" w:eastAsia="宋体" w:cs="宋体"/>
          <w:color w:val="auto"/>
          <w:spacing w:val="-6"/>
          <w:sz w:val="24"/>
          <w:szCs w:val="24"/>
          <w:highlight w:val="none"/>
        </w:rPr>
        <w:t>》。</w:t>
      </w:r>
    </w:p>
    <w:p w14:paraId="12F193A0">
      <w:pPr>
        <w:spacing w:before="107" w:line="286" w:lineRule="auto"/>
        <w:ind w:right="4" w:firstLine="492"/>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（5）《市政工程工程量计算标准》</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GB/T50857-2024）、《园林绿化工程工程量计算标准》</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GB/T50858-2024）、2018年《广东省市政工程综合定额》、2018年《广东省园林绿化工程综合定额</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广东省建设工程施工机具台班费用编制规则（2018）</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广东省通用安装工程综合定额（2018）》及现行的建筑施工规范和省市有关文件、规定为编制依据进行编制；</w:t>
      </w:r>
    </w:p>
    <w:p w14:paraId="18E085EB">
      <w:pPr>
        <w:spacing w:before="146" w:line="221"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（6）施工图及相关资料；</w:t>
      </w:r>
    </w:p>
    <w:p w14:paraId="75A26699">
      <w:pPr>
        <w:spacing w:before="153" w:line="220"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（7）招标文件；</w:t>
      </w:r>
    </w:p>
    <w:p w14:paraId="37B4AFD5">
      <w:pPr>
        <w:spacing w:before="155" w:line="220"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（8）施工现场情况、地勘水文资料、工程特点及常规施工方案；</w:t>
      </w:r>
    </w:p>
    <w:p w14:paraId="106392C6">
      <w:pPr>
        <w:spacing w:before="153"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（9）与建设工程有关的标准、规范、技术资料、材料设备信息价或市场价格等</w:t>
      </w:r>
      <w:r>
        <w:rPr>
          <w:rFonts w:hint="eastAsia" w:ascii="宋体" w:hAnsi="宋体" w:eastAsia="宋体" w:cs="宋体"/>
          <w:color w:val="auto"/>
          <w:spacing w:val="-2"/>
          <w:sz w:val="24"/>
          <w:szCs w:val="24"/>
          <w:highlight w:val="none"/>
        </w:rPr>
        <w:t>。</w:t>
      </w:r>
    </w:p>
    <w:p w14:paraId="429B0728">
      <w:pPr>
        <w:spacing w:line="219" w:lineRule="auto"/>
        <w:rPr>
          <w:rFonts w:hint="eastAsia" w:ascii="宋体" w:hAnsi="宋体" w:eastAsia="宋体" w:cs="宋体"/>
          <w:color w:val="auto"/>
          <w:sz w:val="24"/>
          <w:szCs w:val="24"/>
          <w:highlight w:val="none"/>
        </w:rPr>
        <w:sectPr>
          <w:footerReference r:id="rId10"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0104BD93">
      <w:pPr>
        <w:pStyle w:val="6"/>
        <w:spacing w:line="304" w:lineRule="auto"/>
        <w:rPr>
          <w:rFonts w:hint="eastAsia" w:ascii="宋体" w:hAnsi="宋体" w:eastAsia="宋体" w:cs="宋体"/>
          <w:color w:val="auto"/>
          <w:highlight w:val="none"/>
        </w:rPr>
      </w:pPr>
    </w:p>
    <w:p w14:paraId="36743CF6">
      <w:pPr>
        <w:spacing w:before="78" w:line="219" w:lineRule="auto"/>
        <w:ind w:left="3357"/>
        <w:outlineLvl w:val="0"/>
        <w:rPr>
          <w:rFonts w:hint="eastAsia" w:ascii="宋体" w:hAnsi="宋体" w:eastAsia="宋体" w:cs="宋体"/>
          <w:color w:val="auto"/>
          <w:sz w:val="24"/>
          <w:szCs w:val="24"/>
          <w:highlight w:val="none"/>
        </w:rPr>
      </w:pPr>
      <w:bookmarkStart w:id="216" w:name="_Toc3602"/>
      <w:r>
        <w:rPr>
          <w:rFonts w:hint="eastAsia" w:ascii="宋体" w:hAnsi="宋体" w:eastAsia="宋体" w:cs="宋体"/>
          <w:b/>
          <w:bCs/>
          <w:color w:val="auto"/>
          <w:spacing w:val="-3"/>
          <w:sz w:val="24"/>
          <w:szCs w:val="24"/>
          <w:highlight w:val="none"/>
        </w:rPr>
        <w:t>第六章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投标文件格式</w:t>
      </w:r>
      <w:bookmarkEnd w:id="216"/>
    </w:p>
    <w:p w14:paraId="0D0857B6">
      <w:pPr>
        <w:pStyle w:val="6"/>
        <w:spacing w:line="302" w:lineRule="auto"/>
        <w:jc w:val="right"/>
        <w:rPr>
          <w:rFonts w:hint="eastAsia" w:ascii="宋体" w:hAnsi="宋体" w:eastAsia="宋体" w:cs="宋体"/>
          <w:color w:val="auto"/>
          <w:highlight w:val="none"/>
        </w:rPr>
      </w:pPr>
    </w:p>
    <w:p w14:paraId="401E31D5">
      <w:pPr>
        <w:spacing w:before="78" w:line="220" w:lineRule="auto"/>
        <w:outlineLvl w:val="2"/>
        <w:rPr>
          <w:rFonts w:hint="eastAsia" w:ascii="宋体" w:hAnsi="宋体" w:eastAsia="宋体" w:cs="宋体"/>
          <w:color w:val="auto"/>
          <w:sz w:val="24"/>
          <w:szCs w:val="24"/>
          <w:highlight w:val="none"/>
        </w:rPr>
      </w:pPr>
      <w:bookmarkStart w:id="217" w:name="_Toc27490"/>
      <w:r>
        <w:rPr>
          <w:rFonts w:hint="eastAsia" w:ascii="宋体" w:hAnsi="宋体" w:eastAsia="宋体" w:cs="宋体"/>
          <w:b/>
          <w:bCs/>
          <w:color w:val="auto"/>
          <w:spacing w:val="-4"/>
          <w:sz w:val="24"/>
          <w:szCs w:val="24"/>
          <w:highlight w:val="none"/>
        </w:rPr>
        <w:t>格式一</w:t>
      </w:r>
      <w:r>
        <w:rPr>
          <w:rFonts w:hint="eastAsia" w:ascii="宋体" w:hAnsi="宋体" w:eastAsia="宋体" w:cs="宋体"/>
          <w:color w:val="auto"/>
          <w:spacing w:val="-4"/>
          <w:sz w:val="24"/>
          <w:szCs w:val="24"/>
          <w:highlight w:val="none"/>
        </w:rPr>
        <w:t xml:space="preserve"> </w:t>
      </w:r>
      <w:r>
        <w:rPr>
          <w:rFonts w:hint="eastAsia" w:ascii="宋体" w:hAnsi="宋体" w:eastAsia="宋体" w:cs="宋体"/>
          <w:b/>
          <w:bCs/>
          <w:color w:val="auto"/>
          <w:spacing w:val="-4"/>
          <w:sz w:val="24"/>
          <w:szCs w:val="24"/>
          <w:highlight w:val="none"/>
        </w:rPr>
        <w:t>封面</w:t>
      </w:r>
      <w:bookmarkEnd w:id="217"/>
    </w:p>
    <w:p w14:paraId="7F1D5484">
      <w:pPr>
        <w:pStyle w:val="6"/>
        <w:spacing w:line="258" w:lineRule="auto"/>
        <w:rPr>
          <w:rFonts w:hint="eastAsia" w:ascii="宋体" w:hAnsi="宋体" w:eastAsia="宋体" w:cs="宋体"/>
          <w:color w:val="auto"/>
          <w:highlight w:val="none"/>
        </w:rPr>
      </w:pPr>
    </w:p>
    <w:p w14:paraId="2CD8482C">
      <w:pPr>
        <w:pStyle w:val="6"/>
        <w:spacing w:line="259" w:lineRule="auto"/>
        <w:rPr>
          <w:rFonts w:hint="eastAsia" w:ascii="宋体" w:hAnsi="宋体" w:eastAsia="宋体" w:cs="宋体"/>
          <w:color w:val="auto"/>
          <w:highlight w:val="none"/>
        </w:rPr>
      </w:pPr>
    </w:p>
    <w:p w14:paraId="102EDF3E">
      <w:pPr>
        <w:pStyle w:val="6"/>
        <w:spacing w:line="259" w:lineRule="auto"/>
        <w:rPr>
          <w:rFonts w:hint="eastAsia" w:ascii="宋体" w:hAnsi="宋体" w:eastAsia="宋体" w:cs="宋体"/>
          <w:color w:val="auto"/>
          <w:highlight w:val="none"/>
        </w:rPr>
      </w:pPr>
    </w:p>
    <w:p w14:paraId="2A72B20C">
      <w:pPr>
        <w:spacing w:before="153" w:line="225" w:lineRule="auto"/>
        <w:ind w:left="-1" w:leftChars="0" w:firstLine="0" w:firstLineChars="0"/>
        <w:jc w:val="center"/>
        <w:rPr>
          <w:rFonts w:hint="eastAsia" w:ascii="宋体" w:hAnsi="宋体" w:eastAsia="宋体" w:cs="宋体"/>
          <w:color w:val="auto"/>
          <w:sz w:val="47"/>
          <w:szCs w:val="47"/>
          <w:highlight w:val="none"/>
        </w:rPr>
      </w:pPr>
      <w:r>
        <w:rPr>
          <w:rFonts w:hint="eastAsia" w:ascii="宋体" w:hAnsi="宋体" w:eastAsia="宋体" w:cs="宋体"/>
          <w:b/>
          <w:bCs/>
          <w:color w:val="auto"/>
          <w:spacing w:val="8"/>
          <w:sz w:val="47"/>
          <w:szCs w:val="47"/>
          <w:highlight w:val="none"/>
          <w:u w:val="single"/>
          <w:lang w:val="en-US" w:eastAsia="zh-CN"/>
        </w:rPr>
        <w:t xml:space="preserve">       </w:t>
      </w:r>
      <w:r>
        <w:rPr>
          <w:rFonts w:hint="eastAsia" w:ascii="宋体" w:hAnsi="宋体" w:eastAsia="宋体" w:cs="宋体"/>
          <w:b/>
          <w:bCs/>
          <w:color w:val="auto"/>
          <w:spacing w:val="8"/>
          <w:sz w:val="47"/>
          <w:szCs w:val="47"/>
          <w:highlight w:val="none"/>
          <w:u w:val="single"/>
        </w:rPr>
        <w:t>（项目名称</w:t>
      </w:r>
      <w:r>
        <w:rPr>
          <w:rFonts w:hint="eastAsia" w:ascii="宋体" w:hAnsi="宋体" w:eastAsia="宋体" w:cs="宋体"/>
          <w:b/>
          <w:bCs/>
          <w:color w:val="auto"/>
          <w:spacing w:val="-32"/>
          <w:sz w:val="47"/>
          <w:szCs w:val="47"/>
          <w:highlight w:val="none"/>
          <w:u w:val="single"/>
        </w:rPr>
        <w:t>）</w:t>
      </w:r>
      <w:r>
        <w:rPr>
          <w:rFonts w:hint="eastAsia" w:ascii="宋体" w:hAnsi="宋体" w:eastAsia="宋体" w:cs="宋体"/>
          <w:b/>
          <w:bCs/>
          <w:color w:val="auto"/>
          <w:spacing w:val="8"/>
          <w:sz w:val="47"/>
          <w:szCs w:val="47"/>
          <w:highlight w:val="none"/>
        </w:rPr>
        <w:t>招标</w:t>
      </w:r>
    </w:p>
    <w:p w14:paraId="5ECD6A12">
      <w:pPr>
        <w:pStyle w:val="6"/>
        <w:spacing w:line="247" w:lineRule="auto"/>
        <w:rPr>
          <w:rFonts w:hint="eastAsia" w:ascii="宋体" w:hAnsi="宋体" w:eastAsia="宋体" w:cs="宋体"/>
          <w:color w:val="auto"/>
          <w:highlight w:val="none"/>
        </w:rPr>
      </w:pPr>
    </w:p>
    <w:p w14:paraId="54606FEC">
      <w:pPr>
        <w:pStyle w:val="6"/>
        <w:spacing w:line="247" w:lineRule="auto"/>
        <w:rPr>
          <w:rFonts w:hint="eastAsia" w:ascii="宋体" w:hAnsi="宋体" w:eastAsia="宋体" w:cs="宋体"/>
          <w:color w:val="auto"/>
          <w:highlight w:val="none"/>
        </w:rPr>
      </w:pPr>
    </w:p>
    <w:p w14:paraId="5399F95B">
      <w:pPr>
        <w:pStyle w:val="6"/>
        <w:spacing w:line="247" w:lineRule="auto"/>
        <w:rPr>
          <w:rFonts w:hint="eastAsia" w:ascii="宋体" w:hAnsi="宋体" w:eastAsia="宋体" w:cs="宋体"/>
          <w:color w:val="auto"/>
          <w:highlight w:val="none"/>
        </w:rPr>
      </w:pPr>
    </w:p>
    <w:p w14:paraId="290C2C2C">
      <w:pPr>
        <w:pStyle w:val="6"/>
        <w:spacing w:line="247" w:lineRule="auto"/>
        <w:rPr>
          <w:rFonts w:hint="eastAsia" w:ascii="宋体" w:hAnsi="宋体" w:eastAsia="宋体" w:cs="宋体"/>
          <w:color w:val="auto"/>
          <w:highlight w:val="none"/>
        </w:rPr>
      </w:pPr>
    </w:p>
    <w:p w14:paraId="59ACBFD9">
      <w:pPr>
        <w:pStyle w:val="6"/>
        <w:spacing w:line="248" w:lineRule="auto"/>
        <w:rPr>
          <w:rFonts w:hint="eastAsia" w:ascii="宋体" w:hAnsi="宋体" w:eastAsia="宋体" w:cs="宋体"/>
          <w:color w:val="auto"/>
          <w:highlight w:val="none"/>
        </w:rPr>
      </w:pPr>
    </w:p>
    <w:p w14:paraId="659F2C43">
      <w:pPr>
        <w:spacing w:before="231" w:line="223" w:lineRule="auto"/>
        <w:jc w:val="center"/>
        <w:rPr>
          <w:rFonts w:hint="eastAsia" w:ascii="宋体" w:hAnsi="宋体" w:eastAsia="宋体" w:cs="宋体"/>
          <w:color w:val="auto"/>
          <w:sz w:val="71"/>
          <w:szCs w:val="71"/>
          <w:highlight w:val="none"/>
        </w:rPr>
      </w:pPr>
      <w:r>
        <w:rPr>
          <w:rFonts w:hint="eastAsia" w:ascii="宋体" w:hAnsi="宋体" w:eastAsia="宋体" w:cs="宋体"/>
          <w:b/>
          <w:bCs/>
          <w:color w:val="auto"/>
          <w:spacing w:val="-26"/>
          <w:sz w:val="71"/>
          <w:szCs w:val="71"/>
          <w:highlight w:val="none"/>
        </w:rPr>
        <w:t>投</w:t>
      </w:r>
      <w:r>
        <w:rPr>
          <w:rFonts w:hint="eastAsia" w:ascii="宋体" w:hAnsi="宋体" w:eastAsia="宋体" w:cs="宋体"/>
          <w:color w:val="auto"/>
          <w:spacing w:val="22"/>
          <w:sz w:val="71"/>
          <w:szCs w:val="71"/>
          <w:highlight w:val="none"/>
        </w:rPr>
        <w:t xml:space="preserve">  </w:t>
      </w:r>
      <w:r>
        <w:rPr>
          <w:rFonts w:hint="eastAsia" w:ascii="宋体" w:hAnsi="宋体" w:eastAsia="宋体" w:cs="宋体"/>
          <w:b/>
          <w:bCs/>
          <w:color w:val="auto"/>
          <w:spacing w:val="-26"/>
          <w:sz w:val="71"/>
          <w:szCs w:val="71"/>
          <w:highlight w:val="none"/>
        </w:rPr>
        <w:t>标</w:t>
      </w:r>
      <w:r>
        <w:rPr>
          <w:rFonts w:hint="eastAsia" w:ascii="宋体" w:hAnsi="宋体" w:eastAsia="宋体" w:cs="宋体"/>
          <w:color w:val="auto"/>
          <w:spacing w:val="23"/>
          <w:sz w:val="71"/>
          <w:szCs w:val="71"/>
          <w:highlight w:val="none"/>
        </w:rPr>
        <w:t xml:space="preserve">  </w:t>
      </w:r>
      <w:r>
        <w:rPr>
          <w:rFonts w:hint="eastAsia" w:ascii="宋体" w:hAnsi="宋体" w:eastAsia="宋体" w:cs="宋体"/>
          <w:b/>
          <w:bCs/>
          <w:color w:val="auto"/>
          <w:spacing w:val="-26"/>
          <w:sz w:val="71"/>
          <w:szCs w:val="71"/>
          <w:highlight w:val="none"/>
        </w:rPr>
        <w:t>文</w:t>
      </w:r>
      <w:r>
        <w:rPr>
          <w:rFonts w:hint="eastAsia" w:ascii="宋体" w:hAnsi="宋体" w:eastAsia="宋体" w:cs="宋体"/>
          <w:color w:val="auto"/>
          <w:spacing w:val="19"/>
          <w:sz w:val="71"/>
          <w:szCs w:val="71"/>
          <w:highlight w:val="none"/>
        </w:rPr>
        <w:t xml:space="preserve">  </w:t>
      </w:r>
      <w:r>
        <w:rPr>
          <w:rFonts w:hint="eastAsia" w:ascii="宋体" w:hAnsi="宋体" w:eastAsia="宋体" w:cs="宋体"/>
          <w:b/>
          <w:bCs/>
          <w:color w:val="auto"/>
          <w:spacing w:val="-26"/>
          <w:sz w:val="71"/>
          <w:szCs w:val="71"/>
          <w:highlight w:val="none"/>
        </w:rPr>
        <w:t>件</w:t>
      </w:r>
    </w:p>
    <w:p w14:paraId="0B131F8C">
      <w:pPr>
        <w:pStyle w:val="6"/>
        <w:spacing w:line="293" w:lineRule="auto"/>
        <w:rPr>
          <w:rFonts w:hint="eastAsia" w:ascii="宋体" w:hAnsi="宋体" w:eastAsia="宋体" w:cs="宋体"/>
          <w:color w:val="auto"/>
          <w:highlight w:val="none"/>
        </w:rPr>
      </w:pPr>
    </w:p>
    <w:p w14:paraId="324C9182">
      <w:pPr>
        <w:pStyle w:val="6"/>
        <w:spacing w:line="293" w:lineRule="auto"/>
        <w:rPr>
          <w:rFonts w:hint="eastAsia" w:ascii="宋体" w:hAnsi="宋体" w:eastAsia="宋体" w:cs="宋体"/>
          <w:color w:val="auto"/>
          <w:highlight w:val="none"/>
        </w:rPr>
      </w:pPr>
    </w:p>
    <w:p w14:paraId="7C0F118B">
      <w:pPr>
        <w:spacing w:before="152" w:line="223" w:lineRule="auto"/>
        <w:jc w:val="center"/>
        <w:rPr>
          <w:rFonts w:hint="eastAsia" w:ascii="宋体" w:hAnsi="宋体" w:eastAsia="宋体" w:cs="宋体"/>
          <w:b/>
          <w:bCs/>
          <w:color w:val="auto"/>
          <w:spacing w:val="2"/>
          <w:sz w:val="40"/>
          <w:szCs w:val="40"/>
          <w:highlight w:val="none"/>
        </w:rPr>
      </w:pPr>
      <w:bookmarkStart w:id="218" w:name="bookmark105"/>
      <w:bookmarkEnd w:id="218"/>
      <w:r>
        <w:rPr>
          <w:rFonts w:hint="eastAsia" w:ascii="宋体" w:hAnsi="宋体" w:eastAsia="宋体" w:cs="宋体"/>
          <w:b/>
          <w:bCs/>
          <w:color w:val="auto"/>
          <w:spacing w:val="2"/>
          <w:sz w:val="40"/>
          <w:szCs w:val="40"/>
          <w:highlight w:val="none"/>
        </w:rPr>
        <w:t>（商务标书／经济标书／施工组织设计</w:t>
      </w:r>
      <w:r>
        <w:rPr>
          <w:rFonts w:hint="eastAsia" w:ascii="宋体" w:hAnsi="宋体" w:eastAsia="宋体" w:cs="宋体"/>
          <w:b/>
          <w:bCs/>
          <w:color w:val="auto"/>
          <w:spacing w:val="2"/>
          <w:sz w:val="40"/>
          <w:szCs w:val="40"/>
          <w:highlight w:val="none"/>
          <w:lang w:val="en-US" w:eastAsia="zh-CN"/>
        </w:rPr>
        <w:t>/定标文件</w:t>
      </w:r>
      <w:r>
        <w:rPr>
          <w:rFonts w:hint="eastAsia" w:ascii="宋体" w:hAnsi="宋体" w:eastAsia="宋体" w:cs="宋体"/>
          <w:b/>
          <w:bCs/>
          <w:color w:val="auto"/>
          <w:spacing w:val="2"/>
          <w:sz w:val="40"/>
          <w:szCs w:val="40"/>
          <w:highlight w:val="none"/>
        </w:rPr>
        <w:t>）</w:t>
      </w:r>
    </w:p>
    <w:p w14:paraId="507FE0F9">
      <w:pPr>
        <w:bidi w:val="0"/>
        <w:rPr>
          <w:rFonts w:hint="eastAsia"/>
          <w:color w:val="auto"/>
          <w:highlight w:val="none"/>
        </w:rPr>
      </w:pPr>
    </w:p>
    <w:p w14:paraId="1258CA34">
      <w:pPr>
        <w:bidi w:val="0"/>
        <w:rPr>
          <w:rFonts w:hint="eastAsia"/>
          <w:color w:val="auto"/>
          <w:highlight w:val="none"/>
        </w:rPr>
      </w:pPr>
    </w:p>
    <w:p w14:paraId="6011C3D8">
      <w:pPr>
        <w:bidi w:val="0"/>
        <w:rPr>
          <w:rFonts w:hint="eastAsia"/>
          <w:color w:val="auto"/>
          <w:highlight w:val="none"/>
        </w:rPr>
      </w:pPr>
    </w:p>
    <w:p w14:paraId="37F301A3">
      <w:pPr>
        <w:bidi w:val="0"/>
        <w:rPr>
          <w:rFonts w:hint="eastAsia"/>
          <w:color w:val="auto"/>
          <w:highlight w:val="none"/>
        </w:rPr>
      </w:pPr>
    </w:p>
    <w:p w14:paraId="176B82A5">
      <w:pPr>
        <w:bidi w:val="0"/>
        <w:rPr>
          <w:rFonts w:hint="eastAsia"/>
          <w:color w:val="auto"/>
          <w:highlight w:val="none"/>
        </w:rPr>
      </w:pPr>
    </w:p>
    <w:p w14:paraId="082387D7">
      <w:pPr>
        <w:bidi w:val="0"/>
        <w:rPr>
          <w:rFonts w:hint="eastAsia"/>
          <w:color w:val="auto"/>
          <w:highlight w:val="none"/>
        </w:rPr>
      </w:pPr>
    </w:p>
    <w:p w14:paraId="4555BC89">
      <w:pPr>
        <w:bidi w:val="0"/>
        <w:rPr>
          <w:rFonts w:hint="eastAsia"/>
          <w:color w:val="auto"/>
          <w:highlight w:val="none"/>
        </w:rPr>
      </w:pPr>
    </w:p>
    <w:p w14:paraId="5C158398">
      <w:pPr>
        <w:bidi w:val="0"/>
        <w:rPr>
          <w:rFonts w:hint="eastAsia"/>
          <w:color w:val="auto"/>
          <w:highlight w:val="none"/>
        </w:rPr>
      </w:pPr>
    </w:p>
    <w:p w14:paraId="7B5A9BA0">
      <w:pPr>
        <w:pStyle w:val="43"/>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215929E0">
      <w:pPr>
        <w:pStyle w:val="43"/>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233B75EF">
      <w:pPr>
        <w:pStyle w:val="43"/>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33AB8C63">
      <w:pPr>
        <w:pStyle w:val="43"/>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0E4534D8">
      <w:pPr>
        <w:pStyle w:val="43"/>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37293E27">
      <w:pPr>
        <w:pStyle w:val="43"/>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u w:val="single"/>
        </w:rPr>
      </w:pPr>
    </w:p>
    <w:p w14:paraId="2496E2BB">
      <w:pPr>
        <w:pStyle w:val="43"/>
        <w:widowControl w:val="0"/>
        <w:wordWrap w:val="0"/>
        <w:adjustRightInd w:val="0"/>
        <w:snapToGrid w:val="0"/>
        <w:spacing w:line="36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5A1606D9">
      <w:pPr>
        <w:bidi w:val="0"/>
        <w:rPr>
          <w:rFonts w:hint="eastAsia"/>
          <w:color w:val="auto"/>
          <w:highlight w:val="none"/>
        </w:rPr>
      </w:pPr>
    </w:p>
    <w:p w14:paraId="23E6A84C">
      <w:pPr>
        <w:outlineLvl w:val="9"/>
        <w:rPr>
          <w:rFonts w:hint="eastAsia"/>
          <w:color w:val="auto"/>
          <w:highlight w:val="none"/>
        </w:rPr>
      </w:pPr>
    </w:p>
    <w:p w14:paraId="5B28AB72">
      <w:pPr>
        <w:spacing w:line="223" w:lineRule="auto"/>
        <w:rPr>
          <w:rFonts w:hint="eastAsia" w:ascii="宋体" w:hAnsi="宋体" w:eastAsia="宋体" w:cs="宋体"/>
          <w:color w:val="auto"/>
          <w:sz w:val="47"/>
          <w:szCs w:val="47"/>
          <w:highlight w:val="none"/>
        </w:rPr>
        <w:sectPr>
          <w:footerReference r:id="rId11"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74A3B6A7">
      <w:pPr>
        <w:spacing w:before="78" w:line="220" w:lineRule="auto"/>
        <w:outlineLvl w:val="2"/>
        <w:rPr>
          <w:rFonts w:hint="eastAsia" w:ascii="宋体" w:hAnsi="宋体" w:eastAsia="宋体" w:cs="宋体"/>
          <w:b/>
          <w:bCs/>
          <w:color w:val="auto"/>
          <w:spacing w:val="-4"/>
          <w:sz w:val="24"/>
          <w:szCs w:val="24"/>
          <w:highlight w:val="none"/>
        </w:rPr>
      </w:pPr>
      <w:bookmarkStart w:id="219" w:name="_Toc13637"/>
      <w:r>
        <w:rPr>
          <w:rFonts w:hint="eastAsia" w:ascii="宋体" w:hAnsi="宋体" w:eastAsia="宋体" w:cs="宋体"/>
          <w:b/>
          <w:bCs/>
          <w:color w:val="auto"/>
          <w:spacing w:val="-4"/>
          <w:sz w:val="24"/>
          <w:szCs w:val="24"/>
          <w:highlight w:val="none"/>
        </w:rPr>
        <w:t>格式二 投标函</w:t>
      </w:r>
      <w:bookmarkEnd w:id="219"/>
    </w:p>
    <w:p w14:paraId="3A37F6C7">
      <w:pPr>
        <w:pStyle w:val="6"/>
        <w:spacing w:line="261" w:lineRule="auto"/>
        <w:rPr>
          <w:rFonts w:hint="eastAsia" w:ascii="宋体" w:hAnsi="宋体" w:eastAsia="宋体" w:cs="宋体"/>
          <w:color w:val="auto"/>
          <w:highlight w:val="none"/>
        </w:rPr>
      </w:pPr>
    </w:p>
    <w:p w14:paraId="45A81B1F">
      <w:pPr>
        <w:spacing w:before="97" w:line="221" w:lineRule="auto"/>
        <w:ind w:left="3799"/>
        <w:outlineLvl w:val="9"/>
        <w:rPr>
          <w:rFonts w:hint="eastAsia" w:ascii="宋体" w:hAnsi="宋体" w:eastAsia="宋体" w:cs="宋体"/>
          <w:color w:val="auto"/>
          <w:sz w:val="30"/>
          <w:szCs w:val="30"/>
          <w:highlight w:val="none"/>
        </w:rPr>
      </w:pPr>
      <w:bookmarkStart w:id="220" w:name="bookmark148"/>
      <w:bookmarkEnd w:id="220"/>
      <w:bookmarkStart w:id="221" w:name="_Toc317"/>
      <w:bookmarkStart w:id="222" w:name="_Toc297"/>
      <w:bookmarkStart w:id="223" w:name="_Toc27397"/>
      <w:r>
        <w:rPr>
          <w:rFonts w:hint="eastAsia" w:ascii="宋体" w:hAnsi="宋体" w:eastAsia="宋体" w:cs="宋体"/>
          <w:b/>
          <w:bCs/>
          <w:color w:val="auto"/>
          <w:spacing w:val="-13"/>
          <w:sz w:val="30"/>
          <w:szCs w:val="30"/>
          <w:highlight w:val="none"/>
        </w:rPr>
        <w:t>投</w:t>
      </w:r>
      <w:r>
        <w:rPr>
          <w:rFonts w:hint="eastAsia" w:ascii="宋体" w:hAnsi="宋体" w:eastAsia="宋体" w:cs="宋体"/>
          <w:color w:val="auto"/>
          <w:spacing w:val="6"/>
          <w:sz w:val="30"/>
          <w:szCs w:val="30"/>
          <w:highlight w:val="none"/>
        </w:rPr>
        <w:t xml:space="preserve">  </w:t>
      </w:r>
      <w:r>
        <w:rPr>
          <w:rFonts w:hint="eastAsia" w:ascii="宋体" w:hAnsi="宋体" w:eastAsia="宋体" w:cs="宋体"/>
          <w:b/>
          <w:bCs/>
          <w:color w:val="auto"/>
          <w:spacing w:val="-13"/>
          <w:sz w:val="30"/>
          <w:szCs w:val="30"/>
          <w:highlight w:val="none"/>
        </w:rPr>
        <w:t>标</w:t>
      </w:r>
      <w:r>
        <w:rPr>
          <w:rFonts w:hint="eastAsia" w:ascii="宋体" w:hAnsi="宋体" w:eastAsia="宋体" w:cs="宋体"/>
          <w:color w:val="auto"/>
          <w:spacing w:val="17"/>
          <w:sz w:val="30"/>
          <w:szCs w:val="30"/>
          <w:highlight w:val="none"/>
        </w:rPr>
        <w:t xml:space="preserve">  </w:t>
      </w:r>
      <w:r>
        <w:rPr>
          <w:rFonts w:hint="eastAsia" w:ascii="宋体" w:hAnsi="宋体" w:eastAsia="宋体" w:cs="宋体"/>
          <w:b/>
          <w:bCs/>
          <w:color w:val="auto"/>
          <w:spacing w:val="-13"/>
          <w:sz w:val="30"/>
          <w:szCs w:val="30"/>
          <w:highlight w:val="none"/>
        </w:rPr>
        <w:t>函</w:t>
      </w:r>
      <w:bookmarkEnd w:id="221"/>
      <w:bookmarkEnd w:id="222"/>
      <w:bookmarkEnd w:id="223"/>
    </w:p>
    <w:p w14:paraId="7874E16E">
      <w:pPr>
        <w:pStyle w:val="6"/>
        <w:spacing w:line="249" w:lineRule="auto"/>
        <w:rPr>
          <w:rFonts w:hint="eastAsia" w:ascii="宋体" w:hAnsi="宋体" w:eastAsia="宋体" w:cs="宋体"/>
          <w:color w:val="auto"/>
          <w:highlight w:val="none"/>
        </w:rPr>
      </w:pPr>
    </w:p>
    <w:p w14:paraId="75D83E64">
      <w:pPr>
        <w:pStyle w:val="6"/>
        <w:spacing w:line="250" w:lineRule="auto"/>
        <w:rPr>
          <w:rFonts w:hint="eastAsia" w:ascii="宋体" w:hAnsi="宋体" w:eastAsia="宋体" w:cs="宋体"/>
          <w:color w:val="auto"/>
          <w:highlight w:val="none"/>
        </w:rPr>
      </w:pPr>
    </w:p>
    <w:p w14:paraId="5FC5B2DC">
      <w:pPr>
        <w:pStyle w:val="6"/>
        <w:spacing w:line="250" w:lineRule="auto"/>
        <w:rPr>
          <w:rFonts w:hint="eastAsia" w:ascii="宋体" w:hAnsi="宋体" w:eastAsia="宋体" w:cs="宋体"/>
          <w:color w:val="auto"/>
          <w:highlight w:val="none"/>
        </w:rPr>
      </w:pPr>
    </w:p>
    <w:p w14:paraId="64EA3138">
      <w:pPr>
        <w:spacing w:before="78" w:line="221" w:lineRule="auto"/>
        <w:ind w:left="9"/>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致</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30"/>
          <w:sz w:val="24"/>
          <w:szCs w:val="24"/>
          <w:highlight w:val="none"/>
          <w:u w:val="single"/>
          <w:lang w:val="en-US" w:eastAsia="zh-CN"/>
        </w:rPr>
        <w:t xml:space="preserve">                    </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7"/>
          <w:sz w:val="24"/>
          <w:szCs w:val="24"/>
          <w:highlight w:val="none"/>
        </w:rPr>
        <w:t>招标人名称）</w:t>
      </w:r>
    </w:p>
    <w:p w14:paraId="0506ED9A">
      <w:pPr>
        <w:pStyle w:val="6"/>
        <w:spacing w:before="156" w:line="328" w:lineRule="auto"/>
        <w:ind w:left="9" w:right="142" w:firstLine="589"/>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我方考察现场并充分研究</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w:t>
      </w:r>
      <w:r>
        <w:rPr>
          <w:rFonts w:hint="eastAsia" w:ascii="宋体" w:hAnsi="宋体" w:eastAsia="宋体" w:cs="宋体"/>
          <w:color w:val="auto"/>
          <w:spacing w:val="-12"/>
          <w:sz w:val="24"/>
          <w:szCs w:val="24"/>
          <w:highlight w:val="none"/>
        </w:rPr>
        <w:t>）（</w:t>
      </w:r>
      <w:r>
        <w:rPr>
          <w:rFonts w:hint="eastAsia" w:ascii="宋体" w:hAnsi="宋体" w:eastAsia="宋体" w:cs="宋体"/>
          <w:color w:val="auto"/>
          <w:sz w:val="24"/>
          <w:szCs w:val="24"/>
          <w:highlight w:val="none"/>
        </w:rPr>
        <w:t>以下简称“本项目</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z w:val="24"/>
          <w:szCs w:val="24"/>
          <w:highlight w:val="none"/>
        </w:rPr>
        <w:t>”）招标文件</w:t>
      </w:r>
      <w:r>
        <w:rPr>
          <w:rFonts w:hint="eastAsia" w:ascii="宋体" w:hAnsi="宋体" w:eastAsia="宋体" w:cs="宋体"/>
          <w:color w:val="auto"/>
          <w:spacing w:val="-2"/>
          <w:sz w:val="24"/>
          <w:szCs w:val="24"/>
          <w:highlight w:val="none"/>
        </w:rPr>
        <w:t>所有内容后，结合自身资质、能力和特点，愿意接受招标文件的全部内容和条件，兹以</w:t>
      </w:r>
      <w:r>
        <w:rPr>
          <w:rFonts w:hint="eastAsia" w:ascii="宋体" w:hAnsi="宋体" w:eastAsia="宋体" w:cs="宋体"/>
          <w:color w:val="auto"/>
          <w:spacing w:val="-5"/>
          <w:sz w:val="24"/>
          <w:szCs w:val="24"/>
          <w:highlight w:val="none"/>
        </w:rPr>
        <w:t>人民币（大写</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的投标总价竞投本项目施工。</w:t>
      </w:r>
    </w:p>
    <w:p w14:paraId="42232FD7">
      <w:pPr>
        <w:spacing w:before="39" w:line="323" w:lineRule="auto"/>
        <w:ind w:right="142" w:firstLine="57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在我方的上述投标总价中，包括：</w:t>
      </w:r>
      <w:r>
        <w:rPr>
          <w:rFonts w:hint="eastAsia" w:ascii="宋体" w:hAnsi="宋体" w:eastAsia="宋体" w:cs="宋体"/>
          <w:color w:val="auto"/>
          <w:spacing w:val="-2"/>
          <w:sz w:val="24"/>
          <w:szCs w:val="24"/>
          <w:highlight w:val="none"/>
          <w:lang w:val="en-US" w:eastAsia="zh-CN"/>
        </w:rPr>
        <w:t>安全生产措施费</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；暂列金额</w:t>
      </w:r>
      <w:r>
        <w:rPr>
          <w:rFonts w:hint="eastAsia" w:ascii="宋体" w:hAnsi="宋体" w:eastAsia="宋体" w:cs="宋体"/>
          <w:color w:val="auto"/>
          <w:spacing w:val="-2"/>
          <w:sz w:val="24"/>
          <w:szCs w:val="24"/>
          <w:highlight w:val="none"/>
          <w:u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；暂估价</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8"/>
          <w:sz w:val="24"/>
          <w:szCs w:val="24"/>
          <w:highlight w:val="none"/>
        </w:rPr>
        <w:t>。</w:t>
      </w:r>
    </w:p>
    <w:p w14:paraId="50640A5A">
      <w:pPr>
        <w:spacing w:before="38" w:line="280" w:lineRule="auto"/>
        <w:ind w:left="13" w:right="142" w:firstLine="56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  如果我方中标，我方保证按照合同约定的开工日期开始本项目的施工</w:t>
      </w:r>
      <w:r>
        <w:rPr>
          <w:rFonts w:hint="eastAsia" w:ascii="宋体" w:hAnsi="宋体" w:eastAsia="宋体" w:cs="宋体"/>
          <w:color w:val="auto"/>
          <w:sz w:val="24"/>
          <w:szCs w:val="24"/>
          <w:highlight w:val="none"/>
        </w:rPr>
        <w:t>，</w:t>
      </w:r>
      <w:bookmarkStart w:id="224" w:name="OLE_LINK34"/>
      <w:r>
        <w:rPr>
          <w:rFonts w:hint="eastAsia" w:ascii="宋体" w:hAnsi="宋体" w:eastAsia="宋体" w:cs="宋体"/>
          <w:color w:val="auto"/>
          <w:sz w:val="24"/>
          <w:szCs w:val="24"/>
          <w:highlight w:val="none"/>
          <w:u w:val="single"/>
          <w:lang w:val="en-US" w:eastAsia="zh-CN"/>
        </w:rPr>
        <w:t xml:space="preserve">     </w:t>
      </w:r>
      <w:bookmarkEnd w:id="224"/>
      <w:r>
        <w:rPr>
          <w:rFonts w:hint="eastAsia" w:ascii="宋体" w:hAnsi="宋体" w:eastAsia="宋体" w:cs="宋体"/>
          <w:color w:val="auto"/>
          <w:sz w:val="24"/>
          <w:szCs w:val="24"/>
          <w:highlight w:val="none"/>
        </w:rPr>
        <w:t>个日历</w:t>
      </w:r>
      <w:r>
        <w:rPr>
          <w:rFonts w:hint="eastAsia" w:ascii="宋体" w:hAnsi="宋体" w:eastAsia="宋体" w:cs="宋体"/>
          <w:color w:val="auto"/>
          <w:spacing w:val="-1"/>
          <w:sz w:val="24"/>
          <w:szCs w:val="24"/>
          <w:highlight w:val="none"/>
        </w:rPr>
        <w:t>天内竣工，并确保工程质量达到</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标准和维修其中的任何缺陷。</w:t>
      </w:r>
    </w:p>
    <w:p w14:paraId="63DC731F">
      <w:pPr>
        <w:spacing w:before="152" w:line="279" w:lineRule="auto"/>
        <w:ind w:left="11" w:right="142" w:firstLine="5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  本投标函在你方接</w:t>
      </w:r>
      <w:r>
        <w:rPr>
          <w:rFonts w:hint="eastAsia" w:ascii="宋体" w:hAnsi="宋体" w:eastAsia="宋体" w:cs="宋体"/>
          <w:color w:val="auto"/>
          <w:spacing w:val="1"/>
          <w:sz w:val="24"/>
          <w:szCs w:val="24"/>
          <w:highlight w:val="none"/>
          <w:lang w:eastAsia="zh-CN"/>
        </w:rPr>
        <w:t>收到</w:t>
      </w:r>
      <w:r>
        <w:rPr>
          <w:rFonts w:hint="eastAsia" w:ascii="宋体" w:hAnsi="宋体" w:eastAsia="宋体" w:cs="宋体"/>
          <w:color w:val="auto"/>
          <w:spacing w:val="1"/>
          <w:sz w:val="24"/>
          <w:szCs w:val="24"/>
          <w:highlight w:val="none"/>
        </w:rPr>
        <w:t>我方递交的投标文件之日起、到招标</w:t>
      </w:r>
      <w:r>
        <w:rPr>
          <w:rFonts w:hint="eastAsia" w:ascii="宋体" w:hAnsi="宋体" w:eastAsia="宋体" w:cs="宋体"/>
          <w:color w:val="auto"/>
          <w:sz w:val="24"/>
          <w:szCs w:val="24"/>
          <w:highlight w:val="none"/>
        </w:rPr>
        <w:t>文件规定的投标有效</w:t>
      </w:r>
      <w:r>
        <w:rPr>
          <w:rFonts w:hint="eastAsia" w:ascii="宋体" w:hAnsi="宋体" w:eastAsia="宋体" w:cs="宋体"/>
          <w:color w:val="auto"/>
          <w:spacing w:val="-1"/>
          <w:sz w:val="24"/>
          <w:szCs w:val="24"/>
          <w:highlight w:val="none"/>
        </w:rPr>
        <w:t>期期满前对我方具有约束力。我方随时准备</w:t>
      </w:r>
      <w:r>
        <w:rPr>
          <w:rFonts w:hint="eastAsia" w:ascii="宋体" w:hAnsi="宋体" w:eastAsia="宋体" w:cs="宋体"/>
          <w:color w:val="auto"/>
          <w:spacing w:val="-1"/>
          <w:sz w:val="24"/>
          <w:szCs w:val="24"/>
          <w:highlight w:val="none"/>
          <w:lang w:eastAsia="zh-CN"/>
        </w:rPr>
        <w:t>接收</w:t>
      </w:r>
      <w:r>
        <w:rPr>
          <w:rFonts w:hint="eastAsia" w:ascii="宋体" w:hAnsi="宋体" w:eastAsia="宋体" w:cs="宋体"/>
          <w:color w:val="auto"/>
          <w:spacing w:val="-1"/>
          <w:sz w:val="24"/>
          <w:szCs w:val="24"/>
          <w:highlight w:val="none"/>
        </w:rPr>
        <w:t>你方发出的中标通知书。</w:t>
      </w:r>
    </w:p>
    <w:p w14:paraId="12CDD9D6">
      <w:pPr>
        <w:spacing w:before="156" w:line="279" w:lineRule="auto"/>
        <w:ind w:left="11" w:right="61" w:firstLine="5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z w:val="24"/>
          <w:szCs w:val="24"/>
          <w:highlight w:val="none"/>
        </w:rPr>
        <w:t>．我方在此声明，我方不存在本项目招标</w:t>
      </w:r>
      <w:r>
        <w:rPr>
          <w:rFonts w:hint="eastAsia" w:ascii="宋体" w:hAnsi="宋体" w:eastAsia="宋体" w:cs="宋体"/>
          <w:color w:val="auto"/>
          <w:spacing w:val="-1"/>
          <w:sz w:val="24"/>
          <w:szCs w:val="24"/>
          <w:highlight w:val="none"/>
        </w:rPr>
        <w:t>文件第一章第三节第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2.4</w:t>
      </w:r>
      <w:r>
        <w:rPr>
          <w:rFonts w:hint="eastAsia" w:ascii="宋体" w:hAnsi="宋体" w:eastAsia="宋体" w:cs="宋体"/>
          <w:b/>
          <w:bCs/>
          <w:color w:val="auto"/>
          <w:spacing w:val="16"/>
          <w:w w:val="101"/>
          <w:sz w:val="24"/>
          <w:szCs w:val="24"/>
          <w:highlight w:val="none"/>
        </w:rPr>
        <w:t xml:space="preserve"> </w:t>
      </w:r>
      <w:r>
        <w:rPr>
          <w:rFonts w:hint="eastAsia" w:ascii="宋体" w:hAnsi="宋体" w:eastAsia="宋体" w:cs="宋体"/>
          <w:color w:val="auto"/>
          <w:spacing w:val="-1"/>
          <w:sz w:val="24"/>
          <w:szCs w:val="24"/>
          <w:highlight w:val="none"/>
        </w:rPr>
        <w:t>条“禁止投标</w:t>
      </w:r>
      <w:r>
        <w:rPr>
          <w:rFonts w:hint="eastAsia" w:ascii="宋体" w:hAnsi="宋体" w:eastAsia="宋体" w:cs="宋体"/>
          <w:color w:val="auto"/>
          <w:spacing w:val="-6"/>
          <w:sz w:val="24"/>
          <w:szCs w:val="24"/>
          <w:highlight w:val="none"/>
        </w:rPr>
        <w:t>条款</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6"/>
          <w:sz w:val="24"/>
          <w:szCs w:val="24"/>
          <w:highlight w:val="none"/>
        </w:rPr>
        <w:t>”所列出的任何一种情形，并愿意承担因我</w:t>
      </w:r>
      <w:r>
        <w:rPr>
          <w:rFonts w:hint="eastAsia" w:ascii="宋体" w:hAnsi="宋体" w:eastAsia="宋体" w:cs="宋体"/>
          <w:color w:val="auto"/>
          <w:spacing w:val="-7"/>
          <w:sz w:val="24"/>
          <w:szCs w:val="24"/>
          <w:highlight w:val="none"/>
        </w:rPr>
        <w:t>方就此弄虚作假所引起的一切法律后果。</w:t>
      </w:r>
    </w:p>
    <w:p w14:paraId="69028085">
      <w:pPr>
        <w:spacing w:before="153" w:line="280" w:lineRule="auto"/>
        <w:ind w:left="9" w:right="142" w:firstLine="57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2"/>
          <w:sz w:val="24"/>
          <w:szCs w:val="24"/>
          <w:highlight w:val="none"/>
        </w:rPr>
        <w:t>．我方在此承诺，所递交投标文件的全部内容均为真实、有效、准确的，并愿意承担因我方就此弄虚作假所引起的一切法律后果，同时理解和同意有可能被要求提供更</w:t>
      </w:r>
    </w:p>
    <w:p w14:paraId="4D86EAF2">
      <w:pPr>
        <w:spacing w:before="153" w:line="221" w:lineRule="auto"/>
        <w:ind w:left="2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多的资料。</w:t>
      </w:r>
    </w:p>
    <w:p w14:paraId="47668C44">
      <w:pPr>
        <w:spacing w:before="153" w:line="326" w:lineRule="auto"/>
        <w:ind w:left="13" w:firstLine="56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  我方理解你方不一定要接纳收到的最低投标总价或任何投标总价的投标人中标，</w:t>
      </w:r>
      <w:r>
        <w:rPr>
          <w:rFonts w:hint="eastAsia" w:ascii="宋体" w:hAnsi="宋体" w:eastAsia="宋体" w:cs="宋体"/>
          <w:color w:val="auto"/>
          <w:spacing w:val="-1"/>
          <w:sz w:val="24"/>
          <w:szCs w:val="24"/>
          <w:highlight w:val="none"/>
        </w:rPr>
        <w:t>也不要求你方解释我方是否中标的原因。</w:t>
      </w:r>
    </w:p>
    <w:p w14:paraId="13B4F1F2">
      <w:pPr>
        <w:pStyle w:val="6"/>
        <w:spacing w:line="276" w:lineRule="auto"/>
        <w:rPr>
          <w:rFonts w:hint="eastAsia" w:ascii="宋体" w:hAnsi="宋体" w:eastAsia="宋体" w:cs="宋体"/>
          <w:color w:val="auto"/>
          <w:highlight w:val="none"/>
        </w:rPr>
      </w:pPr>
    </w:p>
    <w:p w14:paraId="1831F436">
      <w:pPr>
        <w:pStyle w:val="6"/>
        <w:spacing w:line="277" w:lineRule="auto"/>
        <w:rPr>
          <w:rFonts w:hint="eastAsia" w:ascii="宋体" w:hAnsi="宋体" w:eastAsia="宋体" w:cs="宋体"/>
          <w:color w:val="auto"/>
          <w:highlight w:val="none"/>
        </w:rPr>
      </w:pPr>
    </w:p>
    <w:p w14:paraId="3AC7C5A8">
      <w:pPr>
        <w:pStyle w:val="6"/>
        <w:spacing w:line="277" w:lineRule="auto"/>
        <w:rPr>
          <w:rFonts w:hint="eastAsia" w:ascii="宋体" w:hAnsi="宋体" w:eastAsia="宋体" w:cs="宋体"/>
          <w:color w:val="auto"/>
          <w:highlight w:val="none"/>
        </w:rPr>
      </w:pPr>
    </w:p>
    <w:p w14:paraId="21D36DDF">
      <w:pPr>
        <w:spacing w:before="79" w:line="219" w:lineRule="auto"/>
        <w:ind w:firstLine="5856" w:firstLineChars="240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78B3688F">
      <w:pPr>
        <w:pStyle w:val="6"/>
        <w:spacing w:line="256" w:lineRule="auto"/>
        <w:jc w:val="right"/>
        <w:rPr>
          <w:rFonts w:hint="eastAsia" w:ascii="宋体" w:hAnsi="宋体" w:eastAsia="宋体" w:cs="宋体"/>
          <w:color w:val="auto"/>
          <w:highlight w:val="none"/>
        </w:rPr>
      </w:pPr>
    </w:p>
    <w:p w14:paraId="357977FD">
      <w:pPr>
        <w:pStyle w:val="6"/>
        <w:spacing w:line="256" w:lineRule="auto"/>
        <w:jc w:val="right"/>
        <w:rPr>
          <w:rFonts w:hint="eastAsia" w:ascii="宋体" w:hAnsi="宋体" w:eastAsia="宋体" w:cs="宋体"/>
          <w:color w:val="auto"/>
          <w:highlight w:val="none"/>
        </w:rPr>
      </w:pPr>
    </w:p>
    <w:p w14:paraId="053292DD">
      <w:pPr>
        <w:spacing w:before="78" w:line="219" w:lineRule="auto"/>
        <w:ind w:left="3922"/>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6662D32F">
      <w:pPr>
        <w:pStyle w:val="6"/>
        <w:spacing w:line="257" w:lineRule="auto"/>
        <w:rPr>
          <w:rFonts w:hint="eastAsia" w:ascii="宋体" w:hAnsi="宋体" w:eastAsia="宋体" w:cs="宋体"/>
          <w:color w:val="auto"/>
          <w:highlight w:val="none"/>
        </w:rPr>
      </w:pPr>
    </w:p>
    <w:p w14:paraId="070C60B1">
      <w:pPr>
        <w:pStyle w:val="6"/>
        <w:spacing w:line="257" w:lineRule="auto"/>
        <w:rPr>
          <w:rFonts w:hint="eastAsia" w:ascii="宋体" w:hAnsi="宋体" w:eastAsia="宋体" w:cs="宋体"/>
          <w:color w:val="auto"/>
          <w:highlight w:val="none"/>
        </w:rPr>
      </w:pPr>
    </w:p>
    <w:p w14:paraId="34941473">
      <w:pPr>
        <w:spacing w:before="79" w:line="220" w:lineRule="auto"/>
        <w:ind w:left="697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日</w:t>
      </w:r>
    </w:p>
    <w:p w14:paraId="533951B9">
      <w:pPr>
        <w:spacing w:line="220" w:lineRule="auto"/>
        <w:rPr>
          <w:rFonts w:hint="eastAsia" w:ascii="宋体" w:hAnsi="宋体" w:eastAsia="宋体" w:cs="宋体"/>
          <w:color w:val="auto"/>
          <w:sz w:val="24"/>
          <w:szCs w:val="24"/>
          <w:highlight w:val="none"/>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445A9343">
      <w:pPr>
        <w:spacing w:before="78" w:line="220" w:lineRule="auto"/>
        <w:outlineLvl w:val="2"/>
        <w:rPr>
          <w:rFonts w:hint="eastAsia" w:ascii="宋体" w:hAnsi="宋体" w:eastAsia="宋体" w:cs="宋体"/>
          <w:b/>
          <w:bCs/>
          <w:color w:val="auto"/>
          <w:spacing w:val="-4"/>
          <w:sz w:val="24"/>
          <w:szCs w:val="24"/>
          <w:highlight w:val="none"/>
        </w:rPr>
      </w:pPr>
      <w:bookmarkStart w:id="225" w:name="_Toc30611"/>
      <w:r>
        <w:rPr>
          <w:rFonts w:hint="eastAsia" w:ascii="宋体" w:hAnsi="宋体" w:eastAsia="宋体" w:cs="宋体"/>
          <w:b/>
          <w:bCs/>
          <w:color w:val="auto"/>
          <w:spacing w:val="-4"/>
          <w:sz w:val="24"/>
          <w:szCs w:val="24"/>
          <w:highlight w:val="none"/>
        </w:rPr>
        <w:t>格式三 各项承诺一览表</w:t>
      </w:r>
      <w:bookmarkEnd w:id="225"/>
    </w:p>
    <w:p w14:paraId="0D7CCACD">
      <w:pPr>
        <w:pStyle w:val="6"/>
        <w:spacing w:line="254" w:lineRule="auto"/>
        <w:rPr>
          <w:rFonts w:hint="eastAsia" w:ascii="宋体" w:hAnsi="宋体" w:eastAsia="宋体" w:cs="宋体"/>
          <w:color w:val="auto"/>
          <w:highlight w:val="none"/>
        </w:rPr>
      </w:pPr>
    </w:p>
    <w:p w14:paraId="4A57AF5C">
      <w:pPr>
        <w:spacing w:before="98" w:line="220" w:lineRule="auto"/>
        <w:ind w:left="3581"/>
        <w:outlineLvl w:val="9"/>
        <w:rPr>
          <w:rFonts w:hint="eastAsia" w:ascii="宋体" w:hAnsi="宋体" w:eastAsia="宋体" w:cs="宋体"/>
          <w:color w:val="auto"/>
          <w:sz w:val="30"/>
          <w:szCs w:val="30"/>
          <w:highlight w:val="none"/>
        </w:rPr>
      </w:pPr>
      <w:bookmarkStart w:id="226" w:name="bookmark149"/>
      <w:bookmarkEnd w:id="226"/>
      <w:bookmarkStart w:id="227" w:name="_Toc10326"/>
      <w:bookmarkStart w:id="228" w:name="_Toc2936"/>
      <w:bookmarkStart w:id="229" w:name="_Toc4767"/>
      <w:r>
        <w:rPr>
          <w:rFonts w:hint="eastAsia" w:ascii="宋体" w:hAnsi="宋体" w:eastAsia="宋体" w:cs="宋体"/>
          <w:b/>
          <w:bCs/>
          <w:color w:val="auto"/>
          <w:spacing w:val="-5"/>
          <w:sz w:val="30"/>
          <w:szCs w:val="30"/>
          <w:highlight w:val="none"/>
        </w:rPr>
        <w:t>各项承诺一览表</w:t>
      </w:r>
      <w:bookmarkEnd w:id="227"/>
      <w:bookmarkEnd w:id="228"/>
      <w:bookmarkEnd w:id="229"/>
    </w:p>
    <w:p w14:paraId="1040ACDB">
      <w:pPr>
        <w:spacing w:before="6"/>
        <w:rPr>
          <w:rFonts w:hint="eastAsia" w:ascii="宋体" w:hAnsi="宋体" w:eastAsia="宋体" w:cs="宋体"/>
          <w:color w:val="auto"/>
          <w:highlight w:val="none"/>
        </w:rPr>
      </w:pPr>
    </w:p>
    <w:tbl>
      <w:tblPr>
        <w:tblStyle w:val="17"/>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284FB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43AFBAA6">
            <w:pPr>
              <w:keepNext w:val="0"/>
              <w:keepLines w:val="0"/>
              <w:pageBreakBefore w:val="0"/>
              <w:widowControl/>
              <w:kinsoku w:val="0"/>
              <w:wordWrap/>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75" w:type="dxa"/>
            <w:vAlign w:val="top"/>
          </w:tcPr>
          <w:p w14:paraId="3932ED98">
            <w:pPr>
              <w:keepNext w:val="0"/>
              <w:keepLines w:val="0"/>
              <w:pageBreakBefore w:val="0"/>
              <w:widowControl/>
              <w:kinsoku w:val="0"/>
              <w:wordWrap/>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承诺事项</w:t>
            </w:r>
          </w:p>
        </w:tc>
        <w:tc>
          <w:tcPr>
            <w:tcW w:w="3107" w:type="dxa"/>
            <w:vAlign w:val="top"/>
          </w:tcPr>
          <w:p w14:paraId="6926247B">
            <w:pPr>
              <w:keepNext w:val="0"/>
              <w:keepLines w:val="0"/>
              <w:pageBreakBefore w:val="0"/>
              <w:widowControl/>
              <w:kinsoku w:val="0"/>
              <w:wordWrap/>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承诺内容</w:t>
            </w:r>
          </w:p>
        </w:tc>
        <w:tc>
          <w:tcPr>
            <w:tcW w:w="4272" w:type="dxa"/>
            <w:vAlign w:val="top"/>
          </w:tcPr>
          <w:p w14:paraId="19484B26">
            <w:pPr>
              <w:keepNext w:val="0"/>
              <w:keepLines w:val="0"/>
              <w:pageBreakBefore w:val="0"/>
              <w:widowControl/>
              <w:kinsoku w:val="0"/>
              <w:wordWrap/>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违约承诺</w:t>
            </w:r>
          </w:p>
        </w:tc>
      </w:tr>
      <w:tr w14:paraId="56FAD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0E6E63E4">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968E03B">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F6DB51F">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0368CE1">
            <w:pPr>
              <w:keepNext w:val="0"/>
              <w:keepLines w:val="0"/>
              <w:pageBreakBefore w:val="0"/>
              <w:widowControl/>
              <w:kinsoku w:val="0"/>
              <w:wordWrap/>
              <w:overflowPunct/>
              <w:topLinePunct w:val="0"/>
              <w:autoSpaceDE w:val="0"/>
              <w:autoSpaceDN w:val="0"/>
              <w:bidi w:val="0"/>
              <w:adjustRightInd w:val="0"/>
              <w:snapToGrid w:val="0"/>
              <w:spacing w:before="58" w:line="288" w:lineRule="auto"/>
              <w:ind w:left="32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75" w:type="dxa"/>
            <w:vAlign w:val="top"/>
          </w:tcPr>
          <w:p w14:paraId="1A6424C5">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9254A2E">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93C2F8C">
            <w:pPr>
              <w:keepNext w:val="0"/>
              <w:keepLines w:val="0"/>
              <w:pageBreakBefore w:val="0"/>
              <w:widowControl/>
              <w:kinsoku w:val="0"/>
              <w:wordWrap/>
              <w:overflowPunct/>
              <w:topLinePunct w:val="0"/>
              <w:autoSpaceDE w:val="0"/>
              <w:autoSpaceDN w:val="0"/>
              <w:bidi w:val="0"/>
              <w:adjustRightInd w:val="0"/>
              <w:snapToGrid w:val="0"/>
              <w:spacing w:before="65" w:line="288" w:lineRule="auto"/>
              <w:ind w:left="57" w:right="50" w:firstLine="13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自愿接受招标</w:t>
            </w:r>
            <w:r>
              <w:rPr>
                <w:rFonts w:hint="eastAsia" w:ascii="宋体" w:hAnsi="宋体" w:eastAsia="宋体" w:cs="宋体"/>
                <w:color w:val="auto"/>
                <w:spacing w:val="8"/>
                <w:sz w:val="24"/>
                <w:szCs w:val="24"/>
                <w:highlight w:val="none"/>
              </w:rPr>
              <w:t>文件条款的承诺</w:t>
            </w:r>
          </w:p>
        </w:tc>
        <w:tc>
          <w:tcPr>
            <w:tcW w:w="3107" w:type="dxa"/>
            <w:vAlign w:val="top"/>
          </w:tcPr>
          <w:p w14:paraId="17F8556B">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08CCBC6">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我方自愿接受招标文件的</w:t>
            </w:r>
            <w:r>
              <w:rPr>
                <w:rFonts w:hint="eastAsia" w:ascii="宋体" w:hAnsi="宋体" w:eastAsia="宋体" w:cs="宋体"/>
                <w:color w:val="auto"/>
                <w:spacing w:val="7"/>
                <w:sz w:val="24"/>
                <w:szCs w:val="24"/>
                <w:highlight w:val="none"/>
              </w:rPr>
              <w:t>所有条款，所递交的投标文件已</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23"/>
                <w:sz w:val="24"/>
                <w:szCs w:val="24"/>
                <w:highlight w:val="none"/>
              </w:rPr>
              <w:t>经充分响应招标文件的实质性</w:t>
            </w:r>
            <w:r>
              <w:rPr>
                <w:rFonts w:hint="eastAsia" w:ascii="宋体" w:hAnsi="宋体" w:eastAsia="宋体" w:cs="宋体"/>
                <w:color w:val="auto"/>
                <w:spacing w:val="3"/>
                <w:sz w:val="24"/>
                <w:szCs w:val="24"/>
                <w:highlight w:val="none"/>
              </w:rPr>
              <w:t>要求。</w:t>
            </w:r>
          </w:p>
        </w:tc>
        <w:tc>
          <w:tcPr>
            <w:tcW w:w="4272" w:type="dxa"/>
            <w:vAlign w:val="top"/>
          </w:tcPr>
          <w:p w14:paraId="3F01A048">
            <w:pPr>
              <w:keepNext w:val="0"/>
              <w:keepLines w:val="0"/>
              <w:pageBreakBefore w:val="0"/>
              <w:widowControl/>
              <w:kinsoku w:val="0"/>
              <w:wordWrap/>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如果我方的投标文件未响应、违反、偏</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0"/>
                <w:sz w:val="24"/>
                <w:szCs w:val="24"/>
                <w:highlight w:val="none"/>
              </w:rPr>
              <w:t>离招标文件的实质性要求，我方接受招标人或其授权的招标代理机构或其组建的评标委员会依据招标文件作出的相应处理，包括否</w:t>
            </w:r>
            <w:r>
              <w:rPr>
                <w:rFonts w:hint="eastAsia" w:ascii="宋体" w:hAnsi="宋体" w:eastAsia="宋体" w:cs="宋体"/>
                <w:color w:val="auto"/>
                <w:spacing w:val="4"/>
                <w:sz w:val="24"/>
                <w:szCs w:val="24"/>
                <w:highlight w:val="none"/>
              </w:rPr>
              <w:t>决投标。</w:t>
            </w:r>
          </w:p>
        </w:tc>
      </w:tr>
      <w:tr w14:paraId="5B2BB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59167F8E">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B11ADA9">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46CB1AB">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D78AF5B">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05C670F">
            <w:pPr>
              <w:keepNext w:val="0"/>
              <w:keepLines w:val="0"/>
              <w:pageBreakBefore w:val="0"/>
              <w:widowControl/>
              <w:kinsoku w:val="0"/>
              <w:wordWrap/>
              <w:overflowPunct/>
              <w:topLinePunct w:val="0"/>
              <w:autoSpaceDE w:val="0"/>
              <w:autoSpaceDN w:val="0"/>
              <w:bidi w:val="0"/>
              <w:adjustRightInd w:val="0"/>
              <w:snapToGrid w:val="0"/>
              <w:spacing w:before="58" w:line="288" w:lineRule="auto"/>
              <w:ind w:left="30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75" w:type="dxa"/>
            <w:vAlign w:val="top"/>
          </w:tcPr>
          <w:p w14:paraId="05B3009D">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BE0188E">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65F625A">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DAEEEEA">
            <w:pPr>
              <w:keepNext w:val="0"/>
              <w:keepLines w:val="0"/>
              <w:pageBreakBefore w:val="0"/>
              <w:widowControl/>
              <w:kinsoku w:val="0"/>
              <w:wordWrap/>
              <w:overflowPunct/>
              <w:topLinePunct w:val="0"/>
              <w:autoSpaceDE w:val="0"/>
              <w:autoSpaceDN w:val="0"/>
              <w:bidi w:val="0"/>
              <w:adjustRightInd w:val="0"/>
              <w:snapToGrid w:val="0"/>
              <w:spacing w:before="65" w:line="288" w:lineRule="auto"/>
              <w:ind w:left="262" w:right="261" w:firstLine="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无禁止投标</w:t>
            </w:r>
            <w:r>
              <w:rPr>
                <w:rFonts w:hint="eastAsia" w:ascii="宋体" w:hAnsi="宋体" w:eastAsia="宋体" w:cs="宋体"/>
                <w:color w:val="auto"/>
                <w:spacing w:val="8"/>
                <w:sz w:val="24"/>
                <w:szCs w:val="24"/>
                <w:highlight w:val="none"/>
              </w:rPr>
              <w:t>情形的承诺</w:t>
            </w:r>
          </w:p>
        </w:tc>
        <w:tc>
          <w:tcPr>
            <w:tcW w:w="3107" w:type="dxa"/>
            <w:vAlign w:val="top"/>
          </w:tcPr>
          <w:p w14:paraId="43B9FDAD">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1E22312">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368A58B">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我方不存在招标文件第一</w:t>
            </w:r>
            <w:r>
              <w:rPr>
                <w:rFonts w:hint="eastAsia" w:ascii="宋体" w:hAnsi="宋体" w:eastAsia="宋体" w:cs="宋体"/>
                <w:color w:val="auto"/>
                <w:spacing w:val="8"/>
                <w:sz w:val="24"/>
                <w:szCs w:val="24"/>
                <w:highlight w:val="none"/>
              </w:rPr>
              <w:t>章第三节第</w:t>
            </w:r>
            <w:r>
              <w:rPr>
                <w:rFonts w:hint="eastAsia" w:ascii="宋体" w:hAnsi="宋体" w:eastAsia="宋体" w:cs="宋体"/>
                <w:color w:val="auto"/>
                <w:spacing w:val="-35"/>
                <w:sz w:val="24"/>
                <w:szCs w:val="24"/>
                <w:highlight w:val="none"/>
              </w:rPr>
              <w:t xml:space="preserve"> </w:t>
            </w:r>
            <w:r>
              <w:rPr>
                <w:rFonts w:hint="eastAsia" w:ascii="宋体" w:hAnsi="宋体" w:eastAsia="宋体" w:cs="宋体"/>
                <w:b/>
                <w:bCs/>
                <w:color w:val="auto"/>
                <w:spacing w:val="8"/>
                <w:sz w:val="24"/>
                <w:szCs w:val="24"/>
                <w:highlight w:val="none"/>
              </w:rPr>
              <w:t>2.4</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8"/>
                <w:sz w:val="24"/>
                <w:szCs w:val="24"/>
                <w:highlight w:val="none"/>
              </w:rPr>
              <w:t>条“禁止投标条</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6"/>
                <w:sz w:val="24"/>
                <w:szCs w:val="24"/>
                <w:highlight w:val="none"/>
              </w:rPr>
              <w:t>款</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6"/>
                <w:sz w:val="24"/>
                <w:szCs w:val="24"/>
                <w:highlight w:val="none"/>
              </w:rPr>
              <w:t>”规定的任何一种情形。</w:t>
            </w:r>
          </w:p>
        </w:tc>
        <w:tc>
          <w:tcPr>
            <w:tcW w:w="4272" w:type="dxa"/>
            <w:vAlign w:val="top"/>
          </w:tcPr>
          <w:p w14:paraId="367FAD05">
            <w:pPr>
              <w:keepNext w:val="0"/>
              <w:keepLines w:val="0"/>
              <w:pageBreakBefore w:val="0"/>
              <w:widowControl/>
              <w:kinsoku w:val="0"/>
              <w:wordWrap/>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如果我方有招标文件第一章第三节第</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1"/>
                <w:sz w:val="24"/>
                <w:szCs w:val="24"/>
                <w:highlight w:val="none"/>
              </w:rPr>
              <w:t xml:space="preserve">4 </w:t>
            </w:r>
            <w:r>
              <w:rPr>
                <w:rFonts w:hint="eastAsia" w:ascii="宋体" w:hAnsi="宋体" w:eastAsia="宋体" w:cs="宋体"/>
                <w:color w:val="auto"/>
                <w:spacing w:val="1"/>
                <w:sz w:val="24"/>
                <w:szCs w:val="24"/>
                <w:highlight w:val="none"/>
              </w:rPr>
              <w:t>条“禁止投标条款</w:t>
            </w:r>
            <w:r>
              <w:rPr>
                <w:rFonts w:hint="eastAsia" w:ascii="宋体" w:hAnsi="宋体" w:eastAsia="宋体" w:cs="宋体"/>
                <w:color w:val="auto"/>
                <w:spacing w:val="-65"/>
                <w:sz w:val="24"/>
                <w:szCs w:val="24"/>
                <w:highlight w:val="none"/>
              </w:rPr>
              <w:t xml:space="preserve"> </w:t>
            </w:r>
            <w:r>
              <w:rPr>
                <w:rFonts w:hint="eastAsia" w:ascii="宋体" w:hAnsi="宋体" w:eastAsia="宋体" w:cs="宋体"/>
                <w:color w:val="auto"/>
                <w:spacing w:val="1"/>
                <w:sz w:val="24"/>
                <w:szCs w:val="24"/>
                <w:highlight w:val="none"/>
              </w:rPr>
              <w:t>”规定的任何一种情形，</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我方接受招标人或其授权的招标代理机构或</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8"/>
                <w:sz w:val="24"/>
                <w:szCs w:val="24"/>
                <w:highlight w:val="none"/>
              </w:rPr>
              <w:t>其组建的评标委员会依据招标文件作出的相</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8"/>
                <w:sz w:val="24"/>
                <w:szCs w:val="24"/>
                <w:highlight w:val="none"/>
              </w:rPr>
              <w:t>应处理以及有关监督部门作出的行政处罚，</w:t>
            </w:r>
            <w:r>
              <w:rPr>
                <w:rFonts w:hint="eastAsia" w:ascii="宋体" w:hAnsi="宋体" w:eastAsia="宋体" w:cs="宋体"/>
                <w:color w:val="auto"/>
                <w:spacing w:val="6"/>
                <w:sz w:val="24"/>
                <w:szCs w:val="24"/>
                <w:highlight w:val="none"/>
              </w:rPr>
              <w:t>并承担由此引起的一切法律后果。</w:t>
            </w:r>
          </w:p>
        </w:tc>
      </w:tr>
      <w:tr w14:paraId="18C1C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AAD0204">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BFA5DE0">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60ED34B">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EF741A1">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9E73C69">
            <w:pPr>
              <w:keepNext w:val="0"/>
              <w:keepLines w:val="0"/>
              <w:pageBreakBefore w:val="0"/>
              <w:widowControl/>
              <w:kinsoku w:val="0"/>
              <w:wordWrap/>
              <w:overflowPunct/>
              <w:topLinePunct w:val="0"/>
              <w:autoSpaceDE w:val="0"/>
              <w:autoSpaceDN w:val="0"/>
              <w:bidi w:val="0"/>
              <w:adjustRightInd w:val="0"/>
              <w:snapToGrid w:val="0"/>
              <w:spacing w:before="57"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75" w:type="dxa"/>
            <w:vAlign w:val="top"/>
          </w:tcPr>
          <w:p w14:paraId="438AD487">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92BBB59">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2454EE3">
            <w:pPr>
              <w:keepNext w:val="0"/>
              <w:keepLines w:val="0"/>
              <w:pageBreakBefore w:val="0"/>
              <w:widowControl/>
              <w:kinsoku w:val="0"/>
              <w:wordWrap/>
              <w:overflowPunct/>
              <w:topLinePunct w:val="0"/>
              <w:autoSpaceDE w:val="0"/>
              <w:autoSpaceDN w:val="0"/>
              <w:bidi w:val="0"/>
              <w:adjustRightInd w:val="0"/>
              <w:snapToGrid w:val="0"/>
              <w:spacing w:before="65" w:line="288" w:lineRule="auto"/>
              <w:ind w:left="1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自觉抵制围标</w:t>
            </w:r>
          </w:p>
          <w:p w14:paraId="07205FD8">
            <w:pPr>
              <w:keepNext w:val="0"/>
              <w:keepLines w:val="0"/>
              <w:pageBreakBefore w:val="0"/>
              <w:widowControl/>
              <w:kinsoku w:val="0"/>
              <w:wordWrap/>
              <w:overflowPunct/>
              <w:topLinePunct w:val="0"/>
              <w:autoSpaceDE w:val="0"/>
              <w:autoSpaceDN w:val="0"/>
              <w:bidi w:val="0"/>
              <w:adjustRightInd w:val="0"/>
              <w:snapToGrid w:val="0"/>
              <w:spacing w:before="131" w:line="288" w:lineRule="auto"/>
              <w:ind w:left="2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串标和弄虚</w:t>
            </w:r>
          </w:p>
          <w:p w14:paraId="7DFCC592">
            <w:pPr>
              <w:keepNext w:val="0"/>
              <w:keepLines w:val="0"/>
              <w:pageBreakBefore w:val="0"/>
              <w:widowControl/>
              <w:kinsoku w:val="0"/>
              <w:wordWrap/>
              <w:overflowPunct/>
              <w:topLinePunct w:val="0"/>
              <w:autoSpaceDE w:val="0"/>
              <w:autoSpaceDN w:val="0"/>
              <w:bidi w:val="0"/>
              <w:adjustRightInd w:val="0"/>
              <w:snapToGrid w:val="0"/>
              <w:spacing w:before="133" w:line="288" w:lineRule="auto"/>
              <w:ind w:left="5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作假行为的承诺</w:t>
            </w:r>
          </w:p>
        </w:tc>
        <w:tc>
          <w:tcPr>
            <w:tcW w:w="3107" w:type="dxa"/>
            <w:vAlign w:val="top"/>
          </w:tcPr>
          <w:p w14:paraId="0DE69FDB">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D8D72D4">
            <w:pPr>
              <w:keepNext w:val="0"/>
              <w:keepLines w:val="0"/>
              <w:pageBreakBefore w:val="0"/>
              <w:widowControl/>
              <w:kinsoku w:val="0"/>
              <w:wordWrap/>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我方合法正当、诚实守信地</w:t>
            </w:r>
            <w:r>
              <w:rPr>
                <w:rFonts w:hint="eastAsia" w:ascii="宋体" w:hAnsi="宋体" w:eastAsia="宋体" w:cs="宋体"/>
                <w:color w:val="auto"/>
                <w:spacing w:val="7"/>
                <w:sz w:val="24"/>
                <w:szCs w:val="24"/>
                <w:highlight w:val="none"/>
              </w:rPr>
              <w:t>参与投标，不组织、不参加围标串标违法行为，不通过弄虚作假</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6"/>
                <w:sz w:val="24"/>
                <w:szCs w:val="24"/>
                <w:highlight w:val="none"/>
              </w:rPr>
              <w:t>行为骗取中标。</w:t>
            </w:r>
          </w:p>
        </w:tc>
        <w:tc>
          <w:tcPr>
            <w:tcW w:w="4272" w:type="dxa"/>
            <w:vAlign w:val="top"/>
          </w:tcPr>
          <w:p w14:paraId="4589066B">
            <w:pPr>
              <w:keepNext w:val="0"/>
              <w:keepLines w:val="0"/>
              <w:pageBreakBefore w:val="0"/>
              <w:widowControl/>
              <w:kinsoku w:val="0"/>
              <w:wordWrap/>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w:t>
            </w:r>
            <w:r>
              <w:rPr>
                <w:rFonts w:hint="eastAsia" w:ascii="宋体" w:hAnsi="宋体" w:eastAsia="宋体" w:cs="宋体"/>
                <w:color w:val="auto"/>
                <w:spacing w:val="7"/>
                <w:sz w:val="24"/>
                <w:szCs w:val="24"/>
                <w:highlight w:val="none"/>
              </w:rPr>
              <w:t>引起的一切法律后果。</w:t>
            </w:r>
          </w:p>
        </w:tc>
      </w:tr>
      <w:tr w14:paraId="312D6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38715187">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7D55ACF">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6165398">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F45AC13">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089FA48">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C43D837">
            <w:pPr>
              <w:keepNext w:val="0"/>
              <w:keepLines w:val="0"/>
              <w:pageBreakBefore w:val="0"/>
              <w:widowControl/>
              <w:kinsoku w:val="0"/>
              <w:wordWrap/>
              <w:overflowPunct/>
              <w:topLinePunct w:val="0"/>
              <w:autoSpaceDE w:val="0"/>
              <w:autoSpaceDN w:val="0"/>
              <w:bidi w:val="0"/>
              <w:adjustRightInd w:val="0"/>
              <w:snapToGrid w:val="0"/>
              <w:spacing w:before="58" w:line="288" w:lineRule="auto"/>
              <w:ind w:left="30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675" w:type="dxa"/>
            <w:vAlign w:val="top"/>
          </w:tcPr>
          <w:p w14:paraId="6278EE0E">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6255881">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9D7BD82">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1D658BD">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C7A4BF8">
            <w:pPr>
              <w:keepNext w:val="0"/>
              <w:keepLines w:val="0"/>
              <w:pageBreakBefore w:val="0"/>
              <w:widowControl/>
              <w:kinsoku w:val="0"/>
              <w:wordWrap/>
              <w:overflowPunct/>
              <w:topLinePunct w:val="0"/>
              <w:autoSpaceDE w:val="0"/>
              <w:autoSpaceDN w:val="0"/>
              <w:bidi w:val="0"/>
              <w:adjustRightInd w:val="0"/>
              <w:snapToGrid w:val="0"/>
              <w:spacing w:before="65" w:line="288" w:lineRule="auto"/>
              <w:ind w:left="369" w:right="367" w:firstLine="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r>
              <w:rPr>
                <w:rFonts w:hint="eastAsia" w:ascii="宋体" w:hAnsi="宋体" w:eastAsia="宋体" w:cs="宋体"/>
                <w:color w:val="auto"/>
                <w:spacing w:val="7"/>
                <w:sz w:val="24"/>
                <w:szCs w:val="24"/>
                <w:highlight w:val="none"/>
              </w:rPr>
              <w:t>任职承诺</w:t>
            </w:r>
          </w:p>
        </w:tc>
        <w:tc>
          <w:tcPr>
            <w:tcW w:w="3107" w:type="dxa"/>
            <w:vAlign w:val="top"/>
          </w:tcPr>
          <w:p w14:paraId="012273A7">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0115F3C">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5A6B417">
            <w:pPr>
              <w:keepNext w:val="0"/>
              <w:keepLines w:val="0"/>
              <w:pageBreakBefore w:val="0"/>
              <w:widowControl/>
              <w:kinsoku w:val="0"/>
              <w:wordWrap/>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9"/>
                <w:sz w:val="24"/>
                <w:szCs w:val="24"/>
                <w:highlight w:val="none"/>
              </w:rPr>
              <w:t>我方拟派项目经理现阶段</w:t>
            </w:r>
            <w:r>
              <w:rPr>
                <w:rFonts w:hint="eastAsia" w:ascii="宋体" w:hAnsi="宋体" w:eastAsia="宋体" w:cs="宋体"/>
                <w:color w:val="auto"/>
                <w:spacing w:val="7"/>
                <w:sz w:val="24"/>
                <w:szCs w:val="24"/>
                <w:highlight w:val="none"/>
              </w:rPr>
              <w:t>没有担任任何在施（包括已中标</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7"/>
                <w:sz w:val="24"/>
                <w:szCs w:val="24"/>
                <w:highlight w:val="none"/>
              </w:rPr>
              <w:t>未开工、已开工未竣工）建设工</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7"/>
                <w:sz w:val="24"/>
                <w:szCs w:val="24"/>
                <w:highlight w:val="none"/>
              </w:rPr>
              <w:t>程项目的项目经理。</w:t>
            </w:r>
          </w:p>
        </w:tc>
        <w:tc>
          <w:tcPr>
            <w:tcW w:w="4272" w:type="dxa"/>
            <w:vAlign w:val="top"/>
          </w:tcPr>
          <w:p w14:paraId="39F4F1E7">
            <w:pPr>
              <w:keepNext w:val="0"/>
              <w:keepLines w:val="0"/>
              <w:pageBreakBefore w:val="0"/>
              <w:widowControl/>
              <w:kinsoku w:val="0"/>
              <w:wordWrap/>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如果我方拟派项目经理在本项目招标投</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标活动期间有担任其他任何在施（包括已中标未开工、已开工未竣工）建设工程项目的</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7"/>
                <w:sz w:val="24"/>
                <w:szCs w:val="24"/>
                <w:highlight w:val="none"/>
              </w:rPr>
              <w:t>项目经理，我方接受招标人或其授权的招标</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7"/>
                <w:sz w:val="24"/>
                <w:szCs w:val="24"/>
                <w:highlight w:val="none"/>
              </w:rPr>
              <w:t>代理机构或其组建的评标委员会依据招标文件作出的相应处理以及有关监督部门作出的</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z w:val="24"/>
                <w:szCs w:val="24"/>
                <w:highlight w:val="none"/>
              </w:rPr>
              <w:t>行政处罚，并承担由此引起的一切法律后果。</w:t>
            </w:r>
          </w:p>
        </w:tc>
      </w:tr>
      <w:tr w14:paraId="6CEEE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A0D4B7A">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C74BABD">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2E61580">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4"/>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675" w:type="dxa"/>
            <w:vAlign w:val="top"/>
          </w:tcPr>
          <w:p w14:paraId="349DADD9">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0BB8079">
            <w:pPr>
              <w:keepNext w:val="0"/>
              <w:keepLines w:val="0"/>
              <w:pageBreakBefore w:val="0"/>
              <w:widowControl/>
              <w:kinsoku w:val="0"/>
              <w:wordWrap/>
              <w:overflowPunct/>
              <w:topLinePunct w:val="0"/>
              <w:autoSpaceDE w:val="0"/>
              <w:autoSpaceDN w:val="0"/>
              <w:bidi w:val="0"/>
              <w:adjustRightInd w:val="0"/>
              <w:snapToGrid w:val="0"/>
              <w:spacing w:before="65" w:line="288" w:lineRule="auto"/>
              <w:ind w:left="267" w:right="261" w:firstLine="10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投标文件</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7"/>
                <w:sz w:val="24"/>
                <w:szCs w:val="24"/>
                <w:highlight w:val="none"/>
              </w:rPr>
              <w:t>真实性承诺</w:t>
            </w:r>
          </w:p>
        </w:tc>
        <w:tc>
          <w:tcPr>
            <w:tcW w:w="3107" w:type="dxa"/>
            <w:vAlign w:val="top"/>
          </w:tcPr>
          <w:p w14:paraId="48826E6A">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0163C62">
            <w:pPr>
              <w:keepNext w:val="0"/>
              <w:keepLines w:val="0"/>
              <w:pageBreakBefore w:val="0"/>
              <w:widowControl/>
              <w:kinsoku w:val="0"/>
              <w:wordWrap/>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0"/>
                <w:sz w:val="24"/>
                <w:szCs w:val="24"/>
                <w:highlight w:val="none"/>
              </w:rPr>
              <w:t>我方所递交投标文件的全</w:t>
            </w:r>
            <w:r>
              <w:rPr>
                <w:rFonts w:hint="eastAsia" w:ascii="宋体" w:hAnsi="宋体" w:eastAsia="宋体" w:cs="宋体"/>
                <w:color w:val="auto"/>
                <w:spacing w:val="-7"/>
                <w:sz w:val="24"/>
                <w:szCs w:val="24"/>
                <w:highlight w:val="none"/>
              </w:rPr>
              <w:t>部内容均为真实、有效、准确的。</w:t>
            </w:r>
          </w:p>
        </w:tc>
        <w:tc>
          <w:tcPr>
            <w:tcW w:w="4272" w:type="dxa"/>
            <w:vAlign w:val="top"/>
          </w:tcPr>
          <w:p w14:paraId="1583D5E0">
            <w:pPr>
              <w:keepNext w:val="0"/>
              <w:keepLines w:val="0"/>
              <w:pageBreakBefore w:val="0"/>
              <w:widowControl/>
              <w:kinsoku w:val="0"/>
              <w:wordWrap/>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如果我方递交的投标文件任何内容不真实或无效或不准确，我方接受招标人或其授权的招标代理机构或其组建的评标委员会依</w:t>
            </w:r>
            <w:r>
              <w:rPr>
                <w:rFonts w:hint="eastAsia" w:ascii="宋体" w:hAnsi="宋体" w:eastAsia="宋体" w:cs="宋体"/>
                <w:color w:val="auto"/>
                <w:sz w:val="24"/>
                <w:szCs w:val="24"/>
                <w:highlight w:val="none"/>
              </w:rPr>
              <w:t>据招标文件作出的相应处理，包括否决投标。</w:t>
            </w:r>
          </w:p>
        </w:tc>
      </w:tr>
      <w:tr w14:paraId="5859D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top"/>
          </w:tcPr>
          <w:p w14:paraId="2E9A7FD4">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19FAAF4">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E319FF4">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3"/>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p w14:paraId="6D236227">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62336"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26"/>
                          <a:stretch>
                            <a:fillRect/>
                          </a:stretch>
                        </pic:blipFill>
                        <pic:spPr>
                          <a:xfrm>
                            <a:off x="0" y="0"/>
                            <a:ext cx="6350" cy="241300"/>
                          </a:xfrm>
                          <a:prstGeom prst="rect">
                            <a:avLst/>
                          </a:prstGeom>
                          <a:noFill/>
                          <a:ln>
                            <a:noFill/>
                          </a:ln>
                        </pic:spPr>
                      </pic:pic>
                    </a:graphicData>
                  </a:graphic>
                </wp:anchor>
              </w:drawing>
            </w:r>
          </w:p>
        </w:tc>
        <w:tc>
          <w:tcPr>
            <w:tcW w:w="1675" w:type="dxa"/>
            <w:vAlign w:val="top"/>
          </w:tcPr>
          <w:p w14:paraId="29EF0155">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7937757">
            <w:pPr>
              <w:keepNext w:val="0"/>
              <w:keepLines w:val="0"/>
              <w:pageBreakBefore w:val="0"/>
              <w:widowControl/>
              <w:kinsoku w:val="0"/>
              <w:wordWrap/>
              <w:overflowPunct/>
              <w:topLinePunct w:val="0"/>
              <w:autoSpaceDE w:val="0"/>
              <w:autoSpaceDN w:val="0"/>
              <w:bidi w:val="0"/>
              <w:adjustRightInd w:val="0"/>
              <w:snapToGrid w:val="0"/>
              <w:spacing w:line="288" w:lineRule="auto"/>
              <w:ind w:lef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投标文件</w:t>
            </w:r>
          </w:p>
          <w:p w14:paraId="20B01D17">
            <w:pPr>
              <w:keepNext w:val="0"/>
              <w:keepLines w:val="0"/>
              <w:pageBreakBefore w:val="0"/>
              <w:widowControl/>
              <w:kinsoku w:val="0"/>
              <w:wordWrap/>
              <w:overflowPunct/>
              <w:topLinePunct w:val="0"/>
              <w:autoSpaceDE w:val="0"/>
              <w:autoSpaceDN w:val="0"/>
              <w:bidi w:val="0"/>
              <w:adjustRightInd w:val="0"/>
              <w:snapToGrid w:val="0"/>
              <w:spacing w:line="288" w:lineRule="auto"/>
              <w:ind w:lef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信息公开承诺</w:t>
            </w:r>
          </w:p>
        </w:tc>
        <w:tc>
          <w:tcPr>
            <w:tcW w:w="3107" w:type="dxa"/>
            <w:vAlign w:val="top"/>
          </w:tcPr>
          <w:p w14:paraId="6794C05C">
            <w:pPr>
              <w:keepNext w:val="0"/>
              <w:keepLines w:val="0"/>
              <w:pageBreakBefore w:val="0"/>
              <w:widowControl/>
              <w:kinsoku w:val="0"/>
              <w:wordWrap/>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我方提供完整的文件。如果</w:t>
            </w:r>
            <w:r>
              <w:rPr>
                <w:rFonts w:hint="eastAsia" w:ascii="宋体" w:hAnsi="宋体" w:eastAsia="宋体" w:cs="宋体"/>
                <w:color w:val="auto"/>
                <w:spacing w:val="7"/>
                <w:sz w:val="24"/>
                <w:szCs w:val="24"/>
                <w:highlight w:val="none"/>
              </w:rPr>
              <w:t>我方成为本项目中标候选人，我</w:t>
            </w:r>
            <w:r>
              <w:rPr>
                <w:rFonts w:hint="eastAsia" w:ascii="宋体" w:hAnsi="宋体" w:eastAsia="宋体" w:cs="宋体"/>
                <w:color w:val="auto"/>
                <w:spacing w:val="23"/>
                <w:sz w:val="24"/>
                <w:szCs w:val="24"/>
                <w:highlight w:val="none"/>
              </w:rPr>
              <w:t>方同意并授权招标人在评标结果公示期内公开我方商务标书</w:t>
            </w:r>
            <w:r>
              <w:rPr>
                <w:rFonts w:hint="eastAsia" w:ascii="宋体" w:hAnsi="宋体" w:eastAsia="宋体" w:cs="宋体"/>
                <w:color w:val="auto"/>
                <w:spacing w:val="3"/>
                <w:sz w:val="24"/>
                <w:szCs w:val="24"/>
                <w:highlight w:val="none"/>
              </w:rPr>
              <w:t>的全部内容。</w:t>
            </w:r>
          </w:p>
        </w:tc>
        <w:tc>
          <w:tcPr>
            <w:tcW w:w="4272" w:type="dxa"/>
            <w:vAlign w:val="top"/>
          </w:tcPr>
          <w:p w14:paraId="2FBE142D">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19050</wp:posOffset>
                      </wp:positionV>
                      <wp:extent cx="2698750" cy="1539875"/>
                      <wp:effectExtent l="3175" t="5715" r="3175" b="16510"/>
                      <wp:wrapNone/>
                      <wp:docPr id="23" name="直接连接符 23"/>
                      <wp:cNvGraphicFramePr/>
                      <a:graphic xmlns:a="http://schemas.openxmlformats.org/drawingml/2006/main">
                        <a:graphicData uri="http://schemas.microsoft.com/office/word/2010/wordprocessingShape">
                          <wps:wsp>
                            <wps:cNvCnPr/>
                            <wps:spPr>
                              <a:xfrm flipV="1">
                                <a:off x="4209415" y="1651000"/>
                                <a:ext cx="2698750" cy="15398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05pt;margin-top:1.5pt;height:121.25pt;width:212.5pt;z-index:251660288;mso-width-relative:page;mso-height-relative:page;" filled="f" stroked="t" coordsize="21600,21600" o:gfxdata="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qIdPdQAAAAHAQAADwAAAAAAAAABACAAAAAiAAAAZHJzL2Rvd25y&#10;ZXYueG1sUEsBAhQAFAAAAAgAh07iQNS38qICAgAA0AMAAA4AAAAAAAAAAQAgAAAAIwEAAGRycy9l&#10;Mm9Eb2MueG1sUEsFBgAAAAAGAAYAWQEAAJcFAAAAAA==&#10;">
                      <v:fill on="f" focussize="0,0"/>
                      <v:stroke weight="1pt" color="#4874CB [3204]" miterlimit="8" joinstyle="miter"/>
                      <v:imagedata o:title=""/>
                      <o:lock v:ext="edit" aspectratio="f"/>
                    </v:line>
                  </w:pict>
                </mc:Fallback>
              </mc:AlternateContent>
            </w:r>
          </w:p>
          <w:p w14:paraId="73473CF0">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2D77463">
            <w:pPr>
              <w:keepNext w:val="0"/>
              <w:keepLines w:val="0"/>
              <w:pageBreakBefore w:val="0"/>
              <w:widowControl/>
              <w:kinsoku w:val="0"/>
              <w:wordWrap/>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auto"/>
                <w:sz w:val="24"/>
                <w:szCs w:val="24"/>
                <w:highlight w:val="none"/>
              </w:rPr>
            </w:pPr>
          </w:p>
        </w:tc>
      </w:tr>
      <w:tr w14:paraId="7EA8D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top"/>
          </w:tcPr>
          <w:p w14:paraId="443BB7FA">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F58368B">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890160C">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EC89A79">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F010AA9">
            <w:pPr>
              <w:keepNext w:val="0"/>
              <w:keepLines w:val="0"/>
              <w:pageBreakBefore w:val="0"/>
              <w:widowControl/>
              <w:kinsoku w:val="0"/>
              <w:wordWrap/>
              <w:overflowPunct/>
              <w:topLinePunct w:val="0"/>
              <w:autoSpaceDE w:val="0"/>
              <w:autoSpaceDN w:val="0"/>
              <w:bidi w:val="0"/>
              <w:adjustRightInd w:val="0"/>
              <w:snapToGrid w:val="0"/>
              <w:spacing w:before="57"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675" w:type="dxa"/>
            <w:vAlign w:val="top"/>
          </w:tcPr>
          <w:p w14:paraId="10987C8F">
            <w:pPr>
              <w:pStyle w:val="25"/>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49332366">
            <w:pPr>
              <w:pStyle w:val="25"/>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32B67BD4">
            <w:pPr>
              <w:pStyle w:val="25"/>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06743F6A">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对不正常报价</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4"/>
                <w:sz w:val="24"/>
                <w:szCs w:val="24"/>
                <w:highlight w:val="none"/>
              </w:rPr>
              <w:t>的确认承诺</w:t>
            </w:r>
          </w:p>
        </w:tc>
        <w:tc>
          <w:tcPr>
            <w:tcW w:w="3107" w:type="dxa"/>
            <w:vAlign w:val="top"/>
          </w:tcPr>
          <w:p w14:paraId="6339079D">
            <w:pPr>
              <w:keepNext w:val="0"/>
              <w:keepLines w:val="0"/>
              <w:pageBreakBefore w:val="0"/>
              <w:widowControl/>
              <w:kinsoku w:val="0"/>
              <w:wordWrap/>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如果我方中标，我方接受招</w:t>
            </w:r>
            <w:r>
              <w:rPr>
                <w:rFonts w:hint="eastAsia" w:ascii="宋体" w:hAnsi="宋体" w:eastAsia="宋体" w:cs="宋体"/>
                <w:color w:val="auto"/>
                <w:spacing w:val="23"/>
                <w:sz w:val="24"/>
                <w:szCs w:val="24"/>
                <w:highlight w:val="none"/>
              </w:rPr>
              <w:t>标人在合同订立期间依据招标文件有关条款约定对我方已标价工程量清单中不正常报价的</w:t>
            </w:r>
            <w:r>
              <w:rPr>
                <w:rFonts w:hint="eastAsia" w:ascii="宋体" w:hAnsi="宋体" w:eastAsia="宋体" w:cs="宋体"/>
                <w:color w:val="auto"/>
                <w:spacing w:val="7"/>
                <w:sz w:val="24"/>
                <w:szCs w:val="24"/>
                <w:highlight w:val="none"/>
              </w:rPr>
              <w:t>修正或认定，并按要求签署《不</w:t>
            </w:r>
            <w:r>
              <w:rPr>
                <w:rFonts w:hint="eastAsia" w:ascii="宋体" w:hAnsi="宋体" w:eastAsia="宋体" w:cs="宋体"/>
                <w:color w:val="auto"/>
                <w:spacing w:val="8"/>
                <w:sz w:val="24"/>
                <w:szCs w:val="24"/>
                <w:highlight w:val="none"/>
              </w:rPr>
              <w:t>正常报价清单》加以确认。</w:t>
            </w:r>
          </w:p>
        </w:tc>
        <w:tc>
          <w:tcPr>
            <w:tcW w:w="4272" w:type="dxa"/>
            <w:vAlign w:val="top"/>
          </w:tcPr>
          <w:p w14:paraId="2AC2D7AD">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26035</wp:posOffset>
                      </wp:positionV>
                      <wp:extent cx="2706370" cy="1920875"/>
                      <wp:effectExtent l="3810" t="5080" r="13970" b="17145"/>
                      <wp:wrapNone/>
                      <wp:docPr id="24" name="直接连接符 24"/>
                      <wp:cNvGraphicFramePr/>
                      <a:graphic xmlns:a="http://schemas.openxmlformats.org/drawingml/2006/main">
                        <a:graphicData uri="http://schemas.microsoft.com/office/word/2010/wordprocessingShape">
                          <wps:wsp>
                            <wps:cNvCnPr/>
                            <wps:spPr>
                              <a:xfrm flipV="1">
                                <a:off x="4217670" y="3238500"/>
                                <a:ext cx="2706370" cy="19208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6pt;margin-top:2.05pt;height:151.25pt;width:213.1pt;z-index:251661312;mso-width-relative:page;mso-height-relative:page;" filled="f" stroked="t" coordsize="21600,21600" o:gfxdata="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7HjHtdIAAAAHAQAADwAAAAAAAAABACAAAAAiAAAAZHJzL2Rvd25y&#10;ZXYueG1sUEsBAhQAFAAAAAgAh07iQBDx3nQEAgAA0AMAAA4AAAAAAAAAAQAgAAAAIQEAAGRycy9l&#10;Mm9Eb2MueG1sUEsFBgAAAAAGAAYAWQEAAJcFAAAAAA==&#10;">
                      <v:fill on="f" focussize="0,0"/>
                      <v:stroke weight="1pt" color="#4874CB [3204]" miterlimit="8" joinstyle="miter"/>
                      <v:imagedata o:title=""/>
                      <o:lock v:ext="edit" aspectratio="f"/>
                    </v:line>
                  </w:pict>
                </mc:Fallback>
              </mc:AlternateContent>
            </w:r>
          </w:p>
          <w:p w14:paraId="7C9BB7EC">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1A5536F">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E45103F">
            <w:pPr>
              <w:keepNext w:val="0"/>
              <w:keepLines w:val="0"/>
              <w:pageBreakBefore w:val="0"/>
              <w:widowControl/>
              <w:kinsoku w:val="0"/>
              <w:wordWrap/>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auto"/>
                <w:sz w:val="24"/>
                <w:szCs w:val="24"/>
                <w:highlight w:val="none"/>
              </w:rPr>
            </w:pPr>
          </w:p>
        </w:tc>
      </w:tr>
      <w:tr w14:paraId="181CB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2565A70D">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474C16A">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705BF3F">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D5C170A">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7"/>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675" w:type="dxa"/>
            <w:vAlign w:val="top"/>
          </w:tcPr>
          <w:p w14:paraId="4EE17AC8">
            <w:pPr>
              <w:pStyle w:val="25"/>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3BB363F9">
            <w:pPr>
              <w:pStyle w:val="25"/>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4D741FFC">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按时提交履约</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7"/>
                <w:sz w:val="24"/>
                <w:szCs w:val="24"/>
                <w:highlight w:val="none"/>
              </w:rPr>
              <w:t>保证的承诺</w:t>
            </w:r>
          </w:p>
        </w:tc>
        <w:tc>
          <w:tcPr>
            <w:tcW w:w="3107" w:type="dxa"/>
            <w:vAlign w:val="top"/>
          </w:tcPr>
          <w:p w14:paraId="2F2EF5F6">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DF103BD">
            <w:pPr>
              <w:keepNext w:val="0"/>
              <w:keepLines w:val="0"/>
              <w:pageBreakBefore w:val="0"/>
              <w:widowControl/>
              <w:kinsoku w:val="0"/>
              <w:wordWrap/>
              <w:overflowPunct/>
              <w:topLinePunct w:val="0"/>
              <w:autoSpaceDE w:val="0"/>
              <w:autoSpaceDN w:val="0"/>
              <w:bidi w:val="0"/>
              <w:adjustRightInd w:val="0"/>
              <w:snapToGrid w:val="0"/>
              <w:spacing w:line="288" w:lineRule="auto"/>
              <w:ind w:left="11" w:right="0" w:firstLine="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招标文件规定的时限内全额提</w:t>
            </w:r>
            <w:r>
              <w:rPr>
                <w:rFonts w:hint="eastAsia" w:ascii="宋体" w:hAnsi="宋体" w:eastAsia="宋体" w:cs="宋体"/>
                <w:color w:val="auto"/>
                <w:spacing w:val="6"/>
                <w:sz w:val="24"/>
                <w:szCs w:val="24"/>
                <w:highlight w:val="none"/>
              </w:rPr>
              <w:t>交履约保证。</w:t>
            </w:r>
          </w:p>
        </w:tc>
        <w:tc>
          <w:tcPr>
            <w:tcW w:w="4272" w:type="dxa"/>
            <w:vAlign w:val="top"/>
          </w:tcPr>
          <w:p w14:paraId="20F3BAEB">
            <w:pPr>
              <w:keepNext w:val="0"/>
              <w:keepLines w:val="0"/>
              <w:pageBreakBefore w:val="0"/>
              <w:widowControl/>
              <w:kinsoku w:val="0"/>
              <w:wordWrap/>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如果我方未在招标文件规定的时限内全</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9"/>
                <w:sz w:val="24"/>
                <w:szCs w:val="24"/>
                <w:highlight w:val="none"/>
              </w:rPr>
              <w:t>额提交履约保证，我方接受招标人依据招标文件作出的相应处理以及有关监督部门作出的行政处罚，并承担由此引起的一切法律后</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果。</w:t>
            </w:r>
          </w:p>
        </w:tc>
      </w:tr>
      <w:tr w14:paraId="6E5D5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104B7305">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C02A7C0">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B620D0E">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4F4C3A4">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E8D2FFB">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675" w:type="dxa"/>
            <w:vAlign w:val="top"/>
          </w:tcPr>
          <w:p w14:paraId="3984E433">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D7846EB">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00D32F0">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9127F03">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按时签订合同</w:t>
            </w:r>
            <w:r>
              <w:rPr>
                <w:rFonts w:hint="eastAsia" w:ascii="宋体" w:hAnsi="宋体" w:eastAsia="宋体" w:cs="宋体"/>
                <w:color w:val="auto"/>
                <w:spacing w:val="1"/>
                <w:sz w:val="24"/>
                <w:szCs w:val="24"/>
                <w:highlight w:val="none"/>
              </w:rPr>
              <w:t>的承诺</w:t>
            </w:r>
          </w:p>
        </w:tc>
        <w:tc>
          <w:tcPr>
            <w:tcW w:w="3107" w:type="dxa"/>
            <w:vAlign w:val="top"/>
          </w:tcPr>
          <w:p w14:paraId="45DF0271">
            <w:pPr>
              <w:pStyle w:val="25"/>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0E5BA5A">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招标文件规定的时限内与招标</w:t>
            </w:r>
            <w:r>
              <w:rPr>
                <w:rFonts w:hint="eastAsia" w:ascii="宋体" w:hAnsi="宋体" w:eastAsia="宋体" w:cs="宋体"/>
                <w:color w:val="auto"/>
                <w:spacing w:val="7"/>
                <w:sz w:val="24"/>
                <w:szCs w:val="24"/>
                <w:highlight w:val="none"/>
              </w:rPr>
              <w:t>人签订合同，不提出违背或超出</w:t>
            </w:r>
            <w:r>
              <w:rPr>
                <w:rFonts w:hint="eastAsia" w:ascii="宋体" w:hAnsi="宋体" w:eastAsia="宋体" w:cs="宋体"/>
                <w:color w:val="auto"/>
                <w:spacing w:val="8"/>
                <w:sz w:val="24"/>
                <w:szCs w:val="24"/>
                <w:highlight w:val="none"/>
              </w:rPr>
              <w:t>招标文件、中标文件的要求。</w:t>
            </w:r>
          </w:p>
        </w:tc>
        <w:tc>
          <w:tcPr>
            <w:tcW w:w="4272" w:type="dxa"/>
            <w:vAlign w:val="top"/>
          </w:tcPr>
          <w:p w14:paraId="193F81D5">
            <w:pPr>
              <w:keepNext w:val="0"/>
              <w:keepLines w:val="0"/>
              <w:pageBreakBefore w:val="0"/>
              <w:widowControl/>
              <w:kinsoku w:val="0"/>
              <w:wordWrap/>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如果我方未在招标文件规定的时限内与招标人签订合同，或我方在签订合同过程中</w:t>
            </w:r>
            <w:r>
              <w:rPr>
                <w:rFonts w:hint="eastAsia" w:ascii="宋体" w:hAnsi="宋体" w:eastAsia="宋体" w:cs="宋体"/>
                <w:color w:val="auto"/>
                <w:sz w:val="24"/>
                <w:szCs w:val="24"/>
                <w:highlight w:val="none"/>
              </w:rPr>
              <w:t>提出违背或超出招标文件、中标文件的要求。</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7"/>
                <w:sz w:val="24"/>
                <w:szCs w:val="24"/>
                <w:highlight w:val="none"/>
              </w:rPr>
              <w:t>我方接受招标人依据招标文件作出的相应处</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7"/>
                <w:sz w:val="24"/>
                <w:szCs w:val="24"/>
                <w:highlight w:val="none"/>
              </w:rPr>
              <w:t>理以及有关监督部门作出的行政处罚，并承</w:t>
            </w:r>
            <w:r>
              <w:rPr>
                <w:rFonts w:hint="eastAsia" w:ascii="宋体" w:hAnsi="宋体" w:eastAsia="宋体" w:cs="宋体"/>
                <w:color w:val="auto"/>
                <w:spacing w:val="5"/>
                <w:sz w:val="24"/>
                <w:szCs w:val="24"/>
                <w:highlight w:val="none"/>
              </w:rPr>
              <w:t>担由此引起的一切法律后果。</w:t>
            </w:r>
          </w:p>
        </w:tc>
      </w:tr>
    </w:tbl>
    <w:p w14:paraId="74877834">
      <w:pPr>
        <w:spacing w:before="78" w:line="219" w:lineRule="auto"/>
        <w:ind w:firstLine="6832" w:firstLineChars="2800"/>
        <w:jc w:val="both"/>
        <w:rPr>
          <w:rFonts w:hint="eastAsia" w:ascii="宋体" w:hAnsi="宋体" w:eastAsia="宋体" w:cs="宋体"/>
          <w:color w:val="auto"/>
          <w:spacing w:val="2"/>
          <w:sz w:val="24"/>
          <w:szCs w:val="24"/>
          <w:highlight w:val="none"/>
        </w:rPr>
      </w:pPr>
    </w:p>
    <w:p w14:paraId="749799CD">
      <w:pPr>
        <w:spacing w:before="78" w:line="219" w:lineRule="auto"/>
        <w:ind w:firstLine="6832" w:firstLineChars="280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689D990C">
      <w:pPr>
        <w:pStyle w:val="6"/>
        <w:spacing w:line="297" w:lineRule="auto"/>
        <w:jc w:val="right"/>
        <w:rPr>
          <w:rFonts w:hint="eastAsia" w:ascii="宋体" w:hAnsi="宋体" w:eastAsia="宋体" w:cs="宋体"/>
          <w:color w:val="auto"/>
          <w:highlight w:val="none"/>
        </w:rPr>
      </w:pPr>
    </w:p>
    <w:p w14:paraId="17340BD8">
      <w:pPr>
        <w:spacing w:before="78" w:line="219" w:lineRule="auto"/>
        <w:ind w:left="4366"/>
        <w:jc w:val="right"/>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59B90550">
      <w:pPr>
        <w:outlineLvl w:val="9"/>
        <w:rPr>
          <w:rFonts w:hint="eastAsia"/>
          <w:color w:val="auto"/>
          <w:highlight w:val="none"/>
        </w:rPr>
      </w:pPr>
    </w:p>
    <w:p w14:paraId="07DB3461">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A1F64DF">
      <w:pPr>
        <w:spacing w:line="220" w:lineRule="auto"/>
        <w:jc w:val="right"/>
        <w:rPr>
          <w:rFonts w:hint="eastAsia" w:ascii="宋体" w:hAnsi="宋体" w:eastAsia="宋体" w:cs="宋体"/>
          <w:color w:val="auto"/>
          <w:sz w:val="24"/>
          <w:szCs w:val="24"/>
          <w:highlight w:val="none"/>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4BDCB018">
      <w:pPr>
        <w:spacing w:before="78" w:line="220" w:lineRule="auto"/>
        <w:outlineLvl w:val="2"/>
        <w:rPr>
          <w:rFonts w:hint="eastAsia" w:ascii="宋体" w:hAnsi="宋体" w:eastAsia="宋体" w:cs="宋体"/>
          <w:b/>
          <w:bCs/>
          <w:color w:val="auto"/>
          <w:spacing w:val="-4"/>
          <w:sz w:val="24"/>
          <w:szCs w:val="24"/>
          <w:highlight w:val="none"/>
        </w:rPr>
      </w:pPr>
      <w:bookmarkStart w:id="230" w:name="_Toc16497"/>
      <w:r>
        <w:rPr>
          <w:rFonts w:hint="eastAsia" w:ascii="宋体" w:hAnsi="宋体" w:eastAsia="宋体" w:cs="宋体"/>
          <w:b/>
          <w:bCs/>
          <w:color w:val="auto"/>
          <w:spacing w:val="-4"/>
          <w:sz w:val="24"/>
          <w:szCs w:val="24"/>
          <w:highlight w:val="none"/>
        </w:rPr>
        <w:t>格式四 授权委托书</w:t>
      </w:r>
      <w:bookmarkEnd w:id="230"/>
    </w:p>
    <w:p w14:paraId="6CD0F9BB">
      <w:pPr>
        <w:pStyle w:val="6"/>
        <w:spacing w:line="351" w:lineRule="auto"/>
        <w:rPr>
          <w:rFonts w:hint="eastAsia" w:ascii="宋体" w:hAnsi="宋体" w:eastAsia="宋体" w:cs="宋体"/>
          <w:color w:val="auto"/>
          <w:highlight w:val="none"/>
        </w:rPr>
      </w:pPr>
    </w:p>
    <w:p w14:paraId="18A875F0">
      <w:pPr>
        <w:pStyle w:val="6"/>
        <w:spacing w:line="351" w:lineRule="auto"/>
        <w:rPr>
          <w:rFonts w:hint="eastAsia" w:ascii="宋体" w:hAnsi="宋体" w:eastAsia="宋体" w:cs="宋体"/>
          <w:color w:val="auto"/>
          <w:highlight w:val="none"/>
        </w:rPr>
      </w:pPr>
    </w:p>
    <w:p w14:paraId="7EF079A3">
      <w:pPr>
        <w:spacing w:before="97" w:line="219" w:lineRule="auto"/>
        <w:ind w:left="3786"/>
        <w:rPr>
          <w:rFonts w:hint="eastAsia" w:ascii="宋体" w:hAnsi="宋体" w:eastAsia="宋体" w:cs="宋体"/>
          <w:color w:val="auto"/>
          <w:sz w:val="30"/>
          <w:szCs w:val="30"/>
          <w:highlight w:val="none"/>
        </w:rPr>
      </w:pPr>
      <w:bookmarkStart w:id="231" w:name="bookmark151"/>
      <w:bookmarkEnd w:id="231"/>
      <w:r>
        <w:rPr>
          <w:rFonts w:hint="eastAsia" w:ascii="宋体" w:hAnsi="宋体" w:eastAsia="宋体" w:cs="宋体"/>
          <w:b/>
          <w:bCs/>
          <w:color w:val="auto"/>
          <w:spacing w:val="-5"/>
          <w:sz w:val="30"/>
          <w:szCs w:val="30"/>
          <w:highlight w:val="none"/>
        </w:rPr>
        <w:t>授权委托书</w:t>
      </w:r>
    </w:p>
    <w:p w14:paraId="473B7E5C">
      <w:pPr>
        <w:pStyle w:val="6"/>
        <w:spacing w:line="250" w:lineRule="auto"/>
        <w:rPr>
          <w:rFonts w:hint="eastAsia" w:ascii="宋体" w:hAnsi="宋体" w:eastAsia="宋体" w:cs="宋体"/>
          <w:color w:val="auto"/>
          <w:highlight w:val="none"/>
        </w:rPr>
      </w:pPr>
    </w:p>
    <w:p w14:paraId="72DA4D73">
      <w:pPr>
        <w:pStyle w:val="6"/>
        <w:spacing w:line="250" w:lineRule="auto"/>
        <w:rPr>
          <w:rFonts w:hint="eastAsia" w:ascii="宋体" w:hAnsi="宋体" w:eastAsia="宋体" w:cs="宋体"/>
          <w:color w:val="auto"/>
          <w:highlight w:val="none"/>
        </w:rPr>
      </w:pPr>
    </w:p>
    <w:p w14:paraId="18BC7C34">
      <w:pPr>
        <w:pStyle w:val="6"/>
        <w:spacing w:line="251" w:lineRule="auto"/>
        <w:rPr>
          <w:rFonts w:hint="eastAsia" w:ascii="宋体" w:hAnsi="宋体" w:eastAsia="宋体" w:cs="宋体"/>
          <w:color w:val="auto"/>
          <w:highlight w:val="none"/>
        </w:rPr>
      </w:pPr>
    </w:p>
    <w:p w14:paraId="09C2E563">
      <w:pPr>
        <w:spacing w:before="78" w:line="330" w:lineRule="auto"/>
        <w:ind w:firstLine="481"/>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8"/>
          <w:highlight w:val="none"/>
          <w:lang w:eastAsia="zh-CN"/>
        </w:rPr>
        <w:t>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（姓名）为我方代理人。代理人根据授权，以我方名义签署、澄清、说明、补正、递交、撤回、修改</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 w:val="24"/>
          <w:szCs w:val="28"/>
          <w:highlight w:val="none"/>
          <w:u w:val="single"/>
          <w:lang w:eastAsia="zh-CN"/>
        </w:rPr>
        <w:t>（项目名称）</w:t>
      </w:r>
      <w:r>
        <w:rPr>
          <w:rFonts w:hint="eastAsia" w:ascii="宋体" w:hAnsi="宋体" w:eastAsia="宋体" w:cs="宋体"/>
          <w:snapToGrid w:val="0"/>
          <w:color w:val="auto"/>
          <w:kern w:val="0"/>
          <w:sz w:val="24"/>
          <w:szCs w:val="28"/>
          <w:highlight w:val="none"/>
          <w:lang w:eastAsia="zh-CN"/>
        </w:rPr>
        <w:t xml:space="preserve"> 投标文件、签订合同和处理有关事宜，其法律后果由我方承担。</w:t>
      </w:r>
    </w:p>
    <w:p w14:paraId="2CE40362">
      <w:pPr>
        <w:spacing w:before="32" w:line="320" w:lineRule="auto"/>
        <w:ind w:left="480" w:right="497"/>
        <w:rPr>
          <w:rFonts w:hint="eastAsia" w:ascii="宋体" w:hAnsi="宋体" w:eastAsia="宋体" w:cs="宋体"/>
          <w:color w:val="auto"/>
          <w:spacing w:val="15"/>
          <w:sz w:val="24"/>
          <w:szCs w:val="24"/>
          <w:highlight w:val="none"/>
        </w:rPr>
      </w:pPr>
      <w:r>
        <w:rPr>
          <w:rFonts w:hint="eastAsia" w:ascii="宋体" w:hAnsi="宋体" w:eastAsia="宋体" w:cs="宋体"/>
          <w:color w:val="auto"/>
          <w:spacing w:val="-9"/>
          <w:sz w:val="24"/>
          <w:szCs w:val="24"/>
          <w:highlight w:val="none"/>
        </w:rPr>
        <w:t>委托期限：至</w:t>
      </w:r>
      <w:r>
        <w:rPr>
          <w:rFonts w:hint="eastAsia" w:ascii="宋体" w:hAnsi="宋体" w:eastAsia="宋体" w:cs="宋体"/>
          <w:color w:val="auto"/>
          <w:spacing w:val="-9"/>
          <w:sz w:val="24"/>
          <w:szCs w:val="24"/>
          <w:highlight w:val="none"/>
          <w:u w:val="single"/>
        </w:rPr>
        <w:t xml:space="preserve">     年   月    日</w:t>
      </w:r>
      <w:r>
        <w:rPr>
          <w:rFonts w:hint="eastAsia" w:ascii="宋体" w:hAnsi="宋体" w:eastAsia="宋体" w:cs="宋体"/>
          <w:i/>
          <w:iCs/>
          <w:color w:val="auto"/>
          <w:spacing w:val="-9"/>
          <w:sz w:val="25"/>
          <w:szCs w:val="25"/>
          <w:highlight w:val="none"/>
          <w:u w:val="single"/>
        </w:rPr>
        <w:t>（不得短于招标文件规定的投标有效期）</w:t>
      </w:r>
      <w:r>
        <w:rPr>
          <w:rFonts w:hint="eastAsia" w:ascii="宋体" w:hAnsi="宋体" w:eastAsia="宋体" w:cs="宋体"/>
          <w:color w:val="auto"/>
          <w:spacing w:val="-9"/>
          <w:sz w:val="25"/>
          <w:szCs w:val="25"/>
          <w:highlight w:val="none"/>
        </w:rPr>
        <w:t xml:space="preserve"> </w:t>
      </w:r>
      <w:r>
        <w:rPr>
          <w:rFonts w:hint="eastAsia" w:ascii="宋体" w:hAnsi="宋体" w:eastAsia="宋体" w:cs="宋体"/>
          <w:color w:val="auto"/>
          <w:spacing w:val="-9"/>
          <w:sz w:val="24"/>
          <w:szCs w:val="24"/>
          <w:highlight w:val="none"/>
        </w:rPr>
        <w:t>。</w:t>
      </w:r>
      <w:r>
        <w:rPr>
          <w:rFonts w:hint="eastAsia" w:ascii="宋体" w:hAnsi="宋体" w:eastAsia="宋体" w:cs="宋体"/>
          <w:color w:val="auto"/>
          <w:spacing w:val="15"/>
          <w:sz w:val="24"/>
          <w:szCs w:val="24"/>
          <w:highlight w:val="none"/>
        </w:rPr>
        <w:t xml:space="preserve"> </w:t>
      </w:r>
    </w:p>
    <w:p w14:paraId="2D61A797">
      <w:pPr>
        <w:spacing w:before="32" w:line="320" w:lineRule="auto"/>
        <w:ind w:left="480" w:right="497"/>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代理人无转委托权。</w:t>
      </w:r>
    </w:p>
    <w:p w14:paraId="1E74F1A2">
      <w:pPr>
        <w:pStyle w:val="6"/>
        <w:spacing w:line="276" w:lineRule="auto"/>
        <w:rPr>
          <w:rFonts w:hint="eastAsia" w:ascii="宋体" w:hAnsi="宋体" w:eastAsia="宋体" w:cs="宋体"/>
          <w:color w:val="auto"/>
          <w:highlight w:val="none"/>
        </w:rPr>
      </w:pPr>
    </w:p>
    <w:p w14:paraId="2A536516">
      <w:pPr>
        <w:pStyle w:val="6"/>
        <w:spacing w:line="277" w:lineRule="auto"/>
        <w:rPr>
          <w:rFonts w:hint="eastAsia" w:ascii="宋体" w:hAnsi="宋体" w:eastAsia="宋体" w:cs="宋体"/>
          <w:color w:val="auto"/>
          <w:highlight w:val="none"/>
        </w:rPr>
      </w:pPr>
    </w:p>
    <w:p w14:paraId="1CDFB82E">
      <w:pPr>
        <w:pStyle w:val="6"/>
        <w:spacing w:line="277" w:lineRule="auto"/>
        <w:rPr>
          <w:rFonts w:hint="eastAsia" w:ascii="宋体" w:hAnsi="宋体" w:eastAsia="宋体" w:cs="宋体"/>
          <w:color w:val="auto"/>
          <w:highlight w:val="none"/>
        </w:rPr>
      </w:pPr>
    </w:p>
    <w:p w14:paraId="6D45D633">
      <w:pPr>
        <w:spacing w:before="78" w:line="219" w:lineRule="auto"/>
        <w:ind w:left="3123"/>
        <w:jc w:val="righ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投  标  人</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4"/>
          <w:sz w:val="24"/>
          <w:szCs w:val="24"/>
          <w:highlight w:val="none"/>
        </w:rPr>
        <w:t>盖单位章）</w:t>
      </w:r>
    </w:p>
    <w:p w14:paraId="63BD962A">
      <w:pPr>
        <w:pStyle w:val="6"/>
        <w:spacing w:line="317" w:lineRule="auto"/>
        <w:jc w:val="right"/>
        <w:rPr>
          <w:rFonts w:hint="eastAsia" w:ascii="宋体" w:hAnsi="宋体" w:eastAsia="宋体" w:cs="宋体"/>
          <w:color w:val="auto"/>
          <w:highlight w:val="none"/>
        </w:rPr>
      </w:pPr>
    </w:p>
    <w:p w14:paraId="57132AE9">
      <w:pPr>
        <w:pStyle w:val="6"/>
        <w:spacing w:line="317" w:lineRule="auto"/>
        <w:jc w:val="right"/>
        <w:rPr>
          <w:rFonts w:hint="eastAsia" w:ascii="宋体" w:hAnsi="宋体" w:eastAsia="宋体" w:cs="宋体"/>
          <w:color w:val="auto"/>
          <w:highlight w:val="none"/>
        </w:rPr>
      </w:pPr>
    </w:p>
    <w:p w14:paraId="32FCF699">
      <w:pPr>
        <w:pStyle w:val="6"/>
        <w:spacing w:line="317" w:lineRule="auto"/>
        <w:jc w:val="right"/>
        <w:rPr>
          <w:rFonts w:hint="eastAsia" w:ascii="宋体" w:hAnsi="宋体" w:eastAsia="宋体" w:cs="宋体"/>
          <w:color w:val="auto"/>
          <w:highlight w:val="none"/>
        </w:rPr>
      </w:pPr>
    </w:p>
    <w:p w14:paraId="0C20E36F">
      <w:pPr>
        <w:spacing w:before="79" w:line="219" w:lineRule="auto"/>
        <w:ind w:left="3121"/>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2"/>
          <w:sz w:val="24"/>
          <w:szCs w:val="24"/>
          <w:highlight w:val="none"/>
        </w:rPr>
        <w:t>签字或盖章）</w:t>
      </w:r>
    </w:p>
    <w:p w14:paraId="2807F6C8">
      <w:pPr>
        <w:pStyle w:val="6"/>
        <w:spacing w:line="317" w:lineRule="auto"/>
        <w:jc w:val="right"/>
        <w:rPr>
          <w:rFonts w:hint="eastAsia" w:ascii="宋体" w:hAnsi="宋体" w:eastAsia="宋体" w:cs="宋体"/>
          <w:color w:val="auto"/>
          <w:highlight w:val="none"/>
        </w:rPr>
      </w:pPr>
    </w:p>
    <w:p w14:paraId="6B89A96E">
      <w:pPr>
        <w:pStyle w:val="6"/>
        <w:spacing w:line="317" w:lineRule="auto"/>
        <w:jc w:val="right"/>
        <w:rPr>
          <w:rFonts w:hint="eastAsia" w:ascii="宋体" w:hAnsi="宋体" w:eastAsia="宋体" w:cs="宋体"/>
          <w:color w:val="auto"/>
          <w:highlight w:val="none"/>
        </w:rPr>
      </w:pPr>
    </w:p>
    <w:p w14:paraId="52524FDC">
      <w:pPr>
        <w:pStyle w:val="6"/>
        <w:spacing w:line="317" w:lineRule="auto"/>
        <w:jc w:val="right"/>
        <w:rPr>
          <w:rFonts w:hint="eastAsia" w:ascii="宋体" w:hAnsi="宋体" w:eastAsia="宋体" w:cs="宋体"/>
          <w:color w:val="auto"/>
          <w:highlight w:val="none"/>
        </w:rPr>
      </w:pPr>
    </w:p>
    <w:p w14:paraId="414B89CB">
      <w:pPr>
        <w:spacing w:before="78" w:line="219" w:lineRule="auto"/>
        <w:ind w:left="288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委托代理人</w:t>
      </w:r>
      <w:r>
        <w:rPr>
          <w:rFonts w:hint="eastAsia" w:ascii="宋体" w:hAnsi="宋体" w:eastAsia="宋体" w:cs="宋体"/>
          <w:color w:val="auto"/>
          <w:spacing w:val="-16"/>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6"/>
          <w:sz w:val="24"/>
          <w:szCs w:val="24"/>
          <w:highlight w:val="none"/>
        </w:rPr>
        <w:t>（</w:t>
      </w:r>
      <w:r>
        <w:rPr>
          <w:rFonts w:hint="eastAsia" w:ascii="宋体" w:hAnsi="宋体" w:eastAsia="宋体" w:cs="宋体"/>
          <w:color w:val="auto"/>
          <w:spacing w:val="2"/>
          <w:sz w:val="24"/>
          <w:szCs w:val="24"/>
          <w:highlight w:val="none"/>
        </w:rPr>
        <w:t>签字或盖章）</w:t>
      </w:r>
    </w:p>
    <w:p w14:paraId="085218DE">
      <w:pPr>
        <w:pStyle w:val="6"/>
        <w:spacing w:line="256" w:lineRule="auto"/>
        <w:jc w:val="right"/>
        <w:rPr>
          <w:rFonts w:hint="eastAsia" w:ascii="宋体" w:hAnsi="宋体" w:eastAsia="宋体" w:cs="宋体"/>
          <w:color w:val="auto"/>
          <w:highlight w:val="none"/>
        </w:rPr>
      </w:pPr>
    </w:p>
    <w:p w14:paraId="635562C0">
      <w:pPr>
        <w:pStyle w:val="6"/>
        <w:spacing w:line="256" w:lineRule="auto"/>
        <w:jc w:val="right"/>
        <w:rPr>
          <w:rFonts w:hint="eastAsia" w:ascii="宋体" w:hAnsi="宋体" w:eastAsia="宋体" w:cs="宋体"/>
          <w:color w:val="auto"/>
          <w:highlight w:val="none"/>
        </w:rPr>
      </w:pPr>
    </w:p>
    <w:p w14:paraId="27218817">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F294533">
      <w:pPr>
        <w:spacing w:before="78" w:line="220" w:lineRule="auto"/>
        <w:ind w:left="4201"/>
        <w:jc w:val="right"/>
        <w:rPr>
          <w:rFonts w:hint="eastAsia" w:ascii="宋体" w:hAnsi="宋体" w:eastAsia="宋体" w:cs="宋体"/>
          <w:color w:val="auto"/>
          <w:sz w:val="24"/>
          <w:szCs w:val="24"/>
          <w:highlight w:val="none"/>
        </w:rPr>
      </w:pPr>
    </w:p>
    <w:p w14:paraId="3A4AD89C">
      <w:pPr>
        <w:spacing w:before="69"/>
        <w:rPr>
          <w:rFonts w:hint="eastAsia" w:ascii="宋体" w:hAnsi="宋体" w:eastAsia="宋体" w:cs="宋体"/>
          <w:color w:val="auto"/>
          <w:highlight w:val="none"/>
        </w:rPr>
      </w:pPr>
    </w:p>
    <w:p w14:paraId="363508E1">
      <w:pPr>
        <w:spacing w:before="69"/>
        <w:rPr>
          <w:rFonts w:hint="eastAsia" w:ascii="宋体" w:hAnsi="宋体" w:eastAsia="宋体" w:cs="宋体"/>
          <w:color w:val="auto"/>
          <w:highlight w:val="none"/>
        </w:rPr>
      </w:pPr>
    </w:p>
    <w:tbl>
      <w:tblPr>
        <w:tblStyle w:val="17"/>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727B0D3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70" w:hRule="atLeast"/>
        </w:trPr>
        <w:tc>
          <w:tcPr>
            <w:tcW w:w="5600" w:type="dxa"/>
            <w:vAlign w:val="top"/>
          </w:tcPr>
          <w:p w14:paraId="49F11E44">
            <w:pPr>
              <w:pStyle w:val="25"/>
              <w:spacing w:line="245" w:lineRule="auto"/>
              <w:rPr>
                <w:rFonts w:hint="eastAsia" w:ascii="宋体" w:hAnsi="宋体" w:eastAsia="宋体" w:cs="宋体"/>
                <w:color w:val="auto"/>
                <w:highlight w:val="none"/>
              </w:rPr>
            </w:pPr>
          </w:p>
          <w:p w14:paraId="3EAC8CC5">
            <w:pPr>
              <w:pStyle w:val="25"/>
              <w:spacing w:line="245" w:lineRule="auto"/>
              <w:rPr>
                <w:rFonts w:hint="eastAsia" w:ascii="宋体" w:hAnsi="宋体" w:eastAsia="宋体" w:cs="宋体"/>
                <w:color w:val="auto"/>
                <w:highlight w:val="none"/>
              </w:rPr>
            </w:pPr>
          </w:p>
          <w:p w14:paraId="19684FD2">
            <w:pPr>
              <w:pStyle w:val="25"/>
              <w:spacing w:line="245" w:lineRule="auto"/>
              <w:rPr>
                <w:rFonts w:hint="eastAsia" w:ascii="宋体" w:hAnsi="宋体" w:eastAsia="宋体" w:cs="宋体"/>
                <w:color w:val="auto"/>
                <w:highlight w:val="none"/>
              </w:rPr>
            </w:pPr>
          </w:p>
          <w:p w14:paraId="7DA52306">
            <w:pPr>
              <w:pStyle w:val="25"/>
              <w:spacing w:line="245" w:lineRule="auto"/>
              <w:rPr>
                <w:rFonts w:hint="eastAsia" w:ascii="宋体" w:hAnsi="宋体" w:eastAsia="宋体" w:cs="宋体"/>
                <w:color w:val="auto"/>
                <w:highlight w:val="none"/>
              </w:rPr>
            </w:pPr>
          </w:p>
          <w:p w14:paraId="2B4D522A">
            <w:pPr>
              <w:pStyle w:val="25"/>
              <w:spacing w:line="245" w:lineRule="auto"/>
              <w:rPr>
                <w:rFonts w:hint="eastAsia" w:ascii="宋体" w:hAnsi="宋体" w:eastAsia="宋体" w:cs="宋体"/>
                <w:color w:val="auto"/>
                <w:highlight w:val="none"/>
              </w:rPr>
            </w:pPr>
          </w:p>
          <w:p w14:paraId="6375CF52">
            <w:pPr>
              <w:pStyle w:val="25"/>
              <w:spacing w:line="245" w:lineRule="auto"/>
              <w:rPr>
                <w:rFonts w:hint="eastAsia" w:ascii="宋体" w:hAnsi="宋体" w:eastAsia="宋体" w:cs="宋体"/>
                <w:color w:val="auto"/>
                <w:highlight w:val="none"/>
              </w:rPr>
            </w:pPr>
          </w:p>
          <w:p w14:paraId="761F0736">
            <w:pPr>
              <w:pStyle w:val="25"/>
              <w:spacing w:line="246" w:lineRule="auto"/>
              <w:rPr>
                <w:rFonts w:hint="eastAsia" w:ascii="宋体" w:hAnsi="宋体" w:eastAsia="宋体" w:cs="宋体"/>
                <w:color w:val="auto"/>
                <w:highlight w:val="none"/>
              </w:rPr>
            </w:pPr>
          </w:p>
          <w:p w14:paraId="14498540">
            <w:pPr>
              <w:spacing w:before="78" w:line="220" w:lineRule="auto"/>
              <w:ind w:left="71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委托代理人身份证</w:t>
            </w:r>
            <w:r>
              <w:rPr>
                <w:rFonts w:hint="eastAsia" w:ascii="宋体" w:hAnsi="宋体" w:eastAsia="宋体" w:cs="宋体"/>
                <w:color w:val="auto"/>
                <w:spacing w:val="-1"/>
                <w:sz w:val="24"/>
                <w:szCs w:val="24"/>
                <w:highlight w:val="none"/>
                <w:lang w:val="en-US" w:eastAsia="zh-CN"/>
              </w:rPr>
              <w:t>彩色扫描件</w:t>
            </w:r>
            <w:r>
              <w:rPr>
                <w:rFonts w:hint="eastAsia" w:ascii="宋体" w:hAnsi="宋体" w:eastAsia="宋体" w:cs="宋体"/>
                <w:color w:val="auto"/>
                <w:spacing w:val="-1"/>
                <w:sz w:val="24"/>
                <w:szCs w:val="24"/>
                <w:highlight w:val="none"/>
              </w:rPr>
              <w:t>正、反面</w:t>
            </w:r>
          </w:p>
        </w:tc>
      </w:tr>
    </w:tbl>
    <w:p w14:paraId="382D26B2">
      <w:pPr>
        <w:pStyle w:val="6"/>
        <w:rPr>
          <w:rFonts w:hint="eastAsia" w:ascii="宋体" w:hAnsi="宋体" w:eastAsia="宋体" w:cs="宋体"/>
          <w:color w:val="auto"/>
          <w:highlight w:val="none"/>
        </w:rPr>
      </w:pPr>
    </w:p>
    <w:p w14:paraId="2F0066E9">
      <w:pPr>
        <w:rPr>
          <w:rFonts w:hint="eastAsia" w:ascii="宋体" w:hAnsi="宋体" w:eastAsia="宋体" w:cs="宋体"/>
          <w:color w:val="auto"/>
          <w:highlight w:val="none"/>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DAC3638">
      <w:pPr>
        <w:spacing w:before="78" w:line="220" w:lineRule="auto"/>
        <w:outlineLvl w:val="2"/>
        <w:rPr>
          <w:rFonts w:hint="eastAsia" w:ascii="宋体" w:hAnsi="宋体" w:eastAsia="宋体" w:cs="宋体"/>
          <w:b/>
          <w:bCs/>
          <w:color w:val="auto"/>
          <w:spacing w:val="-4"/>
          <w:sz w:val="24"/>
          <w:szCs w:val="24"/>
          <w:highlight w:val="none"/>
        </w:rPr>
      </w:pPr>
      <w:bookmarkStart w:id="232" w:name="_Toc10098"/>
      <w:r>
        <w:rPr>
          <w:rFonts w:hint="eastAsia" w:ascii="宋体" w:hAnsi="宋体" w:eastAsia="宋体" w:cs="宋体"/>
          <w:b/>
          <w:bCs/>
          <w:color w:val="auto"/>
          <w:spacing w:val="-4"/>
          <w:sz w:val="24"/>
          <w:szCs w:val="24"/>
          <w:highlight w:val="none"/>
        </w:rPr>
        <w:t>格式五 法定代表人身份证明</w:t>
      </w:r>
      <w:bookmarkEnd w:id="232"/>
    </w:p>
    <w:p w14:paraId="2DA7024D">
      <w:pPr>
        <w:pStyle w:val="6"/>
        <w:spacing w:line="350" w:lineRule="auto"/>
        <w:rPr>
          <w:rFonts w:hint="eastAsia" w:ascii="宋体" w:hAnsi="宋体" w:eastAsia="宋体" w:cs="宋体"/>
          <w:color w:val="auto"/>
          <w:highlight w:val="none"/>
        </w:rPr>
      </w:pPr>
    </w:p>
    <w:p w14:paraId="0868334D">
      <w:pPr>
        <w:pStyle w:val="6"/>
        <w:spacing w:line="350" w:lineRule="auto"/>
        <w:rPr>
          <w:rFonts w:hint="eastAsia" w:ascii="宋体" w:hAnsi="宋体" w:eastAsia="宋体" w:cs="宋体"/>
          <w:color w:val="auto"/>
          <w:highlight w:val="none"/>
        </w:rPr>
      </w:pPr>
    </w:p>
    <w:p w14:paraId="5209C7D3">
      <w:pPr>
        <w:spacing w:before="98" w:line="220" w:lineRule="auto"/>
        <w:ind w:left="3183"/>
        <w:rPr>
          <w:rFonts w:hint="eastAsia" w:ascii="宋体" w:hAnsi="宋体" w:eastAsia="宋体" w:cs="宋体"/>
          <w:color w:val="auto"/>
          <w:sz w:val="30"/>
          <w:szCs w:val="30"/>
          <w:highlight w:val="none"/>
        </w:rPr>
      </w:pPr>
      <w:bookmarkStart w:id="233" w:name="bookmark152"/>
      <w:bookmarkEnd w:id="233"/>
      <w:r>
        <w:rPr>
          <w:rFonts w:hint="eastAsia" w:ascii="宋体" w:hAnsi="宋体" w:eastAsia="宋体" w:cs="宋体"/>
          <w:b/>
          <w:bCs/>
          <w:color w:val="auto"/>
          <w:spacing w:val="-4"/>
          <w:sz w:val="30"/>
          <w:szCs w:val="30"/>
          <w:highlight w:val="none"/>
        </w:rPr>
        <w:t>法定代表人身份证明</w:t>
      </w:r>
    </w:p>
    <w:p w14:paraId="136F935F">
      <w:pPr>
        <w:pStyle w:val="6"/>
        <w:spacing w:line="250" w:lineRule="auto"/>
        <w:rPr>
          <w:rFonts w:hint="eastAsia" w:ascii="宋体" w:hAnsi="宋体" w:eastAsia="宋体" w:cs="宋体"/>
          <w:color w:val="auto"/>
          <w:highlight w:val="none"/>
        </w:rPr>
      </w:pPr>
    </w:p>
    <w:p w14:paraId="2E1E9E2A">
      <w:pPr>
        <w:pStyle w:val="6"/>
        <w:spacing w:line="250" w:lineRule="auto"/>
        <w:rPr>
          <w:rFonts w:hint="eastAsia" w:ascii="宋体" w:hAnsi="宋体" w:eastAsia="宋体" w:cs="宋体"/>
          <w:color w:val="auto"/>
          <w:highlight w:val="none"/>
        </w:rPr>
      </w:pPr>
    </w:p>
    <w:p w14:paraId="6ABEAEB7">
      <w:pPr>
        <w:pStyle w:val="6"/>
        <w:spacing w:line="251" w:lineRule="auto"/>
        <w:rPr>
          <w:rFonts w:hint="eastAsia" w:ascii="宋体" w:hAnsi="宋体" w:eastAsia="宋体" w:cs="宋体"/>
          <w:color w:val="auto"/>
          <w:highlight w:val="none"/>
        </w:rPr>
      </w:pPr>
    </w:p>
    <w:p w14:paraId="766EA4CD">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投标人名称：</w:t>
      </w:r>
      <w:r>
        <w:rPr>
          <w:rFonts w:hint="eastAsia" w:ascii="宋体" w:hAnsi="宋体" w:eastAsia="宋体" w:cs="宋体"/>
          <w:snapToGrid w:val="0"/>
          <w:color w:val="auto"/>
          <w:kern w:val="0"/>
          <w:sz w:val="24"/>
          <w:szCs w:val="24"/>
          <w:highlight w:val="none"/>
          <w:u w:val="single"/>
        </w:rPr>
        <w:t xml:space="preserve">                  </w:t>
      </w:r>
    </w:p>
    <w:p w14:paraId="2A539E30">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姓名：</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性别：</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年龄：</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职务：</w:t>
      </w:r>
      <w:r>
        <w:rPr>
          <w:rFonts w:hint="eastAsia" w:ascii="宋体" w:hAnsi="宋体" w:eastAsia="宋体" w:cs="宋体"/>
          <w:snapToGrid w:val="0"/>
          <w:color w:val="auto"/>
          <w:kern w:val="0"/>
          <w:sz w:val="24"/>
          <w:szCs w:val="24"/>
          <w:highlight w:val="none"/>
          <w:u w:val="single"/>
        </w:rPr>
        <w:t xml:space="preserve">           </w:t>
      </w:r>
    </w:p>
    <w:p w14:paraId="431001FF">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系</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（投标人名称）的法定代表人。</w:t>
      </w:r>
    </w:p>
    <w:p w14:paraId="3FB51469">
      <w:pPr>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 w:val="24"/>
          <w:szCs w:val="24"/>
          <w:highlight w:val="none"/>
        </w:rPr>
        <w:t xml:space="preserve">    特此证明。</w:t>
      </w:r>
    </w:p>
    <w:p w14:paraId="3B4AAF0B">
      <w:pPr>
        <w:pStyle w:val="6"/>
        <w:spacing w:line="277" w:lineRule="auto"/>
        <w:rPr>
          <w:rFonts w:hint="eastAsia" w:ascii="宋体" w:hAnsi="宋体" w:eastAsia="宋体" w:cs="宋体"/>
          <w:color w:val="auto"/>
          <w:highlight w:val="none"/>
        </w:rPr>
      </w:pPr>
    </w:p>
    <w:p w14:paraId="6D7B4DE3">
      <w:pPr>
        <w:pStyle w:val="6"/>
        <w:spacing w:line="277" w:lineRule="auto"/>
        <w:rPr>
          <w:rFonts w:hint="eastAsia" w:ascii="宋体" w:hAnsi="宋体" w:eastAsia="宋体" w:cs="宋体"/>
          <w:color w:val="auto"/>
          <w:highlight w:val="none"/>
        </w:rPr>
      </w:pPr>
    </w:p>
    <w:p w14:paraId="2D9D6E99">
      <w:pPr>
        <w:pStyle w:val="6"/>
        <w:spacing w:line="278" w:lineRule="auto"/>
        <w:rPr>
          <w:rFonts w:hint="eastAsia" w:ascii="宋体" w:hAnsi="宋体" w:eastAsia="宋体" w:cs="宋体"/>
          <w:color w:val="auto"/>
          <w:highlight w:val="none"/>
        </w:rPr>
      </w:pPr>
    </w:p>
    <w:p w14:paraId="125D92B0">
      <w:pPr>
        <w:spacing w:before="78"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盖单位章）</w:t>
      </w:r>
    </w:p>
    <w:p w14:paraId="027B6A92">
      <w:pPr>
        <w:pStyle w:val="6"/>
        <w:spacing w:line="317" w:lineRule="auto"/>
        <w:jc w:val="right"/>
        <w:rPr>
          <w:rFonts w:hint="eastAsia" w:ascii="宋体" w:hAnsi="宋体" w:eastAsia="宋体" w:cs="宋体"/>
          <w:color w:val="auto"/>
          <w:highlight w:val="none"/>
        </w:rPr>
      </w:pPr>
    </w:p>
    <w:p w14:paraId="6F4B4B3A">
      <w:pPr>
        <w:pStyle w:val="6"/>
        <w:spacing w:line="317" w:lineRule="auto"/>
        <w:jc w:val="right"/>
        <w:rPr>
          <w:rFonts w:hint="eastAsia" w:ascii="宋体" w:hAnsi="宋体" w:eastAsia="宋体" w:cs="宋体"/>
          <w:color w:val="auto"/>
          <w:highlight w:val="none"/>
        </w:rPr>
      </w:pPr>
    </w:p>
    <w:p w14:paraId="1110A429">
      <w:pPr>
        <w:pStyle w:val="6"/>
        <w:spacing w:line="317" w:lineRule="auto"/>
        <w:jc w:val="right"/>
        <w:rPr>
          <w:rFonts w:hint="eastAsia" w:ascii="宋体" w:hAnsi="宋体" w:eastAsia="宋体" w:cs="宋体"/>
          <w:color w:val="auto"/>
          <w:highlight w:val="none"/>
        </w:rPr>
      </w:pPr>
    </w:p>
    <w:p w14:paraId="0997B4DF">
      <w:pPr>
        <w:spacing w:before="79"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72F193EB">
      <w:pPr>
        <w:pStyle w:val="6"/>
        <w:spacing w:line="257" w:lineRule="auto"/>
        <w:jc w:val="right"/>
        <w:rPr>
          <w:rFonts w:hint="eastAsia" w:ascii="宋体" w:hAnsi="宋体" w:eastAsia="宋体" w:cs="宋体"/>
          <w:color w:val="auto"/>
          <w:highlight w:val="none"/>
        </w:rPr>
      </w:pPr>
    </w:p>
    <w:p w14:paraId="407142E8">
      <w:pPr>
        <w:pStyle w:val="6"/>
        <w:spacing w:line="257" w:lineRule="auto"/>
        <w:jc w:val="right"/>
        <w:rPr>
          <w:rFonts w:hint="eastAsia" w:ascii="宋体" w:hAnsi="宋体" w:eastAsia="宋体" w:cs="宋体"/>
          <w:color w:val="auto"/>
          <w:highlight w:val="none"/>
        </w:rPr>
      </w:pPr>
    </w:p>
    <w:p w14:paraId="0A27F30D">
      <w:pPr>
        <w:pStyle w:val="6"/>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BF375B2">
      <w:pPr>
        <w:pStyle w:val="6"/>
        <w:spacing w:line="254" w:lineRule="auto"/>
        <w:rPr>
          <w:rFonts w:hint="eastAsia" w:ascii="宋体" w:hAnsi="宋体" w:eastAsia="宋体" w:cs="宋体"/>
          <w:color w:val="auto"/>
          <w:highlight w:val="none"/>
        </w:rPr>
      </w:pPr>
    </w:p>
    <w:p w14:paraId="03AC5067">
      <w:pPr>
        <w:pStyle w:val="6"/>
        <w:spacing w:line="254" w:lineRule="auto"/>
        <w:rPr>
          <w:rFonts w:hint="eastAsia" w:ascii="宋体" w:hAnsi="宋体" w:eastAsia="宋体" w:cs="宋体"/>
          <w:color w:val="auto"/>
          <w:highlight w:val="none"/>
        </w:rPr>
      </w:pPr>
    </w:p>
    <w:p w14:paraId="36A90F84">
      <w:pPr>
        <w:pStyle w:val="6"/>
        <w:spacing w:line="254" w:lineRule="auto"/>
        <w:rPr>
          <w:rFonts w:hint="eastAsia" w:ascii="宋体" w:hAnsi="宋体" w:eastAsia="宋体" w:cs="宋体"/>
          <w:color w:val="auto"/>
          <w:highlight w:val="none"/>
        </w:rPr>
      </w:pPr>
    </w:p>
    <w:p w14:paraId="259164D9">
      <w:pPr>
        <w:pStyle w:val="6"/>
        <w:spacing w:line="254" w:lineRule="auto"/>
        <w:rPr>
          <w:rFonts w:hint="eastAsia" w:ascii="宋体" w:hAnsi="宋体" w:eastAsia="宋体" w:cs="宋体"/>
          <w:color w:val="auto"/>
          <w:highlight w:val="none"/>
        </w:rPr>
      </w:pPr>
    </w:p>
    <w:p w14:paraId="0C625CC7">
      <w:pPr>
        <w:pStyle w:val="6"/>
        <w:spacing w:line="255" w:lineRule="auto"/>
        <w:rPr>
          <w:rFonts w:hint="eastAsia" w:ascii="宋体" w:hAnsi="宋体" w:eastAsia="宋体" w:cs="宋体"/>
          <w:color w:val="auto"/>
          <w:highlight w:val="none"/>
        </w:rPr>
      </w:pPr>
    </w:p>
    <w:p w14:paraId="1979E48F">
      <w:pPr>
        <w:pStyle w:val="6"/>
        <w:spacing w:line="255" w:lineRule="auto"/>
        <w:rPr>
          <w:rFonts w:hint="eastAsia" w:ascii="宋体" w:hAnsi="宋体" w:eastAsia="宋体" w:cs="宋体"/>
          <w:color w:val="auto"/>
          <w:highlight w:val="none"/>
        </w:rPr>
      </w:pPr>
    </w:p>
    <w:p w14:paraId="6E23282B">
      <w:pPr>
        <w:pStyle w:val="6"/>
        <w:spacing w:before="1" w:line="2510" w:lineRule="exact"/>
        <w:ind w:firstLine="2534"/>
        <w:rPr>
          <w:rFonts w:hint="eastAsia" w:ascii="宋体" w:hAnsi="宋体" w:eastAsia="宋体" w:cs="宋体"/>
          <w:color w:val="auto"/>
          <w:highlight w:val="none"/>
        </w:rPr>
      </w:pPr>
      <w:r>
        <w:rPr>
          <w:rFonts w:hint="eastAsia" w:ascii="宋体" w:hAnsi="宋体" w:eastAsia="宋体" w:cs="宋体"/>
          <w:color w:val="auto"/>
          <w:position w:val="-50"/>
          <w:highlight w:val="none"/>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27"/>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59307053">
                              <w:pPr>
                                <w:spacing w:line="249" w:lineRule="auto"/>
                              </w:pPr>
                            </w:p>
                            <w:p w14:paraId="33DBE834">
                              <w:pPr>
                                <w:spacing w:line="249" w:lineRule="auto"/>
                              </w:pPr>
                            </w:p>
                            <w:p w14:paraId="5772CF5B">
                              <w:pPr>
                                <w:spacing w:line="249" w:lineRule="auto"/>
                              </w:pPr>
                            </w:p>
                            <w:p w14:paraId="5E8A9750">
                              <w:pPr>
                                <w:spacing w:line="249" w:lineRule="auto"/>
                              </w:pPr>
                            </w:p>
                            <w:p w14:paraId="029B95F9">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27"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9307053">
                        <w:pPr>
                          <w:spacing w:line="249" w:lineRule="auto"/>
                        </w:pPr>
                      </w:p>
                      <w:p w14:paraId="33DBE834">
                        <w:pPr>
                          <w:spacing w:line="249" w:lineRule="auto"/>
                        </w:pPr>
                      </w:p>
                      <w:p w14:paraId="5772CF5B">
                        <w:pPr>
                          <w:spacing w:line="249" w:lineRule="auto"/>
                        </w:pPr>
                      </w:p>
                      <w:p w14:paraId="5E8A9750">
                        <w:pPr>
                          <w:spacing w:line="249" w:lineRule="auto"/>
                        </w:pPr>
                      </w:p>
                      <w:p w14:paraId="029B95F9">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v:textbox>
                </v:shape>
                <w10:wrap type="none"/>
                <w10:anchorlock/>
              </v:group>
            </w:pict>
          </mc:Fallback>
        </mc:AlternateContent>
      </w:r>
    </w:p>
    <w:p w14:paraId="31936323">
      <w:pPr>
        <w:spacing w:line="2510" w:lineRule="exact"/>
        <w:rPr>
          <w:rFonts w:hint="eastAsia" w:ascii="宋体" w:hAnsi="宋体" w:eastAsia="宋体" w:cs="宋体"/>
          <w:color w:val="auto"/>
          <w:highlight w:val="none"/>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72FF65F">
      <w:pPr>
        <w:spacing w:before="78" w:line="220" w:lineRule="auto"/>
        <w:outlineLvl w:val="2"/>
        <w:rPr>
          <w:rFonts w:hint="eastAsia" w:ascii="宋体" w:hAnsi="宋体" w:eastAsia="宋体" w:cs="宋体"/>
          <w:b/>
          <w:bCs/>
          <w:color w:val="auto"/>
          <w:spacing w:val="-4"/>
          <w:sz w:val="24"/>
          <w:szCs w:val="24"/>
          <w:highlight w:val="none"/>
        </w:rPr>
      </w:pPr>
      <w:bookmarkStart w:id="234" w:name="_Toc6867"/>
      <w:r>
        <w:rPr>
          <w:rFonts w:hint="eastAsia" w:ascii="宋体" w:hAnsi="宋体" w:eastAsia="宋体" w:cs="宋体"/>
          <w:b/>
          <w:bCs/>
          <w:color w:val="auto"/>
          <w:spacing w:val="-4"/>
          <w:sz w:val="24"/>
          <w:szCs w:val="24"/>
          <w:highlight w:val="none"/>
        </w:rPr>
        <w:t>格式六 联合体协议书</w:t>
      </w:r>
      <w:bookmarkEnd w:id="234"/>
    </w:p>
    <w:p w14:paraId="48BC7635">
      <w:pPr>
        <w:spacing w:before="98" w:line="219" w:lineRule="auto"/>
        <w:ind w:left="3638"/>
        <w:rPr>
          <w:rFonts w:hint="eastAsia" w:ascii="宋体" w:hAnsi="宋体" w:eastAsia="宋体" w:cs="宋体"/>
          <w:color w:val="auto"/>
          <w:sz w:val="30"/>
          <w:szCs w:val="30"/>
          <w:highlight w:val="none"/>
        </w:rPr>
      </w:pPr>
      <w:bookmarkStart w:id="235" w:name="bookmark153"/>
      <w:bookmarkEnd w:id="235"/>
      <w:r>
        <w:rPr>
          <w:rFonts w:hint="eastAsia" w:ascii="宋体" w:hAnsi="宋体" w:eastAsia="宋体" w:cs="宋体"/>
          <w:b/>
          <w:bCs/>
          <w:color w:val="auto"/>
          <w:spacing w:val="-5"/>
          <w:sz w:val="30"/>
          <w:szCs w:val="30"/>
          <w:highlight w:val="none"/>
        </w:rPr>
        <w:t>联合体协议书</w:t>
      </w:r>
    </w:p>
    <w:p w14:paraId="2AC3F97F">
      <w:pPr>
        <w:pStyle w:val="6"/>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0C796E14">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12"/>
          <w:sz w:val="24"/>
          <w:szCs w:val="24"/>
          <w:highlight w:val="none"/>
        </w:rPr>
        <w:t>牵头人名称：</w:t>
      </w:r>
      <w:r>
        <w:rPr>
          <w:rFonts w:hint="eastAsia" w:ascii="宋体" w:hAnsi="宋体" w:eastAsia="宋体" w:cs="宋体"/>
          <w:color w:val="auto"/>
          <w:spacing w:val="4"/>
          <w:sz w:val="24"/>
          <w:szCs w:val="24"/>
          <w:highlight w:val="none"/>
        </w:rPr>
        <w:t xml:space="preserve"> </w:t>
      </w:r>
    </w:p>
    <w:p w14:paraId="78BE601B">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04808BC7">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法定住所：</w:t>
      </w:r>
    </w:p>
    <w:p w14:paraId="2D6BB855">
      <w:pPr>
        <w:outlineLvl w:val="9"/>
        <w:rPr>
          <w:rFonts w:hint="eastAsia"/>
          <w:color w:val="auto"/>
          <w:highlight w:val="none"/>
        </w:rPr>
      </w:pPr>
    </w:p>
    <w:p w14:paraId="1E8287CD">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成员二名称：</w:t>
      </w:r>
      <w:r>
        <w:rPr>
          <w:rFonts w:hint="eastAsia" w:ascii="宋体" w:hAnsi="宋体" w:eastAsia="宋体" w:cs="宋体"/>
          <w:color w:val="auto"/>
          <w:sz w:val="24"/>
          <w:szCs w:val="24"/>
          <w:highlight w:val="none"/>
        </w:rPr>
        <w:t xml:space="preserve"> </w:t>
      </w:r>
    </w:p>
    <w:p w14:paraId="7C1025DC">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391F3F76">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法定住所：</w:t>
      </w:r>
    </w:p>
    <w:p w14:paraId="1A5AB485">
      <w:pPr>
        <w:keepNext w:val="0"/>
        <w:keepLines w:val="0"/>
        <w:pageBreakBefore w:val="0"/>
        <w:widowControl/>
        <w:kinsoku w:val="0"/>
        <w:wordWrap/>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3"/>
          <w:position w:val="3"/>
          <w:sz w:val="24"/>
          <w:szCs w:val="24"/>
          <w:highlight w:val="none"/>
        </w:rPr>
        <w:t>……</w:t>
      </w:r>
    </w:p>
    <w:p w14:paraId="6DDA5343">
      <w:pPr>
        <w:keepNext w:val="0"/>
        <w:keepLines w:val="0"/>
        <w:pageBreakBefore w:val="0"/>
        <w:widowControl/>
        <w:kinsoku w:val="0"/>
        <w:wordWrap/>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上述各成员单位经过友好协商，自愿组成联合体，</w:t>
      </w:r>
      <w:r>
        <w:rPr>
          <w:rFonts w:hint="eastAsia" w:ascii="宋体" w:hAnsi="宋体" w:eastAsia="宋体" w:cs="宋体"/>
          <w:color w:val="auto"/>
          <w:sz w:val="24"/>
          <w:szCs w:val="24"/>
          <w:highlight w:val="none"/>
        </w:rPr>
        <w:t>共同参加（项目名称</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以下简</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称“本项目</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”）的施工投标并争取赢得本项目施工承包</w:t>
      </w:r>
      <w:r>
        <w:rPr>
          <w:rFonts w:hint="eastAsia" w:ascii="宋体" w:hAnsi="宋体" w:eastAsia="宋体" w:cs="宋体"/>
          <w:color w:val="auto"/>
          <w:spacing w:val="-3"/>
          <w:sz w:val="24"/>
          <w:szCs w:val="24"/>
          <w:highlight w:val="none"/>
        </w:rPr>
        <w:t>合同（以下简称合同）。现就联</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合体投标事宜订立如下协议：</w:t>
      </w:r>
    </w:p>
    <w:p w14:paraId="35E1AD38">
      <w:pPr>
        <w:keepNext w:val="0"/>
        <w:keepLines w:val="0"/>
        <w:pageBreakBefore w:val="0"/>
        <w:widowControl/>
        <w:kinsoku w:val="0"/>
        <w:wordWrap/>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rPr>
        <w:t>某成员单位名称）为联合体牵头人。</w:t>
      </w:r>
    </w:p>
    <w:p w14:paraId="06B53A35">
      <w:pPr>
        <w:keepNext w:val="0"/>
        <w:keepLines w:val="0"/>
        <w:pageBreakBefore w:val="0"/>
        <w:widowControl/>
        <w:kinsoku w:val="0"/>
        <w:wordWrap/>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1"/>
          <w:sz w:val="24"/>
          <w:szCs w:val="24"/>
          <w:highlight w:val="none"/>
        </w:rPr>
        <w:t>．在本项目投标阶段，联合体牵头人合法代表联合体各成员负责本项目投标</w:t>
      </w:r>
      <w:r>
        <w:rPr>
          <w:rFonts w:hint="eastAsia" w:ascii="宋体" w:hAnsi="宋体" w:eastAsia="宋体" w:cs="宋体"/>
          <w:color w:val="auto"/>
          <w:spacing w:val="-2"/>
          <w:sz w:val="24"/>
          <w:szCs w:val="24"/>
          <w:highlight w:val="none"/>
        </w:rPr>
        <w:t>文件编制活动，代表联合体提交和接收相关的资料、信息及指示，并处理与投标和中标有关</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2"/>
          <w:sz w:val="24"/>
          <w:szCs w:val="24"/>
          <w:highlight w:val="none"/>
        </w:rPr>
        <w:t>的一切事务；联合体中标后，联合体牵头人负责合同订立和合同实施阶段的主办、组织</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2"/>
          <w:sz w:val="24"/>
          <w:szCs w:val="24"/>
          <w:highlight w:val="none"/>
        </w:rPr>
        <w:t>和协调工作。</w:t>
      </w:r>
    </w:p>
    <w:p w14:paraId="4950AC5C">
      <w:pPr>
        <w:keepNext w:val="0"/>
        <w:keepLines w:val="0"/>
        <w:pageBreakBefore w:val="0"/>
        <w:widowControl/>
        <w:kinsoku w:val="0"/>
        <w:wordWrap/>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．联合体将严格按照招标文件的各项要求，递交投标文件，履行</w:t>
      </w:r>
      <w:r>
        <w:rPr>
          <w:rFonts w:hint="eastAsia" w:ascii="宋体" w:hAnsi="宋体" w:eastAsia="宋体" w:cs="宋体"/>
          <w:color w:val="auto"/>
          <w:spacing w:val="-2"/>
          <w:sz w:val="24"/>
          <w:szCs w:val="24"/>
          <w:highlight w:val="none"/>
        </w:rPr>
        <w:t>投标义务和中标后的合同，共同承担合同规定的一切义务和责任，联合体各成员单位按照内部职责的部</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1"/>
          <w:sz w:val="24"/>
          <w:szCs w:val="24"/>
          <w:highlight w:val="none"/>
        </w:rPr>
        <w:t>分，承担各自所负的责任和风险，并向招标人承担连带责任。</w:t>
      </w:r>
    </w:p>
    <w:p w14:paraId="64C4A26A">
      <w:pPr>
        <w:keepNext w:val="0"/>
        <w:keepLines w:val="0"/>
        <w:pageBreakBefore w:val="0"/>
        <w:widowControl/>
        <w:kinsoku w:val="0"/>
        <w:wordWrap/>
        <w:overflowPunct/>
        <w:topLinePunct w:val="0"/>
        <w:autoSpaceDE w:val="0"/>
        <w:autoSpaceDN w:val="0"/>
        <w:bidi w:val="0"/>
        <w:adjustRightInd w:val="0"/>
        <w:snapToGrid w:val="0"/>
        <w:spacing w:before="154" w:line="264" w:lineRule="auto"/>
        <w:ind w:left="475"/>
        <w:textAlignment w:val="baseline"/>
        <w:outlineLvl w:val="9"/>
        <w:rPr>
          <w:rFonts w:hint="default" w:ascii="宋体" w:hAnsi="宋体" w:eastAsia="宋体" w:cs="宋体"/>
          <w:color w:val="auto"/>
          <w:sz w:val="24"/>
          <w:szCs w:val="24"/>
          <w:highlight w:val="none"/>
          <w:lang w:val="en-US"/>
        </w:rPr>
      </w:pPr>
      <w:bookmarkStart w:id="236" w:name="_Toc5365"/>
      <w:bookmarkStart w:id="237" w:name="_Toc32149"/>
      <w:r>
        <w:rPr>
          <w:rFonts w:hint="eastAsia" w:ascii="宋体" w:hAnsi="宋体" w:eastAsia="宋体" w:cs="宋体"/>
          <w:color w:val="auto"/>
          <w:spacing w:val="-2"/>
          <w:sz w:val="24"/>
          <w:szCs w:val="24"/>
          <w:highlight w:val="none"/>
        </w:rPr>
        <w:t>4</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2"/>
          <w:sz w:val="24"/>
          <w:szCs w:val="24"/>
          <w:highlight w:val="none"/>
        </w:rPr>
        <w:t>．联合体各成员单位内部的职责分工如下</w:t>
      </w:r>
      <w:r>
        <w:rPr>
          <w:rFonts w:hint="eastAsia" w:ascii="宋体" w:hAnsi="宋体" w:eastAsia="宋体" w:cs="宋体"/>
          <w:color w:val="auto"/>
          <w:spacing w:val="-2"/>
          <w:sz w:val="24"/>
          <w:szCs w:val="24"/>
          <w:highlight w:val="none"/>
          <w:lang w:eastAsia="zh-CN"/>
        </w:rPr>
        <w:t>：</w:t>
      </w:r>
      <w:bookmarkEnd w:id="236"/>
      <w:bookmarkEnd w:id="237"/>
      <w:r>
        <w:rPr>
          <w:rFonts w:hint="eastAsia" w:ascii="宋体" w:hAnsi="宋体" w:eastAsia="宋体" w:cs="宋体"/>
          <w:color w:val="auto"/>
          <w:spacing w:val="-2"/>
          <w:sz w:val="24"/>
          <w:szCs w:val="24"/>
          <w:highlight w:val="none"/>
          <w:lang w:val="en-US" w:eastAsia="zh-CN"/>
        </w:rPr>
        <w:t xml:space="preserve">                            。</w:t>
      </w:r>
    </w:p>
    <w:p w14:paraId="1D71CD83">
      <w:pPr>
        <w:keepNext w:val="0"/>
        <w:keepLines w:val="0"/>
        <w:pageBreakBefore w:val="0"/>
        <w:widowControl/>
        <w:kinsoku w:val="0"/>
        <w:wordWrap/>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．投标工作和联合体在中标后工程实施过程中的有关费用按</w:t>
      </w:r>
      <w:r>
        <w:rPr>
          <w:rFonts w:hint="eastAsia" w:ascii="宋体" w:hAnsi="宋体" w:eastAsia="宋体" w:cs="宋体"/>
          <w:color w:val="auto"/>
          <w:spacing w:val="-2"/>
          <w:sz w:val="24"/>
          <w:szCs w:val="24"/>
          <w:highlight w:val="none"/>
        </w:rPr>
        <w:t>各自承担的工作量分</w:t>
      </w:r>
      <w:r>
        <w:rPr>
          <w:rFonts w:hint="eastAsia" w:ascii="宋体" w:hAnsi="宋体" w:eastAsia="宋体" w:cs="宋体"/>
          <w:color w:val="auto"/>
          <w:spacing w:val="-5"/>
          <w:sz w:val="24"/>
          <w:szCs w:val="24"/>
          <w:highlight w:val="none"/>
        </w:rPr>
        <w:t>摊。</w:t>
      </w:r>
    </w:p>
    <w:p w14:paraId="03389633">
      <w:pPr>
        <w:keepNext w:val="0"/>
        <w:keepLines w:val="0"/>
        <w:pageBreakBefore w:val="0"/>
        <w:widowControl/>
        <w:kinsoku w:val="0"/>
        <w:wordWrap/>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．联合体中标后，本联合体协议是合同的附件，对联合体各成</w:t>
      </w:r>
      <w:r>
        <w:rPr>
          <w:rFonts w:hint="eastAsia" w:ascii="宋体" w:hAnsi="宋体" w:eastAsia="宋体" w:cs="宋体"/>
          <w:color w:val="auto"/>
          <w:spacing w:val="-2"/>
          <w:sz w:val="24"/>
          <w:szCs w:val="24"/>
          <w:highlight w:val="none"/>
        </w:rPr>
        <w:t>员单位有合同约束</w:t>
      </w:r>
      <w:r>
        <w:rPr>
          <w:rFonts w:hint="eastAsia" w:ascii="宋体" w:hAnsi="宋体" w:eastAsia="宋体" w:cs="宋体"/>
          <w:color w:val="auto"/>
          <w:spacing w:val="-7"/>
          <w:sz w:val="24"/>
          <w:szCs w:val="24"/>
          <w:highlight w:val="none"/>
        </w:rPr>
        <w:t>力。</w:t>
      </w:r>
    </w:p>
    <w:p w14:paraId="3D9DFEE6">
      <w:pPr>
        <w:keepNext w:val="0"/>
        <w:keepLines w:val="0"/>
        <w:pageBreakBefore w:val="0"/>
        <w:widowControl/>
        <w:kinsoku w:val="0"/>
        <w:wordWrap/>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．本协议书自签署之日起生效，联合体未中标或者中标时合同履行</w:t>
      </w:r>
      <w:r>
        <w:rPr>
          <w:rFonts w:hint="eastAsia" w:ascii="宋体" w:hAnsi="宋体" w:eastAsia="宋体" w:cs="宋体"/>
          <w:color w:val="auto"/>
          <w:spacing w:val="-2"/>
          <w:sz w:val="24"/>
          <w:szCs w:val="24"/>
          <w:highlight w:val="none"/>
        </w:rPr>
        <w:t>完毕后自动失</w:t>
      </w:r>
      <w:r>
        <w:rPr>
          <w:rFonts w:hint="eastAsia" w:ascii="宋体" w:hAnsi="宋体" w:eastAsia="宋体" w:cs="宋体"/>
          <w:color w:val="auto"/>
          <w:spacing w:val="-8"/>
          <w:sz w:val="24"/>
          <w:szCs w:val="24"/>
          <w:highlight w:val="none"/>
        </w:rPr>
        <w:t>效。</w:t>
      </w:r>
    </w:p>
    <w:p w14:paraId="1DB0ADDC">
      <w:pPr>
        <w:keepNext w:val="0"/>
        <w:keepLines w:val="0"/>
        <w:pageBreakBefore w:val="0"/>
        <w:widowControl/>
        <w:kinsoku w:val="0"/>
        <w:wordWrap/>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auto"/>
          <w:sz w:val="24"/>
          <w:szCs w:val="24"/>
          <w:highlight w:val="none"/>
        </w:rPr>
      </w:pPr>
      <w:bookmarkStart w:id="238" w:name="_Toc26708"/>
      <w:bookmarkStart w:id="239" w:name="_Toc22612"/>
      <w:r>
        <w:rPr>
          <w:rFonts w:hint="eastAsia" w:ascii="宋体" w:hAnsi="宋体" w:eastAsia="宋体" w:cs="宋体"/>
          <w:color w:val="auto"/>
          <w:spacing w:val="-2"/>
          <w:sz w:val="24"/>
          <w:szCs w:val="24"/>
          <w:highlight w:val="none"/>
        </w:rPr>
        <w:t>8</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．本协议书一式份，联合体成员和招标人各执一份。</w:t>
      </w:r>
      <w:bookmarkEnd w:id="238"/>
      <w:bookmarkEnd w:id="239"/>
    </w:p>
    <w:p w14:paraId="599B051B">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bookmarkStart w:id="240" w:name="bookmark154"/>
      <w:bookmarkEnd w:id="240"/>
      <w:r>
        <w:rPr>
          <w:rFonts w:hint="eastAsia" w:ascii="宋体" w:hAnsi="宋体" w:eastAsia="宋体" w:cs="宋体"/>
          <w:color w:val="auto"/>
          <w:sz w:val="24"/>
          <w:szCs w:val="24"/>
          <w:highlight w:val="none"/>
        </w:rPr>
        <w:t>牵头人名称</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rPr>
        <w:t>盖单位章）</w:t>
      </w:r>
    </w:p>
    <w:p w14:paraId="109CFDDE">
      <w:pPr>
        <w:pStyle w:val="6"/>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03AF1506">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1F0DAD02">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成员二名称</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盖单位章）</w:t>
      </w:r>
    </w:p>
    <w:p w14:paraId="05AA9D56">
      <w:pPr>
        <w:pStyle w:val="6"/>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28E891F2">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6B70E035">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601F5F4F">
      <w:pPr>
        <w:pStyle w:val="6"/>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1EC8E023">
      <w:pPr>
        <w:keepNext w:val="0"/>
        <w:keepLines w:val="0"/>
        <w:pageBreakBefore w:val="0"/>
        <w:widowControl/>
        <w:kinsoku w:val="0"/>
        <w:wordWrap/>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pacing w:val="9"/>
          <w:sz w:val="20"/>
          <w:szCs w:val="20"/>
          <w:highlight w:val="none"/>
        </w:rPr>
        <w:t>说明：《联合体协议书》</w:t>
      </w:r>
      <w:r>
        <w:rPr>
          <w:rFonts w:hint="eastAsia" w:ascii="宋体" w:hAnsi="宋体" w:eastAsia="宋体" w:cs="宋体"/>
          <w:color w:val="auto"/>
          <w:spacing w:val="-55"/>
          <w:sz w:val="20"/>
          <w:szCs w:val="20"/>
          <w:highlight w:val="none"/>
        </w:rPr>
        <w:t xml:space="preserve"> </w:t>
      </w:r>
      <w:r>
        <w:rPr>
          <w:rFonts w:hint="eastAsia" w:ascii="宋体" w:hAnsi="宋体" w:eastAsia="宋体" w:cs="宋体"/>
          <w:color w:val="auto"/>
          <w:spacing w:val="9"/>
          <w:sz w:val="20"/>
          <w:szCs w:val="20"/>
          <w:highlight w:val="none"/>
        </w:rPr>
        <w:t>由委托代理人签字或盖章的，</w:t>
      </w:r>
      <w:r>
        <w:rPr>
          <w:rFonts w:hint="eastAsia" w:ascii="宋体" w:hAnsi="宋体" w:eastAsia="宋体" w:cs="宋体"/>
          <w:color w:val="auto"/>
          <w:spacing w:val="8"/>
          <w:sz w:val="20"/>
          <w:szCs w:val="20"/>
          <w:highlight w:val="none"/>
        </w:rPr>
        <w:t>应附法定代表人签字或盖章的授权委托</w:t>
      </w:r>
      <w:r>
        <w:rPr>
          <w:rFonts w:hint="eastAsia" w:ascii="宋体" w:hAnsi="宋体" w:eastAsia="宋体" w:cs="宋体"/>
          <w:color w:val="auto"/>
          <w:spacing w:val="-2"/>
          <w:sz w:val="20"/>
          <w:szCs w:val="20"/>
          <w:highlight w:val="none"/>
        </w:rPr>
        <w:t>书。</w:t>
      </w:r>
    </w:p>
    <w:p w14:paraId="14CA2F70">
      <w:pPr>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z w:val="20"/>
          <w:szCs w:val="20"/>
          <w:highlight w:val="none"/>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5F3704FE">
      <w:pPr>
        <w:spacing w:before="78" w:line="220" w:lineRule="auto"/>
        <w:outlineLvl w:val="2"/>
        <w:rPr>
          <w:rFonts w:hint="eastAsia" w:ascii="宋体" w:hAnsi="宋体" w:eastAsia="宋体" w:cs="宋体"/>
          <w:b/>
          <w:bCs/>
          <w:color w:val="auto"/>
          <w:spacing w:val="-4"/>
          <w:sz w:val="24"/>
          <w:szCs w:val="24"/>
          <w:highlight w:val="none"/>
        </w:rPr>
      </w:pPr>
      <w:bookmarkStart w:id="241" w:name="_Toc16373"/>
      <w:r>
        <w:rPr>
          <w:rFonts w:hint="eastAsia" w:ascii="宋体" w:hAnsi="宋体" w:eastAsia="宋体" w:cs="宋体"/>
          <w:b/>
          <w:bCs/>
          <w:color w:val="auto"/>
          <w:spacing w:val="-4"/>
          <w:sz w:val="24"/>
          <w:szCs w:val="24"/>
          <w:highlight w:val="none"/>
        </w:rPr>
        <w:t>格式七 投标人基本情况表</w:t>
      </w:r>
      <w:bookmarkEnd w:id="241"/>
    </w:p>
    <w:p w14:paraId="365D949B">
      <w:pPr>
        <w:spacing w:before="333" w:line="219" w:lineRule="auto"/>
        <w:ind w:left="3350"/>
        <w:rPr>
          <w:rFonts w:hint="eastAsia" w:ascii="宋体" w:hAnsi="宋体" w:eastAsia="宋体" w:cs="宋体"/>
          <w:color w:val="auto"/>
          <w:sz w:val="30"/>
          <w:szCs w:val="30"/>
          <w:highlight w:val="none"/>
        </w:rPr>
      </w:pPr>
      <w:r>
        <w:rPr>
          <w:rFonts w:hint="eastAsia" w:ascii="宋体" w:hAnsi="宋体" w:eastAsia="宋体" w:cs="宋体"/>
          <w:b/>
          <w:bCs/>
          <w:color w:val="auto"/>
          <w:spacing w:val="-5"/>
          <w:sz w:val="30"/>
          <w:szCs w:val="30"/>
          <w:highlight w:val="none"/>
        </w:rPr>
        <w:t>投标人基本情况表</w:t>
      </w:r>
    </w:p>
    <w:p w14:paraId="2CD970DC">
      <w:pPr>
        <w:spacing w:line="239" w:lineRule="exact"/>
        <w:rPr>
          <w:rFonts w:hint="eastAsia" w:ascii="宋体" w:hAnsi="宋体" w:eastAsia="宋体" w:cs="宋体"/>
          <w:color w:val="auto"/>
          <w:highlight w:val="none"/>
        </w:rPr>
      </w:pPr>
    </w:p>
    <w:tbl>
      <w:tblPr>
        <w:tblStyle w:val="17"/>
        <w:tblW w:w="9099" w:type="dxa"/>
        <w:tblInd w:w="2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91"/>
        <w:gridCol w:w="957"/>
        <w:gridCol w:w="1805"/>
        <w:gridCol w:w="858"/>
        <w:gridCol w:w="304"/>
        <w:gridCol w:w="1026"/>
        <w:gridCol w:w="276"/>
        <w:gridCol w:w="755"/>
        <w:gridCol w:w="1527"/>
      </w:tblGrid>
      <w:tr w14:paraId="44A25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591" w:type="dxa"/>
            <w:vAlign w:val="center"/>
          </w:tcPr>
          <w:p w14:paraId="07127D66">
            <w:pPr>
              <w:keepNext w:val="0"/>
              <w:keepLines w:val="0"/>
              <w:pageBreakBefore w:val="0"/>
              <w:widowControl/>
              <w:kinsoku w:val="0"/>
              <w:wordWrap w:val="0"/>
              <w:overflowPunct/>
              <w:topLinePunct w:val="0"/>
              <w:autoSpaceDE w:val="0"/>
              <w:autoSpaceDN w:val="0"/>
              <w:bidi w:val="0"/>
              <w:adjustRightInd w:val="0"/>
              <w:snapToGrid w:val="0"/>
              <w:spacing w:before="149" w:line="229"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p>
        </w:tc>
        <w:tc>
          <w:tcPr>
            <w:tcW w:w="7508" w:type="dxa"/>
            <w:gridSpan w:val="8"/>
            <w:vAlign w:val="top"/>
          </w:tcPr>
          <w:p w14:paraId="686AB840">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r w14:paraId="4CC1D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1591" w:type="dxa"/>
            <w:vAlign w:val="center"/>
          </w:tcPr>
          <w:p w14:paraId="19EABCF3">
            <w:pPr>
              <w:keepNext w:val="0"/>
              <w:keepLines w:val="0"/>
              <w:pageBreakBefore w:val="0"/>
              <w:widowControl/>
              <w:kinsoku w:val="0"/>
              <w:wordWrap w:val="0"/>
              <w:overflowPunct/>
              <w:topLinePunct w:val="0"/>
              <w:autoSpaceDE w:val="0"/>
              <w:autoSpaceDN w:val="0"/>
              <w:bidi w:val="0"/>
              <w:adjustRightInd w:val="0"/>
              <w:snapToGrid w:val="0"/>
              <w:spacing w:before="144" w:line="23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注册地址</w:t>
            </w:r>
          </w:p>
        </w:tc>
        <w:tc>
          <w:tcPr>
            <w:tcW w:w="3620" w:type="dxa"/>
            <w:gridSpan w:val="3"/>
            <w:vAlign w:val="top"/>
          </w:tcPr>
          <w:p w14:paraId="0AC65D35">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1330" w:type="dxa"/>
            <w:gridSpan w:val="2"/>
            <w:vAlign w:val="top"/>
          </w:tcPr>
          <w:p w14:paraId="031EC2C9">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2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邮政编码</w:t>
            </w:r>
          </w:p>
        </w:tc>
        <w:tc>
          <w:tcPr>
            <w:tcW w:w="2558" w:type="dxa"/>
            <w:gridSpan w:val="3"/>
            <w:vAlign w:val="top"/>
          </w:tcPr>
          <w:p w14:paraId="7AD354B7">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r w14:paraId="2574F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1591" w:type="dxa"/>
            <w:vMerge w:val="restart"/>
            <w:tcBorders>
              <w:bottom w:val="nil"/>
            </w:tcBorders>
            <w:vAlign w:val="center"/>
          </w:tcPr>
          <w:p w14:paraId="3917AF4F">
            <w:pPr>
              <w:keepNext w:val="0"/>
              <w:keepLines w:val="0"/>
              <w:pageBreakBefore w:val="0"/>
              <w:widowControl/>
              <w:kinsoku w:val="0"/>
              <w:wordWrap w:val="0"/>
              <w:overflowPunct/>
              <w:topLinePunct w:val="0"/>
              <w:autoSpaceDE w:val="0"/>
              <w:autoSpaceDN w:val="0"/>
              <w:bidi w:val="0"/>
              <w:adjustRightInd w:val="0"/>
              <w:snapToGrid w:val="0"/>
              <w:spacing w:before="65" w:line="23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联系方式</w:t>
            </w:r>
          </w:p>
        </w:tc>
        <w:tc>
          <w:tcPr>
            <w:tcW w:w="957" w:type="dxa"/>
            <w:vAlign w:val="top"/>
          </w:tcPr>
          <w:p w14:paraId="3D7FC625">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13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联系人</w:t>
            </w:r>
          </w:p>
        </w:tc>
        <w:tc>
          <w:tcPr>
            <w:tcW w:w="2663" w:type="dxa"/>
            <w:gridSpan w:val="2"/>
            <w:vAlign w:val="top"/>
          </w:tcPr>
          <w:p w14:paraId="74C76AE1">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1330" w:type="dxa"/>
            <w:gridSpan w:val="2"/>
            <w:vAlign w:val="top"/>
          </w:tcPr>
          <w:p w14:paraId="65D93497">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33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电</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2"/>
                <w:sz w:val="24"/>
                <w:szCs w:val="24"/>
                <w:highlight w:val="none"/>
              </w:rPr>
              <w:t>话</w:t>
            </w:r>
          </w:p>
        </w:tc>
        <w:tc>
          <w:tcPr>
            <w:tcW w:w="2558" w:type="dxa"/>
            <w:gridSpan w:val="3"/>
            <w:vAlign w:val="top"/>
          </w:tcPr>
          <w:p w14:paraId="275175F8">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r w14:paraId="320F6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91" w:type="dxa"/>
            <w:vMerge w:val="continue"/>
            <w:tcBorders>
              <w:top w:val="nil"/>
            </w:tcBorders>
            <w:vAlign w:val="center"/>
          </w:tcPr>
          <w:p w14:paraId="173CE181">
            <w:pPr>
              <w:pStyle w:val="25"/>
              <w:keepNext w:val="0"/>
              <w:keepLines w:val="0"/>
              <w:pageBreakBefore w:val="0"/>
              <w:widowControl/>
              <w:kinsoku w:val="0"/>
              <w:wordWrap w:val="0"/>
              <w:overflowPunct/>
              <w:topLinePunct w:val="0"/>
              <w:autoSpaceDE w:val="0"/>
              <w:autoSpaceDN w:val="0"/>
              <w:bidi w:val="0"/>
              <w:adjustRightInd w:val="0"/>
              <w:snapToGrid w:val="0"/>
              <w:jc w:val="center"/>
              <w:textAlignment w:val="baseline"/>
              <w:rPr>
                <w:rFonts w:hint="eastAsia" w:ascii="宋体" w:hAnsi="宋体" w:eastAsia="宋体" w:cs="宋体"/>
                <w:color w:val="auto"/>
                <w:sz w:val="24"/>
                <w:szCs w:val="24"/>
                <w:highlight w:val="none"/>
              </w:rPr>
            </w:pPr>
          </w:p>
        </w:tc>
        <w:tc>
          <w:tcPr>
            <w:tcW w:w="957" w:type="dxa"/>
            <w:vAlign w:val="top"/>
          </w:tcPr>
          <w:p w14:paraId="42FC9B75">
            <w:pPr>
              <w:keepNext w:val="0"/>
              <w:keepLines w:val="0"/>
              <w:pageBreakBefore w:val="0"/>
              <w:widowControl/>
              <w:kinsoku w:val="0"/>
              <w:wordWrap w:val="0"/>
              <w:overflowPunct/>
              <w:topLinePunct w:val="0"/>
              <w:autoSpaceDE w:val="0"/>
              <w:autoSpaceDN w:val="0"/>
              <w:bidi w:val="0"/>
              <w:adjustRightInd w:val="0"/>
              <w:snapToGrid w:val="0"/>
              <w:spacing w:before="143" w:line="228" w:lineRule="auto"/>
              <w:ind w:left="13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传</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真</w:t>
            </w:r>
          </w:p>
        </w:tc>
        <w:tc>
          <w:tcPr>
            <w:tcW w:w="2663" w:type="dxa"/>
            <w:gridSpan w:val="2"/>
            <w:vAlign w:val="top"/>
          </w:tcPr>
          <w:p w14:paraId="7E63A544">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1330" w:type="dxa"/>
            <w:gridSpan w:val="2"/>
            <w:vAlign w:val="top"/>
          </w:tcPr>
          <w:p w14:paraId="6612B606">
            <w:pPr>
              <w:keepNext w:val="0"/>
              <w:keepLines w:val="0"/>
              <w:pageBreakBefore w:val="0"/>
              <w:widowControl/>
              <w:kinsoku w:val="0"/>
              <w:wordWrap w:val="0"/>
              <w:overflowPunct/>
              <w:topLinePunct w:val="0"/>
              <w:autoSpaceDE w:val="0"/>
              <w:autoSpaceDN w:val="0"/>
              <w:bidi w:val="0"/>
              <w:adjustRightInd w:val="0"/>
              <w:snapToGrid w:val="0"/>
              <w:spacing w:before="144" w:line="229" w:lineRule="auto"/>
              <w:ind w:left="23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电子邮箱</w:t>
            </w:r>
          </w:p>
        </w:tc>
        <w:tc>
          <w:tcPr>
            <w:tcW w:w="2558" w:type="dxa"/>
            <w:gridSpan w:val="3"/>
            <w:vAlign w:val="top"/>
          </w:tcPr>
          <w:p w14:paraId="5F4345F5">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r w14:paraId="17C69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1591" w:type="dxa"/>
            <w:vAlign w:val="center"/>
          </w:tcPr>
          <w:p w14:paraId="45F28E6B">
            <w:pPr>
              <w:keepNext w:val="0"/>
              <w:keepLines w:val="0"/>
              <w:pageBreakBefore w:val="0"/>
              <w:widowControl/>
              <w:kinsoku w:val="0"/>
              <w:wordWrap w:val="0"/>
              <w:overflowPunct/>
              <w:topLinePunct w:val="0"/>
              <w:autoSpaceDE w:val="0"/>
              <w:autoSpaceDN w:val="0"/>
              <w:bidi w:val="0"/>
              <w:adjustRightInd w:val="0"/>
              <w:snapToGrid w:val="0"/>
              <w:spacing w:before="145" w:line="229"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单位性质</w:t>
            </w:r>
          </w:p>
        </w:tc>
        <w:tc>
          <w:tcPr>
            <w:tcW w:w="7508" w:type="dxa"/>
            <w:gridSpan w:val="8"/>
            <w:vAlign w:val="top"/>
          </w:tcPr>
          <w:p w14:paraId="1E0E32B6">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r w14:paraId="7ACAF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1591" w:type="dxa"/>
            <w:vAlign w:val="center"/>
          </w:tcPr>
          <w:p w14:paraId="183ED7E1">
            <w:pPr>
              <w:keepNext w:val="0"/>
              <w:keepLines w:val="0"/>
              <w:pageBreakBefore w:val="0"/>
              <w:widowControl/>
              <w:kinsoku w:val="0"/>
              <w:wordWrap w:val="0"/>
              <w:overflowPunct/>
              <w:topLinePunct w:val="0"/>
              <w:autoSpaceDE w:val="0"/>
              <w:autoSpaceDN w:val="0"/>
              <w:bidi w:val="0"/>
              <w:adjustRightInd w:val="0"/>
              <w:snapToGrid w:val="0"/>
              <w:spacing w:before="144" w:line="228"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法定代表人</w:t>
            </w:r>
          </w:p>
        </w:tc>
        <w:tc>
          <w:tcPr>
            <w:tcW w:w="957" w:type="dxa"/>
            <w:vAlign w:val="top"/>
          </w:tcPr>
          <w:p w14:paraId="07222CE7">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24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805" w:type="dxa"/>
            <w:vAlign w:val="top"/>
          </w:tcPr>
          <w:p w14:paraId="091073F5">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1162" w:type="dxa"/>
            <w:gridSpan w:val="2"/>
            <w:vAlign w:val="top"/>
          </w:tcPr>
          <w:p w14:paraId="4A11ACAE">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13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技术职称</w:t>
            </w:r>
          </w:p>
        </w:tc>
        <w:tc>
          <w:tcPr>
            <w:tcW w:w="1302" w:type="dxa"/>
            <w:gridSpan w:val="2"/>
            <w:vAlign w:val="top"/>
          </w:tcPr>
          <w:p w14:paraId="6ADE5618">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755" w:type="dxa"/>
            <w:vAlign w:val="top"/>
          </w:tcPr>
          <w:p w14:paraId="5C8E96FC">
            <w:pPr>
              <w:keepNext w:val="0"/>
              <w:keepLines w:val="0"/>
              <w:pageBreakBefore w:val="0"/>
              <w:widowControl/>
              <w:kinsoku w:val="0"/>
              <w:wordWrap w:val="0"/>
              <w:overflowPunct/>
              <w:topLinePunct w:val="0"/>
              <w:autoSpaceDE w:val="0"/>
              <w:autoSpaceDN w:val="0"/>
              <w:bidi w:val="0"/>
              <w:adjustRightInd w:val="0"/>
              <w:snapToGrid w:val="0"/>
              <w:spacing w:before="143" w:line="231" w:lineRule="auto"/>
              <w:ind w:left="1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电话</w:t>
            </w:r>
          </w:p>
        </w:tc>
        <w:tc>
          <w:tcPr>
            <w:tcW w:w="1527" w:type="dxa"/>
            <w:vAlign w:val="top"/>
          </w:tcPr>
          <w:p w14:paraId="6AD0C2BC">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r w14:paraId="19173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591" w:type="dxa"/>
            <w:vAlign w:val="center"/>
          </w:tcPr>
          <w:p w14:paraId="5ADD1B28">
            <w:pPr>
              <w:keepNext w:val="0"/>
              <w:keepLines w:val="0"/>
              <w:pageBreakBefore w:val="0"/>
              <w:widowControl/>
              <w:kinsoku w:val="0"/>
              <w:wordWrap w:val="0"/>
              <w:overflowPunct/>
              <w:topLinePunct w:val="0"/>
              <w:autoSpaceDE w:val="0"/>
              <w:autoSpaceDN w:val="0"/>
              <w:bidi w:val="0"/>
              <w:adjustRightInd w:val="0"/>
              <w:snapToGrid w:val="0"/>
              <w:spacing w:before="145" w:line="230" w:lineRule="auto"/>
              <w:ind w:firstLine="252" w:firstLineChars="1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成立时间</w:t>
            </w:r>
          </w:p>
        </w:tc>
        <w:tc>
          <w:tcPr>
            <w:tcW w:w="2762" w:type="dxa"/>
            <w:gridSpan w:val="2"/>
            <w:vAlign w:val="top"/>
          </w:tcPr>
          <w:p w14:paraId="4BAD1642">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4746" w:type="dxa"/>
            <w:gridSpan w:val="6"/>
            <w:vAlign w:val="top"/>
          </w:tcPr>
          <w:p w14:paraId="30D24B75">
            <w:pPr>
              <w:keepNext w:val="0"/>
              <w:keepLines w:val="0"/>
              <w:pageBreakBefore w:val="0"/>
              <w:widowControl/>
              <w:kinsoku w:val="0"/>
              <w:wordWrap w:val="0"/>
              <w:overflowPunct/>
              <w:topLinePunct w:val="0"/>
              <w:autoSpaceDE w:val="0"/>
              <w:autoSpaceDN w:val="0"/>
              <w:bidi w:val="0"/>
              <w:adjustRightInd w:val="0"/>
              <w:snapToGrid w:val="0"/>
              <w:spacing w:before="145" w:line="228" w:lineRule="auto"/>
              <w:ind w:left="128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员工总人数（个</w:t>
            </w:r>
            <w:r>
              <w:rPr>
                <w:rFonts w:hint="eastAsia" w:ascii="宋体" w:hAnsi="宋体" w:eastAsia="宋体" w:cs="宋体"/>
                <w:color w:val="auto"/>
                <w:sz w:val="24"/>
                <w:szCs w:val="24"/>
                <w:highlight w:val="none"/>
              </w:rPr>
              <w:t>）：</w:t>
            </w:r>
          </w:p>
        </w:tc>
      </w:tr>
      <w:tr w14:paraId="1229E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1591" w:type="dxa"/>
            <w:vAlign w:val="center"/>
          </w:tcPr>
          <w:p w14:paraId="754966A2">
            <w:pPr>
              <w:keepNext w:val="0"/>
              <w:keepLines w:val="0"/>
              <w:pageBreakBefore w:val="0"/>
              <w:widowControl/>
              <w:kinsoku w:val="0"/>
              <w:wordWrap w:val="0"/>
              <w:overflowPunct/>
              <w:topLinePunct w:val="0"/>
              <w:autoSpaceDE w:val="0"/>
              <w:autoSpaceDN w:val="0"/>
              <w:bidi w:val="0"/>
              <w:adjustRightInd w:val="0"/>
              <w:snapToGrid w:val="0"/>
              <w:spacing w:before="61" w:line="262" w:lineRule="auto"/>
              <w:ind w:right="22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lang w:val="en-US" w:eastAsia="zh-CN"/>
              </w:rPr>
              <w:t xml:space="preserve"> </w:t>
            </w:r>
            <w:r>
              <w:rPr>
                <w:rFonts w:hint="eastAsia" w:ascii="宋体" w:hAnsi="宋体" w:eastAsia="宋体" w:cs="宋体"/>
                <w:color w:val="auto"/>
                <w:spacing w:val="6"/>
                <w:sz w:val="24"/>
                <w:szCs w:val="24"/>
                <w:highlight w:val="none"/>
              </w:rPr>
              <w:t>企业资质</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类型和等级</w:t>
            </w:r>
          </w:p>
        </w:tc>
        <w:tc>
          <w:tcPr>
            <w:tcW w:w="2762" w:type="dxa"/>
            <w:gridSpan w:val="2"/>
            <w:vAlign w:val="top"/>
          </w:tcPr>
          <w:p w14:paraId="782B0B60">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1162" w:type="dxa"/>
            <w:gridSpan w:val="2"/>
            <w:vMerge w:val="restart"/>
            <w:tcBorders>
              <w:bottom w:val="nil"/>
            </w:tcBorders>
            <w:vAlign w:val="top"/>
          </w:tcPr>
          <w:p w14:paraId="7A69FEFC">
            <w:pPr>
              <w:pStyle w:val="25"/>
              <w:keepNext w:val="0"/>
              <w:keepLines w:val="0"/>
              <w:pageBreakBefore w:val="0"/>
              <w:widowControl/>
              <w:kinsoku w:val="0"/>
              <w:wordWrap w:val="0"/>
              <w:overflowPunct/>
              <w:topLinePunct w:val="0"/>
              <w:autoSpaceDE w:val="0"/>
              <w:autoSpaceDN w:val="0"/>
              <w:bidi w:val="0"/>
              <w:adjustRightInd w:val="0"/>
              <w:snapToGrid w:val="0"/>
              <w:spacing w:line="254" w:lineRule="auto"/>
              <w:textAlignment w:val="baseline"/>
              <w:rPr>
                <w:rFonts w:hint="eastAsia" w:ascii="宋体" w:hAnsi="宋体" w:eastAsia="宋体" w:cs="宋体"/>
                <w:color w:val="auto"/>
                <w:sz w:val="24"/>
                <w:szCs w:val="24"/>
                <w:highlight w:val="none"/>
              </w:rPr>
            </w:pPr>
          </w:p>
          <w:p w14:paraId="02C0E7FA">
            <w:pPr>
              <w:pStyle w:val="25"/>
              <w:keepNext w:val="0"/>
              <w:keepLines w:val="0"/>
              <w:pageBreakBefore w:val="0"/>
              <w:widowControl/>
              <w:kinsoku w:val="0"/>
              <w:wordWrap w:val="0"/>
              <w:overflowPunct/>
              <w:topLinePunct w:val="0"/>
              <w:autoSpaceDE w:val="0"/>
              <w:autoSpaceDN w:val="0"/>
              <w:bidi w:val="0"/>
              <w:adjustRightInd w:val="0"/>
              <w:snapToGrid w:val="0"/>
              <w:spacing w:line="254" w:lineRule="auto"/>
              <w:textAlignment w:val="baseline"/>
              <w:rPr>
                <w:rFonts w:hint="eastAsia" w:ascii="宋体" w:hAnsi="宋体" w:eastAsia="宋体" w:cs="宋体"/>
                <w:color w:val="auto"/>
                <w:sz w:val="24"/>
                <w:szCs w:val="24"/>
                <w:highlight w:val="none"/>
              </w:rPr>
            </w:pPr>
          </w:p>
          <w:p w14:paraId="1FBAEACC">
            <w:pPr>
              <w:pStyle w:val="25"/>
              <w:keepNext w:val="0"/>
              <w:keepLines w:val="0"/>
              <w:pageBreakBefore w:val="0"/>
              <w:widowControl/>
              <w:kinsoku w:val="0"/>
              <w:wordWrap w:val="0"/>
              <w:overflowPunct/>
              <w:topLinePunct w:val="0"/>
              <w:autoSpaceDE w:val="0"/>
              <w:autoSpaceDN w:val="0"/>
              <w:bidi w:val="0"/>
              <w:adjustRightInd w:val="0"/>
              <w:snapToGrid w:val="0"/>
              <w:spacing w:line="254" w:lineRule="auto"/>
              <w:textAlignment w:val="baseline"/>
              <w:rPr>
                <w:rFonts w:hint="eastAsia" w:ascii="宋体" w:hAnsi="宋体" w:eastAsia="宋体" w:cs="宋体"/>
                <w:color w:val="auto"/>
                <w:sz w:val="24"/>
                <w:szCs w:val="24"/>
                <w:highlight w:val="none"/>
              </w:rPr>
            </w:pPr>
          </w:p>
          <w:p w14:paraId="64C94A08">
            <w:pPr>
              <w:pStyle w:val="25"/>
              <w:keepNext w:val="0"/>
              <w:keepLines w:val="0"/>
              <w:pageBreakBefore w:val="0"/>
              <w:widowControl/>
              <w:kinsoku w:val="0"/>
              <w:wordWrap w:val="0"/>
              <w:overflowPunct/>
              <w:topLinePunct w:val="0"/>
              <w:autoSpaceDE w:val="0"/>
              <w:autoSpaceDN w:val="0"/>
              <w:bidi w:val="0"/>
              <w:adjustRightInd w:val="0"/>
              <w:snapToGrid w:val="0"/>
              <w:spacing w:line="254" w:lineRule="auto"/>
              <w:textAlignment w:val="baseline"/>
              <w:rPr>
                <w:rFonts w:hint="eastAsia" w:ascii="宋体" w:hAnsi="宋体" w:eastAsia="宋体" w:cs="宋体"/>
                <w:color w:val="auto"/>
                <w:sz w:val="24"/>
                <w:szCs w:val="24"/>
                <w:highlight w:val="none"/>
              </w:rPr>
            </w:pPr>
          </w:p>
          <w:p w14:paraId="69BBE9A7">
            <w:pPr>
              <w:pStyle w:val="25"/>
              <w:keepNext w:val="0"/>
              <w:keepLines w:val="0"/>
              <w:pageBreakBefore w:val="0"/>
              <w:widowControl/>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sz w:val="24"/>
                <w:szCs w:val="24"/>
                <w:highlight w:val="none"/>
              </w:rPr>
            </w:pPr>
          </w:p>
          <w:p w14:paraId="7C094C19">
            <w:pPr>
              <w:keepNext w:val="0"/>
              <w:keepLines w:val="0"/>
              <w:pageBreakBefore w:val="0"/>
              <w:widowControl/>
              <w:kinsoku w:val="0"/>
              <w:wordWrap w:val="0"/>
              <w:overflowPunct/>
              <w:topLinePunct w:val="0"/>
              <w:autoSpaceDE w:val="0"/>
              <w:autoSpaceDN w:val="0"/>
              <w:bidi w:val="0"/>
              <w:adjustRightInd w:val="0"/>
              <w:snapToGrid w:val="0"/>
              <w:spacing w:before="65" w:line="229" w:lineRule="auto"/>
              <w:ind w:left="34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其中</w:t>
            </w:r>
          </w:p>
        </w:tc>
        <w:tc>
          <w:tcPr>
            <w:tcW w:w="2057" w:type="dxa"/>
            <w:gridSpan w:val="3"/>
            <w:vAlign w:val="top"/>
          </w:tcPr>
          <w:p w14:paraId="010F104F">
            <w:pPr>
              <w:keepNext w:val="0"/>
              <w:keepLines w:val="0"/>
              <w:pageBreakBefore w:val="0"/>
              <w:widowControl/>
              <w:kinsoku w:val="0"/>
              <w:wordWrap w:val="0"/>
              <w:overflowPunct/>
              <w:topLinePunct w:val="0"/>
              <w:autoSpaceDE w:val="0"/>
              <w:autoSpaceDN w:val="0"/>
              <w:bidi w:val="0"/>
              <w:adjustRightInd w:val="0"/>
              <w:snapToGrid w:val="0"/>
              <w:spacing w:before="214" w:line="229" w:lineRule="auto"/>
              <w:ind w:left="55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27" w:type="dxa"/>
            <w:vAlign w:val="top"/>
          </w:tcPr>
          <w:p w14:paraId="67C64A1C">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r w14:paraId="4B800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1591" w:type="dxa"/>
            <w:vAlign w:val="center"/>
          </w:tcPr>
          <w:p w14:paraId="6F14B77C">
            <w:pPr>
              <w:keepNext w:val="0"/>
              <w:keepLines w:val="0"/>
              <w:pageBreakBefore w:val="0"/>
              <w:widowControl/>
              <w:kinsoku w:val="0"/>
              <w:wordWrap w:val="0"/>
              <w:overflowPunct/>
              <w:topLinePunct w:val="0"/>
              <w:autoSpaceDE w:val="0"/>
              <w:autoSpaceDN w:val="0"/>
              <w:bidi w:val="0"/>
              <w:adjustRightInd w:val="0"/>
              <w:snapToGrid w:val="0"/>
              <w:spacing w:before="146" w:line="228"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营业执照号</w:t>
            </w:r>
          </w:p>
        </w:tc>
        <w:tc>
          <w:tcPr>
            <w:tcW w:w="2762" w:type="dxa"/>
            <w:gridSpan w:val="2"/>
            <w:vAlign w:val="top"/>
          </w:tcPr>
          <w:p w14:paraId="4431F67B">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1162" w:type="dxa"/>
            <w:gridSpan w:val="2"/>
            <w:vMerge w:val="continue"/>
            <w:tcBorders>
              <w:top w:val="nil"/>
              <w:bottom w:val="nil"/>
            </w:tcBorders>
            <w:vAlign w:val="top"/>
          </w:tcPr>
          <w:p w14:paraId="425F8241">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2057" w:type="dxa"/>
            <w:gridSpan w:val="3"/>
            <w:vAlign w:val="top"/>
          </w:tcPr>
          <w:p w14:paraId="52E9EE82">
            <w:pPr>
              <w:keepNext w:val="0"/>
              <w:keepLines w:val="0"/>
              <w:pageBreakBefore w:val="0"/>
              <w:widowControl/>
              <w:kinsoku w:val="0"/>
              <w:wordWrap w:val="0"/>
              <w:overflowPunct/>
              <w:topLinePunct w:val="0"/>
              <w:autoSpaceDE w:val="0"/>
              <w:autoSpaceDN w:val="0"/>
              <w:bidi w:val="0"/>
              <w:adjustRightInd w:val="0"/>
              <w:snapToGrid w:val="0"/>
              <w:spacing w:before="146" w:line="228" w:lineRule="auto"/>
              <w:ind w:firstLine="254" w:firstLineChars="1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高级职称人员</w:t>
            </w:r>
          </w:p>
        </w:tc>
        <w:tc>
          <w:tcPr>
            <w:tcW w:w="1527" w:type="dxa"/>
            <w:vAlign w:val="top"/>
          </w:tcPr>
          <w:p w14:paraId="5AB52FD6">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r w14:paraId="0C789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1591" w:type="dxa"/>
            <w:vAlign w:val="center"/>
          </w:tcPr>
          <w:p w14:paraId="2B0CF379">
            <w:pPr>
              <w:keepNext w:val="0"/>
              <w:keepLines w:val="0"/>
              <w:pageBreakBefore w:val="0"/>
              <w:widowControl/>
              <w:kinsoku w:val="0"/>
              <w:wordWrap w:val="0"/>
              <w:overflowPunct/>
              <w:topLinePunct w:val="0"/>
              <w:autoSpaceDE w:val="0"/>
              <w:autoSpaceDN w:val="0"/>
              <w:bidi w:val="0"/>
              <w:adjustRightInd w:val="0"/>
              <w:snapToGrid w:val="0"/>
              <w:spacing w:before="146" w:line="230" w:lineRule="auto"/>
              <w:ind w:firstLine="254" w:firstLineChars="1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注册资金</w:t>
            </w:r>
          </w:p>
        </w:tc>
        <w:tc>
          <w:tcPr>
            <w:tcW w:w="2762" w:type="dxa"/>
            <w:gridSpan w:val="2"/>
            <w:vAlign w:val="top"/>
          </w:tcPr>
          <w:p w14:paraId="55DE9293">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1162" w:type="dxa"/>
            <w:gridSpan w:val="2"/>
            <w:vMerge w:val="continue"/>
            <w:tcBorders>
              <w:top w:val="nil"/>
              <w:bottom w:val="nil"/>
            </w:tcBorders>
            <w:vAlign w:val="top"/>
          </w:tcPr>
          <w:p w14:paraId="0C4A9705">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2057" w:type="dxa"/>
            <w:gridSpan w:val="3"/>
            <w:vAlign w:val="top"/>
          </w:tcPr>
          <w:p w14:paraId="4B26D2D4">
            <w:pPr>
              <w:keepNext w:val="0"/>
              <w:keepLines w:val="0"/>
              <w:pageBreakBefore w:val="0"/>
              <w:widowControl/>
              <w:kinsoku w:val="0"/>
              <w:wordWrap w:val="0"/>
              <w:overflowPunct/>
              <w:topLinePunct w:val="0"/>
              <w:autoSpaceDE w:val="0"/>
              <w:autoSpaceDN w:val="0"/>
              <w:bidi w:val="0"/>
              <w:adjustRightInd w:val="0"/>
              <w:snapToGrid w:val="0"/>
              <w:spacing w:before="147" w:line="229" w:lineRule="auto"/>
              <w:ind w:firstLine="248" w:firstLineChars="1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中级职称人员</w:t>
            </w:r>
          </w:p>
        </w:tc>
        <w:tc>
          <w:tcPr>
            <w:tcW w:w="1527" w:type="dxa"/>
            <w:vAlign w:val="top"/>
          </w:tcPr>
          <w:p w14:paraId="262A2EE0">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r w14:paraId="47316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591" w:type="dxa"/>
            <w:vAlign w:val="center"/>
          </w:tcPr>
          <w:p w14:paraId="2688AE8B">
            <w:pPr>
              <w:keepNext w:val="0"/>
              <w:keepLines w:val="0"/>
              <w:pageBreakBefore w:val="0"/>
              <w:widowControl/>
              <w:kinsoku w:val="0"/>
              <w:wordWrap w:val="0"/>
              <w:overflowPunct/>
              <w:topLinePunct w:val="0"/>
              <w:autoSpaceDE w:val="0"/>
              <w:autoSpaceDN w:val="0"/>
              <w:bidi w:val="0"/>
              <w:adjustRightInd w:val="0"/>
              <w:snapToGrid w:val="0"/>
              <w:spacing w:before="62" w:line="241" w:lineRule="auto"/>
              <w:ind w:right="325"/>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lang w:val="en-US" w:eastAsia="zh-CN"/>
              </w:rPr>
              <w:t xml:space="preserve"> </w:t>
            </w:r>
            <w:r>
              <w:rPr>
                <w:rFonts w:hint="eastAsia" w:ascii="宋体" w:hAnsi="宋体" w:eastAsia="宋体" w:cs="宋体"/>
                <w:color w:val="auto"/>
                <w:spacing w:val="7"/>
                <w:sz w:val="24"/>
                <w:szCs w:val="24"/>
                <w:highlight w:val="none"/>
              </w:rPr>
              <w:t>基本账户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开户银行</w:t>
            </w:r>
          </w:p>
        </w:tc>
        <w:tc>
          <w:tcPr>
            <w:tcW w:w="2762" w:type="dxa"/>
            <w:gridSpan w:val="2"/>
            <w:vAlign w:val="top"/>
          </w:tcPr>
          <w:p w14:paraId="45553C43">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1162" w:type="dxa"/>
            <w:gridSpan w:val="2"/>
            <w:vMerge w:val="continue"/>
            <w:tcBorders>
              <w:top w:val="nil"/>
              <w:bottom w:val="nil"/>
            </w:tcBorders>
            <w:vAlign w:val="top"/>
          </w:tcPr>
          <w:p w14:paraId="56532354">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2057" w:type="dxa"/>
            <w:gridSpan w:val="3"/>
            <w:vAlign w:val="top"/>
          </w:tcPr>
          <w:p w14:paraId="5A3DA22F">
            <w:pPr>
              <w:keepNext w:val="0"/>
              <w:keepLines w:val="0"/>
              <w:pageBreakBefore w:val="0"/>
              <w:widowControl/>
              <w:kinsoku w:val="0"/>
              <w:wordWrap w:val="0"/>
              <w:overflowPunct/>
              <w:topLinePunct w:val="0"/>
              <w:autoSpaceDE w:val="0"/>
              <w:autoSpaceDN w:val="0"/>
              <w:bidi w:val="0"/>
              <w:adjustRightInd w:val="0"/>
              <w:snapToGrid w:val="0"/>
              <w:spacing w:before="191" w:line="230" w:lineRule="auto"/>
              <w:ind w:firstLine="256" w:firstLineChars="1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初级职称人员</w:t>
            </w:r>
          </w:p>
        </w:tc>
        <w:tc>
          <w:tcPr>
            <w:tcW w:w="1527" w:type="dxa"/>
            <w:vAlign w:val="top"/>
          </w:tcPr>
          <w:p w14:paraId="184D3D43">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r w14:paraId="5D53F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591" w:type="dxa"/>
            <w:vAlign w:val="center"/>
          </w:tcPr>
          <w:p w14:paraId="301FBDE6">
            <w:pPr>
              <w:keepNext w:val="0"/>
              <w:keepLines w:val="0"/>
              <w:pageBreakBefore w:val="0"/>
              <w:widowControl/>
              <w:kinsoku w:val="0"/>
              <w:wordWrap w:val="0"/>
              <w:overflowPunct/>
              <w:topLinePunct w:val="0"/>
              <w:autoSpaceDE w:val="0"/>
              <w:autoSpaceDN w:val="0"/>
              <w:bidi w:val="0"/>
              <w:adjustRightInd w:val="0"/>
              <w:snapToGrid w:val="0"/>
              <w:spacing w:before="62" w:line="259" w:lineRule="auto"/>
              <w:ind w:right="325"/>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lang w:val="en-US" w:eastAsia="zh-CN"/>
              </w:rPr>
              <w:t xml:space="preserve"> </w:t>
            </w:r>
            <w:r>
              <w:rPr>
                <w:rFonts w:hint="eastAsia" w:ascii="宋体" w:hAnsi="宋体" w:eastAsia="宋体" w:cs="宋体"/>
                <w:color w:val="auto"/>
                <w:spacing w:val="7"/>
                <w:sz w:val="24"/>
                <w:szCs w:val="24"/>
                <w:highlight w:val="none"/>
              </w:rPr>
              <w:t>基本账户银行账号</w:t>
            </w:r>
          </w:p>
        </w:tc>
        <w:tc>
          <w:tcPr>
            <w:tcW w:w="2762" w:type="dxa"/>
            <w:gridSpan w:val="2"/>
            <w:vAlign w:val="top"/>
          </w:tcPr>
          <w:p w14:paraId="5B1DD5F7">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1162" w:type="dxa"/>
            <w:gridSpan w:val="2"/>
            <w:vMerge w:val="continue"/>
            <w:tcBorders>
              <w:top w:val="nil"/>
            </w:tcBorders>
            <w:vAlign w:val="top"/>
          </w:tcPr>
          <w:p w14:paraId="03520BE5">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c>
          <w:tcPr>
            <w:tcW w:w="2057" w:type="dxa"/>
            <w:gridSpan w:val="3"/>
            <w:vAlign w:val="top"/>
          </w:tcPr>
          <w:p w14:paraId="5C48DB8B">
            <w:pPr>
              <w:keepNext w:val="0"/>
              <w:keepLines w:val="0"/>
              <w:pageBreakBefore w:val="0"/>
              <w:widowControl/>
              <w:kinsoku w:val="0"/>
              <w:wordWrap w:val="0"/>
              <w:overflowPunct/>
              <w:topLinePunct w:val="0"/>
              <w:autoSpaceDE w:val="0"/>
              <w:autoSpaceDN w:val="0"/>
              <w:bidi w:val="0"/>
              <w:adjustRightInd w:val="0"/>
              <w:snapToGrid w:val="0"/>
              <w:spacing w:before="211" w:line="228" w:lineRule="auto"/>
              <w:ind w:left="65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技术员</w:t>
            </w:r>
          </w:p>
        </w:tc>
        <w:tc>
          <w:tcPr>
            <w:tcW w:w="1527" w:type="dxa"/>
            <w:vAlign w:val="top"/>
          </w:tcPr>
          <w:p w14:paraId="773ECE69">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r w14:paraId="1B267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 w:hRule="atLeast"/>
        </w:trPr>
        <w:tc>
          <w:tcPr>
            <w:tcW w:w="1591" w:type="dxa"/>
            <w:vAlign w:val="center"/>
          </w:tcPr>
          <w:p w14:paraId="1C145867">
            <w:pPr>
              <w:keepNext w:val="0"/>
              <w:keepLines w:val="0"/>
              <w:pageBreakBefore w:val="0"/>
              <w:widowControl/>
              <w:kinsoku w:val="0"/>
              <w:wordWrap w:val="0"/>
              <w:overflowPunct/>
              <w:topLinePunct w:val="0"/>
              <w:autoSpaceDE w:val="0"/>
              <w:autoSpaceDN w:val="0"/>
              <w:bidi w:val="0"/>
              <w:adjustRightInd w:val="0"/>
              <w:snapToGrid w:val="0"/>
              <w:spacing w:before="65" w:line="229"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经营范围</w:t>
            </w:r>
          </w:p>
        </w:tc>
        <w:tc>
          <w:tcPr>
            <w:tcW w:w="7508" w:type="dxa"/>
            <w:gridSpan w:val="8"/>
            <w:vAlign w:val="top"/>
          </w:tcPr>
          <w:p w14:paraId="78175160">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r w14:paraId="5CA65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7" w:hRule="atLeast"/>
        </w:trPr>
        <w:tc>
          <w:tcPr>
            <w:tcW w:w="1591" w:type="dxa"/>
            <w:vAlign w:val="center"/>
          </w:tcPr>
          <w:p w14:paraId="52A98BFF">
            <w:pPr>
              <w:keepNext w:val="0"/>
              <w:keepLines w:val="0"/>
              <w:pageBreakBefore w:val="0"/>
              <w:widowControl/>
              <w:kinsoku w:val="0"/>
              <w:wordWrap w:val="0"/>
              <w:overflowPunct/>
              <w:topLinePunct w:val="0"/>
              <w:autoSpaceDE w:val="0"/>
              <w:autoSpaceDN w:val="0"/>
              <w:bidi w:val="0"/>
              <w:adjustRightInd w:val="0"/>
              <w:snapToGrid w:val="0"/>
              <w:spacing w:before="65" w:line="229"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关联企业情况</w:t>
            </w:r>
          </w:p>
        </w:tc>
        <w:tc>
          <w:tcPr>
            <w:tcW w:w="7508" w:type="dxa"/>
            <w:gridSpan w:val="8"/>
            <w:vAlign w:val="top"/>
          </w:tcPr>
          <w:p w14:paraId="5EFCA351">
            <w:pPr>
              <w:keepNext w:val="0"/>
              <w:keepLines w:val="0"/>
              <w:pageBreakBefore w:val="0"/>
              <w:widowControl/>
              <w:kinsoku w:val="0"/>
              <w:wordWrap w:val="0"/>
              <w:overflowPunct/>
              <w:topLinePunct w:val="0"/>
              <w:autoSpaceDE w:val="0"/>
              <w:autoSpaceDN w:val="0"/>
              <w:bidi w:val="0"/>
              <w:adjustRightInd w:val="0"/>
              <w:snapToGrid w:val="0"/>
              <w:spacing w:before="168" w:line="228" w:lineRule="auto"/>
              <w:ind w:left="11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包括但不限于与投标人存在以下关系的不同单位：</w:t>
            </w:r>
          </w:p>
          <w:p w14:paraId="4A7FA872">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12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13"/>
                <w:sz w:val="24"/>
                <w:szCs w:val="24"/>
                <w:highlight w:val="none"/>
                <w:lang w:eastAsia="zh-CN"/>
              </w:rPr>
              <w:t>.</w:t>
            </w:r>
            <w:r>
              <w:rPr>
                <w:rFonts w:hint="eastAsia" w:ascii="宋体" w:hAnsi="宋体" w:eastAsia="宋体" w:cs="宋体"/>
                <w:color w:val="auto"/>
                <w:spacing w:val="4"/>
                <w:sz w:val="24"/>
                <w:szCs w:val="24"/>
                <w:highlight w:val="none"/>
              </w:rPr>
              <w:t>法定代表人为同一人的。</w:t>
            </w:r>
          </w:p>
          <w:p w14:paraId="416ED6EF">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10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13"/>
                <w:sz w:val="24"/>
                <w:szCs w:val="24"/>
                <w:highlight w:val="none"/>
                <w:lang w:eastAsia="zh-CN"/>
              </w:rPr>
              <w:t>.</w:t>
            </w:r>
            <w:r>
              <w:rPr>
                <w:rFonts w:hint="eastAsia" w:ascii="宋体" w:hAnsi="宋体" w:eastAsia="宋体" w:cs="宋体"/>
                <w:color w:val="auto"/>
                <w:spacing w:val="6"/>
                <w:sz w:val="24"/>
                <w:szCs w:val="24"/>
                <w:highlight w:val="none"/>
              </w:rPr>
              <w:t>存在控股、管理关系的。</w:t>
            </w:r>
          </w:p>
          <w:p w14:paraId="2E78667B">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1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3</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13"/>
                <w:sz w:val="24"/>
                <w:szCs w:val="24"/>
                <w:highlight w:val="none"/>
                <w:lang w:eastAsia="zh-CN"/>
              </w:rPr>
              <w:t>.</w:t>
            </w:r>
            <w:r>
              <w:rPr>
                <w:rFonts w:hint="eastAsia" w:ascii="宋体" w:hAnsi="宋体" w:eastAsia="宋体" w:cs="宋体"/>
                <w:color w:val="auto"/>
                <w:spacing w:val="5"/>
                <w:sz w:val="24"/>
                <w:szCs w:val="24"/>
                <w:highlight w:val="none"/>
              </w:rPr>
              <w:t>主要人员相互任职的。</w:t>
            </w:r>
          </w:p>
        </w:tc>
      </w:tr>
      <w:tr w14:paraId="245E4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 w:hRule="atLeast"/>
        </w:trPr>
        <w:tc>
          <w:tcPr>
            <w:tcW w:w="1591" w:type="dxa"/>
            <w:vAlign w:val="top"/>
          </w:tcPr>
          <w:p w14:paraId="0B1A642B">
            <w:pPr>
              <w:keepNext w:val="0"/>
              <w:keepLines w:val="0"/>
              <w:pageBreakBefore w:val="0"/>
              <w:widowControl/>
              <w:kinsoku w:val="0"/>
              <w:wordWrap w:val="0"/>
              <w:overflowPunct/>
              <w:topLinePunct w:val="0"/>
              <w:autoSpaceDE w:val="0"/>
              <w:autoSpaceDN w:val="0"/>
              <w:bidi w:val="0"/>
              <w:adjustRightInd w:val="0"/>
              <w:snapToGrid w:val="0"/>
              <w:spacing w:before="235" w:line="230" w:lineRule="auto"/>
              <w:ind w:left="542"/>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3"/>
                <w:sz w:val="24"/>
                <w:szCs w:val="24"/>
                <w:highlight w:val="none"/>
                <w:lang w:val="en-US" w:eastAsia="zh-CN"/>
              </w:rPr>
              <w:t>备注</w:t>
            </w:r>
          </w:p>
        </w:tc>
        <w:tc>
          <w:tcPr>
            <w:tcW w:w="7508" w:type="dxa"/>
            <w:gridSpan w:val="8"/>
            <w:vAlign w:val="top"/>
          </w:tcPr>
          <w:p w14:paraId="63E087EA">
            <w:pPr>
              <w:pStyle w:val="25"/>
              <w:keepNext w:val="0"/>
              <w:keepLines w:val="0"/>
              <w:pageBreakBefore w:val="0"/>
              <w:widowControl/>
              <w:kinsoku w:val="0"/>
              <w:wordWrap w:val="0"/>
              <w:overflowPunct/>
              <w:topLinePunct w:val="0"/>
              <w:autoSpaceDE w:val="0"/>
              <w:autoSpaceDN w:val="0"/>
              <w:bidi w:val="0"/>
              <w:adjustRightInd w:val="0"/>
              <w:snapToGrid w:val="0"/>
              <w:textAlignment w:val="baseline"/>
              <w:rPr>
                <w:rFonts w:hint="eastAsia" w:ascii="宋体" w:hAnsi="宋体" w:eastAsia="宋体" w:cs="宋体"/>
                <w:color w:val="auto"/>
                <w:sz w:val="24"/>
                <w:szCs w:val="24"/>
                <w:highlight w:val="none"/>
              </w:rPr>
            </w:pPr>
          </w:p>
        </w:tc>
      </w:tr>
    </w:tbl>
    <w:p w14:paraId="2CDDCDA5">
      <w:pPr>
        <w:pageBreakBefore w:val="0"/>
        <w:kinsoku/>
        <w:wordWrap w:val="0"/>
        <w:overflowPunct/>
        <w:topLinePunct w:val="0"/>
        <w:bidi w:val="0"/>
        <w:spacing w:before="140" w:line="240" w:lineRule="auto"/>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说明：</w:t>
      </w:r>
    </w:p>
    <w:p w14:paraId="3E4045BF">
      <w:pPr>
        <w:keepNext w:val="0"/>
        <w:keepLines w:val="0"/>
        <w:pageBreakBefore w:val="0"/>
        <w:widowControl/>
        <w:kinsoku/>
        <w:wordWrap w:val="0"/>
        <w:overflowPunct/>
        <w:topLinePunct w:val="0"/>
        <w:autoSpaceDE w:val="0"/>
        <w:autoSpaceDN w:val="0"/>
        <w:bidi w:val="0"/>
        <w:adjustRightInd w:val="0"/>
        <w:snapToGrid w:val="0"/>
        <w:spacing w:before="81" w:line="240" w:lineRule="auto"/>
        <w:textAlignment w:val="baseline"/>
        <w:outlineLvl w:val="9"/>
        <w:rPr>
          <w:rFonts w:hint="eastAsia" w:ascii="宋体" w:hAnsi="宋体" w:eastAsia="宋体" w:cs="宋体"/>
          <w:color w:val="auto"/>
          <w:spacing w:val="4"/>
          <w:sz w:val="21"/>
          <w:szCs w:val="21"/>
          <w:highlight w:val="none"/>
        </w:rPr>
      </w:pPr>
      <w:bookmarkStart w:id="242" w:name="_Toc5131"/>
      <w:bookmarkStart w:id="243" w:name="_Toc14048"/>
      <w:r>
        <w:rPr>
          <w:rFonts w:hint="eastAsia" w:ascii="宋体" w:hAnsi="宋体" w:eastAsia="宋体" w:cs="宋体"/>
          <w:color w:val="auto"/>
          <w:spacing w:val="4"/>
          <w:sz w:val="22"/>
          <w:szCs w:val="22"/>
          <w:highlight w:val="none"/>
        </w:rPr>
        <w:t xml:space="preserve">1 </w:t>
      </w:r>
      <w:r>
        <w:rPr>
          <w:rFonts w:hint="eastAsia" w:ascii="宋体" w:hAnsi="宋体" w:eastAsia="宋体" w:cs="宋体"/>
          <w:color w:val="auto"/>
          <w:spacing w:val="4"/>
          <w:sz w:val="21"/>
          <w:szCs w:val="21"/>
          <w:highlight w:val="none"/>
        </w:rPr>
        <w:t>．《投标人基本情况表》后应附以下资料：</w:t>
      </w:r>
      <w:bookmarkEnd w:id="242"/>
      <w:bookmarkEnd w:id="243"/>
    </w:p>
    <w:p w14:paraId="2CEABDBC">
      <w:pPr>
        <w:keepNext w:val="0"/>
        <w:keepLines w:val="0"/>
        <w:pageBreakBefore w:val="0"/>
        <w:widowControl/>
        <w:kinsoku/>
        <w:wordWrap w:val="0"/>
        <w:overflowPunct/>
        <w:topLinePunct w:val="0"/>
        <w:autoSpaceDE w:val="0"/>
        <w:autoSpaceDN w:val="0"/>
        <w:bidi w:val="0"/>
        <w:adjustRightInd w:val="0"/>
        <w:snapToGrid w:val="0"/>
        <w:spacing w:before="153" w:line="240" w:lineRule="auto"/>
        <w:textAlignment w:val="baseline"/>
        <w:rPr>
          <w:rFonts w:hint="eastAsia" w:ascii="宋体" w:hAnsi="宋体" w:eastAsia="宋体" w:cs="宋体"/>
          <w:color w:val="auto"/>
          <w:spacing w:val="6"/>
          <w:sz w:val="21"/>
          <w:szCs w:val="21"/>
          <w:highlight w:val="none"/>
        </w:rPr>
      </w:pPr>
      <w:r>
        <w:rPr>
          <w:rFonts w:hint="eastAsia" w:ascii="宋体" w:hAnsi="宋体" w:eastAsia="宋体" w:cs="宋体"/>
          <w:color w:val="auto"/>
          <w:spacing w:val="9"/>
          <w:sz w:val="21"/>
          <w:szCs w:val="21"/>
          <w:highlight w:val="none"/>
          <w:lang w:eastAsia="zh-CN"/>
        </w:rPr>
        <w:t>（1）企业营业执照、资质证书、安全生产许可证的（因推行电子证照，企业的营业执照、资质证书等可以提供电子证照。为实时掌握项目投标单位的是否具备企业安全生产条件，企业的安全生产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7EFD6D50">
      <w:pPr>
        <w:keepNext w:val="0"/>
        <w:keepLines w:val="0"/>
        <w:pageBreakBefore w:val="0"/>
        <w:widowControl/>
        <w:kinsoku/>
        <w:wordWrap w:val="0"/>
        <w:overflowPunct/>
        <w:topLinePunct w:val="0"/>
        <w:autoSpaceDE w:val="0"/>
        <w:autoSpaceDN w:val="0"/>
        <w:bidi w:val="0"/>
        <w:adjustRightInd w:val="0"/>
        <w:snapToGrid w:val="0"/>
        <w:spacing w:before="153" w:line="240" w:lineRule="auto"/>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lang w:eastAsia="zh-CN"/>
        </w:rPr>
        <w:t>（2）</w:t>
      </w:r>
      <w:r>
        <w:rPr>
          <w:rFonts w:hint="eastAsia" w:ascii="宋体" w:hAnsi="宋体" w:eastAsia="宋体" w:cs="宋体"/>
          <w:color w:val="auto"/>
          <w:spacing w:val="9"/>
          <w:sz w:val="21"/>
          <w:szCs w:val="21"/>
          <w:highlight w:val="none"/>
        </w:rPr>
        <w:t>“进粤企业和人员诚信信息登记平台</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8"/>
          <w:sz w:val="21"/>
          <w:szCs w:val="21"/>
          <w:highlight w:val="none"/>
        </w:rPr>
        <w:t>”企业信息情况打印页。（适用于省外建筑企业）</w:t>
      </w:r>
    </w:p>
    <w:p w14:paraId="6F0B00EB">
      <w:pPr>
        <w:keepNext w:val="0"/>
        <w:keepLines w:val="0"/>
        <w:pageBreakBefore w:val="0"/>
        <w:widowControl/>
        <w:kinsoku/>
        <w:wordWrap w:val="0"/>
        <w:overflowPunct/>
        <w:topLinePunct w:val="0"/>
        <w:autoSpaceDE w:val="0"/>
        <w:autoSpaceDN w:val="0"/>
        <w:bidi w:val="0"/>
        <w:adjustRightInd w:val="0"/>
        <w:snapToGrid w:val="0"/>
        <w:spacing w:before="153" w:line="240" w:lineRule="auto"/>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1"/>
          <w:szCs w:val="21"/>
          <w:highlight w:val="none"/>
          <w:lang w:eastAsia="zh-CN"/>
        </w:rPr>
        <w:t>（3）</w:t>
      </w:r>
      <w:r>
        <w:rPr>
          <w:rFonts w:hint="eastAsia" w:ascii="宋体" w:hAnsi="宋体" w:eastAsia="宋体" w:cs="宋体"/>
          <w:color w:val="auto"/>
          <w:spacing w:val="8"/>
          <w:sz w:val="21"/>
          <w:szCs w:val="21"/>
          <w:highlight w:val="none"/>
        </w:rPr>
        <w:t>《法人和非法人组织公共信用信息报告》（在“信用中国</w:t>
      </w:r>
      <w:r>
        <w:rPr>
          <w:rFonts w:hint="eastAsia" w:ascii="宋体" w:hAnsi="宋体" w:eastAsia="宋体" w:cs="宋体"/>
          <w:color w:val="auto"/>
          <w:spacing w:val="-70"/>
          <w:sz w:val="21"/>
          <w:szCs w:val="21"/>
          <w:highlight w:val="none"/>
        </w:rPr>
        <w:t xml:space="preserve"> </w:t>
      </w:r>
      <w:r>
        <w:rPr>
          <w:rFonts w:hint="eastAsia" w:ascii="宋体" w:hAnsi="宋体" w:eastAsia="宋体" w:cs="宋体"/>
          <w:color w:val="auto"/>
          <w:spacing w:val="8"/>
          <w:sz w:val="21"/>
          <w:szCs w:val="21"/>
          <w:highlight w:val="none"/>
        </w:rPr>
        <w:t>”网站企业查询界面</w:t>
      </w:r>
      <w:r>
        <w:rPr>
          <w:rFonts w:hint="eastAsia" w:ascii="宋体" w:hAnsi="宋体" w:eastAsia="宋体" w:cs="宋体"/>
          <w:color w:val="auto"/>
          <w:spacing w:val="7"/>
          <w:sz w:val="21"/>
          <w:szCs w:val="21"/>
          <w:highlight w:val="none"/>
        </w:rPr>
        <w:t>中下载）</w:t>
      </w:r>
      <w:r>
        <w:rPr>
          <w:rFonts w:hint="eastAsia" w:ascii="宋体" w:hAnsi="宋体" w:eastAsia="宋体" w:cs="宋体"/>
          <w:color w:val="auto"/>
          <w:spacing w:val="7"/>
          <w:sz w:val="22"/>
          <w:szCs w:val="22"/>
          <w:highlight w:val="none"/>
        </w:rPr>
        <w:t>。</w:t>
      </w:r>
    </w:p>
    <w:p w14:paraId="466C45A1">
      <w:pPr>
        <w:kinsoku/>
        <w:wordWrap w:val="0"/>
        <w:spacing w:before="0" w:line="240" w:lineRule="auto"/>
        <w:outlineLvl w:val="9"/>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br w:type="page"/>
      </w:r>
      <w:bookmarkStart w:id="244" w:name="_Toc10606"/>
      <w:r>
        <w:rPr>
          <w:rFonts w:hint="eastAsia" w:ascii="宋体" w:hAnsi="宋体" w:eastAsia="宋体" w:cs="宋体"/>
          <w:b/>
          <w:bCs/>
          <w:color w:val="auto"/>
          <w:spacing w:val="-4"/>
          <w:sz w:val="24"/>
          <w:szCs w:val="24"/>
          <w:highlight w:val="none"/>
        </w:rPr>
        <w:t>格式八 项目经理简历表</w:t>
      </w:r>
      <w:bookmarkEnd w:id="244"/>
    </w:p>
    <w:p w14:paraId="1DBA7B98">
      <w:pPr>
        <w:pStyle w:val="6"/>
        <w:spacing w:line="444" w:lineRule="auto"/>
        <w:rPr>
          <w:rFonts w:hint="eastAsia" w:ascii="宋体" w:hAnsi="宋体" w:eastAsia="宋体" w:cs="宋体"/>
          <w:color w:val="auto"/>
          <w:highlight w:val="none"/>
        </w:rPr>
      </w:pPr>
    </w:p>
    <w:p w14:paraId="0CAE90B5">
      <w:pPr>
        <w:spacing w:before="97" w:line="219" w:lineRule="auto"/>
        <w:ind w:left="3538"/>
        <w:outlineLvl w:val="9"/>
        <w:rPr>
          <w:rFonts w:hint="eastAsia" w:ascii="宋体" w:hAnsi="宋体" w:eastAsia="宋体" w:cs="宋体"/>
          <w:color w:val="auto"/>
          <w:sz w:val="30"/>
          <w:szCs w:val="30"/>
          <w:highlight w:val="none"/>
        </w:rPr>
      </w:pPr>
      <w:bookmarkStart w:id="245" w:name="bookmark156"/>
      <w:bookmarkEnd w:id="245"/>
      <w:bookmarkStart w:id="246" w:name="bookmark89"/>
      <w:bookmarkEnd w:id="246"/>
      <w:bookmarkStart w:id="247" w:name="_Toc31533"/>
      <w:bookmarkStart w:id="248" w:name="_Toc24489"/>
      <w:r>
        <w:rPr>
          <w:rFonts w:hint="eastAsia" w:ascii="宋体" w:hAnsi="宋体" w:eastAsia="宋体" w:cs="宋体"/>
          <w:b/>
          <w:bCs/>
          <w:color w:val="auto"/>
          <w:spacing w:val="-5"/>
          <w:sz w:val="30"/>
          <w:szCs w:val="30"/>
          <w:highlight w:val="none"/>
        </w:rPr>
        <w:t>项目经理简历表</w:t>
      </w:r>
      <w:bookmarkEnd w:id="247"/>
      <w:bookmarkEnd w:id="248"/>
    </w:p>
    <w:p w14:paraId="59593258">
      <w:pPr>
        <w:spacing w:line="240" w:lineRule="exact"/>
        <w:rPr>
          <w:rFonts w:hint="eastAsia" w:ascii="宋体" w:hAnsi="宋体" w:eastAsia="宋体" w:cs="宋体"/>
          <w:color w:val="auto"/>
          <w:highlight w:val="none"/>
        </w:rPr>
      </w:pPr>
    </w:p>
    <w:tbl>
      <w:tblPr>
        <w:tblStyle w:val="17"/>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4554F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top"/>
          </w:tcPr>
          <w:p w14:paraId="38F4F2C1">
            <w:pPr>
              <w:spacing w:before="177" w:line="228" w:lineRule="auto"/>
              <w:ind w:left="50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94" w:type="dxa"/>
            <w:gridSpan w:val="2"/>
            <w:vAlign w:val="top"/>
          </w:tcPr>
          <w:p w14:paraId="0E27BBB7">
            <w:pPr>
              <w:pStyle w:val="25"/>
              <w:rPr>
                <w:rFonts w:hint="eastAsia" w:ascii="宋体" w:hAnsi="宋体" w:eastAsia="宋体" w:cs="宋体"/>
                <w:color w:val="auto"/>
                <w:sz w:val="24"/>
                <w:szCs w:val="24"/>
                <w:highlight w:val="none"/>
              </w:rPr>
            </w:pPr>
          </w:p>
        </w:tc>
        <w:tc>
          <w:tcPr>
            <w:tcW w:w="1357" w:type="dxa"/>
            <w:vAlign w:val="top"/>
          </w:tcPr>
          <w:p w14:paraId="5E64039D">
            <w:pPr>
              <w:spacing w:before="177" w:line="229" w:lineRule="auto"/>
              <w:ind w:left="3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62" w:type="dxa"/>
            <w:vAlign w:val="top"/>
          </w:tcPr>
          <w:p w14:paraId="68D9664A">
            <w:pPr>
              <w:pStyle w:val="25"/>
              <w:rPr>
                <w:rFonts w:hint="eastAsia" w:ascii="宋体" w:hAnsi="宋体" w:eastAsia="宋体" w:cs="宋体"/>
                <w:color w:val="auto"/>
                <w:sz w:val="24"/>
                <w:szCs w:val="24"/>
                <w:highlight w:val="none"/>
              </w:rPr>
            </w:pPr>
          </w:p>
        </w:tc>
        <w:tc>
          <w:tcPr>
            <w:tcW w:w="1798" w:type="dxa"/>
            <w:vAlign w:val="top"/>
          </w:tcPr>
          <w:p w14:paraId="3FC87041">
            <w:pPr>
              <w:spacing w:before="177" w:line="228" w:lineRule="auto"/>
              <w:ind w:left="48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98" w:type="dxa"/>
            <w:vAlign w:val="top"/>
          </w:tcPr>
          <w:p w14:paraId="02E0EF39">
            <w:pPr>
              <w:pStyle w:val="25"/>
              <w:rPr>
                <w:rFonts w:hint="eastAsia" w:ascii="宋体" w:hAnsi="宋体" w:eastAsia="宋体" w:cs="宋体"/>
                <w:color w:val="auto"/>
                <w:sz w:val="24"/>
                <w:szCs w:val="24"/>
                <w:highlight w:val="none"/>
              </w:rPr>
            </w:pPr>
          </w:p>
        </w:tc>
      </w:tr>
      <w:tr w14:paraId="59723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top"/>
          </w:tcPr>
          <w:p w14:paraId="6E04C4D2">
            <w:pPr>
              <w:spacing w:before="175" w:line="228" w:lineRule="auto"/>
              <w:ind w:left="50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94" w:type="dxa"/>
            <w:gridSpan w:val="2"/>
            <w:vAlign w:val="top"/>
          </w:tcPr>
          <w:p w14:paraId="59BA2A8F">
            <w:pPr>
              <w:pStyle w:val="25"/>
              <w:rPr>
                <w:rFonts w:hint="eastAsia" w:ascii="宋体" w:hAnsi="宋体" w:eastAsia="宋体" w:cs="宋体"/>
                <w:color w:val="auto"/>
                <w:sz w:val="24"/>
                <w:szCs w:val="24"/>
                <w:highlight w:val="none"/>
              </w:rPr>
            </w:pPr>
          </w:p>
        </w:tc>
        <w:tc>
          <w:tcPr>
            <w:tcW w:w="1357" w:type="dxa"/>
            <w:vAlign w:val="top"/>
          </w:tcPr>
          <w:p w14:paraId="5913F49D">
            <w:pPr>
              <w:spacing w:before="174" w:line="231" w:lineRule="auto"/>
              <w:ind w:left="3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62" w:type="dxa"/>
            <w:vAlign w:val="top"/>
          </w:tcPr>
          <w:p w14:paraId="0D719B3D">
            <w:pPr>
              <w:pStyle w:val="25"/>
              <w:rPr>
                <w:rFonts w:hint="eastAsia" w:ascii="宋体" w:hAnsi="宋体" w:eastAsia="宋体" w:cs="宋体"/>
                <w:color w:val="auto"/>
                <w:sz w:val="24"/>
                <w:szCs w:val="24"/>
                <w:highlight w:val="none"/>
              </w:rPr>
            </w:pPr>
          </w:p>
        </w:tc>
        <w:tc>
          <w:tcPr>
            <w:tcW w:w="1798" w:type="dxa"/>
            <w:vAlign w:val="top"/>
          </w:tcPr>
          <w:p w14:paraId="3C4F5945">
            <w:pPr>
              <w:spacing w:before="175" w:line="230"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98" w:type="dxa"/>
            <w:vAlign w:val="top"/>
          </w:tcPr>
          <w:p w14:paraId="772D8AB2">
            <w:pPr>
              <w:pStyle w:val="25"/>
              <w:rPr>
                <w:rFonts w:hint="eastAsia" w:ascii="宋体" w:hAnsi="宋体" w:eastAsia="宋体" w:cs="宋体"/>
                <w:color w:val="auto"/>
                <w:sz w:val="24"/>
                <w:szCs w:val="24"/>
                <w:highlight w:val="none"/>
              </w:rPr>
            </w:pPr>
          </w:p>
        </w:tc>
      </w:tr>
      <w:tr w14:paraId="41BAF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828" w:type="dxa"/>
            <w:gridSpan w:val="2"/>
            <w:vAlign w:val="top"/>
          </w:tcPr>
          <w:p w14:paraId="3D285945">
            <w:pPr>
              <w:spacing w:before="175" w:line="229" w:lineRule="auto"/>
              <w:ind w:left="24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651" w:type="dxa"/>
            <w:gridSpan w:val="3"/>
            <w:vAlign w:val="top"/>
          </w:tcPr>
          <w:p w14:paraId="4D8E12D6">
            <w:pPr>
              <w:pStyle w:val="25"/>
              <w:rPr>
                <w:rFonts w:hint="eastAsia" w:ascii="宋体" w:hAnsi="宋体" w:eastAsia="宋体" w:cs="宋体"/>
                <w:color w:val="auto"/>
                <w:sz w:val="24"/>
                <w:szCs w:val="24"/>
                <w:highlight w:val="none"/>
              </w:rPr>
            </w:pPr>
          </w:p>
        </w:tc>
        <w:tc>
          <w:tcPr>
            <w:tcW w:w="3860" w:type="dxa"/>
            <w:gridSpan w:val="2"/>
            <w:vAlign w:val="top"/>
          </w:tcPr>
          <w:p w14:paraId="3410F97D">
            <w:pPr>
              <w:spacing w:before="176" w:line="228"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98" w:type="dxa"/>
            <w:vAlign w:val="top"/>
          </w:tcPr>
          <w:p w14:paraId="5CA4498F">
            <w:pPr>
              <w:pStyle w:val="25"/>
              <w:rPr>
                <w:rFonts w:hint="eastAsia" w:ascii="宋体" w:hAnsi="宋体" w:eastAsia="宋体" w:cs="宋体"/>
                <w:color w:val="auto"/>
                <w:sz w:val="24"/>
                <w:szCs w:val="24"/>
                <w:highlight w:val="none"/>
              </w:rPr>
            </w:pPr>
          </w:p>
        </w:tc>
      </w:tr>
      <w:tr w14:paraId="0792C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top"/>
          </w:tcPr>
          <w:p w14:paraId="19780F0C">
            <w:pPr>
              <w:spacing w:before="176" w:line="228" w:lineRule="auto"/>
              <w:ind w:left="23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以项目经理身份参与过的主要业绩（已完工项目）</w:t>
            </w:r>
          </w:p>
        </w:tc>
      </w:tr>
      <w:tr w14:paraId="44C6D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top"/>
          </w:tcPr>
          <w:p w14:paraId="2CA330A6">
            <w:pPr>
              <w:spacing w:before="176" w:line="230" w:lineRule="auto"/>
              <w:ind w:left="183"/>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24" w:type="dxa"/>
            <w:gridSpan w:val="2"/>
            <w:vAlign w:val="top"/>
          </w:tcPr>
          <w:p w14:paraId="387E6BB1">
            <w:pPr>
              <w:spacing w:before="176"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37" w:type="dxa"/>
            <w:gridSpan w:val="2"/>
            <w:vAlign w:val="top"/>
          </w:tcPr>
          <w:p w14:paraId="60841D39">
            <w:pPr>
              <w:spacing w:before="176" w:line="229" w:lineRule="auto"/>
              <w:ind w:left="5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62" w:type="dxa"/>
            <w:vAlign w:val="top"/>
          </w:tcPr>
          <w:p w14:paraId="0511F79F">
            <w:pPr>
              <w:spacing w:before="176" w:line="228" w:lineRule="auto"/>
              <w:ind w:left="26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98" w:type="dxa"/>
            <w:vAlign w:val="top"/>
          </w:tcPr>
          <w:p w14:paraId="1FA090F6">
            <w:pPr>
              <w:spacing w:before="176" w:line="228" w:lineRule="auto"/>
              <w:ind w:left="238"/>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98" w:type="dxa"/>
            <w:vAlign w:val="top"/>
          </w:tcPr>
          <w:p w14:paraId="46379B80">
            <w:pPr>
              <w:spacing w:before="176" w:line="228" w:lineRule="auto"/>
              <w:ind w:left="25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6216D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4A3F448C">
            <w:pPr>
              <w:spacing w:before="214" w:line="195" w:lineRule="auto"/>
              <w:ind w:left="3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24" w:type="dxa"/>
            <w:gridSpan w:val="2"/>
            <w:vAlign w:val="top"/>
          </w:tcPr>
          <w:p w14:paraId="0F1E5CCA">
            <w:pPr>
              <w:pStyle w:val="25"/>
              <w:rPr>
                <w:rFonts w:hint="eastAsia" w:ascii="宋体" w:hAnsi="宋体" w:eastAsia="宋体" w:cs="宋体"/>
                <w:color w:val="auto"/>
                <w:sz w:val="24"/>
                <w:szCs w:val="24"/>
                <w:highlight w:val="none"/>
              </w:rPr>
            </w:pPr>
          </w:p>
        </w:tc>
        <w:tc>
          <w:tcPr>
            <w:tcW w:w="2037" w:type="dxa"/>
            <w:gridSpan w:val="2"/>
            <w:vAlign w:val="top"/>
          </w:tcPr>
          <w:p w14:paraId="78888A3B">
            <w:pPr>
              <w:pStyle w:val="25"/>
              <w:rPr>
                <w:rFonts w:hint="eastAsia" w:ascii="宋体" w:hAnsi="宋体" w:eastAsia="宋体" w:cs="宋体"/>
                <w:color w:val="auto"/>
                <w:sz w:val="24"/>
                <w:szCs w:val="24"/>
                <w:highlight w:val="none"/>
              </w:rPr>
            </w:pPr>
          </w:p>
        </w:tc>
        <w:tc>
          <w:tcPr>
            <w:tcW w:w="2062" w:type="dxa"/>
            <w:vAlign w:val="top"/>
          </w:tcPr>
          <w:p w14:paraId="74289F65">
            <w:pPr>
              <w:pStyle w:val="25"/>
              <w:rPr>
                <w:rFonts w:hint="eastAsia" w:ascii="宋体" w:hAnsi="宋体" w:eastAsia="宋体" w:cs="宋体"/>
                <w:color w:val="auto"/>
                <w:sz w:val="24"/>
                <w:szCs w:val="24"/>
                <w:highlight w:val="none"/>
              </w:rPr>
            </w:pPr>
          </w:p>
        </w:tc>
        <w:tc>
          <w:tcPr>
            <w:tcW w:w="1798" w:type="dxa"/>
            <w:vAlign w:val="top"/>
          </w:tcPr>
          <w:p w14:paraId="22429141">
            <w:pPr>
              <w:pStyle w:val="25"/>
              <w:rPr>
                <w:rFonts w:hint="eastAsia" w:ascii="宋体" w:hAnsi="宋体" w:eastAsia="宋体" w:cs="宋体"/>
                <w:color w:val="auto"/>
                <w:sz w:val="24"/>
                <w:szCs w:val="24"/>
                <w:highlight w:val="none"/>
              </w:rPr>
            </w:pPr>
          </w:p>
        </w:tc>
        <w:tc>
          <w:tcPr>
            <w:tcW w:w="1398" w:type="dxa"/>
            <w:vAlign w:val="top"/>
          </w:tcPr>
          <w:p w14:paraId="0CCA428D">
            <w:pPr>
              <w:pStyle w:val="25"/>
              <w:rPr>
                <w:rFonts w:hint="eastAsia" w:ascii="宋体" w:hAnsi="宋体" w:eastAsia="宋体" w:cs="宋体"/>
                <w:color w:val="auto"/>
                <w:sz w:val="24"/>
                <w:szCs w:val="24"/>
                <w:highlight w:val="none"/>
              </w:rPr>
            </w:pPr>
          </w:p>
        </w:tc>
      </w:tr>
      <w:tr w14:paraId="41D90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top"/>
          </w:tcPr>
          <w:p w14:paraId="2AE59E84">
            <w:pPr>
              <w:spacing w:before="213" w:line="195" w:lineRule="auto"/>
              <w:ind w:left="3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24" w:type="dxa"/>
            <w:gridSpan w:val="2"/>
            <w:vAlign w:val="top"/>
          </w:tcPr>
          <w:p w14:paraId="64A79A29">
            <w:pPr>
              <w:pStyle w:val="25"/>
              <w:rPr>
                <w:rFonts w:hint="eastAsia" w:ascii="宋体" w:hAnsi="宋体" w:eastAsia="宋体" w:cs="宋体"/>
                <w:color w:val="auto"/>
                <w:sz w:val="24"/>
                <w:szCs w:val="24"/>
                <w:highlight w:val="none"/>
              </w:rPr>
            </w:pPr>
          </w:p>
        </w:tc>
        <w:tc>
          <w:tcPr>
            <w:tcW w:w="2037" w:type="dxa"/>
            <w:gridSpan w:val="2"/>
            <w:vAlign w:val="top"/>
          </w:tcPr>
          <w:p w14:paraId="6061C8EF">
            <w:pPr>
              <w:pStyle w:val="25"/>
              <w:rPr>
                <w:rFonts w:hint="eastAsia" w:ascii="宋体" w:hAnsi="宋体" w:eastAsia="宋体" w:cs="宋体"/>
                <w:color w:val="auto"/>
                <w:sz w:val="24"/>
                <w:szCs w:val="24"/>
                <w:highlight w:val="none"/>
              </w:rPr>
            </w:pPr>
          </w:p>
        </w:tc>
        <w:tc>
          <w:tcPr>
            <w:tcW w:w="2062" w:type="dxa"/>
            <w:vAlign w:val="top"/>
          </w:tcPr>
          <w:p w14:paraId="37C2C8FD">
            <w:pPr>
              <w:pStyle w:val="25"/>
              <w:rPr>
                <w:rFonts w:hint="eastAsia" w:ascii="宋体" w:hAnsi="宋体" w:eastAsia="宋体" w:cs="宋体"/>
                <w:color w:val="auto"/>
                <w:sz w:val="24"/>
                <w:szCs w:val="24"/>
                <w:highlight w:val="none"/>
              </w:rPr>
            </w:pPr>
          </w:p>
        </w:tc>
        <w:tc>
          <w:tcPr>
            <w:tcW w:w="1798" w:type="dxa"/>
            <w:vAlign w:val="top"/>
          </w:tcPr>
          <w:p w14:paraId="35838BEB">
            <w:pPr>
              <w:pStyle w:val="25"/>
              <w:rPr>
                <w:rFonts w:hint="eastAsia" w:ascii="宋体" w:hAnsi="宋体" w:eastAsia="宋体" w:cs="宋体"/>
                <w:color w:val="auto"/>
                <w:sz w:val="24"/>
                <w:szCs w:val="24"/>
                <w:highlight w:val="none"/>
              </w:rPr>
            </w:pPr>
          </w:p>
        </w:tc>
        <w:tc>
          <w:tcPr>
            <w:tcW w:w="1398" w:type="dxa"/>
            <w:vAlign w:val="top"/>
          </w:tcPr>
          <w:p w14:paraId="1A7FF52A">
            <w:pPr>
              <w:pStyle w:val="25"/>
              <w:rPr>
                <w:rFonts w:hint="eastAsia" w:ascii="宋体" w:hAnsi="宋体" w:eastAsia="宋体" w:cs="宋体"/>
                <w:color w:val="auto"/>
                <w:sz w:val="24"/>
                <w:szCs w:val="24"/>
                <w:highlight w:val="none"/>
              </w:rPr>
            </w:pPr>
          </w:p>
        </w:tc>
      </w:tr>
      <w:tr w14:paraId="748CF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49A8215C">
            <w:pPr>
              <w:spacing w:before="213" w:line="195" w:lineRule="auto"/>
              <w:ind w:left="34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24" w:type="dxa"/>
            <w:gridSpan w:val="2"/>
            <w:vAlign w:val="top"/>
          </w:tcPr>
          <w:p w14:paraId="6B3BD65C">
            <w:pPr>
              <w:pStyle w:val="25"/>
              <w:rPr>
                <w:rFonts w:hint="eastAsia" w:ascii="宋体" w:hAnsi="宋体" w:eastAsia="宋体" w:cs="宋体"/>
                <w:color w:val="auto"/>
                <w:sz w:val="24"/>
                <w:szCs w:val="24"/>
                <w:highlight w:val="none"/>
              </w:rPr>
            </w:pPr>
          </w:p>
        </w:tc>
        <w:tc>
          <w:tcPr>
            <w:tcW w:w="2037" w:type="dxa"/>
            <w:gridSpan w:val="2"/>
            <w:vAlign w:val="top"/>
          </w:tcPr>
          <w:p w14:paraId="49395E10">
            <w:pPr>
              <w:pStyle w:val="25"/>
              <w:rPr>
                <w:rFonts w:hint="eastAsia" w:ascii="宋体" w:hAnsi="宋体" w:eastAsia="宋体" w:cs="宋体"/>
                <w:color w:val="auto"/>
                <w:sz w:val="24"/>
                <w:szCs w:val="24"/>
                <w:highlight w:val="none"/>
              </w:rPr>
            </w:pPr>
          </w:p>
        </w:tc>
        <w:tc>
          <w:tcPr>
            <w:tcW w:w="2062" w:type="dxa"/>
            <w:vAlign w:val="top"/>
          </w:tcPr>
          <w:p w14:paraId="38C89432">
            <w:pPr>
              <w:pStyle w:val="25"/>
              <w:rPr>
                <w:rFonts w:hint="eastAsia" w:ascii="宋体" w:hAnsi="宋体" w:eastAsia="宋体" w:cs="宋体"/>
                <w:color w:val="auto"/>
                <w:sz w:val="24"/>
                <w:szCs w:val="24"/>
                <w:highlight w:val="none"/>
              </w:rPr>
            </w:pPr>
          </w:p>
        </w:tc>
        <w:tc>
          <w:tcPr>
            <w:tcW w:w="1798" w:type="dxa"/>
            <w:vAlign w:val="top"/>
          </w:tcPr>
          <w:p w14:paraId="5214B6C3">
            <w:pPr>
              <w:pStyle w:val="25"/>
              <w:rPr>
                <w:rFonts w:hint="eastAsia" w:ascii="宋体" w:hAnsi="宋体" w:eastAsia="宋体" w:cs="宋体"/>
                <w:color w:val="auto"/>
                <w:sz w:val="24"/>
                <w:szCs w:val="24"/>
                <w:highlight w:val="none"/>
              </w:rPr>
            </w:pPr>
          </w:p>
        </w:tc>
        <w:tc>
          <w:tcPr>
            <w:tcW w:w="1398" w:type="dxa"/>
            <w:vAlign w:val="top"/>
          </w:tcPr>
          <w:p w14:paraId="359AD966">
            <w:pPr>
              <w:pStyle w:val="25"/>
              <w:rPr>
                <w:rFonts w:hint="eastAsia" w:ascii="宋体" w:hAnsi="宋体" w:eastAsia="宋体" w:cs="宋体"/>
                <w:color w:val="auto"/>
                <w:sz w:val="24"/>
                <w:szCs w:val="24"/>
                <w:highlight w:val="none"/>
              </w:rPr>
            </w:pPr>
          </w:p>
        </w:tc>
      </w:tr>
      <w:tr w14:paraId="132C3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top"/>
          </w:tcPr>
          <w:p w14:paraId="203D061C">
            <w:pPr>
              <w:spacing w:before="177" w:line="325" w:lineRule="exact"/>
              <w:ind w:left="197"/>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24" w:type="dxa"/>
            <w:gridSpan w:val="2"/>
            <w:vAlign w:val="top"/>
          </w:tcPr>
          <w:p w14:paraId="3022258E">
            <w:pPr>
              <w:pStyle w:val="25"/>
              <w:rPr>
                <w:rFonts w:hint="eastAsia" w:ascii="宋体" w:hAnsi="宋体" w:eastAsia="宋体" w:cs="宋体"/>
                <w:color w:val="auto"/>
                <w:sz w:val="24"/>
                <w:szCs w:val="24"/>
                <w:highlight w:val="none"/>
              </w:rPr>
            </w:pPr>
          </w:p>
        </w:tc>
        <w:tc>
          <w:tcPr>
            <w:tcW w:w="2037" w:type="dxa"/>
            <w:gridSpan w:val="2"/>
            <w:vAlign w:val="top"/>
          </w:tcPr>
          <w:p w14:paraId="13591C1A">
            <w:pPr>
              <w:pStyle w:val="25"/>
              <w:rPr>
                <w:rFonts w:hint="eastAsia" w:ascii="宋体" w:hAnsi="宋体" w:eastAsia="宋体" w:cs="宋体"/>
                <w:color w:val="auto"/>
                <w:sz w:val="24"/>
                <w:szCs w:val="24"/>
                <w:highlight w:val="none"/>
              </w:rPr>
            </w:pPr>
          </w:p>
        </w:tc>
        <w:tc>
          <w:tcPr>
            <w:tcW w:w="2062" w:type="dxa"/>
            <w:vAlign w:val="top"/>
          </w:tcPr>
          <w:p w14:paraId="7E190888">
            <w:pPr>
              <w:pStyle w:val="25"/>
              <w:rPr>
                <w:rFonts w:hint="eastAsia" w:ascii="宋体" w:hAnsi="宋体" w:eastAsia="宋体" w:cs="宋体"/>
                <w:color w:val="auto"/>
                <w:sz w:val="24"/>
                <w:szCs w:val="24"/>
                <w:highlight w:val="none"/>
              </w:rPr>
            </w:pPr>
          </w:p>
        </w:tc>
        <w:tc>
          <w:tcPr>
            <w:tcW w:w="1798" w:type="dxa"/>
            <w:vAlign w:val="top"/>
          </w:tcPr>
          <w:p w14:paraId="465A33C8">
            <w:pPr>
              <w:pStyle w:val="25"/>
              <w:rPr>
                <w:rFonts w:hint="eastAsia" w:ascii="宋体" w:hAnsi="宋体" w:eastAsia="宋体" w:cs="宋体"/>
                <w:color w:val="auto"/>
                <w:sz w:val="24"/>
                <w:szCs w:val="24"/>
                <w:highlight w:val="none"/>
              </w:rPr>
            </w:pPr>
          </w:p>
        </w:tc>
        <w:tc>
          <w:tcPr>
            <w:tcW w:w="1398" w:type="dxa"/>
            <w:vAlign w:val="top"/>
          </w:tcPr>
          <w:p w14:paraId="3E8CFEF8">
            <w:pPr>
              <w:pStyle w:val="25"/>
              <w:rPr>
                <w:rFonts w:hint="eastAsia" w:ascii="宋体" w:hAnsi="宋体" w:eastAsia="宋体" w:cs="宋体"/>
                <w:color w:val="auto"/>
                <w:sz w:val="24"/>
                <w:szCs w:val="24"/>
                <w:highlight w:val="none"/>
              </w:rPr>
            </w:pPr>
          </w:p>
        </w:tc>
      </w:tr>
    </w:tbl>
    <w:p w14:paraId="31E2A55D">
      <w:pPr>
        <w:pStyle w:val="6"/>
        <w:spacing w:line="315" w:lineRule="auto"/>
        <w:rPr>
          <w:rFonts w:hint="eastAsia" w:ascii="宋体" w:hAnsi="宋体" w:eastAsia="宋体" w:cs="宋体"/>
          <w:color w:val="auto"/>
          <w:highlight w:val="none"/>
        </w:rPr>
      </w:pPr>
    </w:p>
    <w:p w14:paraId="4A488FFC">
      <w:pPr>
        <w:spacing w:before="78" w:line="220" w:lineRule="auto"/>
        <w:ind w:left="696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项目经理</w:t>
      </w:r>
      <w:r>
        <w:rPr>
          <w:rFonts w:hint="eastAsia" w:ascii="宋体" w:hAnsi="宋体" w:eastAsia="宋体" w:cs="宋体"/>
          <w:color w:val="auto"/>
          <w:spacing w:val="-18"/>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3"/>
          <w:sz w:val="24"/>
          <w:szCs w:val="24"/>
          <w:highlight w:val="none"/>
        </w:rPr>
        <w:t>签字）</w:t>
      </w:r>
    </w:p>
    <w:p w14:paraId="55084914">
      <w:pPr>
        <w:pStyle w:val="6"/>
        <w:spacing w:line="256" w:lineRule="auto"/>
        <w:rPr>
          <w:rFonts w:hint="eastAsia" w:ascii="宋体" w:hAnsi="宋体" w:eastAsia="宋体" w:cs="宋体"/>
          <w:color w:val="auto"/>
          <w:highlight w:val="none"/>
        </w:rPr>
      </w:pPr>
    </w:p>
    <w:p w14:paraId="04095A12">
      <w:pPr>
        <w:pStyle w:val="6"/>
        <w:spacing w:line="254" w:lineRule="auto"/>
        <w:jc w:val="right"/>
        <w:rPr>
          <w:rFonts w:hint="eastAsia" w:ascii="宋体" w:hAnsi="宋体" w:eastAsia="宋体" w:cs="宋体"/>
          <w:color w:val="auto"/>
          <w:highlight w:val="none"/>
        </w:rPr>
      </w:pPr>
      <w:r>
        <w:rPr>
          <w:rFonts w:hint="eastAsia" w:ascii="宋体" w:hAnsi="宋体" w:eastAsia="宋体" w:cs="宋体"/>
          <w:color w:val="auto"/>
          <w:spacing w:val="-4"/>
          <w:sz w:val="24"/>
          <w:szCs w:val="24"/>
          <w:highlight w:val="non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39040016">
      <w:pPr>
        <w:spacing w:before="78" w:line="220" w:lineRule="auto"/>
        <w:ind w:left="4226"/>
        <w:jc w:val="center"/>
        <w:rPr>
          <w:rFonts w:hint="eastAsia" w:ascii="宋体" w:hAnsi="宋体" w:eastAsia="宋体" w:cs="宋体"/>
          <w:color w:val="auto"/>
          <w:highlight w:val="none"/>
        </w:rPr>
      </w:pPr>
    </w:p>
    <w:p w14:paraId="09DFFC47">
      <w:pPr>
        <w:pStyle w:val="6"/>
        <w:spacing w:line="241" w:lineRule="auto"/>
        <w:rPr>
          <w:rFonts w:hint="eastAsia" w:ascii="宋体" w:hAnsi="宋体" w:eastAsia="宋体" w:cs="宋体"/>
          <w:color w:val="auto"/>
          <w:highlight w:val="none"/>
        </w:rPr>
      </w:pPr>
    </w:p>
    <w:p w14:paraId="19347D26">
      <w:pPr>
        <w:spacing w:before="65" w:line="228"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说明：《项目经理简历表》后应附拟派项目经理以下资料：</w:t>
      </w:r>
    </w:p>
    <w:p w14:paraId="5F52ECB2">
      <w:pPr>
        <w:spacing w:before="152" w:line="228" w:lineRule="auto"/>
        <w:ind w:left="484"/>
        <w:outlineLvl w:val="9"/>
        <w:rPr>
          <w:rFonts w:hint="eastAsia" w:ascii="宋体" w:hAnsi="宋体" w:eastAsia="宋体" w:cs="宋体"/>
          <w:color w:val="auto"/>
          <w:sz w:val="24"/>
          <w:szCs w:val="24"/>
          <w:highlight w:val="none"/>
        </w:rPr>
      </w:pPr>
      <w:bookmarkStart w:id="249" w:name="_Toc25271"/>
      <w:bookmarkStart w:id="250" w:name="_Toc1942"/>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bookmarkEnd w:id="249"/>
      <w:bookmarkEnd w:id="250"/>
    </w:p>
    <w:p w14:paraId="4FCFE8D7">
      <w:pPr>
        <w:spacing w:before="153" w:line="228" w:lineRule="auto"/>
        <w:ind w:left="464"/>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8"/>
          <w:sz w:val="24"/>
          <w:szCs w:val="24"/>
          <w:highlight w:val="none"/>
        </w:rPr>
        <w:t>．建造师电子注册证书（在使用有效期内的有效电子证书）彩色扫描件；</w:t>
      </w:r>
    </w:p>
    <w:p w14:paraId="439F755F">
      <w:pPr>
        <w:spacing w:before="154" w:line="298" w:lineRule="auto"/>
        <w:ind w:left="50" w:right="167" w:firstLine="41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val="en-US" w:eastAsia="zh-CN"/>
        </w:rPr>
        <w:t>3</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8"/>
          <w:sz w:val="24"/>
          <w:szCs w:val="24"/>
          <w:highlight w:val="none"/>
        </w:rPr>
        <w:t>．B 类安全生产考核合格证书彩色扫描件或广东省建筑施工企业管理人员安全生产考核系统考</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7"/>
          <w:sz w:val="24"/>
          <w:szCs w:val="24"/>
          <w:highlight w:val="none"/>
        </w:rPr>
        <w:t>核合格信息彩色扫描件；</w:t>
      </w:r>
    </w:p>
    <w:p w14:paraId="540AD7C6">
      <w:pPr>
        <w:spacing w:before="153" w:line="299" w:lineRule="auto"/>
        <w:ind w:left="49" w:right="167" w:firstLine="41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8"/>
          <w:sz w:val="24"/>
          <w:szCs w:val="24"/>
          <w:highlight w:val="none"/>
        </w:rPr>
        <w:t>．在本单位缴纳社保</w:t>
      </w:r>
      <w:r>
        <w:rPr>
          <w:rFonts w:hint="eastAsia" w:ascii="宋体" w:hAnsi="宋体" w:eastAsia="宋体" w:cs="宋体"/>
          <w:color w:val="auto"/>
          <w:sz w:val="24"/>
          <w:szCs w:val="24"/>
          <w:highlight w:val="none"/>
          <w:lang w:eastAsia="zh-CN"/>
        </w:rPr>
        <w:t>的证明（至少1个月，其中必须有2026年</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pacing w:val="8"/>
          <w:sz w:val="24"/>
          <w:szCs w:val="24"/>
          <w:highlight w:val="none"/>
        </w:rPr>
        <w:t>彩色扫描件或打印件。拟</w:t>
      </w:r>
      <w:r>
        <w:rPr>
          <w:rFonts w:hint="eastAsia" w:ascii="宋体" w:hAnsi="宋体" w:eastAsia="宋体" w:cs="宋体"/>
          <w:color w:val="auto"/>
          <w:spacing w:val="9"/>
          <w:sz w:val="24"/>
          <w:szCs w:val="24"/>
          <w:highlight w:val="none"/>
        </w:rPr>
        <w:t>派项目经理为退休返聘人员无法提供社保证明的，提供退休证和劳动合同彩色扫描件。</w:t>
      </w:r>
    </w:p>
    <w:p w14:paraId="0D76B9F6">
      <w:pPr>
        <w:spacing w:before="150" w:line="300" w:lineRule="auto"/>
        <w:ind w:left="49" w:right="170" w:firstLine="42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5</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7"/>
          <w:sz w:val="24"/>
          <w:szCs w:val="24"/>
          <w:highlight w:val="none"/>
        </w:rPr>
        <w:t>．“进粤企业和人员诚信信息登记平台</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7"/>
          <w:sz w:val="24"/>
          <w:szCs w:val="24"/>
          <w:highlight w:val="none"/>
        </w:rPr>
        <w:t>”个人（项目经理等）信息</w:t>
      </w:r>
      <w:r>
        <w:rPr>
          <w:rFonts w:hint="eastAsia" w:ascii="宋体" w:hAnsi="宋体" w:eastAsia="宋体" w:cs="宋体"/>
          <w:color w:val="auto"/>
          <w:spacing w:val="6"/>
          <w:sz w:val="24"/>
          <w:szCs w:val="24"/>
          <w:highlight w:val="none"/>
        </w:rPr>
        <w:t>情况截图。（适用于省外建</w:t>
      </w:r>
      <w:r>
        <w:rPr>
          <w:rFonts w:hint="eastAsia" w:ascii="宋体" w:hAnsi="宋体" w:eastAsia="宋体" w:cs="宋体"/>
          <w:color w:val="auto"/>
          <w:spacing w:val="4"/>
          <w:sz w:val="24"/>
          <w:szCs w:val="24"/>
          <w:highlight w:val="none"/>
        </w:rPr>
        <w:t>筑企业）</w:t>
      </w:r>
    </w:p>
    <w:p w14:paraId="0073D580">
      <w:pPr>
        <w:spacing w:line="300" w:lineRule="auto"/>
        <w:rPr>
          <w:rFonts w:hint="eastAsia" w:ascii="宋体" w:hAnsi="宋体" w:eastAsia="宋体" w:cs="宋体"/>
          <w:color w:val="auto"/>
          <w:sz w:val="20"/>
          <w:szCs w:val="20"/>
          <w:highlight w:val="none"/>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3EA23D5">
      <w:pPr>
        <w:spacing w:before="78" w:line="220" w:lineRule="auto"/>
        <w:outlineLvl w:val="2"/>
        <w:rPr>
          <w:rFonts w:hint="eastAsia" w:ascii="宋体" w:hAnsi="宋体" w:eastAsia="宋体" w:cs="宋体"/>
          <w:b/>
          <w:bCs/>
          <w:color w:val="auto"/>
          <w:spacing w:val="-4"/>
          <w:sz w:val="24"/>
          <w:szCs w:val="24"/>
          <w:highlight w:val="none"/>
        </w:rPr>
      </w:pPr>
      <w:bookmarkStart w:id="251" w:name="_Toc7768"/>
      <w:r>
        <w:rPr>
          <w:rFonts w:hint="eastAsia" w:ascii="宋体" w:hAnsi="宋体" w:eastAsia="宋体" w:cs="宋体"/>
          <w:b/>
          <w:bCs/>
          <w:color w:val="auto"/>
          <w:spacing w:val="-4"/>
          <w:sz w:val="24"/>
          <w:szCs w:val="24"/>
          <w:highlight w:val="none"/>
        </w:rPr>
        <w:t>格式九 项目经理任职声明</w:t>
      </w:r>
      <w:bookmarkEnd w:id="251"/>
    </w:p>
    <w:p w14:paraId="612F2BD3">
      <w:pPr>
        <w:pStyle w:val="6"/>
        <w:spacing w:line="350" w:lineRule="auto"/>
        <w:rPr>
          <w:rFonts w:hint="eastAsia" w:ascii="宋体" w:hAnsi="宋体" w:eastAsia="宋体" w:cs="宋体"/>
          <w:color w:val="auto"/>
          <w:highlight w:val="none"/>
        </w:rPr>
      </w:pPr>
    </w:p>
    <w:p w14:paraId="64BA9CAE">
      <w:pPr>
        <w:pStyle w:val="6"/>
        <w:spacing w:line="350" w:lineRule="auto"/>
        <w:rPr>
          <w:rFonts w:hint="eastAsia" w:ascii="宋体" w:hAnsi="宋体" w:eastAsia="宋体" w:cs="宋体"/>
          <w:color w:val="auto"/>
          <w:highlight w:val="none"/>
        </w:rPr>
      </w:pPr>
    </w:p>
    <w:p w14:paraId="2CD81D3B">
      <w:pPr>
        <w:spacing w:before="98" w:line="220" w:lineRule="auto"/>
        <w:ind w:left="3338"/>
        <w:rPr>
          <w:rFonts w:hint="eastAsia" w:ascii="宋体" w:hAnsi="宋体" w:eastAsia="宋体" w:cs="宋体"/>
          <w:color w:val="auto"/>
          <w:sz w:val="30"/>
          <w:szCs w:val="30"/>
          <w:highlight w:val="none"/>
        </w:rPr>
      </w:pPr>
      <w:bookmarkStart w:id="252" w:name="bookmark157"/>
      <w:bookmarkEnd w:id="252"/>
      <w:r>
        <w:rPr>
          <w:rFonts w:hint="eastAsia" w:ascii="宋体" w:hAnsi="宋体" w:eastAsia="宋体" w:cs="宋体"/>
          <w:b/>
          <w:bCs/>
          <w:color w:val="auto"/>
          <w:spacing w:val="-5"/>
          <w:sz w:val="30"/>
          <w:szCs w:val="30"/>
          <w:highlight w:val="none"/>
        </w:rPr>
        <w:t>项目经理任职声明</w:t>
      </w:r>
    </w:p>
    <w:p w14:paraId="5E27ED4C">
      <w:pPr>
        <w:pStyle w:val="6"/>
        <w:spacing w:line="250" w:lineRule="auto"/>
        <w:rPr>
          <w:rFonts w:hint="eastAsia" w:ascii="宋体" w:hAnsi="宋体" w:eastAsia="宋体" w:cs="宋体"/>
          <w:color w:val="auto"/>
          <w:highlight w:val="none"/>
        </w:rPr>
      </w:pPr>
    </w:p>
    <w:p w14:paraId="2F282189">
      <w:pPr>
        <w:pStyle w:val="6"/>
        <w:spacing w:line="250" w:lineRule="auto"/>
        <w:rPr>
          <w:rFonts w:hint="eastAsia" w:ascii="宋体" w:hAnsi="宋体" w:eastAsia="宋体" w:cs="宋体"/>
          <w:color w:val="auto"/>
          <w:highlight w:val="none"/>
        </w:rPr>
      </w:pPr>
    </w:p>
    <w:p w14:paraId="5C8AA10A">
      <w:pPr>
        <w:pStyle w:val="6"/>
        <w:spacing w:line="251" w:lineRule="auto"/>
        <w:rPr>
          <w:rFonts w:hint="eastAsia" w:ascii="宋体" w:hAnsi="宋体" w:eastAsia="宋体" w:cs="宋体"/>
          <w:color w:val="auto"/>
          <w:highlight w:val="none"/>
        </w:rPr>
      </w:pPr>
    </w:p>
    <w:p w14:paraId="482F2F4D">
      <w:pPr>
        <w:spacing w:before="78" w:line="221"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致</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17"/>
          <w:sz w:val="24"/>
          <w:szCs w:val="24"/>
          <w:highlight w:val="none"/>
          <w:u w:val="single"/>
          <w:lang w:val="en-US" w:eastAsia="zh-CN"/>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9"/>
          <w:sz w:val="24"/>
          <w:szCs w:val="24"/>
          <w:highlight w:val="none"/>
        </w:rPr>
        <w:t>招标人名称</w:t>
      </w:r>
      <w:r>
        <w:rPr>
          <w:rFonts w:hint="eastAsia" w:ascii="宋体" w:hAnsi="宋体" w:eastAsia="宋体" w:cs="宋体"/>
          <w:color w:val="auto"/>
          <w:spacing w:val="-17"/>
          <w:sz w:val="24"/>
          <w:szCs w:val="24"/>
          <w:highlight w:val="none"/>
        </w:rPr>
        <w:t>）</w:t>
      </w:r>
    </w:p>
    <w:p w14:paraId="0904F3EC">
      <w:pPr>
        <w:spacing w:before="155" w:line="324"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我方在此声明，我方拟派往</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（项目名称）的项目经理</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（项目经理姓名）现阶段没有</w:t>
      </w:r>
      <w:r>
        <w:rPr>
          <w:rFonts w:hint="eastAsia" w:ascii="宋体" w:hAnsi="宋体" w:eastAsia="宋体" w:cs="宋体"/>
          <w:color w:val="auto"/>
          <w:sz w:val="24"/>
          <w:szCs w:val="24"/>
          <w:highlight w:val="none"/>
        </w:rPr>
        <w:t>担任任何在施（包括已中标未开工、已开工未竣工）</w:t>
      </w:r>
      <w:r>
        <w:rPr>
          <w:rFonts w:hint="eastAsia" w:ascii="宋体" w:hAnsi="宋体" w:eastAsia="宋体" w:cs="宋体"/>
          <w:color w:val="auto"/>
          <w:spacing w:val="-1"/>
          <w:sz w:val="24"/>
          <w:szCs w:val="24"/>
          <w:highlight w:val="none"/>
        </w:rPr>
        <w:t>建设工程项目的项目经理。</w:t>
      </w:r>
    </w:p>
    <w:p w14:paraId="640324F8">
      <w:pPr>
        <w:spacing w:before="35" w:line="326" w:lineRule="auto"/>
        <w:ind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我方保证上述信息的真实和准确，并愿意承担因我方就此弄虚作假所引起的一切法</w:t>
      </w:r>
      <w:r>
        <w:rPr>
          <w:rFonts w:hint="eastAsia" w:ascii="宋体" w:hAnsi="宋体" w:eastAsia="宋体" w:cs="宋体"/>
          <w:color w:val="auto"/>
          <w:spacing w:val="-3"/>
          <w:sz w:val="24"/>
          <w:szCs w:val="24"/>
          <w:highlight w:val="none"/>
        </w:rPr>
        <w:t>律后果。</w:t>
      </w:r>
    </w:p>
    <w:p w14:paraId="509BB5DB">
      <w:pPr>
        <w:pStyle w:val="6"/>
        <w:spacing w:line="391" w:lineRule="auto"/>
        <w:rPr>
          <w:rFonts w:hint="eastAsia" w:ascii="宋体" w:hAnsi="宋体" w:eastAsia="宋体" w:cs="宋体"/>
          <w:color w:val="auto"/>
          <w:highlight w:val="none"/>
        </w:rPr>
      </w:pPr>
    </w:p>
    <w:p w14:paraId="7EA0A4E9">
      <w:pPr>
        <w:spacing w:before="78" w:line="220" w:lineRule="auto"/>
        <w:ind w:left="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特此承诺</w:t>
      </w:r>
    </w:p>
    <w:p w14:paraId="47C7F522">
      <w:pPr>
        <w:pStyle w:val="6"/>
        <w:spacing w:line="316" w:lineRule="auto"/>
        <w:rPr>
          <w:rFonts w:hint="eastAsia" w:ascii="宋体" w:hAnsi="宋体" w:eastAsia="宋体" w:cs="宋体"/>
          <w:color w:val="auto"/>
          <w:highlight w:val="none"/>
        </w:rPr>
      </w:pPr>
    </w:p>
    <w:p w14:paraId="166EE9AC">
      <w:pPr>
        <w:pStyle w:val="6"/>
        <w:spacing w:line="317" w:lineRule="auto"/>
        <w:rPr>
          <w:rFonts w:hint="eastAsia" w:ascii="宋体" w:hAnsi="宋体" w:eastAsia="宋体" w:cs="宋体"/>
          <w:color w:val="auto"/>
          <w:highlight w:val="none"/>
        </w:rPr>
      </w:pPr>
    </w:p>
    <w:p w14:paraId="708846AD">
      <w:pPr>
        <w:pStyle w:val="6"/>
        <w:spacing w:line="317" w:lineRule="auto"/>
        <w:rPr>
          <w:rFonts w:hint="eastAsia" w:ascii="宋体" w:hAnsi="宋体" w:eastAsia="宋体" w:cs="宋体"/>
          <w:color w:val="auto"/>
          <w:highlight w:val="none"/>
        </w:rPr>
      </w:pPr>
    </w:p>
    <w:p w14:paraId="07D0B977">
      <w:pPr>
        <w:spacing w:before="79"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4F711471">
      <w:pPr>
        <w:pStyle w:val="6"/>
        <w:spacing w:line="317" w:lineRule="auto"/>
        <w:rPr>
          <w:rFonts w:hint="eastAsia" w:ascii="宋体" w:hAnsi="宋体" w:eastAsia="宋体" w:cs="宋体"/>
          <w:color w:val="auto"/>
          <w:highlight w:val="none"/>
        </w:rPr>
      </w:pPr>
    </w:p>
    <w:p w14:paraId="38491E5D">
      <w:pPr>
        <w:pStyle w:val="6"/>
        <w:spacing w:line="317" w:lineRule="auto"/>
        <w:rPr>
          <w:rFonts w:hint="eastAsia" w:ascii="宋体" w:hAnsi="宋体" w:eastAsia="宋体" w:cs="宋体"/>
          <w:color w:val="auto"/>
          <w:highlight w:val="none"/>
        </w:rPr>
      </w:pPr>
    </w:p>
    <w:p w14:paraId="2845CC21">
      <w:pPr>
        <w:pStyle w:val="6"/>
        <w:spacing w:line="317" w:lineRule="auto"/>
        <w:rPr>
          <w:rFonts w:hint="eastAsia" w:ascii="宋体" w:hAnsi="宋体" w:eastAsia="宋体" w:cs="宋体"/>
          <w:color w:val="auto"/>
          <w:highlight w:val="none"/>
        </w:rPr>
      </w:pPr>
    </w:p>
    <w:p w14:paraId="270F977A">
      <w:pPr>
        <w:spacing w:before="78"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4FF68B7A">
      <w:pPr>
        <w:pStyle w:val="6"/>
        <w:spacing w:line="257" w:lineRule="auto"/>
        <w:rPr>
          <w:rFonts w:hint="eastAsia" w:ascii="宋体" w:hAnsi="宋体" w:eastAsia="宋体" w:cs="宋体"/>
          <w:color w:val="auto"/>
          <w:highlight w:val="none"/>
        </w:rPr>
      </w:pPr>
    </w:p>
    <w:p w14:paraId="24BB67B8">
      <w:pPr>
        <w:pStyle w:val="6"/>
        <w:spacing w:line="257" w:lineRule="auto"/>
        <w:rPr>
          <w:rFonts w:hint="eastAsia" w:ascii="宋体" w:hAnsi="宋体" w:eastAsia="宋体" w:cs="宋体"/>
          <w:color w:val="auto"/>
          <w:highlight w:val="none"/>
        </w:rPr>
      </w:pPr>
    </w:p>
    <w:p w14:paraId="1DEB93F9">
      <w:pPr>
        <w:pStyle w:val="6"/>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9C55D77">
      <w:pPr>
        <w:spacing w:line="220" w:lineRule="auto"/>
        <w:rPr>
          <w:rFonts w:hint="eastAsia" w:ascii="宋体" w:hAnsi="宋体" w:eastAsia="宋体" w:cs="宋体"/>
          <w:color w:val="auto"/>
          <w:sz w:val="24"/>
          <w:szCs w:val="24"/>
          <w:highlight w:val="none"/>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C279ED4">
      <w:pPr>
        <w:spacing w:before="78" w:line="220" w:lineRule="auto"/>
        <w:outlineLvl w:val="2"/>
        <w:rPr>
          <w:rFonts w:hint="eastAsia" w:ascii="宋体" w:hAnsi="宋体" w:eastAsia="宋体" w:cs="宋体"/>
          <w:b/>
          <w:bCs/>
          <w:color w:val="auto"/>
          <w:spacing w:val="-4"/>
          <w:sz w:val="24"/>
          <w:szCs w:val="24"/>
          <w:highlight w:val="none"/>
        </w:rPr>
      </w:pPr>
      <w:bookmarkStart w:id="253" w:name="_Toc14280"/>
      <w:r>
        <w:rPr>
          <w:rFonts w:hint="eastAsia" w:ascii="宋体" w:hAnsi="宋体" w:eastAsia="宋体" w:cs="宋体"/>
          <w:b/>
          <w:bCs/>
          <w:color w:val="auto"/>
          <w:spacing w:val="-4"/>
          <w:sz w:val="24"/>
          <w:szCs w:val="24"/>
          <w:highlight w:val="none"/>
        </w:rPr>
        <w:t>格式十 项目技术负责人简历表</w:t>
      </w:r>
      <w:bookmarkEnd w:id="253"/>
    </w:p>
    <w:p w14:paraId="675D0539">
      <w:pPr>
        <w:pStyle w:val="6"/>
        <w:spacing w:line="444" w:lineRule="auto"/>
        <w:rPr>
          <w:rFonts w:hint="eastAsia" w:ascii="宋体" w:hAnsi="宋体" w:eastAsia="宋体" w:cs="宋体"/>
          <w:color w:val="auto"/>
          <w:highlight w:val="none"/>
        </w:rPr>
      </w:pPr>
    </w:p>
    <w:p w14:paraId="0EE5F1FB">
      <w:pPr>
        <w:spacing w:before="97" w:line="219" w:lineRule="auto"/>
        <w:ind w:left="3087"/>
        <w:outlineLvl w:val="9"/>
        <w:rPr>
          <w:rFonts w:hint="eastAsia" w:ascii="宋体" w:hAnsi="宋体" w:eastAsia="宋体" w:cs="宋体"/>
          <w:color w:val="auto"/>
          <w:sz w:val="30"/>
          <w:szCs w:val="30"/>
          <w:highlight w:val="none"/>
        </w:rPr>
      </w:pPr>
      <w:bookmarkStart w:id="254" w:name="_Toc25712"/>
      <w:bookmarkStart w:id="255" w:name="_Toc1553"/>
      <w:r>
        <w:rPr>
          <w:rFonts w:hint="eastAsia" w:ascii="宋体" w:hAnsi="宋体" w:eastAsia="宋体" w:cs="宋体"/>
          <w:b/>
          <w:bCs/>
          <w:color w:val="auto"/>
          <w:spacing w:val="-4"/>
          <w:sz w:val="30"/>
          <w:szCs w:val="30"/>
          <w:highlight w:val="none"/>
        </w:rPr>
        <w:t>项目技术负责人简历表</w:t>
      </w:r>
      <w:bookmarkEnd w:id="254"/>
      <w:bookmarkEnd w:id="255"/>
    </w:p>
    <w:p w14:paraId="0C4EC7B8">
      <w:pPr>
        <w:spacing w:line="240" w:lineRule="exact"/>
        <w:rPr>
          <w:rFonts w:hint="eastAsia" w:ascii="宋体" w:hAnsi="宋体" w:eastAsia="宋体" w:cs="宋体"/>
          <w:color w:val="auto"/>
          <w:highlight w:val="none"/>
        </w:rPr>
      </w:pPr>
    </w:p>
    <w:tbl>
      <w:tblPr>
        <w:tblStyle w:val="17"/>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54649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top"/>
          </w:tcPr>
          <w:p w14:paraId="07401C12">
            <w:pPr>
              <w:spacing w:before="177" w:line="228" w:lineRule="auto"/>
              <w:ind w:left="50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82" w:type="dxa"/>
            <w:gridSpan w:val="2"/>
            <w:vAlign w:val="top"/>
          </w:tcPr>
          <w:p w14:paraId="1DDDCFB5">
            <w:pPr>
              <w:pStyle w:val="25"/>
              <w:rPr>
                <w:rFonts w:hint="eastAsia" w:ascii="宋体" w:hAnsi="宋体" w:eastAsia="宋体" w:cs="宋体"/>
                <w:color w:val="auto"/>
                <w:sz w:val="24"/>
                <w:szCs w:val="24"/>
                <w:highlight w:val="none"/>
              </w:rPr>
            </w:pPr>
          </w:p>
        </w:tc>
        <w:tc>
          <w:tcPr>
            <w:tcW w:w="1346" w:type="dxa"/>
            <w:vAlign w:val="top"/>
          </w:tcPr>
          <w:p w14:paraId="3A00E866">
            <w:pPr>
              <w:spacing w:before="177" w:line="229" w:lineRule="auto"/>
              <w:ind w:left="3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47" w:type="dxa"/>
            <w:vAlign w:val="top"/>
          </w:tcPr>
          <w:p w14:paraId="2C9F5B8C">
            <w:pPr>
              <w:pStyle w:val="25"/>
              <w:rPr>
                <w:rFonts w:hint="eastAsia" w:ascii="宋体" w:hAnsi="宋体" w:eastAsia="宋体" w:cs="宋体"/>
                <w:color w:val="auto"/>
                <w:sz w:val="24"/>
                <w:szCs w:val="24"/>
                <w:highlight w:val="none"/>
              </w:rPr>
            </w:pPr>
          </w:p>
        </w:tc>
        <w:tc>
          <w:tcPr>
            <w:tcW w:w="1783" w:type="dxa"/>
            <w:vAlign w:val="top"/>
          </w:tcPr>
          <w:p w14:paraId="7B35F84B">
            <w:pPr>
              <w:spacing w:before="177" w:line="228" w:lineRule="auto"/>
              <w:ind w:left="4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86" w:type="dxa"/>
            <w:vAlign w:val="top"/>
          </w:tcPr>
          <w:p w14:paraId="60520BF4">
            <w:pPr>
              <w:pStyle w:val="25"/>
              <w:rPr>
                <w:rFonts w:hint="eastAsia" w:ascii="宋体" w:hAnsi="宋体" w:eastAsia="宋体" w:cs="宋体"/>
                <w:color w:val="auto"/>
                <w:sz w:val="24"/>
                <w:szCs w:val="24"/>
                <w:highlight w:val="none"/>
              </w:rPr>
            </w:pPr>
          </w:p>
        </w:tc>
      </w:tr>
      <w:tr w14:paraId="0D966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top"/>
          </w:tcPr>
          <w:p w14:paraId="1C3F8DB8">
            <w:pPr>
              <w:spacing w:before="175" w:line="228" w:lineRule="auto"/>
              <w:ind w:left="50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82" w:type="dxa"/>
            <w:gridSpan w:val="2"/>
            <w:vAlign w:val="top"/>
          </w:tcPr>
          <w:p w14:paraId="19790CAF">
            <w:pPr>
              <w:pStyle w:val="25"/>
              <w:rPr>
                <w:rFonts w:hint="eastAsia" w:ascii="宋体" w:hAnsi="宋体" w:eastAsia="宋体" w:cs="宋体"/>
                <w:color w:val="auto"/>
                <w:sz w:val="24"/>
                <w:szCs w:val="24"/>
                <w:highlight w:val="none"/>
              </w:rPr>
            </w:pPr>
          </w:p>
        </w:tc>
        <w:tc>
          <w:tcPr>
            <w:tcW w:w="1346" w:type="dxa"/>
            <w:vAlign w:val="top"/>
          </w:tcPr>
          <w:p w14:paraId="1732E3C0">
            <w:pPr>
              <w:spacing w:before="174" w:line="231" w:lineRule="auto"/>
              <w:ind w:left="3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47" w:type="dxa"/>
            <w:vAlign w:val="top"/>
          </w:tcPr>
          <w:p w14:paraId="481B37E4">
            <w:pPr>
              <w:pStyle w:val="25"/>
              <w:rPr>
                <w:rFonts w:hint="eastAsia" w:ascii="宋体" w:hAnsi="宋体" w:eastAsia="宋体" w:cs="宋体"/>
                <w:color w:val="auto"/>
                <w:sz w:val="24"/>
                <w:szCs w:val="24"/>
                <w:highlight w:val="none"/>
              </w:rPr>
            </w:pPr>
          </w:p>
        </w:tc>
        <w:tc>
          <w:tcPr>
            <w:tcW w:w="1783" w:type="dxa"/>
            <w:vAlign w:val="top"/>
          </w:tcPr>
          <w:p w14:paraId="56AB3CDE">
            <w:pPr>
              <w:spacing w:before="175" w:line="230" w:lineRule="auto"/>
              <w:ind w:left="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86" w:type="dxa"/>
            <w:vAlign w:val="top"/>
          </w:tcPr>
          <w:p w14:paraId="5C9CA710">
            <w:pPr>
              <w:pStyle w:val="25"/>
              <w:rPr>
                <w:rFonts w:hint="eastAsia" w:ascii="宋体" w:hAnsi="宋体" w:eastAsia="宋体" w:cs="宋体"/>
                <w:color w:val="auto"/>
                <w:sz w:val="24"/>
                <w:szCs w:val="24"/>
                <w:highlight w:val="none"/>
              </w:rPr>
            </w:pPr>
          </w:p>
        </w:tc>
      </w:tr>
      <w:tr w14:paraId="06ECC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top"/>
          </w:tcPr>
          <w:p w14:paraId="2C6D39E6">
            <w:pPr>
              <w:spacing w:before="175" w:line="229" w:lineRule="auto"/>
              <w:ind w:left="24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628" w:type="dxa"/>
            <w:gridSpan w:val="3"/>
            <w:vAlign w:val="top"/>
          </w:tcPr>
          <w:p w14:paraId="51D2A335">
            <w:pPr>
              <w:pStyle w:val="25"/>
              <w:rPr>
                <w:rFonts w:hint="eastAsia" w:ascii="宋体" w:hAnsi="宋体" w:eastAsia="宋体" w:cs="宋体"/>
                <w:color w:val="auto"/>
                <w:sz w:val="24"/>
                <w:szCs w:val="24"/>
                <w:highlight w:val="none"/>
              </w:rPr>
            </w:pPr>
          </w:p>
        </w:tc>
        <w:tc>
          <w:tcPr>
            <w:tcW w:w="3830" w:type="dxa"/>
            <w:gridSpan w:val="2"/>
            <w:vAlign w:val="top"/>
          </w:tcPr>
          <w:p w14:paraId="43C0FC45">
            <w:pPr>
              <w:spacing w:before="176" w:line="228"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86" w:type="dxa"/>
            <w:vAlign w:val="top"/>
          </w:tcPr>
          <w:p w14:paraId="75D20512">
            <w:pPr>
              <w:pStyle w:val="25"/>
              <w:rPr>
                <w:rFonts w:hint="eastAsia" w:ascii="宋体" w:hAnsi="宋体" w:eastAsia="宋体" w:cs="宋体"/>
                <w:color w:val="auto"/>
                <w:sz w:val="24"/>
                <w:szCs w:val="24"/>
                <w:highlight w:val="none"/>
              </w:rPr>
            </w:pPr>
          </w:p>
        </w:tc>
      </w:tr>
      <w:tr w14:paraId="40C13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top"/>
          </w:tcPr>
          <w:p w14:paraId="43E8CDA2">
            <w:pPr>
              <w:spacing w:before="176" w:line="228" w:lineRule="auto"/>
              <w:ind w:left="204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以项目技术负责人身份参与过的主要业绩（已完工项目）</w:t>
            </w:r>
          </w:p>
        </w:tc>
      </w:tr>
      <w:tr w14:paraId="705EE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810" w:type="dxa"/>
            <w:vAlign w:val="top"/>
          </w:tcPr>
          <w:p w14:paraId="36F5A08A">
            <w:pPr>
              <w:spacing w:before="176" w:line="230" w:lineRule="auto"/>
              <w:ind w:left="183"/>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10" w:type="dxa"/>
            <w:gridSpan w:val="2"/>
            <w:vAlign w:val="top"/>
          </w:tcPr>
          <w:p w14:paraId="1A081902">
            <w:pPr>
              <w:spacing w:before="176"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21" w:type="dxa"/>
            <w:gridSpan w:val="2"/>
            <w:vAlign w:val="top"/>
          </w:tcPr>
          <w:p w14:paraId="773730B3">
            <w:pPr>
              <w:spacing w:before="176" w:line="229" w:lineRule="auto"/>
              <w:ind w:left="5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47" w:type="dxa"/>
            <w:vAlign w:val="top"/>
          </w:tcPr>
          <w:p w14:paraId="271BA220">
            <w:pPr>
              <w:spacing w:before="176" w:line="22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83" w:type="dxa"/>
            <w:vAlign w:val="top"/>
          </w:tcPr>
          <w:p w14:paraId="26A77878">
            <w:pPr>
              <w:spacing w:before="176" w:line="228" w:lineRule="auto"/>
              <w:ind w:left="23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86" w:type="dxa"/>
            <w:vAlign w:val="top"/>
          </w:tcPr>
          <w:p w14:paraId="311F0986">
            <w:pPr>
              <w:spacing w:before="176" w:line="228" w:lineRule="auto"/>
              <w:ind w:left="25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60A13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49B2F7FC">
            <w:pPr>
              <w:spacing w:before="214" w:line="195" w:lineRule="auto"/>
              <w:ind w:left="3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10" w:type="dxa"/>
            <w:gridSpan w:val="2"/>
            <w:vAlign w:val="top"/>
          </w:tcPr>
          <w:p w14:paraId="1D017C43">
            <w:pPr>
              <w:pStyle w:val="25"/>
              <w:rPr>
                <w:rFonts w:hint="eastAsia" w:ascii="宋体" w:hAnsi="宋体" w:eastAsia="宋体" w:cs="宋体"/>
                <w:color w:val="auto"/>
                <w:sz w:val="24"/>
                <w:szCs w:val="24"/>
                <w:highlight w:val="none"/>
              </w:rPr>
            </w:pPr>
          </w:p>
        </w:tc>
        <w:tc>
          <w:tcPr>
            <w:tcW w:w="2021" w:type="dxa"/>
            <w:gridSpan w:val="2"/>
            <w:vAlign w:val="top"/>
          </w:tcPr>
          <w:p w14:paraId="270436EC">
            <w:pPr>
              <w:pStyle w:val="25"/>
              <w:rPr>
                <w:rFonts w:hint="eastAsia" w:ascii="宋体" w:hAnsi="宋体" w:eastAsia="宋体" w:cs="宋体"/>
                <w:color w:val="auto"/>
                <w:sz w:val="24"/>
                <w:szCs w:val="24"/>
                <w:highlight w:val="none"/>
              </w:rPr>
            </w:pPr>
          </w:p>
        </w:tc>
        <w:tc>
          <w:tcPr>
            <w:tcW w:w="2047" w:type="dxa"/>
            <w:vAlign w:val="top"/>
          </w:tcPr>
          <w:p w14:paraId="254FE938">
            <w:pPr>
              <w:pStyle w:val="25"/>
              <w:rPr>
                <w:rFonts w:hint="eastAsia" w:ascii="宋体" w:hAnsi="宋体" w:eastAsia="宋体" w:cs="宋体"/>
                <w:color w:val="auto"/>
                <w:sz w:val="24"/>
                <w:szCs w:val="24"/>
                <w:highlight w:val="none"/>
              </w:rPr>
            </w:pPr>
          </w:p>
        </w:tc>
        <w:tc>
          <w:tcPr>
            <w:tcW w:w="1783" w:type="dxa"/>
            <w:vAlign w:val="top"/>
          </w:tcPr>
          <w:p w14:paraId="355EA15C">
            <w:pPr>
              <w:pStyle w:val="25"/>
              <w:rPr>
                <w:rFonts w:hint="eastAsia" w:ascii="宋体" w:hAnsi="宋体" w:eastAsia="宋体" w:cs="宋体"/>
                <w:color w:val="auto"/>
                <w:sz w:val="24"/>
                <w:szCs w:val="24"/>
                <w:highlight w:val="none"/>
              </w:rPr>
            </w:pPr>
          </w:p>
        </w:tc>
        <w:tc>
          <w:tcPr>
            <w:tcW w:w="1386" w:type="dxa"/>
            <w:vAlign w:val="top"/>
          </w:tcPr>
          <w:p w14:paraId="3A063067">
            <w:pPr>
              <w:pStyle w:val="25"/>
              <w:rPr>
                <w:rFonts w:hint="eastAsia" w:ascii="宋体" w:hAnsi="宋体" w:eastAsia="宋体" w:cs="宋体"/>
                <w:color w:val="auto"/>
                <w:sz w:val="24"/>
                <w:szCs w:val="24"/>
                <w:highlight w:val="none"/>
              </w:rPr>
            </w:pPr>
          </w:p>
        </w:tc>
      </w:tr>
      <w:tr w14:paraId="76EDB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top"/>
          </w:tcPr>
          <w:p w14:paraId="08B6618B">
            <w:pPr>
              <w:spacing w:before="213" w:line="195" w:lineRule="auto"/>
              <w:ind w:left="3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10" w:type="dxa"/>
            <w:gridSpan w:val="2"/>
            <w:vAlign w:val="top"/>
          </w:tcPr>
          <w:p w14:paraId="0C5944E3">
            <w:pPr>
              <w:pStyle w:val="25"/>
              <w:rPr>
                <w:rFonts w:hint="eastAsia" w:ascii="宋体" w:hAnsi="宋体" w:eastAsia="宋体" w:cs="宋体"/>
                <w:color w:val="auto"/>
                <w:sz w:val="24"/>
                <w:szCs w:val="24"/>
                <w:highlight w:val="none"/>
              </w:rPr>
            </w:pPr>
          </w:p>
        </w:tc>
        <w:tc>
          <w:tcPr>
            <w:tcW w:w="2021" w:type="dxa"/>
            <w:gridSpan w:val="2"/>
            <w:vAlign w:val="top"/>
          </w:tcPr>
          <w:p w14:paraId="4FF33181">
            <w:pPr>
              <w:pStyle w:val="25"/>
              <w:rPr>
                <w:rFonts w:hint="eastAsia" w:ascii="宋体" w:hAnsi="宋体" w:eastAsia="宋体" w:cs="宋体"/>
                <w:color w:val="auto"/>
                <w:sz w:val="24"/>
                <w:szCs w:val="24"/>
                <w:highlight w:val="none"/>
              </w:rPr>
            </w:pPr>
          </w:p>
        </w:tc>
        <w:tc>
          <w:tcPr>
            <w:tcW w:w="2047" w:type="dxa"/>
            <w:vAlign w:val="top"/>
          </w:tcPr>
          <w:p w14:paraId="7DB0E2CE">
            <w:pPr>
              <w:pStyle w:val="25"/>
              <w:rPr>
                <w:rFonts w:hint="eastAsia" w:ascii="宋体" w:hAnsi="宋体" w:eastAsia="宋体" w:cs="宋体"/>
                <w:color w:val="auto"/>
                <w:sz w:val="24"/>
                <w:szCs w:val="24"/>
                <w:highlight w:val="none"/>
              </w:rPr>
            </w:pPr>
          </w:p>
        </w:tc>
        <w:tc>
          <w:tcPr>
            <w:tcW w:w="1783" w:type="dxa"/>
            <w:vAlign w:val="top"/>
          </w:tcPr>
          <w:p w14:paraId="026AE2C4">
            <w:pPr>
              <w:pStyle w:val="25"/>
              <w:rPr>
                <w:rFonts w:hint="eastAsia" w:ascii="宋体" w:hAnsi="宋体" w:eastAsia="宋体" w:cs="宋体"/>
                <w:color w:val="auto"/>
                <w:sz w:val="24"/>
                <w:szCs w:val="24"/>
                <w:highlight w:val="none"/>
              </w:rPr>
            </w:pPr>
          </w:p>
        </w:tc>
        <w:tc>
          <w:tcPr>
            <w:tcW w:w="1386" w:type="dxa"/>
            <w:vAlign w:val="top"/>
          </w:tcPr>
          <w:p w14:paraId="371023C5">
            <w:pPr>
              <w:pStyle w:val="25"/>
              <w:rPr>
                <w:rFonts w:hint="eastAsia" w:ascii="宋体" w:hAnsi="宋体" w:eastAsia="宋体" w:cs="宋体"/>
                <w:color w:val="auto"/>
                <w:sz w:val="24"/>
                <w:szCs w:val="24"/>
                <w:highlight w:val="none"/>
              </w:rPr>
            </w:pPr>
          </w:p>
        </w:tc>
      </w:tr>
      <w:tr w14:paraId="69277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3F6C5487">
            <w:pPr>
              <w:spacing w:before="178" w:line="324" w:lineRule="exact"/>
              <w:ind w:left="197"/>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10" w:type="dxa"/>
            <w:gridSpan w:val="2"/>
            <w:vAlign w:val="top"/>
          </w:tcPr>
          <w:p w14:paraId="4A2416CF">
            <w:pPr>
              <w:pStyle w:val="25"/>
              <w:rPr>
                <w:rFonts w:hint="eastAsia" w:ascii="宋体" w:hAnsi="宋体" w:eastAsia="宋体" w:cs="宋体"/>
                <w:color w:val="auto"/>
                <w:sz w:val="24"/>
                <w:szCs w:val="24"/>
                <w:highlight w:val="none"/>
              </w:rPr>
            </w:pPr>
          </w:p>
        </w:tc>
        <w:tc>
          <w:tcPr>
            <w:tcW w:w="2021" w:type="dxa"/>
            <w:gridSpan w:val="2"/>
            <w:vAlign w:val="top"/>
          </w:tcPr>
          <w:p w14:paraId="5DC4416F">
            <w:pPr>
              <w:pStyle w:val="25"/>
              <w:rPr>
                <w:rFonts w:hint="eastAsia" w:ascii="宋体" w:hAnsi="宋体" w:eastAsia="宋体" w:cs="宋体"/>
                <w:color w:val="auto"/>
                <w:sz w:val="24"/>
                <w:szCs w:val="24"/>
                <w:highlight w:val="none"/>
              </w:rPr>
            </w:pPr>
          </w:p>
        </w:tc>
        <w:tc>
          <w:tcPr>
            <w:tcW w:w="2047" w:type="dxa"/>
            <w:vAlign w:val="top"/>
          </w:tcPr>
          <w:p w14:paraId="2AF0F04E">
            <w:pPr>
              <w:pStyle w:val="25"/>
              <w:rPr>
                <w:rFonts w:hint="eastAsia" w:ascii="宋体" w:hAnsi="宋体" w:eastAsia="宋体" w:cs="宋体"/>
                <w:color w:val="auto"/>
                <w:sz w:val="24"/>
                <w:szCs w:val="24"/>
                <w:highlight w:val="none"/>
              </w:rPr>
            </w:pPr>
          </w:p>
        </w:tc>
        <w:tc>
          <w:tcPr>
            <w:tcW w:w="1783" w:type="dxa"/>
            <w:vAlign w:val="top"/>
          </w:tcPr>
          <w:p w14:paraId="400EE5B7">
            <w:pPr>
              <w:pStyle w:val="25"/>
              <w:rPr>
                <w:rFonts w:hint="eastAsia" w:ascii="宋体" w:hAnsi="宋体" w:eastAsia="宋体" w:cs="宋体"/>
                <w:color w:val="auto"/>
                <w:sz w:val="24"/>
                <w:szCs w:val="24"/>
                <w:highlight w:val="none"/>
              </w:rPr>
            </w:pPr>
          </w:p>
        </w:tc>
        <w:tc>
          <w:tcPr>
            <w:tcW w:w="1386" w:type="dxa"/>
            <w:vAlign w:val="top"/>
          </w:tcPr>
          <w:p w14:paraId="1734BD0B">
            <w:pPr>
              <w:pStyle w:val="25"/>
              <w:rPr>
                <w:rFonts w:hint="eastAsia" w:ascii="宋体" w:hAnsi="宋体" w:eastAsia="宋体" w:cs="宋体"/>
                <w:color w:val="auto"/>
                <w:sz w:val="24"/>
                <w:szCs w:val="24"/>
                <w:highlight w:val="none"/>
              </w:rPr>
            </w:pPr>
          </w:p>
        </w:tc>
      </w:tr>
      <w:tr w14:paraId="58719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3EA1F3C9">
            <w:pPr>
              <w:pStyle w:val="25"/>
              <w:rPr>
                <w:rFonts w:hint="eastAsia" w:ascii="宋体" w:hAnsi="宋体" w:eastAsia="宋体" w:cs="宋体"/>
                <w:color w:val="auto"/>
                <w:sz w:val="24"/>
                <w:szCs w:val="24"/>
                <w:highlight w:val="none"/>
              </w:rPr>
            </w:pPr>
          </w:p>
        </w:tc>
        <w:tc>
          <w:tcPr>
            <w:tcW w:w="1610" w:type="dxa"/>
            <w:gridSpan w:val="2"/>
            <w:vAlign w:val="top"/>
          </w:tcPr>
          <w:p w14:paraId="698F5787">
            <w:pPr>
              <w:pStyle w:val="25"/>
              <w:rPr>
                <w:rFonts w:hint="eastAsia" w:ascii="宋体" w:hAnsi="宋体" w:eastAsia="宋体" w:cs="宋体"/>
                <w:color w:val="auto"/>
                <w:sz w:val="24"/>
                <w:szCs w:val="24"/>
                <w:highlight w:val="none"/>
              </w:rPr>
            </w:pPr>
          </w:p>
        </w:tc>
        <w:tc>
          <w:tcPr>
            <w:tcW w:w="2021" w:type="dxa"/>
            <w:gridSpan w:val="2"/>
            <w:vAlign w:val="top"/>
          </w:tcPr>
          <w:p w14:paraId="69858A0D">
            <w:pPr>
              <w:pStyle w:val="25"/>
              <w:rPr>
                <w:rFonts w:hint="eastAsia" w:ascii="宋体" w:hAnsi="宋体" w:eastAsia="宋体" w:cs="宋体"/>
                <w:color w:val="auto"/>
                <w:sz w:val="24"/>
                <w:szCs w:val="24"/>
                <w:highlight w:val="none"/>
              </w:rPr>
            </w:pPr>
          </w:p>
        </w:tc>
        <w:tc>
          <w:tcPr>
            <w:tcW w:w="2047" w:type="dxa"/>
            <w:vAlign w:val="top"/>
          </w:tcPr>
          <w:p w14:paraId="2BD7DCDB">
            <w:pPr>
              <w:pStyle w:val="25"/>
              <w:rPr>
                <w:rFonts w:hint="eastAsia" w:ascii="宋体" w:hAnsi="宋体" w:eastAsia="宋体" w:cs="宋体"/>
                <w:color w:val="auto"/>
                <w:sz w:val="24"/>
                <w:szCs w:val="24"/>
                <w:highlight w:val="none"/>
              </w:rPr>
            </w:pPr>
          </w:p>
        </w:tc>
        <w:tc>
          <w:tcPr>
            <w:tcW w:w="1783" w:type="dxa"/>
            <w:vAlign w:val="top"/>
          </w:tcPr>
          <w:p w14:paraId="4D125A3E">
            <w:pPr>
              <w:pStyle w:val="25"/>
              <w:rPr>
                <w:rFonts w:hint="eastAsia" w:ascii="宋体" w:hAnsi="宋体" w:eastAsia="宋体" w:cs="宋体"/>
                <w:color w:val="auto"/>
                <w:sz w:val="24"/>
                <w:szCs w:val="24"/>
                <w:highlight w:val="none"/>
              </w:rPr>
            </w:pPr>
          </w:p>
        </w:tc>
        <w:tc>
          <w:tcPr>
            <w:tcW w:w="1386" w:type="dxa"/>
            <w:vAlign w:val="top"/>
          </w:tcPr>
          <w:p w14:paraId="39C6E406">
            <w:pPr>
              <w:pStyle w:val="25"/>
              <w:rPr>
                <w:rFonts w:hint="eastAsia" w:ascii="宋体" w:hAnsi="宋体" w:eastAsia="宋体" w:cs="宋体"/>
                <w:color w:val="auto"/>
                <w:sz w:val="24"/>
                <w:szCs w:val="24"/>
                <w:highlight w:val="none"/>
              </w:rPr>
            </w:pPr>
          </w:p>
        </w:tc>
      </w:tr>
      <w:tr w14:paraId="320ED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top"/>
          </w:tcPr>
          <w:p w14:paraId="2C145747">
            <w:pPr>
              <w:pStyle w:val="25"/>
              <w:rPr>
                <w:rFonts w:hint="eastAsia" w:ascii="宋体" w:hAnsi="宋体" w:eastAsia="宋体" w:cs="宋体"/>
                <w:color w:val="auto"/>
                <w:sz w:val="24"/>
                <w:szCs w:val="24"/>
                <w:highlight w:val="none"/>
              </w:rPr>
            </w:pPr>
          </w:p>
        </w:tc>
        <w:tc>
          <w:tcPr>
            <w:tcW w:w="1610" w:type="dxa"/>
            <w:gridSpan w:val="2"/>
            <w:vAlign w:val="top"/>
          </w:tcPr>
          <w:p w14:paraId="51FAB6E2">
            <w:pPr>
              <w:pStyle w:val="25"/>
              <w:rPr>
                <w:rFonts w:hint="eastAsia" w:ascii="宋体" w:hAnsi="宋体" w:eastAsia="宋体" w:cs="宋体"/>
                <w:color w:val="auto"/>
                <w:sz w:val="24"/>
                <w:szCs w:val="24"/>
                <w:highlight w:val="none"/>
              </w:rPr>
            </w:pPr>
          </w:p>
        </w:tc>
        <w:tc>
          <w:tcPr>
            <w:tcW w:w="2021" w:type="dxa"/>
            <w:gridSpan w:val="2"/>
            <w:vAlign w:val="top"/>
          </w:tcPr>
          <w:p w14:paraId="61875FD1">
            <w:pPr>
              <w:pStyle w:val="25"/>
              <w:rPr>
                <w:rFonts w:hint="eastAsia" w:ascii="宋体" w:hAnsi="宋体" w:eastAsia="宋体" w:cs="宋体"/>
                <w:color w:val="auto"/>
                <w:sz w:val="24"/>
                <w:szCs w:val="24"/>
                <w:highlight w:val="none"/>
              </w:rPr>
            </w:pPr>
          </w:p>
        </w:tc>
        <w:tc>
          <w:tcPr>
            <w:tcW w:w="2047" w:type="dxa"/>
            <w:vAlign w:val="top"/>
          </w:tcPr>
          <w:p w14:paraId="404E5FF7">
            <w:pPr>
              <w:pStyle w:val="25"/>
              <w:rPr>
                <w:rFonts w:hint="eastAsia" w:ascii="宋体" w:hAnsi="宋体" w:eastAsia="宋体" w:cs="宋体"/>
                <w:color w:val="auto"/>
                <w:sz w:val="24"/>
                <w:szCs w:val="24"/>
                <w:highlight w:val="none"/>
              </w:rPr>
            </w:pPr>
          </w:p>
        </w:tc>
        <w:tc>
          <w:tcPr>
            <w:tcW w:w="1783" w:type="dxa"/>
            <w:vAlign w:val="top"/>
          </w:tcPr>
          <w:p w14:paraId="6ADD1E7F">
            <w:pPr>
              <w:pStyle w:val="25"/>
              <w:rPr>
                <w:rFonts w:hint="eastAsia" w:ascii="宋体" w:hAnsi="宋体" w:eastAsia="宋体" w:cs="宋体"/>
                <w:color w:val="auto"/>
                <w:sz w:val="24"/>
                <w:szCs w:val="24"/>
                <w:highlight w:val="none"/>
              </w:rPr>
            </w:pPr>
          </w:p>
        </w:tc>
        <w:tc>
          <w:tcPr>
            <w:tcW w:w="1386" w:type="dxa"/>
            <w:vAlign w:val="top"/>
          </w:tcPr>
          <w:p w14:paraId="384217C7">
            <w:pPr>
              <w:pStyle w:val="25"/>
              <w:rPr>
                <w:rFonts w:hint="eastAsia" w:ascii="宋体" w:hAnsi="宋体" w:eastAsia="宋体" w:cs="宋体"/>
                <w:color w:val="auto"/>
                <w:sz w:val="24"/>
                <w:szCs w:val="24"/>
                <w:highlight w:val="none"/>
              </w:rPr>
            </w:pPr>
          </w:p>
        </w:tc>
      </w:tr>
    </w:tbl>
    <w:p w14:paraId="45EB821D">
      <w:pPr>
        <w:pStyle w:val="6"/>
        <w:spacing w:line="314" w:lineRule="auto"/>
        <w:rPr>
          <w:rFonts w:hint="eastAsia" w:ascii="宋体" w:hAnsi="宋体" w:eastAsia="宋体" w:cs="宋体"/>
          <w:color w:val="auto"/>
          <w:sz w:val="24"/>
          <w:szCs w:val="24"/>
          <w:highlight w:val="none"/>
        </w:rPr>
      </w:pPr>
    </w:p>
    <w:p w14:paraId="02839B71">
      <w:pPr>
        <w:pStyle w:val="6"/>
        <w:spacing w:line="315" w:lineRule="auto"/>
        <w:rPr>
          <w:rFonts w:hint="eastAsia" w:ascii="宋体" w:hAnsi="宋体" w:eastAsia="宋体" w:cs="宋体"/>
          <w:color w:val="auto"/>
          <w:sz w:val="24"/>
          <w:szCs w:val="24"/>
          <w:highlight w:val="none"/>
        </w:rPr>
      </w:pPr>
    </w:p>
    <w:p w14:paraId="75FEC917">
      <w:pPr>
        <w:pStyle w:val="6"/>
        <w:spacing w:line="315" w:lineRule="auto"/>
        <w:rPr>
          <w:rFonts w:hint="eastAsia" w:ascii="宋体" w:hAnsi="宋体" w:eastAsia="宋体" w:cs="宋体"/>
          <w:color w:val="auto"/>
          <w:sz w:val="24"/>
          <w:szCs w:val="24"/>
          <w:highlight w:val="none"/>
        </w:rPr>
      </w:pPr>
    </w:p>
    <w:p w14:paraId="443E0EA6">
      <w:pPr>
        <w:spacing w:before="78" w:line="220" w:lineRule="auto"/>
        <w:ind w:left="5165"/>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项目技术负责人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2"/>
          <w:sz w:val="24"/>
          <w:szCs w:val="24"/>
          <w:highlight w:val="none"/>
        </w:rPr>
        <w:t>签字）</w:t>
      </w:r>
    </w:p>
    <w:p w14:paraId="06231E95">
      <w:pPr>
        <w:pStyle w:val="6"/>
        <w:spacing w:line="256" w:lineRule="auto"/>
        <w:jc w:val="right"/>
        <w:rPr>
          <w:rFonts w:hint="eastAsia" w:ascii="宋体" w:hAnsi="宋体" w:eastAsia="宋体" w:cs="宋体"/>
          <w:color w:val="auto"/>
          <w:sz w:val="24"/>
          <w:szCs w:val="24"/>
          <w:highlight w:val="none"/>
        </w:rPr>
      </w:pPr>
    </w:p>
    <w:p w14:paraId="48AD0385">
      <w:pPr>
        <w:pStyle w:val="6"/>
        <w:spacing w:line="257" w:lineRule="auto"/>
        <w:jc w:val="right"/>
        <w:rPr>
          <w:rFonts w:hint="eastAsia" w:ascii="宋体" w:hAnsi="宋体" w:eastAsia="宋体" w:cs="宋体"/>
          <w:color w:val="auto"/>
          <w:sz w:val="24"/>
          <w:szCs w:val="24"/>
          <w:highlight w:val="none"/>
        </w:rPr>
      </w:pPr>
    </w:p>
    <w:p w14:paraId="50CB5F37">
      <w:pPr>
        <w:pStyle w:val="6"/>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1408BD7">
      <w:pPr>
        <w:spacing w:before="65" w:line="228"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说明：《项目技术负责人简历表》后应附拟派项目技术负责人以下资料：</w:t>
      </w:r>
    </w:p>
    <w:p w14:paraId="2DD6422C">
      <w:pPr>
        <w:spacing w:before="155" w:line="228" w:lineRule="auto"/>
        <w:ind w:left="484"/>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p>
    <w:p w14:paraId="2AC7099F">
      <w:pPr>
        <w:spacing w:before="151" w:line="228" w:lineRule="auto"/>
        <w:ind w:left="464"/>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2</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5"/>
          <w:sz w:val="24"/>
          <w:szCs w:val="24"/>
          <w:highlight w:val="none"/>
        </w:rPr>
        <w:t>．职称证彩色扫描件；</w:t>
      </w:r>
    </w:p>
    <w:p w14:paraId="531EC1B5">
      <w:pPr>
        <w:spacing w:before="153" w:line="299" w:lineRule="auto"/>
        <w:ind w:left="47" w:right="95" w:firstLine="42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3</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8"/>
          <w:sz w:val="24"/>
          <w:szCs w:val="24"/>
          <w:highlight w:val="none"/>
        </w:rPr>
        <w:t>．在本单位缴纳社保的证明（</w:t>
      </w:r>
      <w:r>
        <w:rPr>
          <w:rFonts w:hint="eastAsia" w:ascii="宋体" w:hAnsi="宋体" w:eastAsia="宋体" w:cs="宋体"/>
          <w:color w:val="auto"/>
          <w:sz w:val="24"/>
          <w:szCs w:val="24"/>
          <w:highlight w:val="none"/>
          <w:lang w:eastAsia="zh-CN"/>
        </w:rPr>
        <w:t>至少1个月，其中必须有 2026年</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pacing w:val="8"/>
          <w:sz w:val="24"/>
          <w:szCs w:val="24"/>
          <w:highlight w:val="none"/>
        </w:rPr>
        <w:t>）彩色扫描件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拟派项目技术负责人为退休返聘人员无法提供社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784C2F67">
      <w:pPr>
        <w:spacing w:before="153" w:line="228" w:lineRule="auto"/>
        <w:ind w:left="46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8"/>
          <w:sz w:val="24"/>
          <w:szCs w:val="24"/>
          <w:highlight w:val="none"/>
        </w:rPr>
        <w:t>．“进粤企业和人员诚信信息登记平台</w:t>
      </w:r>
      <w:r>
        <w:rPr>
          <w:rFonts w:hint="eastAsia" w:ascii="宋体" w:hAnsi="宋体" w:eastAsia="宋体" w:cs="宋体"/>
          <w:color w:val="auto"/>
          <w:spacing w:val="-70"/>
          <w:sz w:val="24"/>
          <w:szCs w:val="24"/>
          <w:highlight w:val="none"/>
        </w:rPr>
        <w:t xml:space="preserve"> </w:t>
      </w:r>
      <w:r>
        <w:rPr>
          <w:rFonts w:hint="eastAsia" w:ascii="宋体" w:hAnsi="宋体" w:eastAsia="宋体" w:cs="宋体"/>
          <w:color w:val="auto"/>
          <w:spacing w:val="8"/>
          <w:sz w:val="24"/>
          <w:szCs w:val="24"/>
          <w:highlight w:val="none"/>
        </w:rPr>
        <w:t>”个人信息情况截图。（适用于省外建筑企业）</w:t>
      </w:r>
    </w:p>
    <w:p w14:paraId="0CA53D6E">
      <w:pPr>
        <w:spacing w:line="228" w:lineRule="auto"/>
        <w:rPr>
          <w:rFonts w:hint="eastAsia" w:ascii="宋体" w:hAnsi="宋体" w:eastAsia="宋体" w:cs="宋体"/>
          <w:color w:val="auto"/>
          <w:sz w:val="20"/>
          <w:szCs w:val="20"/>
          <w:highlight w:val="none"/>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7A79FF21">
      <w:pPr>
        <w:spacing w:before="78" w:line="220" w:lineRule="auto"/>
        <w:outlineLvl w:val="2"/>
        <w:rPr>
          <w:rFonts w:hint="eastAsia" w:ascii="宋体" w:hAnsi="宋体" w:eastAsia="宋体" w:cs="宋体"/>
          <w:b/>
          <w:bCs/>
          <w:color w:val="auto"/>
          <w:spacing w:val="-4"/>
          <w:sz w:val="24"/>
          <w:szCs w:val="24"/>
          <w:highlight w:val="none"/>
        </w:rPr>
      </w:pPr>
      <w:bookmarkStart w:id="256" w:name="_Toc16314"/>
      <w:r>
        <w:rPr>
          <w:rFonts w:hint="eastAsia" w:ascii="宋体" w:hAnsi="宋体" w:eastAsia="宋体" w:cs="宋体"/>
          <w:b/>
          <w:bCs/>
          <w:color w:val="auto"/>
          <w:spacing w:val="-4"/>
          <w:sz w:val="24"/>
          <w:szCs w:val="24"/>
          <w:highlight w:val="none"/>
        </w:rPr>
        <w:t>格式十一 项目管理机构组成表</w:t>
      </w:r>
      <w:bookmarkEnd w:id="256"/>
    </w:p>
    <w:p w14:paraId="555428D3">
      <w:pPr>
        <w:pStyle w:val="6"/>
        <w:spacing w:line="351" w:lineRule="auto"/>
        <w:rPr>
          <w:rFonts w:hint="eastAsia" w:ascii="宋体" w:hAnsi="宋体" w:eastAsia="宋体" w:cs="宋体"/>
          <w:color w:val="auto"/>
          <w:highlight w:val="none"/>
        </w:rPr>
      </w:pPr>
    </w:p>
    <w:p w14:paraId="162B07EA">
      <w:pPr>
        <w:pStyle w:val="6"/>
        <w:spacing w:line="351" w:lineRule="auto"/>
        <w:rPr>
          <w:rFonts w:hint="eastAsia" w:ascii="宋体" w:hAnsi="宋体" w:eastAsia="宋体" w:cs="宋体"/>
          <w:color w:val="auto"/>
          <w:highlight w:val="none"/>
        </w:rPr>
      </w:pPr>
    </w:p>
    <w:p w14:paraId="3C7DD617">
      <w:pPr>
        <w:spacing w:before="97" w:line="219" w:lineRule="auto"/>
        <w:ind w:left="3200"/>
        <w:outlineLvl w:val="9"/>
        <w:rPr>
          <w:rFonts w:hint="eastAsia" w:ascii="宋体" w:hAnsi="宋体" w:eastAsia="宋体" w:cs="宋体"/>
          <w:color w:val="auto"/>
          <w:sz w:val="30"/>
          <w:szCs w:val="30"/>
          <w:highlight w:val="none"/>
        </w:rPr>
      </w:pPr>
      <w:bookmarkStart w:id="257" w:name="bookmark158"/>
      <w:bookmarkEnd w:id="257"/>
      <w:bookmarkStart w:id="258" w:name="_Toc28765"/>
      <w:bookmarkStart w:id="259" w:name="_Toc19973"/>
      <w:r>
        <w:rPr>
          <w:rFonts w:hint="eastAsia" w:ascii="宋体" w:hAnsi="宋体" w:eastAsia="宋体" w:cs="宋体"/>
          <w:b/>
          <w:bCs/>
          <w:color w:val="auto"/>
          <w:spacing w:val="-4"/>
          <w:sz w:val="30"/>
          <w:szCs w:val="30"/>
          <w:highlight w:val="none"/>
        </w:rPr>
        <w:t>项目管理机构组成表</w:t>
      </w:r>
      <w:bookmarkEnd w:id="258"/>
      <w:bookmarkEnd w:id="259"/>
    </w:p>
    <w:p w14:paraId="1EDDD763">
      <w:pPr>
        <w:spacing w:before="7"/>
        <w:rPr>
          <w:rFonts w:hint="eastAsia" w:ascii="宋体" w:hAnsi="宋体" w:eastAsia="宋体" w:cs="宋体"/>
          <w:color w:val="auto"/>
          <w:highlight w:val="none"/>
        </w:rPr>
      </w:pPr>
    </w:p>
    <w:tbl>
      <w:tblPr>
        <w:tblStyle w:val="17"/>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2173B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top"/>
          </w:tcPr>
          <w:p w14:paraId="2D248E3F">
            <w:pPr>
              <w:spacing w:before="229" w:line="231" w:lineRule="auto"/>
              <w:ind w:left="9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序号</w:t>
            </w:r>
          </w:p>
        </w:tc>
        <w:tc>
          <w:tcPr>
            <w:tcW w:w="1939" w:type="dxa"/>
            <w:vAlign w:val="top"/>
          </w:tcPr>
          <w:p w14:paraId="5F461AAD">
            <w:pPr>
              <w:spacing w:before="228" w:line="231" w:lineRule="auto"/>
              <w:ind w:left="70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岗位</w:t>
            </w:r>
          </w:p>
        </w:tc>
        <w:tc>
          <w:tcPr>
            <w:tcW w:w="1567" w:type="dxa"/>
            <w:vAlign w:val="top"/>
          </w:tcPr>
          <w:p w14:paraId="1DD6F3D6">
            <w:pPr>
              <w:spacing w:before="228" w:line="231" w:lineRule="auto"/>
              <w:ind w:left="52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017" w:type="dxa"/>
            <w:vAlign w:val="top"/>
          </w:tcPr>
          <w:p w14:paraId="3FF2F319">
            <w:pPr>
              <w:spacing w:before="228" w:line="230" w:lineRule="auto"/>
              <w:ind w:left="268"/>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性别</w:t>
            </w:r>
          </w:p>
        </w:tc>
        <w:tc>
          <w:tcPr>
            <w:tcW w:w="1002" w:type="dxa"/>
            <w:vAlign w:val="top"/>
          </w:tcPr>
          <w:p w14:paraId="1F45BB1E">
            <w:pPr>
              <w:spacing w:before="229" w:line="231" w:lineRule="auto"/>
              <w:ind w:left="26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年龄</w:t>
            </w:r>
          </w:p>
        </w:tc>
        <w:tc>
          <w:tcPr>
            <w:tcW w:w="1551" w:type="dxa"/>
            <w:vAlign w:val="top"/>
          </w:tcPr>
          <w:p w14:paraId="3EC28A26">
            <w:pPr>
              <w:spacing w:before="228" w:line="230" w:lineRule="auto"/>
              <w:ind w:left="516"/>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职称</w:t>
            </w:r>
          </w:p>
        </w:tc>
        <w:tc>
          <w:tcPr>
            <w:tcW w:w="1926" w:type="dxa"/>
            <w:vAlign w:val="top"/>
          </w:tcPr>
          <w:p w14:paraId="2B3131B4">
            <w:pPr>
              <w:spacing w:before="228" w:line="230" w:lineRule="auto"/>
              <w:ind w:left="687"/>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备注</w:t>
            </w:r>
          </w:p>
        </w:tc>
      </w:tr>
      <w:tr w14:paraId="66C7A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283EB046">
            <w:pPr>
              <w:spacing w:before="185" w:line="195" w:lineRule="auto"/>
              <w:ind w:left="2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39" w:type="dxa"/>
            <w:vAlign w:val="top"/>
          </w:tcPr>
          <w:p w14:paraId="197454C5">
            <w:pPr>
              <w:spacing w:before="150" w:line="229" w:lineRule="auto"/>
              <w:ind w:left="486"/>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67" w:type="dxa"/>
            <w:vAlign w:val="top"/>
          </w:tcPr>
          <w:p w14:paraId="33D1707C">
            <w:pPr>
              <w:pStyle w:val="25"/>
              <w:rPr>
                <w:rFonts w:hint="eastAsia" w:ascii="宋体" w:hAnsi="宋体" w:eastAsia="宋体" w:cs="宋体"/>
                <w:color w:val="auto"/>
                <w:sz w:val="24"/>
                <w:szCs w:val="24"/>
                <w:highlight w:val="none"/>
              </w:rPr>
            </w:pPr>
          </w:p>
        </w:tc>
        <w:tc>
          <w:tcPr>
            <w:tcW w:w="1017" w:type="dxa"/>
            <w:vAlign w:val="top"/>
          </w:tcPr>
          <w:p w14:paraId="4EA01CAF">
            <w:pPr>
              <w:pStyle w:val="25"/>
              <w:rPr>
                <w:rFonts w:hint="eastAsia" w:ascii="宋体" w:hAnsi="宋体" w:eastAsia="宋体" w:cs="宋体"/>
                <w:color w:val="auto"/>
                <w:sz w:val="24"/>
                <w:szCs w:val="24"/>
                <w:highlight w:val="none"/>
              </w:rPr>
            </w:pPr>
          </w:p>
        </w:tc>
        <w:tc>
          <w:tcPr>
            <w:tcW w:w="1002" w:type="dxa"/>
            <w:vAlign w:val="top"/>
          </w:tcPr>
          <w:p w14:paraId="784E4E86">
            <w:pPr>
              <w:pStyle w:val="25"/>
              <w:rPr>
                <w:rFonts w:hint="eastAsia" w:ascii="宋体" w:hAnsi="宋体" w:eastAsia="宋体" w:cs="宋体"/>
                <w:color w:val="auto"/>
                <w:sz w:val="24"/>
                <w:szCs w:val="24"/>
                <w:highlight w:val="none"/>
              </w:rPr>
            </w:pPr>
          </w:p>
        </w:tc>
        <w:tc>
          <w:tcPr>
            <w:tcW w:w="1551" w:type="dxa"/>
            <w:vAlign w:val="top"/>
          </w:tcPr>
          <w:p w14:paraId="5F4F3964">
            <w:pPr>
              <w:pStyle w:val="25"/>
              <w:rPr>
                <w:rFonts w:hint="eastAsia" w:ascii="宋体" w:hAnsi="宋体" w:eastAsia="宋体" w:cs="宋体"/>
                <w:color w:val="auto"/>
                <w:sz w:val="24"/>
                <w:szCs w:val="24"/>
                <w:highlight w:val="none"/>
              </w:rPr>
            </w:pPr>
          </w:p>
        </w:tc>
        <w:tc>
          <w:tcPr>
            <w:tcW w:w="1926" w:type="dxa"/>
            <w:vAlign w:val="top"/>
          </w:tcPr>
          <w:p w14:paraId="7E0A4FFA">
            <w:pPr>
              <w:pStyle w:val="25"/>
              <w:rPr>
                <w:rFonts w:hint="eastAsia" w:ascii="宋体" w:hAnsi="宋体" w:eastAsia="宋体" w:cs="宋体"/>
                <w:color w:val="auto"/>
                <w:sz w:val="24"/>
                <w:szCs w:val="24"/>
                <w:highlight w:val="none"/>
              </w:rPr>
            </w:pPr>
          </w:p>
        </w:tc>
      </w:tr>
      <w:tr w14:paraId="5BB57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jc w:val="center"/>
        </w:trPr>
        <w:tc>
          <w:tcPr>
            <w:tcW w:w="634" w:type="dxa"/>
            <w:vAlign w:val="top"/>
          </w:tcPr>
          <w:p w14:paraId="2ACB0DD0">
            <w:pPr>
              <w:spacing w:before="187" w:line="195" w:lineRule="auto"/>
              <w:ind w:left="24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939" w:type="dxa"/>
            <w:vAlign w:val="top"/>
          </w:tcPr>
          <w:p w14:paraId="33B30217">
            <w:pPr>
              <w:spacing w:before="152" w:line="22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项目技术负责人</w:t>
            </w:r>
          </w:p>
        </w:tc>
        <w:tc>
          <w:tcPr>
            <w:tcW w:w="1567" w:type="dxa"/>
            <w:vAlign w:val="top"/>
          </w:tcPr>
          <w:p w14:paraId="101658E3">
            <w:pPr>
              <w:pStyle w:val="25"/>
              <w:rPr>
                <w:rFonts w:hint="eastAsia" w:ascii="宋体" w:hAnsi="宋体" w:eastAsia="宋体" w:cs="宋体"/>
                <w:color w:val="auto"/>
                <w:sz w:val="24"/>
                <w:szCs w:val="24"/>
                <w:highlight w:val="none"/>
              </w:rPr>
            </w:pPr>
          </w:p>
        </w:tc>
        <w:tc>
          <w:tcPr>
            <w:tcW w:w="1017" w:type="dxa"/>
            <w:vAlign w:val="top"/>
          </w:tcPr>
          <w:p w14:paraId="13CFB6FB">
            <w:pPr>
              <w:pStyle w:val="25"/>
              <w:rPr>
                <w:rFonts w:hint="eastAsia" w:ascii="宋体" w:hAnsi="宋体" w:eastAsia="宋体" w:cs="宋体"/>
                <w:color w:val="auto"/>
                <w:sz w:val="24"/>
                <w:szCs w:val="24"/>
                <w:highlight w:val="none"/>
              </w:rPr>
            </w:pPr>
          </w:p>
        </w:tc>
        <w:tc>
          <w:tcPr>
            <w:tcW w:w="1002" w:type="dxa"/>
            <w:vAlign w:val="top"/>
          </w:tcPr>
          <w:p w14:paraId="01708B9A">
            <w:pPr>
              <w:pStyle w:val="25"/>
              <w:rPr>
                <w:rFonts w:hint="eastAsia" w:ascii="宋体" w:hAnsi="宋体" w:eastAsia="宋体" w:cs="宋体"/>
                <w:color w:val="auto"/>
                <w:sz w:val="24"/>
                <w:szCs w:val="24"/>
                <w:highlight w:val="none"/>
              </w:rPr>
            </w:pPr>
          </w:p>
        </w:tc>
        <w:tc>
          <w:tcPr>
            <w:tcW w:w="1551" w:type="dxa"/>
            <w:vAlign w:val="top"/>
          </w:tcPr>
          <w:p w14:paraId="2DA12024">
            <w:pPr>
              <w:pStyle w:val="25"/>
              <w:rPr>
                <w:rFonts w:hint="eastAsia" w:ascii="宋体" w:hAnsi="宋体" w:eastAsia="宋体" w:cs="宋体"/>
                <w:color w:val="auto"/>
                <w:sz w:val="24"/>
                <w:szCs w:val="24"/>
                <w:highlight w:val="none"/>
              </w:rPr>
            </w:pPr>
          </w:p>
        </w:tc>
        <w:tc>
          <w:tcPr>
            <w:tcW w:w="1926" w:type="dxa"/>
            <w:vAlign w:val="top"/>
          </w:tcPr>
          <w:p w14:paraId="7E36E9CF">
            <w:pPr>
              <w:pStyle w:val="25"/>
              <w:rPr>
                <w:rFonts w:hint="eastAsia" w:ascii="宋体" w:hAnsi="宋体" w:eastAsia="宋体" w:cs="宋体"/>
                <w:color w:val="auto"/>
                <w:sz w:val="24"/>
                <w:szCs w:val="24"/>
                <w:highlight w:val="none"/>
              </w:rPr>
            </w:pPr>
          </w:p>
        </w:tc>
      </w:tr>
      <w:tr w14:paraId="72AE8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185BE277">
            <w:pPr>
              <w:spacing w:before="189" w:line="195" w:lineRule="auto"/>
              <w:ind w:left="247"/>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939" w:type="dxa"/>
            <w:vAlign w:val="center"/>
          </w:tcPr>
          <w:p w14:paraId="46937765">
            <w:pPr>
              <w:spacing w:before="153" w:line="229" w:lineRule="auto"/>
              <w:ind w:left="378"/>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专职安全员</w:t>
            </w:r>
          </w:p>
        </w:tc>
        <w:tc>
          <w:tcPr>
            <w:tcW w:w="1567" w:type="dxa"/>
            <w:vAlign w:val="top"/>
          </w:tcPr>
          <w:p w14:paraId="15C126D8">
            <w:pPr>
              <w:pStyle w:val="25"/>
              <w:rPr>
                <w:rFonts w:hint="eastAsia" w:ascii="宋体" w:hAnsi="宋体" w:eastAsia="宋体" w:cs="宋体"/>
                <w:color w:val="auto"/>
                <w:sz w:val="24"/>
                <w:szCs w:val="24"/>
                <w:highlight w:val="none"/>
              </w:rPr>
            </w:pPr>
          </w:p>
        </w:tc>
        <w:tc>
          <w:tcPr>
            <w:tcW w:w="1017" w:type="dxa"/>
            <w:vAlign w:val="top"/>
          </w:tcPr>
          <w:p w14:paraId="7B9FA270">
            <w:pPr>
              <w:pStyle w:val="25"/>
              <w:rPr>
                <w:rFonts w:hint="eastAsia" w:ascii="宋体" w:hAnsi="宋体" w:eastAsia="宋体" w:cs="宋体"/>
                <w:color w:val="auto"/>
                <w:sz w:val="24"/>
                <w:szCs w:val="24"/>
                <w:highlight w:val="none"/>
              </w:rPr>
            </w:pPr>
          </w:p>
        </w:tc>
        <w:tc>
          <w:tcPr>
            <w:tcW w:w="1002" w:type="dxa"/>
            <w:vAlign w:val="top"/>
          </w:tcPr>
          <w:p w14:paraId="1060A9BD">
            <w:pPr>
              <w:pStyle w:val="25"/>
              <w:rPr>
                <w:rFonts w:hint="eastAsia" w:ascii="宋体" w:hAnsi="宋体" w:eastAsia="宋体" w:cs="宋体"/>
                <w:color w:val="auto"/>
                <w:sz w:val="24"/>
                <w:szCs w:val="24"/>
                <w:highlight w:val="none"/>
              </w:rPr>
            </w:pPr>
          </w:p>
        </w:tc>
        <w:tc>
          <w:tcPr>
            <w:tcW w:w="1551" w:type="dxa"/>
            <w:vAlign w:val="top"/>
          </w:tcPr>
          <w:p w14:paraId="5301968F">
            <w:pPr>
              <w:pStyle w:val="25"/>
              <w:rPr>
                <w:rFonts w:hint="eastAsia" w:ascii="宋体" w:hAnsi="宋体" w:eastAsia="宋体" w:cs="宋体"/>
                <w:color w:val="auto"/>
                <w:sz w:val="24"/>
                <w:szCs w:val="24"/>
                <w:highlight w:val="none"/>
              </w:rPr>
            </w:pPr>
          </w:p>
        </w:tc>
        <w:tc>
          <w:tcPr>
            <w:tcW w:w="1926" w:type="dxa"/>
            <w:vAlign w:val="top"/>
          </w:tcPr>
          <w:p w14:paraId="6D41F555">
            <w:pPr>
              <w:pStyle w:val="25"/>
              <w:rPr>
                <w:rFonts w:hint="eastAsia" w:ascii="宋体" w:hAnsi="宋体" w:eastAsia="宋体" w:cs="宋体"/>
                <w:color w:val="auto"/>
                <w:sz w:val="24"/>
                <w:szCs w:val="24"/>
                <w:highlight w:val="none"/>
              </w:rPr>
            </w:pPr>
          </w:p>
        </w:tc>
      </w:tr>
      <w:tr w14:paraId="74871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30DCE2EF">
            <w:pPr>
              <w:spacing w:before="188" w:line="195" w:lineRule="auto"/>
              <w:ind w:left="24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939" w:type="dxa"/>
            <w:vAlign w:val="top"/>
          </w:tcPr>
          <w:p w14:paraId="696539CB">
            <w:pPr>
              <w:spacing w:before="152" w:line="230" w:lineRule="auto"/>
              <w:ind w:left="58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施工员</w:t>
            </w:r>
          </w:p>
        </w:tc>
        <w:tc>
          <w:tcPr>
            <w:tcW w:w="1567" w:type="dxa"/>
            <w:vAlign w:val="top"/>
          </w:tcPr>
          <w:p w14:paraId="18E417E4">
            <w:pPr>
              <w:pStyle w:val="25"/>
              <w:rPr>
                <w:rFonts w:hint="eastAsia" w:ascii="宋体" w:hAnsi="宋体" w:eastAsia="宋体" w:cs="宋体"/>
                <w:color w:val="auto"/>
                <w:sz w:val="24"/>
                <w:szCs w:val="24"/>
                <w:highlight w:val="none"/>
              </w:rPr>
            </w:pPr>
          </w:p>
        </w:tc>
        <w:tc>
          <w:tcPr>
            <w:tcW w:w="1017" w:type="dxa"/>
            <w:vAlign w:val="top"/>
          </w:tcPr>
          <w:p w14:paraId="34BD54A5">
            <w:pPr>
              <w:pStyle w:val="25"/>
              <w:rPr>
                <w:rFonts w:hint="eastAsia" w:ascii="宋体" w:hAnsi="宋体" w:eastAsia="宋体" w:cs="宋体"/>
                <w:color w:val="auto"/>
                <w:sz w:val="24"/>
                <w:szCs w:val="24"/>
                <w:highlight w:val="none"/>
              </w:rPr>
            </w:pPr>
          </w:p>
        </w:tc>
        <w:tc>
          <w:tcPr>
            <w:tcW w:w="1002" w:type="dxa"/>
            <w:vAlign w:val="top"/>
          </w:tcPr>
          <w:p w14:paraId="35F0DD07">
            <w:pPr>
              <w:pStyle w:val="25"/>
              <w:rPr>
                <w:rFonts w:hint="eastAsia" w:ascii="宋体" w:hAnsi="宋体" w:eastAsia="宋体" w:cs="宋体"/>
                <w:color w:val="auto"/>
                <w:sz w:val="24"/>
                <w:szCs w:val="24"/>
                <w:highlight w:val="none"/>
              </w:rPr>
            </w:pPr>
          </w:p>
        </w:tc>
        <w:tc>
          <w:tcPr>
            <w:tcW w:w="1551" w:type="dxa"/>
            <w:vAlign w:val="top"/>
          </w:tcPr>
          <w:p w14:paraId="267F23C7">
            <w:pPr>
              <w:pStyle w:val="25"/>
              <w:rPr>
                <w:rFonts w:hint="eastAsia" w:ascii="宋体" w:hAnsi="宋体" w:eastAsia="宋体" w:cs="宋体"/>
                <w:color w:val="auto"/>
                <w:sz w:val="24"/>
                <w:szCs w:val="24"/>
                <w:highlight w:val="none"/>
              </w:rPr>
            </w:pPr>
          </w:p>
        </w:tc>
        <w:tc>
          <w:tcPr>
            <w:tcW w:w="1926" w:type="dxa"/>
            <w:vAlign w:val="top"/>
          </w:tcPr>
          <w:p w14:paraId="20919564">
            <w:pPr>
              <w:pStyle w:val="25"/>
              <w:rPr>
                <w:rFonts w:hint="eastAsia" w:ascii="宋体" w:hAnsi="宋体" w:eastAsia="宋体" w:cs="宋体"/>
                <w:color w:val="auto"/>
                <w:sz w:val="24"/>
                <w:szCs w:val="24"/>
                <w:highlight w:val="none"/>
              </w:rPr>
            </w:pPr>
          </w:p>
        </w:tc>
      </w:tr>
      <w:tr w14:paraId="0060E5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67913FB8">
            <w:pPr>
              <w:spacing w:before="193" w:line="192" w:lineRule="auto"/>
              <w:ind w:left="24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939" w:type="dxa"/>
            <w:vAlign w:val="top"/>
          </w:tcPr>
          <w:p w14:paraId="77726B25">
            <w:pPr>
              <w:spacing w:before="154" w:line="229" w:lineRule="auto"/>
              <w:ind w:left="58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质量员</w:t>
            </w:r>
          </w:p>
        </w:tc>
        <w:tc>
          <w:tcPr>
            <w:tcW w:w="1567" w:type="dxa"/>
            <w:vAlign w:val="top"/>
          </w:tcPr>
          <w:p w14:paraId="7AF367BA">
            <w:pPr>
              <w:pStyle w:val="25"/>
              <w:rPr>
                <w:rFonts w:hint="eastAsia" w:ascii="宋体" w:hAnsi="宋体" w:eastAsia="宋体" w:cs="宋体"/>
                <w:color w:val="auto"/>
                <w:sz w:val="24"/>
                <w:szCs w:val="24"/>
                <w:highlight w:val="none"/>
              </w:rPr>
            </w:pPr>
          </w:p>
        </w:tc>
        <w:tc>
          <w:tcPr>
            <w:tcW w:w="1017" w:type="dxa"/>
            <w:vAlign w:val="top"/>
          </w:tcPr>
          <w:p w14:paraId="28C0AB4F">
            <w:pPr>
              <w:pStyle w:val="25"/>
              <w:rPr>
                <w:rFonts w:hint="eastAsia" w:ascii="宋体" w:hAnsi="宋体" w:eastAsia="宋体" w:cs="宋体"/>
                <w:color w:val="auto"/>
                <w:sz w:val="24"/>
                <w:szCs w:val="24"/>
                <w:highlight w:val="none"/>
              </w:rPr>
            </w:pPr>
          </w:p>
        </w:tc>
        <w:tc>
          <w:tcPr>
            <w:tcW w:w="1002" w:type="dxa"/>
            <w:vAlign w:val="top"/>
          </w:tcPr>
          <w:p w14:paraId="4F2CE8AB">
            <w:pPr>
              <w:pStyle w:val="25"/>
              <w:rPr>
                <w:rFonts w:hint="eastAsia" w:ascii="宋体" w:hAnsi="宋体" w:eastAsia="宋体" w:cs="宋体"/>
                <w:color w:val="auto"/>
                <w:sz w:val="24"/>
                <w:szCs w:val="24"/>
                <w:highlight w:val="none"/>
              </w:rPr>
            </w:pPr>
          </w:p>
        </w:tc>
        <w:tc>
          <w:tcPr>
            <w:tcW w:w="1551" w:type="dxa"/>
            <w:vAlign w:val="top"/>
          </w:tcPr>
          <w:p w14:paraId="0E48A750">
            <w:pPr>
              <w:pStyle w:val="25"/>
              <w:rPr>
                <w:rFonts w:hint="eastAsia" w:ascii="宋体" w:hAnsi="宋体" w:eastAsia="宋体" w:cs="宋体"/>
                <w:color w:val="auto"/>
                <w:sz w:val="24"/>
                <w:szCs w:val="24"/>
                <w:highlight w:val="none"/>
              </w:rPr>
            </w:pPr>
          </w:p>
        </w:tc>
        <w:tc>
          <w:tcPr>
            <w:tcW w:w="1926" w:type="dxa"/>
            <w:vAlign w:val="top"/>
          </w:tcPr>
          <w:p w14:paraId="23F7D129">
            <w:pPr>
              <w:pStyle w:val="25"/>
              <w:rPr>
                <w:rFonts w:hint="eastAsia" w:ascii="宋体" w:hAnsi="宋体" w:eastAsia="宋体" w:cs="宋体"/>
                <w:color w:val="auto"/>
                <w:sz w:val="24"/>
                <w:szCs w:val="24"/>
                <w:highlight w:val="none"/>
              </w:rPr>
            </w:pPr>
          </w:p>
        </w:tc>
      </w:tr>
      <w:tr w14:paraId="28B3C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4353BB91">
            <w:pPr>
              <w:spacing w:before="191" w:line="195" w:lineRule="auto"/>
              <w:ind w:left="24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939" w:type="dxa"/>
            <w:vAlign w:val="top"/>
          </w:tcPr>
          <w:p w14:paraId="36757C05">
            <w:pPr>
              <w:spacing w:before="155" w:line="228" w:lineRule="auto"/>
              <w:ind w:left="58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材料员</w:t>
            </w:r>
          </w:p>
        </w:tc>
        <w:tc>
          <w:tcPr>
            <w:tcW w:w="1567" w:type="dxa"/>
            <w:vAlign w:val="top"/>
          </w:tcPr>
          <w:p w14:paraId="7CA93473">
            <w:pPr>
              <w:pStyle w:val="25"/>
              <w:rPr>
                <w:rFonts w:hint="eastAsia" w:ascii="宋体" w:hAnsi="宋体" w:eastAsia="宋体" w:cs="宋体"/>
                <w:color w:val="auto"/>
                <w:sz w:val="24"/>
                <w:szCs w:val="24"/>
                <w:highlight w:val="none"/>
              </w:rPr>
            </w:pPr>
          </w:p>
        </w:tc>
        <w:tc>
          <w:tcPr>
            <w:tcW w:w="1017" w:type="dxa"/>
            <w:vAlign w:val="top"/>
          </w:tcPr>
          <w:p w14:paraId="22CBD8CF">
            <w:pPr>
              <w:pStyle w:val="25"/>
              <w:rPr>
                <w:rFonts w:hint="eastAsia" w:ascii="宋体" w:hAnsi="宋体" w:eastAsia="宋体" w:cs="宋体"/>
                <w:color w:val="auto"/>
                <w:sz w:val="24"/>
                <w:szCs w:val="24"/>
                <w:highlight w:val="none"/>
              </w:rPr>
            </w:pPr>
          </w:p>
        </w:tc>
        <w:tc>
          <w:tcPr>
            <w:tcW w:w="1002" w:type="dxa"/>
            <w:vAlign w:val="top"/>
          </w:tcPr>
          <w:p w14:paraId="215EF28A">
            <w:pPr>
              <w:pStyle w:val="25"/>
              <w:rPr>
                <w:rFonts w:hint="eastAsia" w:ascii="宋体" w:hAnsi="宋体" w:eastAsia="宋体" w:cs="宋体"/>
                <w:color w:val="auto"/>
                <w:sz w:val="24"/>
                <w:szCs w:val="24"/>
                <w:highlight w:val="none"/>
              </w:rPr>
            </w:pPr>
          </w:p>
        </w:tc>
        <w:tc>
          <w:tcPr>
            <w:tcW w:w="1551" w:type="dxa"/>
            <w:vAlign w:val="top"/>
          </w:tcPr>
          <w:p w14:paraId="4B59D5A3">
            <w:pPr>
              <w:pStyle w:val="25"/>
              <w:rPr>
                <w:rFonts w:hint="eastAsia" w:ascii="宋体" w:hAnsi="宋体" w:eastAsia="宋体" w:cs="宋体"/>
                <w:color w:val="auto"/>
                <w:sz w:val="24"/>
                <w:szCs w:val="24"/>
                <w:highlight w:val="none"/>
              </w:rPr>
            </w:pPr>
          </w:p>
        </w:tc>
        <w:tc>
          <w:tcPr>
            <w:tcW w:w="1926" w:type="dxa"/>
            <w:vAlign w:val="top"/>
          </w:tcPr>
          <w:p w14:paraId="6D3A902C">
            <w:pPr>
              <w:pStyle w:val="25"/>
              <w:rPr>
                <w:rFonts w:hint="eastAsia" w:ascii="宋体" w:hAnsi="宋体" w:eastAsia="宋体" w:cs="宋体"/>
                <w:color w:val="auto"/>
                <w:sz w:val="24"/>
                <w:szCs w:val="24"/>
                <w:highlight w:val="none"/>
              </w:rPr>
            </w:pPr>
          </w:p>
        </w:tc>
      </w:tr>
      <w:tr w14:paraId="024F7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6129B6BD">
            <w:pPr>
              <w:spacing w:before="192" w:line="192" w:lineRule="auto"/>
              <w:ind w:left="24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939" w:type="dxa"/>
            <w:vAlign w:val="top"/>
          </w:tcPr>
          <w:p w14:paraId="43618D94">
            <w:pPr>
              <w:spacing w:before="154" w:line="229" w:lineRule="auto"/>
              <w:ind w:left="59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资料员</w:t>
            </w:r>
          </w:p>
        </w:tc>
        <w:tc>
          <w:tcPr>
            <w:tcW w:w="1567" w:type="dxa"/>
            <w:vAlign w:val="top"/>
          </w:tcPr>
          <w:p w14:paraId="7F6F6292">
            <w:pPr>
              <w:pStyle w:val="25"/>
              <w:rPr>
                <w:rFonts w:hint="eastAsia" w:ascii="宋体" w:hAnsi="宋体" w:eastAsia="宋体" w:cs="宋体"/>
                <w:color w:val="auto"/>
                <w:sz w:val="24"/>
                <w:szCs w:val="24"/>
                <w:highlight w:val="none"/>
              </w:rPr>
            </w:pPr>
          </w:p>
        </w:tc>
        <w:tc>
          <w:tcPr>
            <w:tcW w:w="1017" w:type="dxa"/>
            <w:vAlign w:val="top"/>
          </w:tcPr>
          <w:p w14:paraId="6F5A3CD1">
            <w:pPr>
              <w:pStyle w:val="25"/>
              <w:rPr>
                <w:rFonts w:hint="eastAsia" w:ascii="宋体" w:hAnsi="宋体" w:eastAsia="宋体" w:cs="宋体"/>
                <w:color w:val="auto"/>
                <w:sz w:val="24"/>
                <w:szCs w:val="24"/>
                <w:highlight w:val="none"/>
              </w:rPr>
            </w:pPr>
          </w:p>
        </w:tc>
        <w:tc>
          <w:tcPr>
            <w:tcW w:w="1002" w:type="dxa"/>
            <w:vAlign w:val="top"/>
          </w:tcPr>
          <w:p w14:paraId="0A3F0696">
            <w:pPr>
              <w:pStyle w:val="25"/>
              <w:rPr>
                <w:rFonts w:hint="eastAsia" w:ascii="宋体" w:hAnsi="宋体" w:eastAsia="宋体" w:cs="宋体"/>
                <w:color w:val="auto"/>
                <w:sz w:val="24"/>
                <w:szCs w:val="24"/>
                <w:highlight w:val="none"/>
              </w:rPr>
            </w:pPr>
          </w:p>
        </w:tc>
        <w:tc>
          <w:tcPr>
            <w:tcW w:w="1551" w:type="dxa"/>
            <w:vAlign w:val="top"/>
          </w:tcPr>
          <w:p w14:paraId="33CF7C3A">
            <w:pPr>
              <w:pStyle w:val="25"/>
              <w:rPr>
                <w:rFonts w:hint="eastAsia" w:ascii="宋体" w:hAnsi="宋体" w:eastAsia="宋体" w:cs="宋体"/>
                <w:color w:val="auto"/>
                <w:sz w:val="24"/>
                <w:szCs w:val="24"/>
                <w:highlight w:val="none"/>
              </w:rPr>
            </w:pPr>
          </w:p>
        </w:tc>
        <w:tc>
          <w:tcPr>
            <w:tcW w:w="1926" w:type="dxa"/>
            <w:vAlign w:val="top"/>
          </w:tcPr>
          <w:p w14:paraId="2FDF9A49">
            <w:pPr>
              <w:pStyle w:val="25"/>
              <w:rPr>
                <w:rFonts w:hint="eastAsia" w:ascii="宋体" w:hAnsi="宋体" w:eastAsia="宋体" w:cs="宋体"/>
                <w:color w:val="auto"/>
                <w:sz w:val="24"/>
                <w:szCs w:val="24"/>
                <w:highlight w:val="none"/>
              </w:rPr>
            </w:pPr>
          </w:p>
        </w:tc>
      </w:tr>
      <w:tr w14:paraId="330E4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top"/>
          </w:tcPr>
          <w:p w14:paraId="761367CA">
            <w:pPr>
              <w:spacing w:before="154" w:line="325" w:lineRule="exact"/>
              <w:ind w:left="104"/>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939" w:type="dxa"/>
            <w:vAlign w:val="top"/>
          </w:tcPr>
          <w:p w14:paraId="6C0AA321">
            <w:pPr>
              <w:pStyle w:val="25"/>
              <w:rPr>
                <w:rFonts w:hint="eastAsia" w:ascii="宋体" w:hAnsi="宋体" w:eastAsia="宋体" w:cs="宋体"/>
                <w:color w:val="auto"/>
                <w:sz w:val="24"/>
                <w:szCs w:val="24"/>
                <w:highlight w:val="none"/>
              </w:rPr>
            </w:pPr>
          </w:p>
        </w:tc>
        <w:tc>
          <w:tcPr>
            <w:tcW w:w="1567" w:type="dxa"/>
            <w:vAlign w:val="top"/>
          </w:tcPr>
          <w:p w14:paraId="6B481C93">
            <w:pPr>
              <w:pStyle w:val="25"/>
              <w:rPr>
                <w:rFonts w:hint="eastAsia" w:ascii="宋体" w:hAnsi="宋体" w:eastAsia="宋体" w:cs="宋体"/>
                <w:color w:val="auto"/>
                <w:sz w:val="24"/>
                <w:szCs w:val="24"/>
                <w:highlight w:val="none"/>
              </w:rPr>
            </w:pPr>
          </w:p>
        </w:tc>
        <w:tc>
          <w:tcPr>
            <w:tcW w:w="1017" w:type="dxa"/>
            <w:vAlign w:val="top"/>
          </w:tcPr>
          <w:p w14:paraId="2186C8F6">
            <w:pPr>
              <w:pStyle w:val="25"/>
              <w:rPr>
                <w:rFonts w:hint="eastAsia" w:ascii="宋体" w:hAnsi="宋体" w:eastAsia="宋体" w:cs="宋体"/>
                <w:color w:val="auto"/>
                <w:sz w:val="24"/>
                <w:szCs w:val="24"/>
                <w:highlight w:val="none"/>
              </w:rPr>
            </w:pPr>
          </w:p>
        </w:tc>
        <w:tc>
          <w:tcPr>
            <w:tcW w:w="1002" w:type="dxa"/>
            <w:vAlign w:val="top"/>
          </w:tcPr>
          <w:p w14:paraId="458500AA">
            <w:pPr>
              <w:pStyle w:val="25"/>
              <w:rPr>
                <w:rFonts w:hint="eastAsia" w:ascii="宋体" w:hAnsi="宋体" w:eastAsia="宋体" w:cs="宋体"/>
                <w:color w:val="auto"/>
                <w:sz w:val="24"/>
                <w:szCs w:val="24"/>
                <w:highlight w:val="none"/>
              </w:rPr>
            </w:pPr>
          </w:p>
        </w:tc>
        <w:tc>
          <w:tcPr>
            <w:tcW w:w="1551" w:type="dxa"/>
            <w:vAlign w:val="top"/>
          </w:tcPr>
          <w:p w14:paraId="69CC634F">
            <w:pPr>
              <w:pStyle w:val="25"/>
              <w:rPr>
                <w:rFonts w:hint="eastAsia" w:ascii="宋体" w:hAnsi="宋体" w:eastAsia="宋体" w:cs="宋体"/>
                <w:color w:val="auto"/>
                <w:sz w:val="24"/>
                <w:szCs w:val="24"/>
                <w:highlight w:val="none"/>
              </w:rPr>
            </w:pPr>
          </w:p>
        </w:tc>
        <w:tc>
          <w:tcPr>
            <w:tcW w:w="1926" w:type="dxa"/>
            <w:vAlign w:val="top"/>
          </w:tcPr>
          <w:p w14:paraId="0E3F8717">
            <w:pPr>
              <w:pStyle w:val="25"/>
              <w:rPr>
                <w:rFonts w:hint="eastAsia" w:ascii="宋体" w:hAnsi="宋体" w:eastAsia="宋体" w:cs="宋体"/>
                <w:color w:val="auto"/>
                <w:sz w:val="24"/>
                <w:szCs w:val="24"/>
                <w:highlight w:val="none"/>
              </w:rPr>
            </w:pPr>
          </w:p>
        </w:tc>
      </w:tr>
    </w:tbl>
    <w:p w14:paraId="2C506F4A">
      <w:pPr>
        <w:pStyle w:val="6"/>
        <w:spacing w:line="395" w:lineRule="auto"/>
        <w:rPr>
          <w:rFonts w:hint="eastAsia" w:ascii="宋体" w:hAnsi="宋体" w:eastAsia="宋体" w:cs="宋体"/>
          <w:color w:val="auto"/>
          <w:sz w:val="24"/>
          <w:szCs w:val="24"/>
          <w:highlight w:val="none"/>
        </w:rPr>
      </w:pPr>
    </w:p>
    <w:p w14:paraId="48D3ED77">
      <w:pPr>
        <w:spacing w:before="65" w:line="228" w:lineRule="auto"/>
        <w:ind w:left="43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说明：</w:t>
      </w:r>
    </w:p>
    <w:p w14:paraId="3E8C578A">
      <w:pPr>
        <w:spacing w:before="153" w:line="228" w:lineRule="auto"/>
        <w:ind w:firstLine="496"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4"/>
          <w:sz w:val="24"/>
          <w:szCs w:val="24"/>
          <w:highlight w:val="none"/>
        </w:rPr>
        <w:t>．《项目管理机构组成表》后应附表中拟派人</w:t>
      </w:r>
      <w:r>
        <w:rPr>
          <w:rFonts w:hint="eastAsia" w:ascii="宋体" w:hAnsi="宋体" w:eastAsia="宋体" w:cs="宋体"/>
          <w:color w:val="auto"/>
          <w:spacing w:val="3"/>
          <w:sz w:val="24"/>
          <w:szCs w:val="24"/>
          <w:highlight w:val="none"/>
        </w:rPr>
        <w:t>员（项目经理、项目技术负责人除外）以下资料：</w:t>
      </w:r>
    </w:p>
    <w:p w14:paraId="5D1DDFC3">
      <w:pPr>
        <w:spacing w:before="154" w:line="228" w:lineRule="auto"/>
        <w:ind w:left="448"/>
        <w:jc w:val="left"/>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lang w:val="en-US" w:eastAsia="zh-CN"/>
        </w:rPr>
        <w:t>1</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身份证彩色扫描件；</w:t>
      </w:r>
    </w:p>
    <w:p w14:paraId="53B8EA83">
      <w:pPr>
        <w:spacing w:before="152" w:line="228" w:lineRule="auto"/>
        <w:ind w:left="42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2</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9"/>
          <w:sz w:val="24"/>
          <w:szCs w:val="24"/>
          <w:highlight w:val="none"/>
        </w:rPr>
        <w:t>专职安全员须提供C类安全生产考核合格证书扫描件或“建筑施工企业管理人员安全生产考核信息系统”考核合格信息扫描件；施工员、质量员、材料员、资料员附岗位证书或培训证书彩色扫描件或打印件；</w:t>
      </w:r>
    </w:p>
    <w:p w14:paraId="40814848">
      <w:pPr>
        <w:spacing w:before="153" w:line="299" w:lineRule="auto"/>
        <w:ind w:left="11" w:right="89" w:firstLine="42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lang w:val="en-US" w:eastAsia="zh-CN"/>
        </w:rPr>
        <w:t>3</w:t>
      </w: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rPr>
        <w:t>在本单位缴纳社保的证明（</w:t>
      </w:r>
      <w:r>
        <w:rPr>
          <w:rFonts w:hint="eastAsia" w:ascii="宋体" w:hAnsi="宋体" w:eastAsia="宋体" w:cs="宋体"/>
          <w:color w:val="auto"/>
          <w:sz w:val="24"/>
          <w:szCs w:val="24"/>
          <w:highlight w:val="none"/>
          <w:lang w:eastAsia="zh-CN"/>
        </w:rPr>
        <w:t>至少1个月，其中必须有2026年</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pacing w:val="8"/>
          <w:sz w:val="24"/>
          <w:szCs w:val="24"/>
          <w:highlight w:val="none"/>
        </w:rPr>
        <w:t>）彩色扫描件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拟派项目技术负责人为退休返聘人员无法提供社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2488CB38">
      <w:pPr>
        <w:spacing w:before="152" w:line="228" w:lineRule="auto"/>
        <w:ind w:left="0" w:leftChars="0" w:firstLine="419" w:firstLineChars="164"/>
        <w:rPr>
          <w:rFonts w:hint="eastAsia" w:ascii="宋体" w:hAnsi="宋体" w:eastAsia="宋体" w:cs="宋体"/>
          <w:color w:val="auto"/>
          <w:spacing w:val="9"/>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9"/>
          <w:sz w:val="24"/>
          <w:szCs w:val="24"/>
          <w:highlight w:val="none"/>
        </w:rPr>
        <w:t>“进粤企业和人员诚信信息登记平台 ”个人信息情况截图。（适用于省外建筑企业）</w:t>
      </w:r>
    </w:p>
    <w:p w14:paraId="7D04B8DB">
      <w:pPr>
        <w:spacing w:before="153" w:line="299" w:lineRule="auto"/>
        <w:ind w:left="16" w:right="40" w:firstLine="41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val="en-US" w:eastAsia="zh-CN"/>
        </w:rPr>
        <w:t>2.</w:t>
      </w:r>
      <w:r>
        <w:rPr>
          <w:rFonts w:hint="eastAsia" w:ascii="宋体" w:hAnsi="宋体" w:eastAsia="宋体" w:cs="宋体"/>
          <w:color w:val="auto"/>
          <w:spacing w:val="8"/>
          <w:sz w:val="24"/>
          <w:szCs w:val="24"/>
          <w:highlight w:val="none"/>
        </w:rPr>
        <w:t>联合体投标的，《项目管理机构组成表》应包括联合体成员单位参与项目管理</w:t>
      </w:r>
      <w:r>
        <w:rPr>
          <w:rFonts w:hint="eastAsia" w:ascii="宋体" w:hAnsi="宋体" w:eastAsia="宋体" w:cs="宋体"/>
          <w:color w:val="auto"/>
          <w:spacing w:val="7"/>
          <w:sz w:val="24"/>
          <w:szCs w:val="24"/>
          <w:highlight w:val="none"/>
        </w:rPr>
        <w:t>机构的人员，并提供以上所需资料。</w:t>
      </w:r>
    </w:p>
    <w:p w14:paraId="270AB728">
      <w:pPr>
        <w:pStyle w:val="6"/>
        <w:spacing w:line="248" w:lineRule="auto"/>
        <w:rPr>
          <w:rFonts w:hint="eastAsia" w:ascii="宋体" w:hAnsi="宋体" w:eastAsia="宋体" w:cs="宋体"/>
          <w:color w:val="auto"/>
          <w:sz w:val="24"/>
          <w:szCs w:val="24"/>
          <w:highlight w:val="none"/>
        </w:rPr>
      </w:pPr>
    </w:p>
    <w:p w14:paraId="67BB345D">
      <w:pPr>
        <w:pStyle w:val="6"/>
        <w:spacing w:line="248" w:lineRule="auto"/>
        <w:rPr>
          <w:rFonts w:hint="eastAsia" w:ascii="宋体" w:hAnsi="宋体" w:eastAsia="宋体" w:cs="宋体"/>
          <w:color w:val="auto"/>
          <w:sz w:val="24"/>
          <w:szCs w:val="24"/>
          <w:highlight w:val="none"/>
        </w:rPr>
      </w:pPr>
    </w:p>
    <w:p w14:paraId="7B06C124">
      <w:pPr>
        <w:pStyle w:val="6"/>
        <w:spacing w:line="248" w:lineRule="auto"/>
        <w:rPr>
          <w:rFonts w:hint="eastAsia" w:ascii="宋体" w:hAnsi="宋体" w:eastAsia="宋体" w:cs="宋体"/>
          <w:color w:val="auto"/>
          <w:highlight w:val="none"/>
        </w:rPr>
      </w:pPr>
    </w:p>
    <w:p w14:paraId="4D41C197">
      <w:pPr>
        <w:pStyle w:val="6"/>
        <w:spacing w:line="248" w:lineRule="auto"/>
        <w:rPr>
          <w:rFonts w:hint="eastAsia" w:ascii="宋体" w:hAnsi="宋体" w:eastAsia="宋体" w:cs="宋体"/>
          <w:color w:val="auto"/>
          <w:highlight w:val="none"/>
        </w:rPr>
      </w:pPr>
    </w:p>
    <w:p w14:paraId="5146A28D">
      <w:pPr>
        <w:spacing w:before="79" w:line="220" w:lineRule="auto"/>
        <w:rPr>
          <w:rFonts w:hint="eastAsia" w:ascii="宋体" w:hAnsi="宋体" w:eastAsia="宋体" w:cs="宋体"/>
          <w:b/>
          <w:bCs/>
          <w:color w:val="auto"/>
          <w:spacing w:val="-2"/>
          <w:sz w:val="24"/>
          <w:szCs w:val="24"/>
          <w:highlight w:val="none"/>
        </w:rPr>
      </w:pPr>
    </w:p>
    <w:p w14:paraId="69CF808F">
      <w:pPr>
        <w:spacing w:before="78" w:line="220" w:lineRule="auto"/>
        <w:outlineLvl w:val="2"/>
        <w:rPr>
          <w:rFonts w:hint="eastAsia" w:ascii="宋体" w:hAnsi="宋体" w:eastAsia="宋体" w:cs="宋体"/>
          <w:b/>
          <w:bCs/>
          <w:color w:val="auto"/>
          <w:spacing w:val="-4"/>
          <w:sz w:val="24"/>
          <w:szCs w:val="24"/>
          <w:highlight w:val="none"/>
        </w:rPr>
      </w:pPr>
      <w:bookmarkStart w:id="260" w:name="_Toc21330"/>
      <w:r>
        <w:rPr>
          <w:rFonts w:hint="eastAsia" w:ascii="宋体" w:hAnsi="宋体" w:eastAsia="宋体" w:cs="宋体"/>
          <w:b/>
          <w:bCs/>
          <w:color w:val="auto"/>
          <w:spacing w:val="-4"/>
          <w:sz w:val="24"/>
          <w:szCs w:val="24"/>
          <w:highlight w:val="none"/>
        </w:rPr>
        <w:t>格式十二 建造师查询页（有效期+建造师签字）</w:t>
      </w:r>
      <w:bookmarkEnd w:id="260"/>
    </w:p>
    <w:p w14:paraId="7E4612B5">
      <w:pPr>
        <w:outlineLvl w:val="9"/>
        <w:rPr>
          <w:rFonts w:hint="eastAsia" w:ascii="宋体" w:hAnsi="宋体" w:eastAsia="宋体" w:cs="宋体"/>
          <w:color w:val="auto"/>
          <w:highlight w:val="none"/>
        </w:rPr>
      </w:pPr>
      <w:r>
        <w:rPr>
          <w:rFonts w:hint="eastAsia" w:ascii="宋体" w:hAnsi="宋体" w:eastAsia="宋体" w:cs="宋体"/>
          <w:color w:val="auto"/>
          <w:position w:val="-235"/>
          <w:highlight w:val="none"/>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28"/>
                    <a:stretch>
                      <a:fillRect/>
                    </a:stretch>
                  </pic:blipFill>
                  <pic:spPr>
                    <a:xfrm>
                      <a:off x="0" y="0"/>
                      <a:ext cx="6239510" cy="8013700"/>
                    </a:xfrm>
                    <a:prstGeom prst="rect">
                      <a:avLst/>
                    </a:prstGeom>
                    <a:noFill/>
                    <a:ln>
                      <a:noFill/>
                    </a:ln>
                  </pic:spPr>
                </pic:pic>
              </a:graphicData>
            </a:graphic>
          </wp:inline>
        </w:drawing>
      </w:r>
    </w:p>
    <w:p w14:paraId="3172F0C9">
      <w:pPr>
        <w:spacing w:line="220" w:lineRule="auto"/>
        <w:rPr>
          <w:rFonts w:hint="eastAsia" w:ascii="宋体" w:hAnsi="宋体" w:eastAsia="宋体" w:cs="宋体"/>
          <w:color w:val="auto"/>
          <w:sz w:val="24"/>
          <w:szCs w:val="24"/>
          <w:highlight w:val="none"/>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135EB9FF">
      <w:pPr>
        <w:spacing w:line="10744" w:lineRule="exact"/>
        <w:rPr>
          <w:rFonts w:hint="eastAsia" w:ascii="宋体" w:hAnsi="宋体" w:eastAsia="宋体" w:cs="宋体"/>
          <w:color w:val="auto"/>
          <w:highlight w:val="none"/>
        </w:rPr>
      </w:pPr>
      <w:r>
        <w:rPr>
          <w:rFonts w:hint="eastAsia" w:ascii="宋体" w:hAnsi="宋体" w:eastAsia="宋体" w:cs="宋体"/>
          <w:color w:val="auto"/>
          <w:position w:val="-214"/>
          <w:highlight w:val="none"/>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29"/>
                    <a:stretch>
                      <a:fillRect/>
                    </a:stretch>
                  </pic:blipFill>
                  <pic:spPr>
                    <a:xfrm>
                      <a:off x="0" y="0"/>
                      <a:ext cx="6285865" cy="6925310"/>
                    </a:xfrm>
                    <a:prstGeom prst="rect">
                      <a:avLst/>
                    </a:prstGeom>
                    <a:noFill/>
                    <a:ln>
                      <a:noFill/>
                    </a:ln>
                  </pic:spPr>
                </pic:pic>
              </a:graphicData>
            </a:graphic>
          </wp:inline>
        </w:drawing>
      </w:r>
    </w:p>
    <w:p w14:paraId="0BA8F6B0">
      <w:pPr>
        <w:spacing w:line="10744" w:lineRule="exact"/>
        <w:rPr>
          <w:rFonts w:hint="eastAsia" w:ascii="宋体" w:hAnsi="宋体" w:eastAsia="宋体" w:cs="宋体"/>
          <w:color w:val="auto"/>
          <w:highlight w:val="none"/>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807325D">
      <w:pPr>
        <w:spacing w:before="78" w:line="220" w:lineRule="auto"/>
        <w:outlineLvl w:val="2"/>
        <w:rPr>
          <w:rFonts w:hint="eastAsia" w:ascii="宋体" w:hAnsi="宋体" w:eastAsia="宋体" w:cs="宋体"/>
          <w:b/>
          <w:bCs/>
          <w:color w:val="auto"/>
          <w:spacing w:val="-4"/>
          <w:sz w:val="24"/>
          <w:szCs w:val="24"/>
          <w:highlight w:val="none"/>
        </w:rPr>
      </w:pPr>
      <w:bookmarkStart w:id="261" w:name="_Toc3204"/>
      <w:r>
        <w:rPr>
          <w:rFonts w:hint="eastAsia" w:ascii="宋体" w:hAnsi="宋体" w:eastAsia="宋体" w:cs="宋体"/>
          <w:b/>
          <w:bCs/>
          <w:color w:val="auto"/>
          <w:spacing w:val="-4"/>
          <w:sz w:val="24"/>
          <w:szCs w:val="24"/>
          <w:highlight w:val="none"/>
        </w:rPr>
        <w:t>格式十三：</w:t>
      </w:r>
      <w:r>
        <w:rPr>
          <w:rFonts w:hint="eastAsia" w:ascii="宋体" w:hAnsi="宋体" w:eastAsia="宋体" w:cs="宋体"/>
          <w:b/>
          <w:bCs/>
          <w:color w:val="auto"/>
          <w:spacing w:val="7"/>
          <w:sz w:val="22"/>
          <w:szCs w:val="22"/>
          <w:highlight w:val="none"/>
        </w:rPr>
        <w:t>危险性较大的分部分项工程清单及超过一定规模的危险性较大的</w:t>
      </w:r>
      <w:r>
        <w:rPr>
          <w:rFonts w:hint="eastAsia" w:ascii="宋体" w:hAnsi="宋体" w:eastAsia="宋体" w:cs="宋体"/>
          <w:b/>
          <w:bCs/>
          <w:color w:val="auto"/>
          <w:spacing w:val="5"/>
          <w:sz w:val="22"/>
          <w:szCs w:val="22"/>
          <w:highlight w:val="none"/>
        </w:rPr>
        <w:t>分部分项工程清单</w:t>
      </w:r>
      <w:bookmarkEnd w:id="261"/>
    </w:p>
    <w:p w14:paraId="4A8056AD">
      <w:pPr>
        <w:pStyle w:val="6"/>
        <w:spacing w:line="269" w:lineRule="auto"/>
        <w:rPr>
          <w:rFonts w:hint="eastAsia" w:ascii="宋体" w:hAnsi="宋体" w:eastAsia="宋体" w:cs="宋体"/>
          <w:color w:val="auto"/>
          <w:highlight w:val="none"/>
        </w:rPr>
      </w:pPr>
    </w:p>
    <w:p w14:paraId="6BF95D02">
      <w:pPr>
        <w:tabs>
          <w:tab w:val="left" w:pos="2940"/>
        </w:tabs>
        <w:spacing w:before="101" w:line="377" w:lineRule="auto"/>
        <w:ind w:left="3179" w:leftChars="0" w:right="41" w:hanging="3133" w:firstLineChars="0"/>
        <w:rPr>
          <w:rFonts w:hint="eastAsia" w:ascii="宋体" w:hAnsi="宋体" w:eastAsia="宋体" w:cs="宋体"/>
          <w:color w:val="auto"/>
          <w:sz w:val="31"/>
          <w:szCs w:val="31"/>
          <w:highlight w:val="none"/>
        </w:rPr>
      </w:pPr>
      <w:bookmarkStart w:id="262" w:name="bookmark160"/>
      <w:bookmarkEnd w:id="262"/>
      <w:bookmarkStart w:id="263" w:name="OLE_LINK41"/>
      <w:r>
        <w:rPr>
          <w:rFonts w:hint="eastAsia" w:ascii="宋体" w:hAnsi="宋体" w:eastAsia="宋体" w:cs="宋体"/>
          <w:b/>
          <w:bCs/>
          <w:color w:val="auto"/>
          <w:spacing w:val="7"/>
          <w:sz w:val="31"/>
          <w:szCs w:val="31"/>
          <w:highlight w:val="none"/>
        </w:rPr>
        <w:t>危险性较大的分部分项工程清单及超过一定规模的危险性较大的</w:t>
      </w:r>
      <w:r>
        <w:rPr>
          <w:rFonts w:hint="eastAsia" w:ascii="宋体" w:hAnsi="宋体" w:eastAsia="宋体" w:cs="宋体"/>
          <w:b/>
          <w:bCs/>
          <w:color w:val="auto"/>
          <w:spacing w:val="5"/>
          <w:sz w:val="31"/>
          <w:szCs w:val="31"/>
          <w:highlight w:val="none"/>
        </w:rPr>
        <w:t>分部分项工程清单</w:t>
      </w:r>
    </w:p>
    <w:bookmarkEnd w:id="263"/>
    <w:p w14:paraId="73F326BD">
      <w:pPr>
        <w:spacing w:before="6" w:line="326" w:lineRule="auto"/>
        <w:ind w:left="5" w:firstLine="49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lang w:eastAsia="zh-CN"/>
        </w:rPr>
        <w:t>1.</w:t>
      </w:r>
      <w:r>
        <w:rPr>
          <w:rFonts w:hint="eastAsia" w:ascii="宋体" w:hAnsi="宋体" w:eastAsia="宋体" w:cs="宋体"/>
          <w:color w:val="auto"/>
          <w:spacing w:val="-1"/>
          <w:sz w:val="24"/>
          <w:szCs w:val="24"/>
          <w:highlight w:val="none"/>
        </w:rPr>
        <w:t>根据中华人民共和国住房和城乡建设部令第37号《危险性较大的分部分项工程</w:t>
      </w:r>
      <w:r>
        <w:rPr>
          <w:rFonts w:hint="eastAsia" w:ascii="宋体" w:hAnsi="宋体" w:eastAsia="宋体" w:cs="宋体"/>
          <w:color w:val="auto"/>
          <w:spacing w:val="-2"/>
          <w:sz w:val="24"/>
          <w:szCs w:val="24"/>
          <w:highlight w:val="none"/>
        </w:rPr>
        <w:t>安全管理规定》（以下简称“37号文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投标人在投标时须补充完善危大工程清单并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明确相应的安全管理措施。</w:t>
      </w:r>
    </w:p>
    <w:p w14:paraId="1DC88D33">
      <w:pPr>
        <w:spacing w:before="208" w:line="326" w:lineRule="auto"/>
        <w:ind w:left="1"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lang w:eastAsia="zh-CN"/>
        </w:rPr>
        <w:t>2.</w:t>
      </w:r>
      <w:r>
        <w:rPr>
          <w:rFonts w:hint="eastAsia" w:ascii="宋体" w:hAnsi="宋体" w:eastAsia="宋体" w:cs="宋体"/>
          <w:color w:val="auto"/>
          <w:spacing w:val="-2"/>
          <w:sz w:val="24"/>
          <w:szCs w:val="24"/>
          <w:highlight w:val="none"/>
        </w:rPr>
        <w:t>招标人根据设计文件的要求及37号文、粤建规范〔2019〕2号文的规定列出“危险性较大的分部分项工程清单及超过一定规模的危</w:t>
      </w:r>
      <w:r>
        <w:rPr>
          <w:rFonts w:hint="eastAsia" w:ascii="宋体" w:hAnsi="宋体" w:eastAsia="宋体" w:cs="宋体"/>
          <w:color w:val="auto"/>
          <w:spacing w:val="-3"/>
          <w:sz w:val="24"/>
          <w:szCs w:val="24"/>
          <w:highlight w:val="none"/>
        </w:rPr>
        <w:t>险性较大的分部分项工程清单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5"/>
          <w:sz w:val="24"/>
          <w:szCs w:val="24"/>
          <w:highlight w:val="none"/>
        </w:rPr>
        <w:t>本招标项目相关的清单项，具体详见第5点“打</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”标识。</w:t>
      </w:r>
    </w:p>
    <w:p w14:paraId="360030D3">
      <w:pPr>
        <w:spacing w:before="209" w:line="299" w:lineRule="auto"/>
        <w:ind w:left="3" w:right="72" w:firstLine="48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（1）投标单位同意建设单位在清单中标识的该</w:t>
      </w:r>
      <w:r>
        <w:rPr>
          <w:rFonts w:hint="eastAsia" w:ascii="宋体" w:hAnsi="宋体" w:eastAsia="宋体" w:cs="宋体"/>
          <w:color w:val="auto"/>
          <w:spacing w:val="-4"/>
          <w:sz w:val="24"/>
          <w:szCs w:val="24"/>
          <w:highlight w:val="none"/>
        </w:rPr>
        <w:t>项请在对应项打“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w:t>
      </w:r>
      <w:r>
        <w:rPr>
          <w:rFonts w:hint="eastAsia" w:ascii="宋体" w:hAnsi="宋体" w:eastAsia="宋体" w:cs="宋体"/>
          <w:color w:val="auto"/>
          <w:spacing w:val="-4"/>
          <w:sz w:val="24"/>
          <w:szCs w:val="24"/>
          <w:highlight w:val="none"/>
          <w:lang w:eastAsia="zh-CN"/>
        </w:rPr>
        <w:t>于</w:t>
      </w:r>
      <w:r>
        <w:rPr>
          <w:rFonts w:hint="eastAsia" w:ascii="宋体" w:hAnsi="宋体" w:eastAsia="宋体" w:cs="宋体"/>
          <w:color w:val="auto"/>
          <w:spacing w:val="-1"/>
          <w:sz w:val="24"/>
          <w:szCs w:val="24"/>
          <w:highlight w:val="none"/>
        </w:rPr>
        <w:t>投标文件中提供相应的安全管理措施。</w:t>
      </w:r>
    </w:p>
    <w:p w14:paraId="4935E083">
      <w:pPr>
        <w:spacing w:before="208" w:line="299" w:lineRule="auto"/>
        <w:ind w:left="2" w:right="72" w:firstLine="48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（2）投标单位对清单中认为需要补充的该项请</w:t>
      </w:r>
      <w:r>
        <w:rPr>
          <w:rFonts w:hint="eastAsia" w:ascii="宋体" w:hAnsi="宋体" w:eastAsia="宋体" w:cs="宋体"/>
          <w:color w:val="auto"/>
          <w:spacing w:val="-4"/>
          <w:sz w:val="24"/>
          <w:szCs w:val="24"/>
          <w:highlight w:val="none"/>
        </w:rPr>
        <w:t>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w:t>
      </w:r>
      <w:r>
        <w:rPr>
          <w:rFonts w:hint="eastAsia" w:ascii="宋体" w:hAnsi="宋体" w:eastAsia="宋体" w:cs="宋体"/>
          <w:color w:val="auto"/>
          <w:spacing w:val="-4"/>
          <w:sz w:val="24"/>
          <w:szCs w:val="24"/>
          <w:highlight w:val="none"/>
          <w:lang w:eastAsia="zh-CN"/>
        </w:rPr>
        <w:t>于</w:t>
      </w:r>
      <w:r>
        <w:rPr>
          <w:rFonts w:hint="eastAsia" w:ascii="宋体" w:hAnsi="宋体" w:eastAsia="宋体" w:cs="宋体"/>
          <w:color w:val="auto"/>
          <w:spacing w:val="-4"/>
          <w:sz w:val="24"/>
          <w:szCs w:val="24"/>
          <w:highlight w:val="none"/>
        </w:rPr>
        <w:t>投标</w:t>
      </w:r>
      <w:r>
        <w:rPr>
          <w:rFonts w:hint="eastAsia" w:ascii="宋体" w:hAnsi="宋体" w:eastAsia="宋体" w:cs="宋体"/>
          <w:color w:val="auto"/>
          <w:spacing w:val="-1"/>
          <w:sz w:val="24"/>
          <w:szCs w:val="24"/>
          <w:highlight w:val="none"/>
        </w:rPr>
        <w:t>文件中提供相应的安全管理措施。</w:t>
      </w:r>
    </w:p>
    <w:p w14:paraId="47CE10C4">
      <w:pPr>
        <w:spacing w:before="210" w:line="300" w:lineRule="auto"/>
        <w:ind w:right="72" w:firstLine="49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（3）投标单位不同意建设单位在清单中标识的该项请在对应项打“</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”标识，并</w:t>
      </w:r>
      <w:r>
        <w:rPr>
          <w:rFonts w:hint="eastAsia" w:ascii="宋体" w:hAnsi="宋体" w:eastAsia="宋体" w:cs="宋体"/>
          <w:color w:val="auto"/>
          <w:spacing w:val="-1"/>
          <w:sz w:val="24"/>
          <w:szCs w:val="24"/>
          <w:highlight w:val="none"/>
        </w:rPr>
        <w:t>在备注栏填上相关说明。</w:t>
      </w:r>
    </w:p>
    <w:p w14:paraId="34A6CA4A">
      <w:pPr>
        <w:spacing w:before="207" w:line="371" w:lineRule="auto"/>
        <w:ind w:firstLine="484"/>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u w:val="single"/>
          <w:lang w:eastAsia="zh-CN"/>
        </w:rPr>
        <w:t>3.</w:t>
      </w:r>
      <w:r>
        <w:rPr>
          <w:rFonts w:hint="eastAsia" w:ascii="宋体" w:hAnsi="宋体" w:eastAsia="宋体" w:cs="宋体"/>
          <w:b/>
          <w:bCs/>
          <w:color w:val="auto"/>
          <w:spacing w:val="-4"/>
          <w:sz w:val="24"/>
          <w:szCs w:val="24"/>
          <w:highlight w:val="none"/>
          <w:u w:val="single"/>
        </w:rPr>
        <w:t>投标单位应当在投标时根据招标人提供的下述第5点清单，</w:t>
      </w:r>
      <w:r>
        <w:rPr>
          <w:rFonts w:hint="eastAsia" w:ascii="宋体" w:hAnsi="宋体" w:eastAsia="宋体" w:cs="宋体"/>
          <w:b/>
          <w:bCs/>
          <w:color w:val="auto"/>
          <w:spacing w:val="-5"/>
          <w:sz w:val="24"/>
          <w:szCs w:val="24"/>
          <w:highlight w:val="none"/>
          <w:u w:val="single"/>
        </w:rPr>
        <w:t>在投标施工组织中回</w:t>
      </w:r>
      <w:r>
        <w:rPr>
          <w:rFonts w:hint="eastAsia" w:ascii="宋体" w:hAnsi="宋体" w:eastAsia="宋体" w:cs="宋体"/>
          <w:b/>
          <w:bCs/>
          <w:color w:val="auto"/>
          <w:spacing w:val="-4"/>
          <w:sz w:val="24"/>
          <w:szCs w:val="24"/>
          <w:highlight w:val="none"/>
          <w:u w:val="single"/>
        </w:rPr>
        <w:t>应建设单位提供的危大工程清单，补充相应的安全管理措施。（为减轻标书编制</w:t>
      </w:r>
      <w:r>
        <w:rPr>
          <w:rFonts w:hint="eastAsia" w:ascii="宋体" w:hAnsi="宋体" w:eastAsia="宋体" w:cs="宋体"/>
          <w:b/>
          <w:bCs/>
          <w:color w:val="auto"/>
          <w:spacing w:val="-5"/>
          <w:sz w:val="24"/>
          <w:szCs w:val="24"/>
          <w:highlight w:val="none"/>
          <w:u w:val="single"/>
        </w:rPr>
        <w:t>的工作</w:t>
      </w:r>
      <w:r>
        <w:rPr>
          <w:rFonts w:hint="eastAsia" w:ascii="宋体" w:hAnsi="宋体" w:eastAsia="宋体" w:cs="宋体"/>
          <w:b/>
          <w:bCs/>
          <w:color w:val="auto"/>
          <w:spacing w:val="-2"/>
          <w:sz w:val="24"/>
          <w:szCs w:val="24"/>
          <w:highlight w:val="none"/>
          <w:u w:val="single"/>
        </w:rPr>
        <w:t>量，投标单位回应的危大工程清单该部分的页数应控制在3页内）</w:t>
      </w:r>
    </w:p>
    <w:p w14:paraId="24405FA5">
      <w:pPr>
        <w:spacing w:before="33" w:line="326" w:lineRule="auto"/>
        <w:ind w:left="1" w:firstLine="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对于超过一定规模的危大工程，中标单位应当组织召开</w:t>
      </w:r>
      <w:r>
        <w:rPr>
          <w:rFonts w:hint="eastAsia" w:ascii="宋体" w:hAnsi="宋体" w:eastAsia="宋体" w:cs="宋体"/>
          <w:color w:val="auto"/>
          <w:spacing w:val="-1"/>
          <w:sz w:val="24"/>
          <w:szCs w:val="24"/>
          <w:highlight w:val="none"/>
        </w:rPr>
        <w:t>专家论证会对专项施工</w:t>
      </w:r>
      <w:r>
        <w:rPr>
          <w:rFonts w:hint="eastAsia" w:ascii="宋体" w:hAnsi="宋体" w:eastAsia="宋体" w:cs="宋体"/>
          <w:color w:val="auto"/>
          <w:spacing w:val="-2"/>
          <w:sz w:val="24"/>
          <w:szCs w:val="24"/>
          <w:highlight w:val="none"/>
        </w:rPr>
        <w:t>方案进行论证。实行施工总承包的，由施工总承包单位组织召开专家论证会。专家论证</w:t>
      </w:r>
      <w:r>
        <w:rPr>
          <w:rFonts w:hint="eastAsia" w:ascii="宋体" w:hAnsi="宋体" w:eastAsia="宋体" w:cs="宋体"/>
          <w:color w:val="auto"/>
          <w:spacing w:val="-1"/>
          <w:sz w:val="24"/>
          <w:szCs w:val="24"/>
          <w:highlight w:val="none"/>
        </w:rPr>
        <w:t>前专项施工方案应当通过施工总承包单位审核和总监理工程师审查。</w:t>
      </w:r>
    </w:p>
    <w:p w14:paraId="6259503A">
      <w:pPr>
        <w:spacing w:before="208" w:line="301" w:lineRule="auto"/>
        <w:ind w:firstLine="484"/>
        <w:rPr>
          <w:rFonts w:hint="eastAsia" w:ascii="宋体" w:hAnsi="宋体" w:eastAsia="宋体" w:cs="宋体"/>
          <w:color w:val="auto"/>
          <w:highlight w:val="none"/>
        </w:rPr>
      </w:pPr>
      <w:r>
        <w:rPr>
          <w:rFonts w:hint="eastAsia" w:ascii="宋体" w:hAnsi="宋体" w:eastAsia="宋体" w:cs="宋体"/>
          <w:color w:val="auto"/>
          <w:spacing w:val="2"/>
          <w:sz w:val="24"/>
          <w:szCs w:val="24"/>
          <w:highlight w:val="none"/>
          <w:lang w:eastAsia="zh-CN"/>
        </w:rPr>
        <w:t>5.</w:t>
      </w:r>
      <w:r>
        <w:rPr>
          <w:rFonts w:hint="eastAsia" w:ascii="宋体" w:hAnsi="宋体" w:eastAsia="宋体" w:cs="宋体"/>
          <w:color w:val="auto"/>
          <w:spacing w:val="2"/>
          <w:sz w:val="24"/>
          <w:szCs w:val="24"/>
          <w:highlight w:val="none"/>
        </w:rPr>
        <w:t>危险性较大的分部分项工程清单及超过一</w:t>
      </w:r>
      <w:r>
        <w:rPr>
          <w:rFonts w:hint="eastAsia" w:ascii="宋体" w:hAnsi="宋体" w:eastAsia="宋体" w:cs="宋体"/>
          <w:color w:val="auto"/>
          <w:spacing w:val="1"/>
          <w:sz w:val="24"/>
          <w:szCs w:val="24"/>
          <w:highlight w:val="none"/>
        </w:rPr>
        <w:t>定规模的危险性较大的分部分项工程</w:t>
      </w:r>
      <w:r>
        <w:rPr>
          <w:rFonts w:hint="eastAsia" w:ascii="宋体" w:hAnsi="宋体" w:eastAsia="宋体" w:cs="宋体"/>
          <w:color w:val="auto"/>
          <w:spacing w:val="-4"/>
          <w:sz w:val="24"/>
          <w:szCs w:val="24"/>
          <w:highlight w:val="none"/>
        </w:rPr>
        <w:t>清单</w:t>
      </w:r>
    </w:p>
    <w:p w14:paraId="3E4BB257">
      <w:pPr>
        <w:spacing w:before="40"/>
        <w:rPr>
          <w:rFonts w:hint="eastAsia" w:ascii="宋体" w:hAnsi="宋体" w:eastAsia="宋体" w:cs="宋体"/>
          <w:color w:val="auto"/>
          <w:highlight w:val="none"/>
        </w:rPr>
      </w:pPr>
    </w:p>
    <w:tbl>
      <w:tblPr>
        <w:tblStyle w:val="17"/>
        <w:tblW w:w="988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4862"/>
        <w:gridCol w:w="1294"/>
        <w:gridCol w:w="1294"/>
        <w:gridCol w:w="2428"/>
      </w:tblGrid>
      <w:tr w14:paraId="27FF4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B26D5DC">
            <w:pPr>
              <w:spacing w:before="133" w:line="220" w:lineRule="auto"/>
              <w:ind w:firstLine="235" w:firstLineChars="100"/>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3"/>
                <w:sz w:val="24"/>
                <w:szCs w:val="24"/>
                <w:highlight w:val="none"/>
              </w:rPr>
              <w:t>一、危险性较大的分部分项工程清单</w:t>
            </w:r>
          </w:p>
        </w:tc>
        <w:tc>
          <w:tcPr>
            <w:tcW w:w="1294" w:type="dxa"/>
            <w:vAlign w:val="top"/>
          </w:tcPr>
          <w:p w14:paraId="7FABA18C">
            <w:pPr>
              <w:spacing w:before="133" w:line="221" w:lineRule="auto"/>
              <w:ind w:left="206"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4"/>
                <w:sz w:val="24"/>
                <w:szCs w:val="24"/>
                <w:highlight w:val="none"/>
              </w:rPr>
              <w:t>建设单位</w:t>
            </w:r>
          </w:p>
        </w:tc>
        <w:tc>
          <w:tcPr>
            <w:tcW w:w="1294" w:type="dxa"/>
            <w:vAlign w:val="top"/>
          </w:tcPr>
          <w:p w14:paraId="350FCB31">
            <w:pPr>
              <w:spacing w:before="133" w:line="221" w:lineRule="auto"/>
              <w:ind w:left="205" w:leftChars="0"/>
              <w:rPr>
                <w:rFonts w:hint="eastAsia" w:ascii="宋体" w:hAnsi="宋体" w:eastAsia="宋体" w:cs="宋体"/>
                <w:color w:val="auto"/>
                <w:spacing w:val="-19"/>
                <w:w w:val="94"/>
                <w:sz w:val="24"/>
                <w:szCs w:val="24"/>
                <w:highlight w:val="none"/>
              </w:rPr>
            </w:pPr>
            <w:r>
              <w:rPr>
                <w:rFonts w:hint="eastAsia" w:ascii="宋体" w:hAnsi="宋体" w:eastAsia="宋体" w:cs="宋体"/>
                <w:b/>
                <w:bCs/>
                <w:color w:val="auto"/>
                <w:spacing w:val="-5"/>
                <w:sz w:val="24"/>
                <w:szCs w:val="24"/>
                <w:highlight w:val="none"/>
              </w:rPr>
              <w:t>投标单位</w:t>
            </w:r>
          </w:p>
        </w:tc>
        <w:tc>
          <w:tcPr>
            <w:tcW w:w="2428" w:type="dxa"/>
            <w:vAlign w:val="top"/>
          </w:tcPr>
          <w:p w14:paraId="3E269D90">
            <w:pPr>
              <w:spacing w:before="133" w:line="222" w:lineRule="auto"/>
              <w:ind w:left="360" w:leftChars="0"/>
              <w:rPr>
                <w:rFonts w:hint="eastAsia" w:ascii="宋体" w:hAnsi="宋体" w:eastAsia="宋体" w:cs="宋体"/>
                <w:color w:val="auto"/>
                <w:highlight w:val="none"/>
              </w:rPr>
            </w:pPr>
            <w:r>
              <w:rPr>
                <w:rFonts w:hint="eastAsia" w:ascii="宋体" w:hAnsi="宋体" w:eastAsia="宋体" w:cs="宋体"/>
                <w:color w:val="auto"/>
                <w:spacing w:val="-7"/>
                <w:sz w:val="24"/>
                <w:szCs w:val="24"/>
                <w:highlight w:val="none"/>
              </w:rPr>
              <w:t>备注</w:t>
            </w:r>
          </w:p>
        </w:tc>
      </w:tr>
      <w:tr w14:paraId="791A5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8A01D90">
            <w:pPr>
              <w:spacing w:before="128" w:line="221" w:lineRule="auto"/>
              <w:ind w:left="120" w:leftChars="0"/>
              <w:rPr>
                <w:rFonts w:hint="eastAsia" w:ascii="宋体" w:hAnsi="宋体" w:eastAsia="宋体" w:cs="宋体"/>
                <w:color w:val="auto"/>
                <w:spacing w:val="-2"/>
                <w:sz w:val="24"/>
                <w:szCs w:val="24"/>
                <w:highlight w:val="none"/>
              </w:rPr>
            </w:pPr>
            <w:r>
              <w:rPr>
                <w:rFonts w:hint="eastAsia" w:ascii="宋体" w:hAnsi="宋体" w:eastAsia="宋体" w:cs="宋体"/>
                <w:color w:val="auto"/>
                <w:spacing w:val="-3"/>
                <w:sz w:val="24"/>
                <w:szCs w:val="24"/>
                <w:highlight w:val="none"/>
              </w:rPr>
              <w:t>一、基坑支护</w:t>
            </w:r>
          </w:p>
        </w:tc>
        <w:tc>
          <w:tcPr>
            <w:tcW w:w="1294" w:type="dxa"/>
            <w:vAlign w:val="top"/>
          </w:tcPr>
          <w:p w14:paraId="13602047">
            <w:pPr>
              <w:spacing w:before="128" w:line="223" w:lineRule="auto"/>
              <w:jc w:val="center"/>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bookmarkStart w:id="264" w:name="OLE_LINK39"/>
            <w:r>
              <w:rPr>
                <w:rFonts w:hint="eastAsia" w:ascii="宋体" w:hAnsi="宋体" w:eastAsia="宋体" w:cs="宋体"/>
                <w:color w:val="auto"/>
                <w:spacing w:val="5"/>
                <w:sz w:val="24"/>
                <w:szCs w:val="24"/>
                <w:highlight w:val="none"/>
              </w:rPr>
              <w:t xml:space="preserve">  </w:t>
            </w:r>
            <w:bookmarkEnd w:id="264"/>
            <w:r>
              <w:rPr>
                <w:rFonts w:hint="eastAsia" w:ascii="宋体" w:hAnsi="宋体" w:eastAsia="宋体" w:cs="宋体"/>
                <w:color w:val="auto"/>
                <w:spacing w:val="-19"/>
                <w:w w:val="94"/>
                <w:sz w:val="24"/>
                <w:szCs w:val="24"/>
                <w:highlight w:val="none"/>
              </w:rPr>
              <w:t>)</w:t>
            </w:r>
          </w:p>
        </w:tc>
        <w:tc>
          <w:tcPr>
            <w:tcW w:w="1294" w:type="dxa"/>
            <w:vAlign w:val="top"/>
          </w:tcPr>
          <w:p w14:paraId="6590122D">
            <w:pPr>
              <w:spacing w:before="128" w:line="223" w:lineRule="auto"/>
              <w:ind w:left="367"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67C5177">
            <w:pPr>
              <w:pStyle w:val="25"/>
              <w:rPr>
                <w:rFonts w:hint="eastAsia" w:ascii="宋体" w:hAnsi="宋体" w:eastAsia="宋体" w:cs="宋体"/>
                <w:color w:val="auto"/>
                <w:highlight w:val="none"/>
              </w:rPr>
            </w:pPr>
          </w:p>
        </w:tc>
      </w:tr>
      <w:tr w14:paraId="5B4AB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2AFB183">
            <w:pPr>
              <w:spacing w:before="129" w:line="328" w:lineRule="auto"/>
              <w:ind w:left="135" w:leftChars="0" w:right="68" w:rightChars="0" w:hanging="8" w:firstLineChars="0"/>
              <w:rPr>
                <w:rFonts w:hint="eastAsia" w:ascii="宋体" w:hAnsi="宋体" w:eastAsia="宋体" w:cs="宋体"/>
                <w:color w:val="auto"/>
                <w:spacing w:val="-2"/>
                <w:sz w:val="24"/>
                <w:szCs w:val="24"/>
                <w:highlight w:val="none"/>
              </w:rPr>
            </w:pPr>
            <w:r>
              <w:rPr>
                <w:rFonts w:hint="eastAsia" w:ascii="宋体" w:hAnsi="宋体" w:eastAsia="宋体" w:cs="宋体"/>
                <w:color w:val="auto"/>
                <w:spacing w:val="-4"/>
                <w:sz w:val="24"/>
                <w:szCs w:val="24"/>
                <w:highlight w:val="none"/>
              </w:rPr>
              <w:t>（一）开挖深度超过</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3m（含</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4"/>
                <w:sz w:val="24"/>
                <w:szCs w:val="24"/>
                <w:highlight w:val="none"/>
              </w:rPr>
              <w:t>3m）的基坑（槽）</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的土方开挖、支护、降水工程。</w:t>
            </w:r>
          </w:p>
        </w:tc>
        <w:tc>
          <w:tcPr>
            <w:tcW w:w="1294" w:type="dxa"/>
            <w:vAlign w:val="top"/>
          </w:tcPr>
          <w:p w14:paraId="5EEDD4FC">
            <w:pPr>
              <w:pStyle w:val="25"/>
              <w:spacing w:line="297" w:lineRule="auto"/>
              <w:rPr>
                <w:rFonts w:hint="eastAsia" w:ascii="宋体" w:hAnsi="宋体" w:eastAsia="宋体" w:cs="宋体"/>
                <w:color w:val="auto"/>
                <w:highlight w:val="none"/>
              </w:rPr>
            </w:pPr>
          </w:p>
          <w:p w14:paraId="0E5A3F62">
            <w:pPr>
              <w:spacing w:before="78" w:line="223" w:lineRule="auto"/>
              <w:ind w:left="396"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3A8ADC1">
            <w:pPr>
              <w:pStyle w:val="25"/>
              <w:spacing w:line="297" w:lineRule="auto"/>
              <w:rPr>
                <w:rFonts w:hint="eastAsia" w:ascii="宋体" w:hAnsi="宋体" w:eastAsia="宋体" w:cs="宋体"/>
                <w:color w:val="auto"/>
                <w:highlight w:val="none"/>
              </w:rPr>
            </w:pPr>
          </w:p>
          <w:p w14:paraId="3ED7F037">
            <w:pPr>
              <w:spacing w:before="78" w:line="223" w:lineRule="auto"/>
              <w:ind w:left="367"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E844507">
            <w:pPr>
              <w:pStyle w:val="25"/>
              <w:rPr>
                <w:rFonts w:hint="eastAsia" w:ascii="宋体" w:hAnsi="宋体" w:eastAsia="宋体" w:cs="宋体"/>
                <w:color w:val="auto"/>
                <w:highlight w:val="none"/>
              </w:rPr>
            </w:pPr>
          </w:p>
        </w:tc>
      </w:tr>
      <w:tr w14:paraId="798EF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6253A00">
            <w:pPr>
              <w:spacing w:before="132" w:line="354" w:lineRule="auto"/>
              <w:ind w:left="116" w:right="108" w:firstLine="11"/>
              <w:jc w:val="both"/>
              <w:rPr>
                <w:rFonts w:hint="eastAsia" w:ascii="宋体" w:hAnsi="宋体" w:eastAsia="宋体" w:cs="宋体"/>
                <w:color w:val="auto"/>
                <w:sz w:val="24"/>
                <w:szCs w:val="24"/>
                <w:highlight w:val="none"/>
              </w:rPr>
            </w:pPr>
            <w:bookmarkStart w:id="265" w:name="bookmark161"/>
            <w:bookmarkEnd w:id="265"/>
            <w:r>
              <w:rPr>
                <w:rFonts w:hint="eastAsia" w:ascii="宋体" w:hAnsi="宋体" w:eastAsia="宋体" w:cs="宋体"/>
                <w:color w:val="auto"/>
                <w:spacing w:val="-2"/>
                <w:sz w:val="24"/>
                <w:szCs w:val="24"/>
                <w:highlight w:val="none"/>
              </w:rPr>
              <w:t>（二）开挖深度虽未超过</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2"/>
                <w:sz w:val="24"/>
                <w:szCs w:val="24"/>
                <w:highlight w:val="none"/>
              </w:rPr>
              <w:t>3m，但地质条件、周</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围环境和地下管线复杂，或影响毗邻建、构筑</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
                <w:sz w:val="24"/>
                <w:szCs w:val="24"/>
                <w:highlight w:val="none"/>
              </w:rPr>
              <w:t>物安全的基坑（槽）的土方开挖、支护、降水</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4"/>
                <w:sz w:val="24"/>
                <w:szCs w:val="24"/>
                <w:highlight w:val="none"/>
              </w:rPr>
              <w:t>工程。</w:t>
            </w:r>
          </w:p>
        </w:tc>
        <w:tc>
          <w:tcPr>
            <w:tcW w:w="1294" w:type="dxa"/>
            <w:vAlign w:val="top"/>
          </w:tcPr>
          <w:p w14:paraId="092F9FFB">
            <w:pPr>
              <w:pStyle w:val="25"/>
              <w:spacing w:line="263" w:lineRule="auto"/>
              <w:rPr>
                <w:rFonts w:hint="eastAsia" w:ascii="宋体" w:hAnsi="宋体" w:eastAsia="宋体" w:cs="宋体"/>
                <w:color w:val="auto"/>
                <w:highlight w:val="none"/>
              </w:rPr>
            </w:pPr>
          </w:p>
          <w:p w14:paraId="1C25F382">
            <w:pPr>
              <w:pStyle w:val="25"/>
              <w:spacing w:line="263" w:lineRule="auto"/>
              <w:rPr>
                <w:rFonts w:hint="eastAsia" w:ascii="宋体" w:hAnsi="宋体" w:eastAsia="宋体" w:cs="宋体"/>
                <w:color w:val="auto"/>
                <w:highlight w:val="none"/>
              </w:rPr>
            </w:pPr>
          </w:p>
          <w:p w14:paraId="6C433F14">
            <w:pPr>
              <w:pStyle w:val="25"/>
              <w:spacing w:line="264" w:lineRule="auto"/>
              <w:rPr>
                <w:rFonts w:hint="eastAsia" w:ascii="宋体" w:hAnsi="宋体" w:eastAsia="宋体" w:cs="宋体"/>
                <w:color w:val="auto"/>
                <w:highlight w:val="none"/>
              </w:rPr>
            </w:pPr>
          </w:p>
          <w:p w14:paraId="1703ABF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bookmarkStart w:id="266" w:name="OLE_LINK40"/>
            <w:r>
              <w:rPr>
                <w:rFonts w:hint="eastAsia" w:ascii="宋体" w:hAnsi="宋体" w:eastAsia="宋体" w:cs="宋体"/>
                <w:color w:val="auto"/>
                <w:spacing w:val="2"/>
                <w:sz w:val="24"/>
                <w:szCs w:val="24"/>
                <w:highlight w:val="none"/>
              </w:rPr>
              <w:t xml:space="preserve">     </w:t>
            </w:r>
            <w:bookmarkEnd w:id="266"/>
            <w:r>
              <w:rPr>
                <w:rFonts w:hint="eastAsia" w:ascii="宋体" w:hAnsi="宋体" w:eastAsia="宋体" w:cs="宋体"/>
                <w:color w:val="auto"/>
                <w:spacing w:val="-19"/>
                <w:w w:val="94"/>
                <w:sz w:val="24"/>
                <w:szCs w:val="24"/>
                <w:highlight w:val="none"/>
              </w:rPr>
              <w:t>)</w:t>
            </w:r>
          </w:p>
        </w:tc>
        <w:tc>
          <w:tcPr>
            <w:tcW w:w="1294" w:type="dxa"/>
            <w:vAlign w:val="top"/>
          </w:tcPr>
          <w:p w14:paraId="27A5AB03">
            <w:pPr>
              <w:pStyle w:val="25"/>
              <w:spacing w:line="263" w:lineRule="auto"/>
              <w:rPr>
                <w:rFonts w:hint="eastAsia" w:ascii="宋体" w:hAnsi="宋体" w:eastAsia="宋体" w:cs="宋体"/>
                <w:color w:val="auto"/>
                <w:highlight w:val="none"/>
              </w:rPr>
            </w:pPr>
          </w:p>
          <w:p w14:paraId="2C8EDC97">
            <w:pPr>
              <w:pStyle w:val="25"/>
              <w:spacing w:line="263" w:lineRule="auto"/>
              <w:rPr>
                <w:rFonts w:hint="eastAsia" w:ascii="宋体" w:hAnsi="宋体" w:eastAsia="宋体" w:cs="宋体"/>
                <w:color w:val="auto"/>
                <w:highlight w:val="none"/>
              </w:rPr>
            </w:pPr>
          </w:p>
          <w:p w14:paraId="1A88AF32">
            <w:pPr>
              <w:pStyle w:val="25"/>
              <w:spacing w:line="264" w:lineRule="auto"/>
              <w:rPr>
                <w:rFonts w:hint="eastAsia" w:ascii="宋体" w:hAnsi="宋体" w:eastAsia="宋体" w:cs="宋体"/>
                <w:color w:val="auto"/>
                <w:highlight w:val="none"/>
              </w:rPr>
            </w:pPr>
          </w:p>
          <w:p w14:paraId="7BCE6290">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6CE42E4">
            <w:pPr>
              <w:pStyle w:val="25"/>
              <w:rPr>
                <w:rFonts w:hint="eastAsia" w:ascii="宋体" w:hAnsi="宋体" w:eastAsia="宋体" w:cs="宋体"/>
                <w:color w:val="auto"/>
                <w:highlight w:val="none"/>
              </w:rPr>
            </w:pPr>
          </w:p>
        </w:tc>
      </w:tr>
      <w:tr w14:paraId="13D60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21ACA2D">
            <w:pPr>
              <w:spacing w:before="128" w:line="219"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二、模板工程及支撑体系</w:t>
            </w:r>
          </w:p>
        </w:tc>
        <w:tc>
          <w:tcPr>
            <w:tcW w:w="1294" w:type="dxa"/>
            <w:vAlign w:val="top"/>
          </w:tcPr>
          <w:p w14:paraId="013D7C49">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0E30F9F">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BFA85A5">
            <w:pPr>
              <w:pStyle w:val="25"/>
              <w:rPr>
                <w:rFonts w:hint="eastAsia" w:ascii="宋体" w:hAnsi="宋体" w:eastAsia="宋体" w:cs="宋体"/>
                <w:color w:val="auto"/>
                <w:highlight w:val="none"/>
              </w:rPr>
            </w:pPr>
          </w:p>
        </w:tc>
      </w:tr>
      <w:tr w14:paraId="21CEA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886AEA5">
            <w:pPr>
              <w:spacing w:before="128" w:line="328" w:lineRule="auto"/>
              <w:ind w:left="123" w:right="25" w:firstLine="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（一）各类工具式模板工程：包括滑模、爬模、</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2"/>
                <w:sz w:val="24"/>
                <w:szCs w:val="24"/>
                <w:highlight w:val="none"/>
              </w:rPr>
              <w:t>飞模、隧道模等工程。</w:t>
            </w:r>
          </w:p>
        </w:tc>
        <w:tc>
          <w:tcPr>
            <w:tcW w:w="1294" w:type="dxa"/>
            <w:vAlign w:val="top"/>
          </w:tcPr>
          <w:p w14:paraId="31F482D0">
            <w:pPr>
              <w:pStyle w:val="25"/>
              <w:spacing w:line="293" w:lineRule="auto"/>
              <w:rPr>
                <w:rFonts w:hint="eastAsia" w:ascii="宋体" w:hAnsi="宋体" w:eastAsia="宋体" w:cs="宋体"/>
                <w:color w:val="auto"/>
                <w:highlight w:val="none"/>
              </w:rPr>
            </w:pPr>
          </w:p>
          <w:p w14:paraId="7F64793B">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D856E2E">
            <w:pPr>
              <w:pStyle w:val="25"/>
              <w:spacing w:line="293" w:lineRule="auto"/>
              <w:rPr>
                <w:rFonts w:hint="eastAsia" w:ascii="宋体" w:hAnsi="宋体" w:eastAsia="宋体" w:cs="宋体"/>
                <w:color w:val="auto"/>
                <w:highlight w:val="none"/>
              </w:rPr>
            </w:pPr>
          </w:p>
          <w:p w14:paraId="1BBC59B1">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12A8AE3">
            <w:pPr>
              <w:pStyle w:val="25"/>
              <w:rPr>
                <w:rFonts w:hint="eastAsia" w:ascii="宋体" w:hAnsi="宋体" w:eastAsia="宋体" w:cs="宋体"/>
                <w:color w:val="auto"/>
                <w:highlight w:val="none"/>
              </w:rPr>
            </w:pPr>
          </w:p>
        </w:tc>
      </w:tr>
      <w:tr w14:paraId="7A255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FBDC893">
            <w:pPr>
              <w:spacing w:before="131" w:line="362" w:lineRule="auto"/>
              <w:ind w:left="115" w:right="105" w:firstLine="12"/>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（二）混凝土模板支撑工程：搭设高度</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5"/>
                <w:sz w:val="24"/>
                <w:szCs w:val="24"/>
                <w:highlight w:val="none"/>
              </w:rPr>
              <w:t>5m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5"/>
                <w:sz w:val="24"/>
                <w:szCs w:val="24"/>
                <w:highlight w:val="none"/>
              </w:rPr>
              <w:t>及以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上，或搭设跨度</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0"/>
                <w:sz w:val="24"/>
                <w:szCs w:val="24"/>
                <w:highlight w:val="none"/>
              </w:rPr>
              <w:t>及以上，或施工总荷</w:t>
            </w:r>
            <w:r>
              <w:rPr>
                <w:rFonts w:hint="eastAsia" w:ascii="宋体" w:hAnsi="宋体" w:eastAsia="宋体" w:cs="宋体"/>
                <w:color w:val="auto"/>
                <w:spacing w:val="-11"/>
                <w:sz w:val="24"/>
                <w:szCs w:val="24"/>
                <w:highlight w:val="none"/>
              </w:rPr>
              <w:t>载（荷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载效应基本组合的设计值，以下简称设计值）</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14"/>
                <w:sz w:val="24"/>
                <w:szCs w:val="24"/>
                <w:highlight w:val="none"/>
              </w:rPr>
              <w:t>10kN/m2</w:t>
            </w:r>
            <w:r>
              <w:rPr>
                <w:rFonts w:hint="eastAsia" w:ascii="宋体" w:hAnsi="宋体" w:eastAsia="宋体" w:cs="宋体"/>
                <w:color w:val="auto"/>
                <w:spacing w:val="-35"/>
                <w:sz w:val="24"/>
                <w:szCs w:val="24"/>
                <w:highlight w:val="none"/>
              </w:rPr>
              <w:t xml:space="preserve"> </w:t>
            </w:r>
            <w:r>
              <w:rPr>
                <w:rFonts w:hint="eastAsia" w:ascii="宋体" w:hAnsi="宋体" w:eastAsia="宋体" w:cs="宋体"/>
                <w:color w:val="auto"/>
                <w:spacing w:val="-14"/>
                <w:sz w:val="24"/>
                <w:szCs w:val="24"/>
                <w:highlight w:val="none"/>
              </w:rPr>
              <w:t>及以上，或集中线荷载（设计值）15kN/m</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及以上，或高度大于支撑水平投影宽度且相对</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独立无联系构件的混凝土模板支撑工程。</w:t>
            </w:r>
          </w:p>
        </w:tc>
        <w:tc>
          <w:tcPr>
            <w:tcW w:w="1294" w:type="dxa"/>
            <w:vAlign w:val="top"/>
          </w:tcPr>
          <w:p w14:paraId="0AC76692">
            <w:pPr>
              <w:pStyle w:val="25"/>
              <w:spacing w:line="255" w:lineRule="auto"/>
              <w:rPr>
                <w:rFonts w:hint="eastAsia" w:ascii="宋体" w:hAnsi="宋体" w:eastAsia="宋体" w:cs="宋体"/>
                <w:color w:val="auto"/>
                <w:highlight w:val="none"/>
              </w:rPr>
            </w:pPr>
          </w:p>
          <w:p w14:paraId="06A69DBD">
            <w:pPr>
              <w:pStyle w:val="25"/>
              <w:spacing w:line="255" w:lineRule="auto"/>
              <w:rPr>
                <w:rFonts w:hint="eastAsia" w:ascii="宋体" w:hAnsi="宋体" w:eastAsia="宋体" w:cs="宋体"/>
                <w:color w:val="auto"/>
                <w:highlight w:val="none"/>
              </w:rPr>
            </w:pPr>
          </w:p>
          <w:p w14:paraId="5F44AC94">
            <w:pPr>
              <w:pStyle w:val="25"/>
              <w:spacing w:line="255" w:lineRule="auto"/>
              <w:rPr>
                <w:rFonts w:hint="eastAsia" w:ascii="宋体" w:hAnsi="宋体" w:eastAsia="宋体" w:cs="宋体"/>
                <w:color w:val="auto"/>
                <w:highlight w:val="none"/>
              </w:rPr>
            </w:pPr>
          </w:p>
          <w:p w14:paraId="117E02D8">
            <w:pPr>
              <w:pStyle w:val="25"/>
              <w:spacing w:line="255" w:lineRule="auto"/>
              <w:rPr>
                <w:rFonts w:hint="eastAsia" w:ascii="宋体" w:hAnsi="宋体" w:eastAsia="宋体" w:cs="宋体"/>
                <w:color w:val="auto"/>
                <w:highlight w:val="none"/>
              </w:rPr>
            </w:pPr>
          </w:p>
          <w:p w14:paraId="58924DBB">
            <w:pPr>
              <w:pStyle w:val="25"/>
              <w:spacing w:line="256" w:lineRule="auto"/>
              <w:rPr>
                <w:rFonts w:hint="eastAsia" w:ascii="宋体" w:hAnsi="宋体" w:eastAsia="宋体" w:cs="宋体"/>
                <w:color w:val="auto"/>
                <w:highlight w:val="none"/>
              </w:rPr>
            </w:pPr>
          </w:p>
          <w:p w14:paraId="7CC727ED">
            <w:pPr>
              <w:spacing w:before="7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8C34081">
            <w:pPr>
              <w:pStyle w:val="25"/>
              <w:spacing w:line="255" w:lineRule="auto"/>
              <w:rPr>
                <w:rFonts w:hint="eastAsia" w:ascii="宋体" w:hAnsi="宋体" w:eastAsia="宋体" w:cs="宋体"/>
                <w:color w:val="auto"/>
                <w:highlight w:val="none"/>
              </w:rPr>
            </w:pPr>
          </w:p>
          <w:p w14:paraId="44D32487">
            <w:pPr>
              <w:pStyle w:val="25"/>
              <w:spacing w:line="255" w:lineRule="auto"/>
              <w:rPr>
                <w:rFonts w:hint="eastAsia" w:ascii="宋体" w:hAnsi="宋体" w:eastAsia="宋体" w:cs="宋体"/>
                <w:color w:val="auto"/>
                <w:highlight w:val="none"/>
              </w:rPr>
            </w:pPr>
          </w:p>
          <w:p w14:paraId="2FB6EB74">
            <w:pPr>
              <w:pStyle w:val="25"/>
              <w:spacing w:line="255" w:lineRule="auto"/>
              <w:rPr>
                <w:rFonts w:hint="eastAsia" w:ascii="宋体" w:hAnsi="宋体" w:eastAsia="宋体" w:cs="宋体"/>
                <w:color w:val="auto"/>
                <w:highlight w:val="none"/>
              </w:rPr>
            </w:pPr>
          </w:p>
          <w:p w14:paraId="2532C873">
            <w:pPr>
              <w:pStyle w:val="25"/>
              <w:spacing w:line="255" w:lineRule="auto"/>
              <w:rPr>
                <w:rFonts w:hint="eastAsia" w:ascii="宋体" w:hAnsi="宋体" w:eastAsia="宋体" w:cs="宋体"/>
                <w:color w:val="auto"/>
                <w:highlight w:val="none"/>
              </w:rPr>
            </w:pPr>
          </w:p>
          <w:p w14:paraId="6EA29091">
            <w:pPr>
              <w:pStyle w:val="25"/>
              <w:spacing w:line="256" w:lineRule="auto"/>
              <w:rPr>
                <w:rFonts w:hint="eastAsia" w:ascii="宋体" w:hAnsi="宋体" w:eastAsia="宋体" w:cs="宋体"/>
                <w:color w:val="auto"/>
                <w:highlight w:val="none"/>
              </w:rPr>
            </w:pPr>
          </w:p>
          <w:p w14:paraId="4FFEF356">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0A88735">
            <w:pPr>
              <w:pStyle w:val="25"/>
              <w:rPr>
                <w:rFonts w:hint="eastAsia" w:ascii="宋体" w:hAnsi="宋体" w:eastAsia="宋体" w:cs="宋体"/>
                <w:color w:val="auto"/>
                <w:highlight w:val="none"/>
              </w:rPr>
            </w:pPr>
          </w:p>
        </w:tc>
      </w:tr>
      <w:tr w14:paraId="55FE4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DB8DF3D">
            <w:pPr>
              <w:spacing w:before="130"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（三）承重支撑体系：用于钢结构安装等满堂</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3"/>
                <w:sz w:val="24"/>
                <w:szCs w:val="24"/>
                <w:highlight w:val="none"/>
              </w:rPr>
              <w:t>支撑体系。</w:t>
            </w:r>
          </w:p>
        </w:tc>
        <w:tc>
          <w:tcPr>
            <w:tcW w:w="1294" w:type="dxa"/>
            <w:vAlign w:val="top"/>
          </w:tcPr>
          <w:p w14:paraId="08B49BEC">
            <w:pPr>
              <w:pStyle w:val="25"/>
              <w:spacing w:line="296" w:lineRule="auto"/>
              <w:rPr>
                <w:rFonts w:hint="eastAsia" w:ascii="宋体" w:hAnsi="宋体" w:eastAsia="宋体" w:cs="宋体"/>
                <w:color w:val="auto"/>
                <w:highlight w:val="none"/>
              </w:rPr>
            </w:pPr>
          </w:p>
          <w:p w14:paraId="62113AAF">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61AA738">
            <w:pPr>
              <w:pStyle w:val="25"/>
              <w:spacing w:line="296" w:lineRule="auto"/>
              <w:rPr>
                <w:rFonts w:hint="eastAsia" w:ascii="宋体" w:hAnsi="宋体" w:eastAsia="宋体" w:cs="宋体"/>
                <w:color w:val="auto"/>
                <w:highlight w:val="none"/>
              </w:rPr>
            </w:pPr>
          </w:p>
          <w:p w14:paraId="2247851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28C2275">
            <w:pPr>
              <w:pStyle w:val="25"/>
              <w:rPr>
                <w:rFonts w:hint="eastAsia" w:ascii="宋体" w:hAnsi="宋体" w:eastAsia="宋体" w:cs="宋体"/>
                <w:color w:val="auto"/>
                <w:highlight w:val="none"/>
              </w:rPr>
            </w:pPr>
          </w:p>
        </w:tc>
      </w:tr>
      <w:tr w14:paraId="22C01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CD7B1B3">
            <w:pPr>
              <w:spacing w:before="130" w:line="219" w:lineRule="auto"/>
              <w:ind w:left="35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三、起重吊装及起重机械安装拆卸工程</w:t>
            </w:r>
          </w:p>
        </w:tc>
        <w:tc>
          <w:tcPr>
            <w:tcW w:w="1294" w:type="dxa"/>
            <w:vAlign w:val="top"/>
          </w:tcPr>
          <w:p w14:paraId="0C4B19D2">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007119F">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778356F">
            <w:pPr>
              <w:pStyle w:val="25"/>
              <w:rPr>
                <w:rFonts w:hint="eastAsia" w:ascii="宋体" w:hAnsi="宋体" w:eastAsia="宋体" w:cs="宋体"/>
                <w:color w:val="auto"/>
                <w:highlight w:val="none"/>
              </w:rPr>
            </w:pPr>
          </w:p>
        </w:tc>
      </w:tr>
      <w:tr w14:paraId="54B4C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640879D">
            <w:pPr>
              <w:spacing w:before="131" w:line="327" w:lineRule="auto"/>
              <w:ind w:left="144" w:right="168" w:hanging="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（一）采用非常规起重设备、方法，且单件起</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4"/>
                <w:sz w:val="24"/>
                <w:szCs w:val="24"/>
                <w:highlight w:val="none"/>
              </w:rPr>
              <w:t>吊重量在</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10kN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4"/>
                <w:sz w:val="24"/>
                <w:szCs w:val="24"/>
                <w:highlight w:val="none"/>
              </w:rPr>
              <w:t>及以上的起重吊装工程。</w:t>
            </w:r>
          </w:p>
        </w:tc>
        <w:tc>
          <w:tcPr>
            <w:tcW w:w="1294" w:type="dxa"/>
            <w:vAlign w:val="top"/>
          </w:tcPr>
          <w:p w14:paraId="42DC5BCC">
            <w:pPr>
              <w:pStyle w:val="25"/>
              <w:spacing w:line="297" w:lineRule="auto"/>
              <w:rPr>
                <w:rFonts w:hint="eastAsia" w:ascii="宋体" w:hAnsi="宋体" w:eastAsia="宋体" w:cs="宋体"/>
                <w:color w:val="auto"/>
                <w:highlight w:val="none"/>
              </w:rPr>
            </w:pPr>
          </w:p>
          <w:p w14:paraId="25E8B5B3">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7E69931">
            <w:pPr>
              <w:pStyle w:val="25"/>
              <w:spacing w:line="297" w:lineRule="auto"/>
              <w:rPr>
                <w:rFonts w:hint="eastAsia" w:ascii="宋体" w:hAnsi="宋体" w:eastAsia="宋体" w:cs="宋体"/>
                <w:color w:val="auto"/>
                <w:highlight w:val="none"/>
              </w:rPr>
            </w:pPr>
          </w:p>
          <w:p w14:paraId="0DECF4EA">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F10A58D">
            <w:pPr>
              <w:pStyle w:val="25"/>
              <w:rPr>
                <w:rFonts w:hint="eastAsia" w:ascii="宋体" w:hAnsi="宋体" w:eastAsia="宋体" w:cs="宋体"/>
                <w:color w:val="auto"/>
                <w:highlight w:val="none"/>
              </w:rPr>
            </w:pPr>
          </w:p>
        </w:tc>
      </w:tr>
      <w:tr w14:paraId="30F99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661E26F">
            <w:pPr>
              <w:spacing w:before="132"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（二）采用起重机械进行安装的工程。</w:t>
            </w:r>
          </w:p>
        </w:tc>
        <w:tc>
          <w:tcPr>
            <w:tcW w:w="1294" w:type="dxa"/>
            <w:vAlign w:val="top"/>
          </w:tcPr>
          <w:p w14:paraId="26A8715D">
            <w:pPr>
              <w:spacing w:before="131"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9D48700">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FDBB930">
            <w:pPr>
              <w:pStyle w:val="25"/>
              <w:rPr>
                <w:rFonts w:hint="eastAsia" w:ascii="宋体" w:hAnsi="宋体" w:eastAsia="宋体" w:cs="宋体"/>
                <w:color w:val="auto"/>
                <w:highlight w:val="none"/>
              </w:rPr>
            </w:pPr>
          </w:p>
        </w:tc>
      </w:tr>
      <w:tr w14:paraId="1EB3F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D746302">
            <w:pPr>
              <w:spacing w:before="130"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（三）起重机械安装和拆卸工程。</w:t>
            </w:r>
          </w:p>
        </w:tc>
        <w:tc>
          <w:tcPr>
            <w:tcW w:w="1294" w:type="dxa"/>
            <w:vAlign w:val="top"/>
          </w:tcPr>
          <w:p w14:paraId="5BA7A2F9">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2E655D6">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17E93BE">
            <w:pPr>
              <w:pStyle w:val="25"/>
              <w:rPr>
                <w:rFonts w:hint="eastAsia" w:ascii="宋体" w:hAnsi="宋体" w:eastAsia="宋体" w:cs="宋体"/>
                <w:color w:val="auto"/>
                <w:highlight w:val="none"/>
              </w:rPr>
            </w:pPr>
          </w:p>
        </w:tc>
      </w:tr>
      <w:tr w14:paraId="0E7C6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3F3AA51">
            <w:pPr>
              <w:spacing w:before="131" w:line="219" w:lineRule="auto"/>
              <w:ind w:left="13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四、脚手架工程</w:t>
            </w:r>
          </w:p>
        </w:tc>
        <w:tc>
          <w:tcPr>
            <w:tcW w:w="1294" w:type="dxa"/>
            <w:vAlign w:val="top"/>
          </w:tcPr>
          <w:p w14:paraId="2C09298F">
            <w:pPr>
              <w:spacing w:before="130" w:line="223" w:lineRule="auto"/>
              <w:ind w:left="48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5"/>
                <w:sz w:val="24"/>
                <w:szCs w:val="24"/>
                <w:highlight w:val="none"/>
                <w:lang w:val="en-US" w:eastAsia="zh-CN"/>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C25E0F8">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0A186D6">
            <w:pPr>
              <w:pStyle w:val="25"/>
              <w:rPr>
                <w:rFonts w:hint="eastAsia" w:ascii="宋体" w:hAnsi="宋体" w:eastAsia="宋体" w:cs="宋体"/>
                <w:color w:val="auto"/>
                <w:highlight w:val="none"/>
              </w:rPr>
            </w:pPr>
          </w:p>
        </w:tc>
      </w:tr>
      <w:tr w14:paraId="749B5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EE02938">
            <w:pPr>
              <w:spacing w:before="130"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（一）搭设高度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24m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及以上的落地式钢管脚手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架工程（包括采光井、电梯井脚手架）。</w:t>
            </w:r>
          </w:p>
        </w:tc>
        <w:tc>
          <w:tcPr>
            <w:tcW w:w="1294" w:type="dxa"/>
            <w:vAlign w:val="top"/>
          </w:tcPr>
          <w:p w14:paraId="5F252975">
            <w:pPr>
              <w:pStyle w:val="25"/>
              <w:spacing w:line="297" w:lineRule="auto"/>
              <w:rPr>
                <w:rFonts w:hint="eastAsia" w:ascii="宋体" w:hAnsi="宋体" w:eastAsia="宋体" w:cs="宋体"/>
                <w:color w:val="auto"/>
                <w:highlight w:val="none"/>
              </w:rPr>
            </w:pPr>
          </w:p>
          <w:p w14:paraId="274F49B0">
            <w:pPr>
              <w:spacing w:before="7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EF3E3EC">
            <w:pPr>
              <w:pStyle w:val="25"/>
              <w:spacing w:line="297" w:lineRule="auto"/>
              <w:rPr>
                <w:rFonts w:hint="eastAsia" w:ascii="宋体" w:hAnsi="宋体" w:eastAsia="宋体" w:cs="宋体"/>
                <w:color w:val="auto"/>
                <w:highlight w:val="none"/>
              </w:rPr>
            </w:pPr>
          </w:p>
          <w:p w14:paraId="382FDB0B">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593D3CB">
            <w:pPr>
              <w:pStyle w:val="25"/>
              <w:rPr>
                <w:rFonts w:hint="eastAsia" w:ascii="宋体" w:hAnsi="宋体" w:eastAsia="宋体" w:cs="宋体"/>
                <w:color w:val="auto"/>
                <w:highlight w:val="none"/>
              </w:rPr>
            </w:pPr>
          </w:p>
        </w:tc>
      </w:tr>
      <w:tr w14:paraId="6AD17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6711E1F">
            <w:pPr>
              <w:spacing w:before="131"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（二）附着式升降脚手架工程。</w:t>
            </w:r>
          </w:p>
        </w:tc>
        <w:tc>
          <w:tcPr>
            <w:tcW w:w="1294" w:type="dxa"/>
            <w:vAlign w:val="top"/>
          </w:tcPr>
          <w:p w14:paraId="46BCB016">
            <w:pPr>
              <w:spacing w:before="130"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7577F1C">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09FAE20">
            <w:pPr>
              <w:pStyle w:val="25"/>
              <w:rPr>
                <w:rFonts w:hint="eastAsia" w:ascii="宋体" w:hAnsi="宋体" w:eastAsia="宋体" w:cs="宋体"/>
                <w:color w:val="auto"/>
                <w:highlight w:val="none"/>
              </w:rPr>
            </w:pPr>
          </w:p>
        </w:tc>
      </w:tr>
      <w:tr w14:paraId="0A02A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48C6DC8">
            <w:pPr>
              <w:spacing w:before="132"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（三）悬挑式脚手架工程。</w:t>
            </w:r>
          </w:p>
        </w:tc>
        <w:tc>
          <w:tcPr>
            <w:tcW w:w="1294" w:type="dxa"/>
            <w:vAlign w:val="top"/>
          </w:tcPr>
          <w:p w14:paraId="46C95298">
            <w:pPr>
              <w:spacing w:before="131"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6243FF5">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0A6B0F2">
            <w:pPr>
              <w:pStyle w:val="25"/>
              <w:rPr>
                <w:rFonts w:hint="eastAsia" w:ascii="宋体" w:hAnsi="宋体" w:eastAsia="宋体" w:cs="宋体"/>
                <w:color w:val="auto"/>
                <w:highlight w:val="none"/>
              </w:rPr>
            </w:pPr>
          </w:p>
        </w:tc>
      </w:tr>
      <w:tr w14:paraId="4D8E0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3025F46">
            <w:pPr>
              <w:spacing w:before="131"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（四）高处作业吊篮。</w:t>
            </w:r>
          </w:p>
        </w:tc>
        <w:tc>
          <w:tcPr>
            <w:tcW w:w="1294" w:type="dxa"/>
            <w:vAlign w:val="top"/>
          </w:tcPr>
          <w:p w14:paraId="30F61595">
            <w:pPr>
              <w:spacing w:before="131"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B23E52E">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598EC26">
            <w:pPr>
              <w:pStyle w:val="25"/>
              <w:rPr>
                <w:rFonts w:hint="eastAsia" w:ascii="宋体" w:hAnsi="宋体" w:eastAsia="宋体" w:cs="宋体"/>
                <w:color w:val="auto"/>
                <w:highlight w:val="none"/>
              </w:rPr>
            </w:pPr>
          </w:p>
        </w:tc>
      </w:tr>
      <w:tr w14:paraId="2D320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00EF757">
            <w:pPr>
              <w:spacing w:before="132"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（五）卸料平台、操作平台工程。</w:t>
            </w:r>
          </w:p>
        </w:tc>
        <w:tc>
          <w:tcPr>
            <w:tcW w:w="1294" w:type="dxa"/>
            <w:vAlign w:val="top"/>
          </w:tcPr>
          <w:p w14:paraId="0C7B65F3">
            <w:pPr>
              <w:spacing w:before="132"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4A95D6B">
            <w:pPr>
              <w:spacing w:before="132"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1878476">
            <w:pPr>
              <w:pStyle w:val="25"/>
              <w:rPr>
                <w:rFonts w:hint="eastAsia" w:ascii="宋体" w:hAnsi="宋体" w:eastAsia="宋体" w:cs="宋体"/>
                <w:color w:val="auto"/>
                <w:highlight w:val="none"/>
              </w:rPr>
            </w:pPr>
          </w:p>
        </w:tc>
      </w:tr>
      <w:tr w14:paraId="30655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E5297D0">
            <w:pPr>
              <w:spacing w:before="133"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（六）异型脚手架工程。</w:t>
            </w:r>
          </w:p>
        </w:tc>
        <w:tc>
          <w:tcPr>
            <w:tcW w:w="1294" w:type="dxa"/>
            <w:vAlign w:val="top"/>
          </w:tcPr>
          <w:p w14:paraId="486B9887">
            <w:pPr>
              <w:spacing w:before="132"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1E5988F">
            <w:pPr>
              <w:spacing w:before="132"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235BD7D">
            <w:pPr>
              <w:pStyle w:val="25"/>
              <w:rPr>
                <w:rFonts w:hint="eastAsia" w:ascii="宋体" w:hAnsi="宋体" w:eastAsia="宋体" w:cs="宋体"/>
                <w:color w:val="auto"/>
                <w:highlight w:val="none"/>
              </w:rPr>
            </w:pPr>
          </w:p>
        </w:tc>
      </w:tr>
      <w:tr w14:paraId="0D44A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A6B7C50">
            <w:pPr>
              <w:spacing w:before="131" w:line="220" w:lineRule="auto"/>
              <w:ind w:left="120"/>
              <w:rPr>
                <w:rFonts w:hint="eastAsia" w:ascii="宋体" w:hAnsi="宋体" w:eastAsia="宋体" w:cs="宋体"/>
                <w:color w:val="auto"/>
                <w:sz w:val="24"/>
                <w:szCs w:val="24"/>
                <w:highlight w:val="none"/>
              </w:rPr>
            </w:pPr>
            <w:bookmarkStart w:id="267" w:name="bookmark162"/>
            <w:bookmarkEnd w:id="267"/>
            <w:r>
              <w:rPr>
                <w:rFonts w:hint="eastAsia" w:ascii="宋体" w:hAnsi="宋体" w:eastAsia="宋体" w:cs="宋体"/>
                <w:color w:val="auto"/>
                <w:spacing w:val="-3"/>
                <w:sz w:val="24"/>
                <w:szCs w:val="24"/>
                <w:highlight w:val="none"/>
              </w:rPr>
              <w:t>五、拆除工程</w:t>
            </w:r>
          </w:p>
        </w:tc>
        <w:tc>
          <w:tcPr>
            <w:tcW w:w="1294" w:type="dxa"/>
            <w:vAlign w:val="top"/>
          </w:tcPr>
          <w:p w14:paraId="0F5EE650">
            <w:pPr>
              <w:spacing w:before="131" w:line="223" w:lineRule="auto"/>
              <w:ind w:left="48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6328EEA">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9A24BEF">
            <w:pPr>
              <w:pStyle w:val="25"/>
              <w:rPr>
                <w:rFonts w:hint="eastAsia" w:ascii="宋体" w:hAnsi="宋体" w:eastAsia="宋体" w:cs="宋体"/>
                <w:color w:val="auto"/>
                <w:highlight w:val="none"/>
              </w:rPr>
            </w:pPr>
          </w:p>
        </w:tc>
      </w:tr>
      <w:tr w14:paraId="42ACF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F6894BB">
            <w:pPr>
              <w:spacing w:before="126" w:line="329" w:lineRule="auto"/>
              <w:ind w:left="117" w:right="1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可能影响行人、交通、电力设施、通讯设施或</w:t>
            </w:r>
            <w:r>
              <w:rPr>
                <w:rFonts w:hint="eastAsia" w:ascii="宋体" w:hAnsi="宋体" w:eastAsia="宋体" w:cs="宋体"/>
                <w:color w:val="auto"/>
                <w:spacing w:val="7"/>
                <w:sz w:val="24"/>
                <w:szCs w:val="24"/>
                <w:highlight w:val="none"/>
              </w:rPr>
              <w:t xml:space="preserve"> </w:t>
            </w:r>
            <w:r>
              <w:rPr>
                <w:rFonts w:hint="eastAsia" w:ascii="宋体" w:hAnsi="宋体" w:eastAsia="宋体" w:cs="宋体"/>
                <w:color w:val="auto"/>
                <w:spacing w:val="7"/>
                <w:sz w:val="24"/>
                <w:szCs w:val="24"/>
                <w:highlight w:val="none"/>
                <w:lang w:eastAsia="zh-CN"/>
              </w:rPr>
              <w:t>其他</w:t>
            </w:r>
            <w:r>
              <w:rPr>
                <w:rFonts w:hint="eastAsia" w:ascii="宋体" w:hAnsi="宋体" w:eastAsia="宋体" w:cs="宋体"/>
                <w:color w:val="auto"/>
                <w:spacing w:val="-1"/>
                <w:sz w:val="24"/>
                <w:szCs w:val="24"/>
                <w:highlight w:val="none"/>
              </w:rPr>
              <w:t>建、构筑物安全的拆除工程。</w:t>
            </w:r>
          </w:p>
        </w:tc>
        <w:tc>
          <w:tcPr>
            <w:tcW w:w="1294" w:type="dxa"/>
            <w:vAlign w:val="top"/>
          </w:tcPr>
          <w:p w14:paraId="53C1D06F">
            <w:pPr>
              <w:pStyle w:val="25"/>
              <w:spacing w:line="294" w:lineRule="auto"/>
              <w:rPr>
                <w:rFonts w:hint="eastAsia" w:ascii="宋体" w:hAnsi="宋体" w:eastAsia="宋体" w:cs="宋体"/>
                <w:color w:val="auto"/>
                <w:highlight w:val="none"/>
              </w:rPr>
            </w:pPr>
          </w:p>
          <w:p w14:paraId="76CB7DF5">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310AE40">
            <w:pPr>
              <w:pStyle w:val="25"/>
              <w:spacing w:line="294" w:lineRule="auto"/>
              <w:rPr>
                <w:rFonts w:hint="eastAsia" w:ascii="宋体" w:hAnsi="宋体" w:eastAsia="宋体" w:cs="宋体"/>
                <w:color w:val="auto"/>
                <w:highlight w:val="none"/>
              </w:rPr>
            </w:pPr>
          </w:p>
          <w:p w14:paraId="4D2EE233">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4D942FE">
            <w:pPr>
              <w:pStyle w:val="25"/>
              <w:rPr>
                <w:rFonts w:hint="eastAsia" w:ascii="宋体" w:hAnsi="宋体" w:eastAsia="宋体" w:cs="宋体"/>
                <w:color w:val="auto"/>
                <w:highlight w:val="none"/>
              </w:rPr>
            </w:pPr>
          </w:p>
        </w:tc>
      </w:tr>
      <w:tr w14:paraId="15559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E91FBFB">
            <w:pPr>
              <w:spacing w:before="126" w:line="221" w:lineRule="auto"/>
              <w:ind w:left="35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六、暗挖工程</w:t>
            </w:r>
          </w:p>
        </w:tc>
        <w:tc>
          <w:tcPr>
            <w:tcW w:w="1294" w:type="dxa"/>
            <w:vAlign w:val="top"/>
          </w:tcPr>
          <w:p w14:paraId="137FC89C">
            <w:pPr>
              <w:spacing w:before="126"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F652C1B">
            <w:pPr>
              <w:spacing w:before="126"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D8FEC99">
            <w:pPr>
              <w:pStyle w:val="25"/>
              <w:rPr>
                <w:rFonts w:hint="eastAsia" w:ascii="宋体" w:hAnsi="宋体" w:eastAsia="宋体" w:cs="宋体"/>
                <w:color w:val="auto"/>
                <w:highlight w:val="none"/>
              </w:rPr>
            </w:pPr>
          </w:p>
        </w:tc>
      </w:tr>
      <w:tr w14:paraId="4B886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89E82C2">
            <w:pPr>
              <w:spacing w:before="128" w:line="328" w:lineRule="auto"/>
              <w:ind w:left="119" w:right="168" w:hanging="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采用矿山法、盾构法、顶管法施工的隧道、洞</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4"/>
                <w:sz w:val="24"/>
                <w:szCs w:val="24"/>
                <w:highlight w:val="none"/>
              </w:rPr>
              <w:t>室工程。</w:t>
            </w:r>
          </w:p>
        </w:tc>
        <w:tc>
          <w:tcPr>
            <w:tcW w:w="1294" w:type="dxa"/>
            <w:vAlign w:val="top"/>
          </w:tcPr>
          <w:p w14:paraId="69EA54F0">
            <w:pPr>
              <w:pStyle w:val="25"/>
              <w:spacing w:line="294" w:lineRule="auto"/>
              <w:rPr>
                <w:rFonts w:hint="eastAsia" w:ascii="宋体" w:hAnsi="宋体" w:eastAsia="宋体" w:cs="宋体"/>
                <w:color w:val="auto"/>
                <w:highlight w:val="none"/>
              </w:rPr>
            </w:pPr>
          </w:p>
          <w:p w14:paraId="25806042">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7831483">
            <w:pPr>
              <w:pStyle w:val="25"/>
              <w:spacing w:line="294" w:lineRule="auto"/>
              <w:rPr>
                <w:rFonts w:hint="eastAsia" w:ascii="宋体" w:hAnsi="宋体" w:eastAsia="宋体" w:cs="宋体"/>
                <w:color w:val="auto"/>
                <w:highlight w:val="none"/>
              </w:rPr>
            </w:pPr>
          </w:p>
          <w:p w14:paraId="551C407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91DD324">
            <w:pPr>
              <w:pStyle w:val="25"/>
              <w:rPr>
                <w:rFonts w:hint="eastAsia" w:ascii="宋体" w:hAnsi="宋体" w:eastAsia="宋体" w:cs="宋体"/>
                <w:color w:val="auto"/>
                <w:highlight w:val="none"/>
              </w:rPr>
            </w:pPr>
          </w:p>
        </w:tc>
      </w:tr>
      <w:tr w14:paraId="512FA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63B8B64">
            <w:pPr>
              <w:spacing w:before="129" w:line="222" w:lineRule="auto"/>
              <w:ind w:left="11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七、</w:t>
            </w:r>
            <w:r>
              <w:rPr>
                <w:rFonts w:hint="eastAsia" w:ascii="宋体" w:hAnsi="宋体" w:eastAsia="宋体" w:cs="宋体"/>
                <w:color w:val="auto"/>
                <w:spacing w:val="-3"/>
                <w:sz w:val="24"/>
                <w:szCs w:val="24"/>
                <w:highlight w:val="none"/>
                <w:lang w:eastAsia="zh-CN"/>
              </w:rPr>
              <w:t>其他</w:t>
            </w:r>
          </w:p>
        </w:tc>
        <w:tc>
          <w:tcPr>
            <w:tcW w:w="1294" w:type="dxa"/>
            <w:vAlign w:val="top"/>
          </w:tcPr>
          <w:p w14:paraId="041AFA2A">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06F78AB">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8F38261">
            <w:pPr>
              <w:pStyle w:val="25"/>
              <w:rPr>
                <w:rFonts w:hint="eastAsia" w:ascii="宋体" w:hAnsi="宋体" w:eastAsia="宋体" w:cs="宋体"/>
                <w:color w:val="auto"/>
                <w:highlight w:val="none"/>
              </w:rPr>
            </w:pPr>
          </w:p>
        </w:tc>
      </w:tr>
      <w:tr w14:paraId="61044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0BC9C24">
            <w:pPr>
              <w:spacing w:before="128"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（一）建筑幕墙安装工程。</w:t>
            </w:r>
          </w:p>
        </w:tc>
        <w:tc>
          <w:tcPr>
            <w:tcW w:w="1294" w:type="dxa"/>
            <w:vAlign w:val="top"/>
          </w:tcPr>
          <w:p w14:paraId="6935FC1C">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4275F3F">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153FAD5">
            <w:pPr>
              <w:pStyle w:val="25"/>
              <w:rPr>
                <w:rFonts w:hint="eastAsia" w:ascii="宋体" w:hAnsi="宋体" w:eastAsia="宋体" w:cs="宋体"/>
                <w:color w:val="auto"/>
                <w:highlight w:val="none"/>
              </w:rPr>
            </w:pPr>
          </w:p>
        </w:tc>
      </w:tr>
      <w:tr w14:paraId="10816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8649116">
            <w:pPr>
              <w:spacing w:before="128" w:line="221"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（二）钢结构、网架和索膜结构安装工程。</w:t>
            </w:r>
          </w:p>
        </w:tc>
        <w:tc>
          <w:tcPr>
            <w:tcW w:w="1294" w:type="dxa"/>
            <w:vAlign w:val="top"/>
          </w:tcPr>
          <w:p w14:paraId="5B256D88">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002621C">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9C7386C">
            <w:pPr>
              <w:pStyle w:val="25"/>
              <w:rPr>
                <w:rFonts w:hint="eastAsia" w:ascii="宋体" w:hAnsi="宋体" w:eastAsia="宋体" w:cs="宋体"/>
                <w:color w:val="auto"/>
                <w:highlight w:val="none"/>
              </w:rPr>
            </w:pPr>
          </w:p>
        </w:tc>
      </w:tr>
      <w:tr w14:paraId="6E0F4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7F48E3C">
            <w:pPr>
              <w:spacing w:before="128"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（三）人工挖孔桩工程。</w:t>
            </w:r>
          </w:p>
        </w:tc>
        <w:tc>
          <w:tcPr>
            <w:tcW w:w="1294" w:type="dxa"/>
            <w:vAlign w:val="top"/>
          </w:tcPr>
          <w:p w14:paraId="2B0443D0">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9457DD8">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B54B549">
            <w:pPr>
              <w:pStyle w:val="25"/>
              <w:rPr>
                <w:rFonts w:hint="eastAsia" w:ascii="宋体" w:hAnsi="宋体" w:eastAsia="宋体" w:cs="宋体"/>
                <w:color w:val="auto"/>
                <w:highlight w:val="none"/>
              </w:rPr>
            </w:pPr>
          </w:p>
        </w:tc>
      </w:tr>
      <w:tr w14:paraId="1D87E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023A2A7">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（四）水下作业工程。</w:t>
            </w:r>
          </w:p>
        </w:tc>
        <w:tc>
          <w:tcPr>
            <w:tcW w:w="1294" w:type="dxa"/>
            <w:vAlign w:val="top"/>
          </w:tcPr>
          <w:p w14:paraId="7FF1CEBB">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19BA99D">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9099C2E">
            <w:pPr>
              <w:pStyle w:val="25"/>
              <w:rPr>
                <w:rFonts w:hint="eastAsia" w:ascii="宋体" w:hAnsi="宋体" w:eastAsia="宋体" w:cs="宋体"/>
                <w:color w:val="auto"/>
                <w:highlight w:val="none"/>
              </w:rPr>
            </w:pPr>
          </w:p>
        </w:tc>
      </w:tr>
      <w:tr w14:paraId="0578E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E2CFFC3">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（五）装配式建筑混凝土预制构件安装工程。</w:t>
            </w:r>
          </w:p>
        </w:tc>
        <w:tc>
          <w:tcPr>
            <w:tcW w:w="1294" w:type="dxa"/>
            <w:vAlign w:val="top"/>
          </w:tcPr>
          <w:p w14:paraId="65C993F2">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4B18911">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0EEB872">
            <w:pPr>
              <w:pStyle w:val="25"/>
              <w:rPr>
                <w:rFonts w:hint="eastAsia" w:ascii="宋体" w:hAnsi="宋体" w:eastAsia="宋体" w:cs="宋体"/>
                <w:color w:val="auto"/>
                <w:highlight w:val="none"/>
              </w:rPr>
            </w:pPr>
          </w:p>
        </w:tc>
      </w:tr>
      <w:tr w14:paraId="13F16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2E07234">
            <w:pPr>
              <w:spacing w:before="129" w:line="345" w:lineRule="auto"/>
              <w:ind w:left="117" w:right="168" w:firstLine="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（六）采用新技术、新工艺、新材料、新设备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可能影响工程施工安全，尚无国家、行业及地</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1"/>
                <w:sz w:val="24"/>
                <w:szCs w:val="24"/>
                <w:highlight w:val="none"/>
              </w:rPr>
              <w:t>方技术标准的分部分项工程。</w:t>
            </w:r>
          </w:p>
        </w:tc>
        <w:tc>
          <w:tcPr>
            <w:tcW w:w="1294" w:type="dxa"/>
            <w:vAlign w:val="top"/>
          </w:tcPr>
          <w:p w14:paraId="173190AF">
            <w:pPr>
              <w:pStyle w:val="25"/>
              <w:spacing w:line="270" w:lineRule="auto"/>
              <w:rPr>
                <w:rFonts w:hint="eastAsia" w:ascii="宋体" w:hAnsi="宋体" w:eastAsia="宋体" w:cs="宋体"/>
                <w:color w:val="auto"/>
                <w:highlight w:val="none"/>
              </w:rPr>
            </w:pPr>
          </w:p>
          <w:p w14:paraId="25286718">
            <w:pPr>
              <w:pStyle w:val="25"/>
              <w:spacing w:line="271" w:lineRule="auto"/>
              <w:rPr>
                <w:rFonts w:hint="eastAsia" w:ascii="宋体" w:hAnsi="宋体" w:eastAsia="宋体" w:cs="宋体"/>
                <w:color w:val="auto"/>
                <w:highlight w:val="none"/>
              </w:rPr>
            </w:pPr>
          </w:p>
          <w:p w14:paraId="43C2B6E5">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98617CC">
            <w:pPr>
              <w:pStyle w:val="25"/>
              <w:spacing w:line="270" w:lineRule="auto"/>
              <w:rPr>
                <w:rFonts w:hint="eastAsia" w:ascii="宋体" w:hAnsi="宋体" w:eastAsia="宋体" w:cs="宋体"/>
                <w:color w:val="auto"/>
                <w:highlight w:val="none"/>
              </w:rPr>
            </w:pPr>
          </w:p>
          <w:p w14:paraId="178E42BF">
            <w:pPr>
              <w:pStyle w:val="25"/>
              <w:spacing w:line="271" w:lineRule="auto"/>
              <w:rPr>
                <w:rFonts w:hint="eastAsia" w:ascii="宋体" w:hAnsi="宋体" w:eastAsia="宋体" w:cs="宋体"/>
                <w:color w:val="auto"/>
                <w:highlight w:val="none"/>
              </w:rPr>
            </w:pPr>
          </w:p>
          <w:p w14:paraId="7C375C8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66939D6">
            <w:pPr>
              <w:pStyle w:val="25"/>
              <w:rPr>
                <w:rFonts w:hint="eastAsia" w:ascii="宋体" w:hAnsi="宋体" w:eastAsia="宋体" w:cs="宋体"/>
                <w:color w:val="auto"/>
                <w:highlight w:val="none"/>
              </w:rPr>
            </w:pPr>
          </w:p>
        </w:tc>
      </w:tr>
      <w:tr w14:paraId="3B562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3107AB9">
            <w:pPr>
              <w:spacing w:before="129" w:line="328" w:lineRule="auto"/>
              <w:ind w:left="115" w:right="108" w:firstLine="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二、超过一定规模的危险性较大的分部分项工</w:t>
            </w:r>
            <w:r>
              <w:rPr>
                <w:rFonts w:hint="eastAsia" w:ascii="宋体" w:hAnsi="宋体" w:eastAsia="宋体" w:cs="宋体"/>
                <w:b/>
                <w:bCs/>
                <w:color w:val="auto"/>
                <w:spacing w:val="-5"/>
                <w:sz w:val="24"/>
                <w:szCs w:val="24"/>
                <w:highlight w:val="none"/>
              </w:rPr>
              <w:t>程清单</w:t>
            </w:r>
          </w:p>
        </w:tc>
        <w:tc>
          <w:tcPr>
            <w:tcW w:w="1294" w:type="dxa"/>
            <w:vAlign w:val="top"/>
          </w:tcPr>
          <w:p w14:paraId="5A67B5C5">
            <w:pPr>
              <w:pStyle w:val="25"/>
              <w:spacing w:line="295" w:lineRule="auto"/>
              <w:rPr>
                <w:rFonts w:hint="eastAsia" w:ascii="宋体" w:hAnsi="宋体" w:eastAsia="宋体" w:cs="宋体"/>
                <w:color w:val="auto"/>
                <w:highlight w:val="none"/>
              </w:rPr>
            </w:pPr>
          </w:p>
          <w:p w14:paraId="2D811006">
            <w:pPr>
              <w:spacing w:before="78" w:line="221" w:lineRule="auto"/>
              <w:ind w:left="206"/>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建设单位</w:t>
            </w:r>
          </w:p>
        </w:tc>
        <w:tc>
          <w:tcPr>
            <w:tcW w:w="1294" w:type="dxa"/>
            <w:vAlign w:val="top"/>
          </w:tcPr>
          <w:p w14:paraId="24A69ECB">
            <w:pPr>
              <w:pStyle w:val="25"/>
              <w:spacing w:line="295" w:lineRule="auto"/>
              <w:rPr>
                <w:rFonts w:hint="eastAsia" w:ascii="宋体" w:hAnsi="宋体" w:eastAsia="宋体" w:cs="宋体"/>
                <w:color w:val="auto"/>
                <w:highlight w:val="none"/>
              </w:rPr>
            </w:pPr>
          </w:p>
          <w:p w14:paraId="26DB2221">
            <w:pPr>
              <w:spacing w:before="78" w:line="221" w:lineRule="auto"/>
              <w:ind w:left="119"/>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投标单位</w:t>
            </w:r>
          </w:p>
        </w:tc>
        <w:tc>
          <w:tcPr>
            <w:tcW w:w="2428" w:type="dxa"/>
            <w:vAlign w:val="top"/>
          </w:tcPr>
          <w:p w14:paraId="7B1AFF26">
            <w:pPr>
              <w:pStyle w:val="25"/>
              <w:spacing w:line="295" w:lineRule="auto"/>
              <w:rPr>
                <w:rFonts w:hint="eastAsia" w:ascii="宋体" w:hAnsi="宋体" w:eastAsia="宋体" w:cs="宋体"/>
                <w:color w:val="auto"/>
                <w:highlight w:val="none"/>
              </w:rPr>
            </w:pPr>
          </w:p>
          <w:p w14:paraId="3584F90F">
            <w:pPr>
              <w:spacing w:before="78" w:line="222" w:lineRule="auto"/>
              <w:ind w:left="30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备注</w:t>
            </w:r>
          </w:p>
        </w:tc>
      </w:tr>
      <w:tr w14:paraId="4B6EE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FFEC06F">
            <w:pPr>
              <w:spacing w:before="129" w:line="221"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一、深基坑工程</w:t>
            </w:r>
          </w:p>
        </w:tc>
        <w:tc>
          <w:tcPr>
            <w:tcW w:w="1294" w:type="dxa"/>
            <w:vAlign w:val="top"/>
          </w:tcPr>
          <w:p w14:paraId="0F1DCA38">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A99B878">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A826AFC">
            <w:pPr>
              <w:pStyle w:val="25"/>
              <w:rPr>
                <w:rFonts w:hint="eastAsia" w:ascii="宋体" w:hAnsi="宋体" w:eastAsia="宋体" w:cs="宋体"/>
                <w:color w:val="auto"/>
                <w:highlight w:val="none"/>
              </w:rPr>
            </w:pPr>
          </w:p>
        </w:tc>
      </w:tr>
      <w:tr w14:paraId="70408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C7BBDEF">
            <w:pPr>
              <w:spacing w:before="131" w:line="327" w:lineRule="auto"/>
              <w:ind w:left="117" w:right="10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开挖深度超过</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5"/>
                <w:sz w:val="24"/>
                <w:szCs w:val="24"/>
                <w:highlight w:val="none"/>
              </w:rPr>
              <w:t>5m（含</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5m）的基坑（槽）的土方</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开挖、支护、降水工程。</w:t>
            </w:r>
          </w:p>
        </w:tc>
        <w:tc>
          <w:tcPr>
            <w:tcW w:w="1294" w:type="dxa"/>
            <w:vAlign w:val="top"/>
          </w:tcPr>
          <w:p w14:paraId="1796810E">
            <w:pPr>
              <w:pStyle w:val="25"/>
              <w:spacing w:line="295" w:lineRule="auto"/>
              <w:rPr>
                <w:rFonts w:hint="eastAsia" w:ascii="宋体" w:hAnsi="宋体" w:eastAsia="宋体" w:cs="宋体"/>
                <w:color w:val="auto"/>
                <w:highlight w:val="none"/>
              </w:rPr>
            </w:pPr>
          </w:p>
          <w:p w14:paraId="37F2E30C">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B7F49D4">
            <w:pPr>
              <w:pStyle w:val="25"/>
              <w:spacing w:line="295" w:lineRule="auto"/>
              <w:rPr>
                <w:rFonts w:hint="eastAsia" w:ascii="宋体" w:hAnsi="宋体" w:eastAsia="宋体" w:cs="宋体"/>
                <w:color w:val="auto"/>
                <w:highlight w:val="none"/>
              </w:rPr>
            </w:pPr>
          </w:p>
          <w:p w14:paraId="005B6C9B">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6B784C5">
            <w:pPr>
              <w:pStyle w:val="25"/>
              <w:rPr>
                <w:rFonts w:hint="eastAsia" w:ascii="宋体" w:hAnsi="宋体" w:eastAsia="宋体" w:cs="宋体"/>
                <w:color w:val="auto"/>
                <w:highlight w:val="none"/>
              </w:rPr>
            </w:pPr>
          </w:p>
        </w:tc>
      </w:tr>
      <w:tr w14:paraId="67E02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072E12A">
            <w:pPr>
              <w:spacing w:before="130" w:line="219"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二、模板工程及支撑体系</w:t>
            </w:r>
          </w:p>
        </w:tc>
        <w:tc>
          <w:tcPr>
            <w:tcW w:w="1294" w:type="dxa"/>
            <w:vAlign w:val="top"/>
          </w:tcPr>
          <w:p w14:paraId="695E6722">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default" w:ascii="宋体" w:hAnsi="宋体" w:eastAsia="宋体" w:cs="宋体"/>
                <w:color w:val="auto"/>
                <w:spacing w:val="2"/>
                <w:sz w:val="24"/>
                <w:szCs w:val="24"/>
                <w:highlight w:val="none"/>
                <w:lang w:val="en-US"/>
              </w:rPr>
              <w:t xml:space="preserve">  </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4D75F55">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9BB9547">
            <w:pPr>
              <w:pStyle w:val="25"/>
              <w:rPr>
                <w:rFonts w:hint="eastAsia" w:ascii="宋体" w:hAnsi="宋体" w:eastAsia="宋体" w:cs="宋体"/>
                <w:color w:val="auto"/>
                <w:highlight w:val="none"/>
              </w:rPr>
            </w:pPr>
          </w:p>
        </w:tc>
      </w:tr>
      <w:tr w14:paraId="10065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25B4D44">
            <w:pPr>
              <w:spacing w:before="130" w:line="327" w:lineRule="auto"/>
              <w:ind w:left="123" w:right="25" w:firstLine="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（一）各类工具式模板工程：包括滑模、爬模、</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2"/>
                <w:sz w:val="24"/>
                <w:szCs w:val="24"/>
                <w:highlight w:val="none"/>
              </w:rPr>
              <w:t>飞模、隧道模等工程。</w:t>
            </w:r>
          </w:p>
        </w:tc>
        <w:tc>
          <w:tcPr>
            <w:tcW w:w="1294" w:type="dxa"/>
            <w:vAlign w:val="top"/>
          </w:tcPr>
          <w:p w14:paraId="333C7548">
            <w:pPr>
              <w:pStyle w:val="25"/>
              <w:spacing w:line="294" w:lineRule="auto"/>
              <w:rPr>
                <w:rFonts w:hint="eastAsia" w:ascii="宋体" w:hAnsi="宋体" w:eastAsia="宋体" w:cs="宋体"/>
                <w:color w:val="auto"/>
                <w:highlight w:val="none"/>
              </w:rPr>
            </w:pPr>
          </w:p>
          <w:p w14:paraId="40884F4C">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4BE3EB5">
            <w:pPr>
              <w:pStyle w:val="25"/>
              <w:spacing w:line="294" w:lineRule="auto"/>
              <w:rPr>
                <w:rFonts w:hint="eastAsia" w:ascii="宋体" w:hAnsi="宋体" w:eastAsia="宋体" w:cs="宋体"/>
                <w:color w:val="auto"/>
                <w:highlight w:val="none"/>
              </w:rPr>
            </w:pPr>
          </w:p>
          <w:p w14:paraId="4243723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243DDE8">
            <w:pPr>
              <w:pStyle w:val="25"/>
              <w:rPr>
                <w:rFonts w:hint="eastAsia" w:ascii="宋体" w:hAnsi="宋体" w:eastAsia="宋体" w:cs="宋体"/>
                <w:color w:val="auto"/>
                <w:highlight w:val="none"/>
              </w:rPr>
            </w:pPr>
          </w:p>
        </w:tc>
      </w:tr>
      <w:tr w14:paraId="2F821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B41265B">
            <w:pPr>
              <w:spacing w:before="132" w:line="353" w:lineRule="auto"/>
              <w:ind w:left="116" w:right="6" w:firstLine="11"/>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（二）混凝土模板支撑工程：搭设高度8m</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pacing w:val="-2"/>
                <w:sz w:val="24"/>
                <w:szCs w:val="24"/>
                <w:highlight w:val="none"/>
              </w:rPr>
              <w:t>及以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1"/>
                <w:sz w:val="24"/>
                <w:szCs w:val="24"/>
                <w:highlight w:val="none"/>
              </w:rPr>
              <w:t>上，或搭设跨度</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11"/>
                <w:sz w:val="24"/>
                <w:szCs w:val="24"/>
                <w:highlight w:val="none"/>
              </w:rPr>
              <w:t>18m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1"/>
                <w:sz w:val="24"/>
                <w:szCs w:val="24"/>
                <w:highlight w:val="none"/>
              </w:rPr>
              <w:t>及以上，或施工总荷载（设</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1"/>
                <w:sz w:val="24"/>
                <w:szCs w:val="24"/>
                <w:highlight w:val="none"/>
              </w:rPr>
              <w:t>计值）15kN/m2</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1"/>
                <w:sz w:val="24"/>
                <w:szCs w:val="24"/>
                <w:highlight w:val="none"/>
              </w:rPr>
              <w:t>及以上，或集中线荷载（设</w:t>
            </w:r>
            <w:r>
              <w:rPr>
                <w:rFonts w:hint="eastAsia" w:ascii="宋体" w:hAnsi="宋体" w:eastAsia="宋体" w:cs="宋体"/>
                <w:color w:val="auto"/>
                <w:spacing w:val="-12"/>
                <w:sz w:val="24"/>
                <w:szCs w:val="24"/>
                <w:highlight w:val="none"/>
              </w:rPr>
              <w:t>计值）</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20kN/m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及以上。</w:t>
            </w:r>
          </w:p>
        </w:tc>
        <w:tc>
          <w:tcPr>
            <w:tcW w:w="1294" w:type="dxa"/>
            <w:vAlign w:val="top"/>
          </w:tcPr>
          <w:p w14:paraId="3A659D94">
            <w:pPr>
              <w:pStyle w:val="25"/>
              <w:spacing w:line="262" w:lineRule="auto"/>
              <w:rPr>
                <w:rFonts w:hint="eastAsia" w:ascii="宋体" w:hAnsi="宋体" w:eastAsia="宋体" w:cs="宋体"/>
                <w:color w:val="auto"/>
                <w:highlight w:val="none"/>
              </w:rPr>
            </w:pPr>
          </w:p>
          <w:p w14:paraId="36D0E943">
            <w:pPr>
              <w:pStyle w:val="25"/>
              <w:spacing w:line="263" w:lineRule="auto"/>
              <w:rPr>
                <w:rFonts w:hint="eastAsia" w:ascii="宋体" w:hAnsi="宋体" w:eastAsia="宋体" w:cs="宋体"/>
                <w:color w:val="auto"/>
                <w:highlight w:val="none"/>
              </w:rPr>
            </w:pPr>
          </w:p>
          <w:p w14:paraId="36225E0A">
            <w:pPr>
              <w:pStyle w:val="25"/>
              <w:spacing w:line="263" w:lineRule="auto"/>
              <w:rPr>
                <w:rFonts w:hint="eastAsia" w:ascii="宋体" w:hAnsi="宋体" w:eastAsia="宋体" w:cs="宋体"/>
                <w:color w:val="auto"/>
                <w:highlight w:val="none"/>
              </w:rPr>
            </w:pPr>
          </w:p>
          <w:p w14:paraId="1B11D092">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6F36B3E">
            <w:pPr>
              <w:pStyle w:val="25"/>
              <w:spacing w:line="262" w:lineRule="auto"/>
              <w:rPr>
                <w:rFonts w:hint="eastAsia" w:ascii="宋体" w:hAnsi="宋体" w:eastAsia="宋体" w:cs="宋体"/>
                <w:color w:val="auto"/>
                <w:highlight w:val="none"/>
              </w:rPr>
            </w:pPr>
          </w:p>
          <w:p w14:paraId="39B92A8D">
            <w:pPr>
              <w:pStyle w:val="25"/>
              <w:spacing w:line="263" w:lineRule="auto"/>
              <w:rPr>
                <w:rFonts w:hint="eastAsia" w:ascii="宋体" w:hAnsi="宋体" w:eastAsia="宋体" w:cs="宋体"/>
                <w:color w:val="auto"/>
                <w:highlight w:val="none"/>
              </w:rPr>
            </w:pPr>
          </w:p>
          <w:p w14:paraId="52E91544">
            <w:pPr>
              <w:pStyle w:val="25"/>
              <w:spacing w:line="263" w:lineRule="auto"/>
              <w:rPr>
                <w:rFonts w:hint="eastAsia" w:ascii="宋体" w:hAnsi="宋体" w:eastAsia="宋体" w:cs="宋体"/>
                <w:color w:val="auto"/>
                <w:highlight w:val="none"/>
              </w:rPr>
            </w:pPr>
          </w:p>
          <w:p w14:paraId="4010B8F8">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6675310">
            <w:pPr>
              <w:pStyle w:val="25"/>
              <w:rPr>
                <w:rFonts w:hint="eastAsia" w:ascii="宋体" w:hAnsi="宋体" w:eastAsia="宋体" w:cs="宋体"/>
                <w:color w:val="auto"/>
                <w:highlight w:val="none"/>
              </w:rPr>
            </w:pPr>
          </w:p>
        </w:tc>
      </w:tr>
      <w:tr w14:paraId="31486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4038DE2">
            <w:pPr>
              <w:spacing w:before="131"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（三）承重支撑体系：用于钢结构安装等满堂</w:t>
            </w:r>
          </w:p>
        </w:tc>
        <w:tc>
          <w:tcPr>
            <w:tcW w:w="1294" w:type="dxa"/>
            <w:vAlign w:val="top"/>
          </w:tcPr>
          <w:p w14:paraId="7EA93CE0">
            <w:pPr>
              <w:spacing w:before="131"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89782CE">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E42B55B">
            <w:pPr>
              <w:pStyle w:val="25"/>
              <w:rPr>
                <w:rFonts w:hint="eastAsia" w:ascii="宋体" w:hAnsi="宋体" w:eastAsia="宋体" w:cs="宋体"/>
                <w:color w:val="auto"/>
                <w:highlight w:val="none"/>
              </w:rPr>
            </w:pPr>
          </w:p>
        </w:tc>
      </w:tr>
      <w:tr w14:paraId="0DCFC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4CD01D5">
            <w:pPr>
              <w:spacing w:before="131" w:line="220" w:lineRule="auto"/>
              <w:ind w:left="1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支撑体系，承受单点集中荷载</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2"/>
                <w:sz w:val="24"/>
                <w:szCs w:val="24"/>
                <w:highlight w:val="none"/>
              </w:rPr>
              <w:t>7kN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w:t>
            </w:r>
          </w:p>
        </w:tc>
        <w:tc>
          <w:tcPr>
            <w:tcW w:w="1294" w:type="dxa"/>
            <w:vAlign w:val="top"/>
          </w:tcPr>
          <w:p w14:paraId="3D707081">
            <w:pPr>
              <w:pStyle w:val="25"/>
              <w:rPr>
                <w:rFonts w:hint="eastAsia" w:ascii="宋体" w:hAnsi="宋体" w:eastAsia="宋体" w:cs="宋体"/>
                <w:color w:val="auto"/>
                <w:highlight w:val="none"/>
              </w:rPr>
            </w:pPr>
          </w:p>
        </w:tc>
        <w:tc>
          <w:tcPr>
            <w:tcW w:w="1294" w:type="dxa"/>
            <w:vAlign w:val="top"/>
          </w:tcPr>
          <w:p w14:paraId="53A736AF">
            <w:pPr>
              <w:pStyle w:val="25"/>
              <w:rPr>
                <w:rFonts w:hint="eastAsia" w:ascii="宋体" w:hAnsi="宋体" w:eastAsia="宋体" w:cs="宋体"/>
                <w:color w:val="auto"/>
                <w:highlight w:val="none"/>
              </w:rPr>
            </w:pPr>
          </w:p>
        </w:tc>
        <w:tc>
          <w:tcPr>
            <w:tcW w:w="2428" w:type="dxa"/>
            <w:vAlign w:val="top"/>
          </w:tcPr>
          <w:p w14:paraId="56059996">
            <w:pPr>
              <w:pStyle w:val="25"/>
              <w:rPr>
                <w:rFonts w:hint="eastAsia" w:ascii="宋体" w:hAnsi="宋体" w:eastAsia="宋体" w:cs="宋体"/>
                <w:color w:val="auto"/>
                <w:highlight w:val="none"/>
              </w:rPr>
            </w:pPr>
          </w:p>
        </w:tc>
      </w:tr>
      <w:tr w14:paraId="718D0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B0C9181">
            <w:pPr>
              <w:spacing w:before="128" w:line="219" w:lineRule="auto"/>
              <w:ind w:left="35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三、起重吊装及起重机械安装拆卸工程</w:t>
            </w:r>
          </w:p>
        </w:tc>
        <w:tc>
          <w:tcPr>
            <w:tcW w:w="1294" w:type="dxa"/>
            <w:vAlign w:val="top"/>
          </w:tcPr>
          <w:p w14:paraId="5DAC60BF">
            <w:pPr>
              <w:spacing w:before="127"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4A1EBF1">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8A51EE5">
            <w:pPr>
              <w:pStyle w:val="25"/>
              <w:rPr>
                <w:rFonts w:hint="eastAsia" w:ascii="宋体" w:hAnsi="宋体" w:eastAsia="宋体" w:cs="宋体"/>
                <w:color w:val="auto"/>
                <w:highlight w:val="none"/>
              </w:rPr>
            </w:pPr>
          </w:p>
        </w:tc>
      </w:tr>
      <w:tr w14:paraId="723FC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2A57479">
            <w:pPr>
              <w:spacing w:before="129" w:line="328" w:lineRule="auto"/>
              <w:ind w:left="144" w:right="168" w:hanging="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（一）采用非常规起重设备、方法，且单件起</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4"/>
                <w:sz w:val="24"/>
                <w:szCs w:val="24"/>
                <w:highlight w:val="none"/>
              </w:rPr>
              <w:t>吊重量在</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100kN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4"/>
                <w:sz w:val="24"/>
                <w:szCs w:val="24"/>
                <w:highlight w:val="none"/>
              </w:rPr>
              <w:t>及以上的起重吊装工程。</w:t>
            </w:r>
          </w:p>
        </w:tc>
        <w:tc>
          <w:tcPr>
            <w:tcW w:w="1294" w:type="dxa"/>
            <w:vAlign w:val="top"/>
          </w:tcPr>
          <w:p w14:paraId="2AF28C1D">
            <w:pPr>
              <w:pStyle w:val="25"/>
              <w:spacing w:line="295" w:lineRule="auto"/>
              <w:rPr>
                <w:rFonts w:hint="eastAsia" w:ascii="宋体" w:hAnsi="宋体" w:eastAsia="宋体" w:cs="宋体"/>
                <w:color w:val="auto"/>
                <w:highlight w:val="none"/>
              </w:rPr>
            </w:pPr>
          </w:p>
          <w:p w14:paraId="68D38ADD">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DDBCC99">
            <w:pPr>
              <w:pStyle w:val="25"/>
              <w:spacing w:line="295" w:lineRule="auto"/>
              <w:rPr>
                <w:rFonts w:hint="eastAsia" w:ascii="宋体" w:hAnsi="宋体" w:eastAsia="宋体" w:cs="宋体"/>
                <w:color w:val="auto"/>
                <w:highlight w:val="none"/>
              </w:rPr>
            </w:pPr>
          </w:p>
          <w:p w14:paraId="26478C8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DAC0590">
            <w:pPr>
              <w:pStyle w:val="25"/>
              <w:rPr>
                <w:rFonts w:hint="eastAsia" w:ascii="宋体" w:hAnsi="宋体" w:eastAsia="宋体" w:cs="宋体"/>
                <w:color w:val="auto"/>
                <w:highlight w:val="none"/>
              </w:rPr>
            </w:pPr>
          </w:p>
        </w:tc>
      </w:tr>
      <w:tr w14:paraId="7A49C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C5F7230">
            <w:pPr>
              <w:spacing w:before="129" w:line="345" w:lineRule="auto"/>
              <w:ind w:left="115" w:right="105" w:firstLine="12"/>
              <w:jc w:val="both"/>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（二）起重量</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2"/>
                <w:sz w:val="24"/>
                <w:szCs w:val="24"/>
                <w:highlight w:val="none"/>
              </w:rPr>
              <w:t>300kN</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2"/>
                <w:sz w:val="24"/>
                <w:szCs w:val="24"/>
                <w:highlight w:val="none"/>
              </w:rPr>
              <w:t>及以上，或搭设总高度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2"/>
                <w:sz w:val="24"/>
                <w:szCs w:val="24"/>
                <w:highlight w:val="none"/>
              </w:rPr>
              <w:t>200m</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及以上，或搭设基础标高在</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200m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及以上的起重</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机械安装和拆卸工程。</w:t>
            </w:r>
          </w:p>
        </w:tc>
        <w:tc>
          <w:tcPr>
            <w:tcW w:w="1294" w:type="dxa"/>
            <w:vAlign w:val="top"/>
          </w:tcPr>
          <w:p w14:paraId="3C812803">
            <w:pPr>
              <w:pStyle w:val="25"/>
              <w:spacing w:line="270" w:lineRule="auto"/>
              <w:rPr>
                <w:rFonts w:hint="eastAsia" w:ascii="宋体" w:hAnsi="宋体" w:eastAsia="宋体" w:cs="宋体"/>
                <w:color w:val="auto"/>
                <w:highlight w:val="none"/>
              </w:rPr>
            </w:pPr>
          </w:p>
          <w:p w14:paraId="5121DDDA">
            <w:pPr>
              <w:pStyle w:val="25"/>
              <w:spacing w:line="270" w:lineRule="auto"/>
              <w:rPr>
                <w:rFonts w:hint="eastAsia" w:ascii="宋体" w:hAnsi="宋体" w:eastAsia="宋体" w:cs="宋体"/>
                <w:color w:val="auto"/>
                <w:highlight w:val="none"/>
              </w:rPr>
            </w:pPr>
          </w:p>
          <w:p w14:paraId="560FB691">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2976141">
            <w:pPr>
              <w:pStyle w:val="25"/>
              <w:spacing w:line="270" w:lineRule="auto"/>
              <w:rPr>
                <w:rFonts w:hint="eastAsia" w:ascii="宋体" w:hAnsi="宋体" w:eastAsia="宋体" w:cs="宋体"/>
                <w:color w:val="auto"/>
                <w:highlight w:val="none"/>
              </w:rPr>
            </w:pPr>
          </w:p>
          <w:p w14:paraId="0F0AF9F1">
            <w:pPr>
              <w:pStyle w:val="25"/>
              <w:spacing w:line="270" w:lineRule="auto"/>
              <w:rPr>
                <w:rFonts w:hint="eastAsia" w:ascii="宋体" w:hAnsi="宋体" w:eastAsia="宋体" w:cs="宋体"/>
                <w:color w:val="auto"/>
                <w:highlight w:val="none"/>
              </w:rPr>
            </w:pPr>
          </w:p>
          <w:p w14:paraId="69309DD2">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436BC6D">
            <w:pPr>
              <w:pStyle w:val="25"/>
              <w:rPr>
                <w:rFonts w:hint="eastAsia" w:ascii="宋体" w:hAnsi="宋体" w:eastAsia="宋体" w:cs="宋体"/>
                <w:color w:val="auto"/>
                <w:highlight w:val="none"/>
              </w:rPr>
            </w:pPr>
          </w:p>
        </w:tc>
      </w:tr>
      <w:tr w14:paraId="0E46C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28645FA">
            <w:pPr>
              <w:spacing w:before="128" w:line="219" w:lineRule="auto"/>
              <w:ind w:left="13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四、脚手架工程</w:t>
            </w:r>
          </w:p>
        </w:tc>
        <w:tc>
          <w:tcPr>
            <w:tcW w:w="1294" w:type="dxa"/>
            <w:vAlign w:val="top"/>
          </w:tcPr>
          <w:p w14:paraId="67CC54F8">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D0B7418">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66E3407">
            <w:pPr>
              <w:pStyle w:val="25"/>
              <w:rPr>
                <w:rFonts w:hint="eastAsia" w:ascii="宋体" w:hAnsi="宋体" w:eastAsia="宋体" w:cs="宋体"/>
                <w:color w:val="auto"/>
                <w:highlight w:val="none"/>
              </w:rPr>
            </w:pPr>
          </w:p>
        </w:tc>
      </w:tr>
      <w:tr w14:paraId="20CD7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8FD09B2">
            <w:pPr>
              <w:spacing w:before="128" w:line="328"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（一）搭设高度</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50m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及以上的落地式钢管脚手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架工程。</w:t>
            </w:r>
          </w:p>
        </w:tc>
        <w:tc>
          <w:tcPr>
            <w:tcW w:w="1294" w:type="dxa"/>
            <w:vAlign w:val="top"/>
          </w:tcPr>
          <w:p w14:paraId="30FE1B6D">
            <w:pPr>
              <w:pStyle w:val="25"/>
              <w:spacing w:line="296" w:lineRule="auto"/>
              <w:rPr>
                <w:rFonts w:hint="eastAsia" w:ascii="宋体" w:hAnsi="宋体" w:eastAsia="宋体" w:cs="宋体"/>
                <w:color w:val="auto"/>
                <w:highlight w:val="none"/>
              </w:rPr>
            </w:pPr>
          </w:p>
          <w:p w14:paraId="49A947C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645D770">
            <w:pPr>
              <w:pStyle w:val="25"/>
              <w:spacing w:line="296" w:lineRule="auto"/>
              <w:rPr>
                <w:rFonts w:hint="eastAsia" w:ascii="宋体" w:hAnsi="宋体" w:eastAsia="宋体" w:cs="宋体"/>
                <w:color w:val="auto"/>
                <w:highlight w:val="none"/>
              </w:rPr>
            </w:pPr>
          </w:p>
          <w:p w14:paraId="0046F705">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5A45629">
            <w:pPr>
              <w:pStyle w:val="25"/>
              <w:rPr>
                <w:rFonts w:hint="eastAsia" w:ascii="宋体" w:hAnsi="宋体" w:eastAsia="宋体" w:cs="宋体"/>
                <w:color w:val="auto"/>
                <w:highlight w:val="none"/>
              </w:rPr>
            </w:pPr>
          </w:p>
        </w:tc>
      </w:tr>
      <w:tr w14:paraId="4C2B7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31197BD">
            <w:pPr>
              <w:spacing w:before="131" w:line="327" w:lineRule="auto"/>
              <w:ind w:left="116" w:right="105" w:firstLine="11"/>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（二）提升高度在</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6"/>
                <w:sz w:val="24"/>
                <w:szCs w:val="24"/>
                <w:highlight w:val="none"/>
                <w:lang w:eastAsia="zh-CN"/>
              </w:rPr>
              <w:t>450</w:t>
            </w:r>
            <w:r>
              <w:rPr>
                <w:rFonts w:hint="eastAsia" w:ascii="宋体" w:hAnsi="宋体" w:eastAsia="宋体" w:cs="宋体"/>
                <w:color w:val="auto"/>
                <w:spacing w:val="-6"/>
                <w:sz w:val="24"/>
                <w:szCs w:val="24"/>
                <w:highlight w:val="none"/>
              </w:rPr>
              <w:t>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6"/>
                <w:sz w:val="24"/>
                <w:szCs w:val="24"/>
                <w:highlight w:val="none"/>
              </w:rPr>
              <w:t>及以上的附着式升降脚</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手架工程或附着式升降操作平台工程。</w:t>
            </w:r>
          </w:p>
        </w:tc>
        <w:tc>
          <w:tcPr>
            <w:tcW w:w="1294" w:type="dxa"/>
            <w:vAlign w:val="top"/>
          </w:tcPr>
          <w:p w14:paraId="26E4FDC5">
            <w:pPr>
              <w:pStyle w:val="25"/>
              <w:spacing w:line="296" w:lineRule="auto"/>
              <w:rPr>
                <w:rFonts w:hint="eastAsia" w:ascii="宋体" w:hAnsi="宋体" w:eastAsia="宋体" w:cs="宋体"/>
                <w:color w:val="auto"/>
                <w:highlight w:val="none"/>
              </w:rPr>
            </w:pPr>
          </w:p>
          <w:p w14:paraId="558431DE">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E227112">
            <w:pPr>
              <w:pStyle w:val="25"/>
              <w:spacing w:line="296" w:lineRule="auto"/>
              <w:rPr>
                <w:rFonts w:hint="eastAsia" w:ascii="宋体" w:hAnsi="宋体" w:eastAsia="宋体" w:cs="宋体"/>
                <w:color w:val="auto"/>
                <w:highlight w:val="none"/>
              </w:rPr>
            </w:pPr>
          </w:p>
          <w:p w14:paraId="4D51D49D">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D447CAF">
            <w:pPr>
              <w:pStyle w:val="25"/>
              <w:rPr>
                <w:rFonts w:hint="eastAsia" w:ascii="宋体" w:hAnsi="宋体" w:eastAsia="宋体" w:cs="宋体"/>
                <w:color w:val="auto"/>
                <w:highlight w:val="none"/>
              </w:rPr>
            </w:pPr>
          </w:p>
        </w:tc>
      </w:tr>
      <w:tr w14:paraId="4390B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02DA04D">
            <w:pPr>
              <w:spacing w:before="129" w:line="328"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（三）分段架体搭设高度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20m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及以上的悬挑式</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脚手架工程。</w:t>
            </w:r>
          </w:p>
        </w:tc>
        <w:tc>
          <w:tcPr>
            <w:tcW w:w="1294" w:type="dxa"/>
            <w:vAlign w:val="top"/>
          </w:tcPr>
          <w:p w14:paraId="1A4DC673">
            <w:pPr>
              <w:pStyle w:val="25"/>
              <w:spacing w:line="297" w:lineRule="auto"/>
              <w:rPr>
                <w:rFonts w:hint="eastAsia" w:ascii="宋体" w:hAnsi="宋体" w:eastAsia="宋体" w:cs="宋体"/>
                <w:color w:val="auto"/>
                <w:highlight w:val="none"/>
              </w:rPr>
            </w:pPr>
          </w:p>
          <w:p w14:paraId="13C8F70D">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78C3E33">
            <w:pPr>
              <w:pStyle w:val="25"/>
              <w:spacing w:line="297" w:lineRule="auto"/>
              <w:rPr>
                <w:rFonts w:hint="eastAsia" w:ascii="宋体" w:hAnsi="宋体" w:eastAsia="宋体" w:cs="宋体"/>
                <w:color w:val="auto"/>
                <w:highlight w:val="none"/>
              </w:rPr>
            </w:pPr>
          </w:p>
          <w:p w14:paraId="69F6EAB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36FB7CE">
            <w:pPr>
              <w:pStyle w:val="25"/>
              <w:rPr>
                <w:rFonts w:hint="eastAsia" w:ascii="宋体" w:hAnsi="宋体" w:eastAsia="宋体" w:cs="宋体"/>
                <w:color w:val="auto"/>
                <w:highlight w:val="none"/>
              </w:rPr>
            </w:pPr>
          </w:p>
        </w:tc>
      </w:tr>
      <w:tr w14:paraId="19A54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E027364">
            <w:pPr>
              <w:spacing w:before="131" w:line="220"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五、拆除工程</w:t>
            </w:r>
          </w:p>
        </w:tc>
        <w:tc>
          <w:tcPr>
            <w:tcW w:w="1294" w:type="dxa"/>
            <w:vAlign w:val="top"/>
          </w:tcPr>
          <w:p w14:paraId="252E8CF3">
            <w:pPr>
              <w:spacing w:before="15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2E328A9">
            <w:pPr>
              <w:spacing w:before="15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B214F7F">
            <w:pPr>
              <w:pStyle w:val="25"/>
              <w:rPr>
                <w:rFonts w:hint="eastAsia" w:ascii="宋体" w:hAnsi="宋体" w:eastAsia="宋体" w:cs="宋体"/>
                <w:color w:val="auto"/>
                <w:highlight w:val="none"/>
              </w:rPr>
            </w:pPr>
          </w:p>
        </w:tc>
      </w:tr>
      <w:tr w14:paraId="533AC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FD68D25">
            <w:pPr>
              <w:spacing w:before="132" w:line="353"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（一）码头、桥梁、高架、烟囱、水塔或拆除</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中容易引起有毒有害气（液）体或粉尘扩散、</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易燃易爆事故发生的特殊建、构筑物的拆除工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5"/>
                <w:sz w:val="24"/>
                <w:szCs w:val="24"/>
                <w:highlight w:val="none"/>
              </w:rPr>
              <w:t>程。</w:t>
            </w:r>
          </w:p>
        </w:tc>
        <w:tc>
          <w:tcPr>
            <w:tcW w:w="1294" w:type="dxa"/>
            <w:vAlign w:val="top"/>
          </w:tcPr>
          <w:p w14:paraId="06E4383E">
            <w:pPr>
              <w:pStyle w:val="25"/>
              <w:spacing w:line="262" w:lineRule="auto"/>
              <w:rPr>
                <w:rFonts w:hint="eastAsia" w:ascii="宋体" w:hAnsi="宋体" w:eastAsia="宋体" w:cs="宋体"/>
                <w:color w:val="auto"/>
                <w:highlight w:val="none"/>
              </w:rPr>
            </w:pPr>
          </w:p>
          <w:p w14:paraId="7376B21D">
            <w:pPr>
              <w:pStyle w:val="25"/>
              <w:spacing w:line="262" w:lineRule="auto"/>
              <w:rPr>
                <w:rFonts w:hint="eastAsia" w:ascii="宋体" w:hAnsi="宋体" w:eastAsia="宋体" w:cs="宋体"/>
                <w:color w:val="auto"/>
                <w:highlight w:val="none"/>
              </w:rPr>
            </w:pPr>
          </w:p>
          <w:p w14:paraId="5707BFC6">
            <w:pPr>
              <w:pStyle w:val="25"/>
              <w:spacing w:line="262" w:lineRule="auto"/>
              <w:rPr>
                <w:rFonts w:hint="eastAsia" w:ascii="宋体" w:hAnsi="宋体" w:eastAsia="宋体" w:cs="宋体"/>
                <w:color w:val="auto"/>
                <w:highlight w:val="none"/>
              </w:rPr>
            </w:pPr>
          </w:p>
          <w:p w14:paraId="07A1B4B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AA7B904">
            <w:pPr>
              <w:pStyle w:val="25"/>
              <w:spacing w:line="262" w:lineRule="auto"/>
              <w:rPr>
                <w:rFonts w:hint="eastAsia" w:ascii="宋体" w:hAnsi="宋体" w:eastAsia="宋体" w:cs="宋体"/>
                <w:color w:val="auto"/>
                <w:highlight w:val="none"/>
              </w:rPr>
            </w:pPr>
          </w:p>
          <w:p w14:paraId="60B86E07">
            <w:pPr>
              <w:pStyle w:val="25"/>
              <w:spacing w:line="262" w:lineRule="auto"/>
              <w:rPr>
                <w:rFonts w:hint="eastAsia" w:ascii="宋体" w:hAnsi="宋体" w:eastAsia="宋体" w:cs="宋体"/>
                <w:color w:val="auto"/>
                <w:highlight w:val="none"/>
              </w:rPr>
            </w:pPr>
          </w:p>
          <w:p w14:paraId="069EBF28">
            <w:pPr>
              <w:pStyle w:val="25"/>
              <w:spacing w:line="262" w:lineRule="auto"/>
              <w:rPr>
                <w:rFonts w:hint="eastAsia" w:ascii="宋体" w:hAnsi="宋体" w:eastAsia="宋体" w:cs="宋体"/>
                <w:color w:val="auto"/>
                <w:highlight w:val="none"/>
              </w:rPr>
            </w:pPr>
          </w:p>
          <w:p w14:paraId="6B21D267">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744C282">
            <w:pPr>
              <w:pStyle w:val="25"/>
              <w:rPr>
                <w:rFonts w:hint="eastAsia" w:ascii="宋体" w:hAnsi="宋体" w:eastAsia="宋体" w:cs="宋体"/>
                <w:color w:val="auto"/>
                <w:highlight w:val="none"/>
              </w:rPr>
            </w:pPr>
          </w:p>
        </w:tc>
      </w:tr>
      <w:tr w14:paraId="7A72A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3409FFD">
            <w:pPr>
              <w:spacing w:before="131"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（二）文物保护建筑、优秀历史建筑或历史文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化风貌区影响范围内的拆除工程。</w:t>
            </w:r>
          </w:p>
        </w:tc>
        <w:tc>
          <w:tcPr>
            <w:tcW w:w="1294" w:type="dxa"/>
            <w:vAlign w:val="top"/>
          </w:tcPr>
          <w:p w14:paraId="4FDC9077">
            <w:pPr>
              <w:pStyle w:val="25"/>
              <w:spacing w:line="297" w:lineRule="auto"/>
              <w:rPr>
                <w:rFonts w:hint="eastAsia" w:ascii="宋体" w:hAnsi="宋体" w:eastAsia="宋体" w:cs="宋体"/>
                <w:color w:val="auto"/>
                <w:highlight w:val="none"/>
              </w:rPr>
            </w:pPr>
          </w:p>
          <w:p w14:paraId="557EC15C">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B5B90DE">
            <w:pPr>
              <w:pStyle w:val="25"/>
              <w:spacing w:line="297" w:lineRule="auto"/>
              <w:rPr>
                <w:rFonts w:hint="eastAsia" w:ascii="宋体" w:hAnsi="宋体" w:eastAsia="宋体" w:cs="宋体"/>
                <w:color w:val="auto"/>
                <w:highlight w:val="none"/>
              </w:rPr>
            </w:pPr>
          </w:p>
          <w:p w14:paraId="4F686E90">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62BBBA6">
            <w:pPr>
              <w:pStyle w:val="25"/>
              <w:rPr>
                <w:rFonts w:hint="eastAsia" w:ascii="宋体" w:hAnsi="宋体" w:eastAsia="宋体" w:cs="宋体"/>
                <w:color w:val="auto"/>
                <w:highlight w:val="none"/>
              </w:rPr>
            </w:pPr>
          </w:p>
        </w:tc>
      </w:tr>
      <w:tr w14:paraId="13DCE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48FBF8E">
            <w:pPr>
              <w:spacing w:before="131" w:line="221" w:lineRule="auto"/>
              <w:ind w:left="11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六、暗挖工程</w:t>
            </w:r>
          </w:p>
        </w:tc>
        <w:tc>
          <w:tcPr>
            <w:tcW w:w="1294" w:type="dxa"/>
            <w:vAlign w:val="top"/>
          </w:tcPr>
          <w:p w14:paraId="655538CD">
            <w:pPr>
              <w:spacing w:before="14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EC7D9AB">
            <w:pPr>
              <w:spacing w:before="14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A7A96A4">
            <w:pPr>
              <w:pStyle w:val="25"/>
              <w:rPr>
                <w:rFonts w:hint="eastAsia" w:ascii="宋体" w:hAnsi="宋体" w:eastAsia="宋体" w:cs="宋体"/>
                <w:color w:val="auto"/>
                <w:highlight w:val="none"/>
              </w:rPr>
            </w:pPr>
          </w:p>
        </w:tc>
      </w:tr>
      <w:tr w14:paraId="3C44D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AE3583D">
            <w:pPr>
              <w:spacing w:before="131" w:line="327" w:lineRule="auto"/>
              <w:ind w:left="119" w:right="168" w:hanging="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采用矿山法、盾构法、顶管法施工的隧道、洞</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4"/>
                <w:sz w:val="24"/>
                <w:szCs w:val="24"/>
                <w:highlight w:val="none"/>
              </w:rPr>
              <w:t>室工程。</w:t>
            </w:r>
          </w:p>
        </w:tc>
        <w:tc>
          <w:tcPr>
            <w:tcW w:w="1294" w:type="dxa"/>
            <w:vAlign w:val="top"/>
          </w:tcPr>
          <w:p w14:paraId="0D94965A">
            <w:pPr>
              <w:pStyle w:val="25"/>
              <w:spacing w:line="298" w:lineRule="auto"/>
              <w:rPr>
                <w:rFonts w:hint="eastAsia" w:ascii="宋体" w:hAnsi="宋体" w:eastAsia="宋体" w:cs="宋体"/>
                <w:color w:val="auto"/>
                <w:highlight w:val="none"/>
              </w:rPr>
            </w:pPr>
          </w:p>
          <w:p w14:paraId="107BA7A6">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9BE5B49">
            <w:pPr>
              <w:pStyle w:val="25"/>
              <w:spacing w:line="298" w:lineRule="auto"/>
              <w:rPr>
                <w:rFonts w:hint="eastAsia" w:ascii="宋体" w:hAnsi="宋体" w:eastAsia="宋体" w:cs="宋体"/>
                <w:color w:val="auto"/>
                <w:highlight w:val="none"/>
              </w:rPr>
            </w:pPr>
          </w:p>
          <w:p w14:paraId="5C719A3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FC8E31C">
            <w:pPr>
              <w:pStyle w:val="25"/>
              <w:rPr>
                <w:rFonts w:hint="eastAsia" w:ascii="宋体" w:hAnsi="宋体" w:eastAsia="宋体" w:cs="宋体"/>
                <w:color w:val="auto"/>
                <w:highlight w:val="none"/>
              </w:rPr>
            </w:pPr>
          </w:p>
        </w:tc>
      </w:tr>
      <w:tr w14:paraId="532C0E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1EE62D7">
            <w:pPr>
              <w:spacing w:before="130" w:line="222" w:lineRule="auto"/>
              <w:ind w:left="11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七、</w:t>
            </w:r>
            <w:r>
              <w:rPr>
                <w:rFonts w:hint="eastAsia" w:ascii="宋体" w:hAnsi="宋体" w:eastAsia="宋体" w:cs="宋体"/>
                <w:color w:val="auto"/>
                <w:spacing w:val="-3"/>
                <w:sz w:val="24"/>
                <w:szCs w:val="24"/>
                <w:highlight w:val="none"/>
                <w:lang w:eastAsia="zh-CN"/>
              </w:rPr>
              <w:t>其他</w:t>
            </w:r>
          </w:p>
        </w:tc>
        <w:tc>
          <w:tcPr>
            <w:tcW w:w="1294" w:type="dxa"/>
            <w:vAlign w:val="top"/>
          </w:tcPr>
          <w:p w14:paraId="0EBCA3B5">
            <w:pPr>
              <w:spacing w:before="13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E4A9485">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1FFA8E9">
            <w:pPr>
              <w:pStyle w:val="25"/>
              <w:rPr>
                <w:rFonts w:hint="eastAsia" w:ascii="宋体" w:hAnsi="宋体" w:eastAsia="宋体" w:cs="宋体"/>
                <w:color w:val="auto"/>
                <w:highlight w:val="none"/>
              </w:rPr>
            </w:pPr>
          </w:p>
        </w:tc>
      </w:tr>
      <w:tr w14:paraId="2CEB3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1320CB1">
            <w:pPr>
              <w:spacing w:before="130" w:line="327"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（一）施工高度</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50m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及以上的建筑幕墙安装工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5"/>
                <w:sz w:val="24"/>
                <w:szCs w:val="24"/>
                <w:highlight w:val="none"/>
              </w:rPr>
              <w:t>程。</w:t>
            </w:r>
          </w:p>
        </w:tc>
        <w:tc>
          <w:tcPr>
            <w:tcW w:w="1294" w:type="dxa"/>
            <w:vAlign w:val="top"/>
          </w:tcPr>
          <w:p w14:paraId="6875389F">
            <w:pPr>
              <w:pStyle w:val="25"/>
              <w:spacing w:line="297" w:lineRule="auto"/>
              <w:rPr>
                <w:rFonts w:hint="eastAsia" w:ascii="宋体" w:hAnsi="宋体" w:eastAsia="宋体" w:cs="宋体"/>
                <w:color w:val="auto"/>
                <w:highlight w:val="none"/>
              </w:rPr>
            </w:pPr>
          </w:p>
          <w:p w14:paraId="6D662840">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7AE4538">
            <w:pPr>
              <w:pStyle w:val="25"/>
              <w:spacing w:line="297" w:lineRule="auto"/>
              <w:rPr>
                <w:rFonts w:hint="eastAsia" w:ascii="宋体" w:hAnsi="宋体" w:eastAsia="宋体" w:cs="宋体"/>
                <w:color w:val="auto"/>
                <w:highlight w:val="none"/>
              </w:rPr>
            </w:pPr>
          </w:p>
          <w:p w14:paraId="42F57BE7">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D9A8755">
            <w:pPr>
              <w:pStyle w:val="25"/>
              <w:rPr>
                <w:rFonts w:hint="eastAsia" w:ascii="宋体" w:hAnsi="宋体" w:eastAsia="宋体" w:cs="宋体"/>
                <w:color w:val="auto"/>
                <w:highlight w:val="none"/>
              </w:rPr>
            </w:pPr>
          </w:p>
        </w:tc>
      </w:tr>
      <w:tr w14:paraId="6CB92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D73F987">
            <w:pPr>
              <w:spacing w:before="130" w:line="221"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（二）跨度</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36m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及以上的钢结构安装工程，或</w:t>
            </w:r>
          </w:p>
        </w:tc>
        <w:tc>
          <w:tcPr>
            <w:tcW w:w="1294" w:type="dxa"/>
            <w:vAlign w:val="top"/>
          </w:tcPr>
          <w:p w14:paraId="58CC489C">
            <w:pPr>
              <w:spacing w:before="13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B6EC6D0">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0D5DCE7">
            <w:pPr>
              <w:pStyle w:val="25"/>
              <w:rPr>
                <w:rFonts w:hint="eastAsia" w:ascii="宋体" w:hAnsi="宋体" w:eastAsia="宋体" w:cs="宋体"/>
                <w:color w:val="auto"/>
                <w:highlight w:val="none"/>
              </w:rPr>
            </w:pPr>
          </w:p>
        </w:tc>
      </w:tr>
      <w:tr w14:paraId="48386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A2E1211">
            <w:pPr>
              <w:spacing w:before="131" w:line="221" w:lineRule="auto"/>
              <w:ind w:left="116"/>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跨度</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60m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及以上的网架和索膜结构安装工程。</w:t>
            </w:r>
          </w:p>
        </w:tc>
        <w:tc>
          <w:tcPr>
            <w:tcW w:w="1294" w:type="dxa"/>
            <w:vAlign w:val="top"/>
          </w:tcPr>
          <w:p w14:paraId="605F2EF6">
            <w:pPr>
              <w:pStyle w:val="25"/>
              <w:rPr>
                <w:rFonts w:hint="eastAsia" w:ascii="宋体" w:hAnsi="宋体" w:eastAsia="宋体" w:cs="宋体"/>
                <w:color w:val="auto"/>
                <w:highlight w:val="none"/>
              </w:rPr>
            </w:pPr>
          </w:p>
        </w:tc>
        <w:tc>
          <w:tcPr>
            <w:tcW w:w="1294" w:type="dxa"/>
            <w:vAlign w:val="top"/>
          </w:tcPr>
          <w:p w14:paraId="5D1675CC">
            <w:pPr>
              <w:pStyle w:val="25"/>
              <w:rPr>
                <w:rFonts w:hint="eastAsia" w:ascii="宋体" w:hAnsi="宋体" w:eastAsia="宋体" w:cs="宋体"/>
                <w:color w:val="auto"/>
                <w:highlight w:val="none"/>
              </w:rPr>
            </w:pPr>
          </w:p>
        </w:tc>
        <w:tc>
          <w:tcPr>
            <w:tcW w:w="2428" w:type="dxa"/>
            <w:vAlign w:val="top"/>
          </w:tcPr>
          <w:p w14:paraId="0D243CC5">
            <w:pPr>
              <w:pStyle w:val="25"/>
              <w:rPr>
                <w:rFonts w:hint="eastAsia" w:ascii="宋体" w:hAnsi="宋体" w:eastAsia="宋体" w:cs="宋体"/>
                <w:color w:val="auto"/>
                <w:highlight w:val="none"/>
              </w:rPr>
            </w:pPr>
          </w:p>
        </w:tc>
      </w:tr>
      <w:tr w14:paraId="76966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3A897C1">
            <w:pPr>
              <w:spacing w:before="127" w:line="220"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（三）开挖深度</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7"/>
                <w:sz w:val="24"/>
                <w:szCs w:val="24"/>
                <w:highlight w:val="none"/>
              </w:rPr>
              <w:t>16m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7"/>
                <w:sz w:val="24"/>
                <w:szCs w:val="24"/>
                <w:highlight w:val="none"/>
              </w:rPr>
              <w:t>及以上的人工挖孔桩工程。</w:t>
            </w:r>
          </w:p>
        </w:tc>
        <w:tc>
          <w:tcPr>
            <w:tcW w:w="1294" w:type="dxa"/>
            <w:vAlign w:val="top"/>
          </w:tcPr>
          <w:p w14:paraId="1DFBD658">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A4710CA">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8555BA1">
            <w:pPr>
              <w:pStyle w:val="25"/>
              <w:rPr>
                <w:rFonts w:hint="eastAsia" w:ascii="宋体" w:hAnsi="宋体" w:eastAsia="宋体" w:cs="宋体"/>
                <w:color w:val="auto"/>
                <w:highlight w:val="none"/>
              </w:rPr>
            </w:pPr>
          </w:p>
        </w:tc>
      </w:tr>
      <w:tr w14:paraId="2B8E7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F49CBC9">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（四）水下作业工程。</w:t>
            </w:r>
          </w:p>
        </w:tc>
        <w:tc>
          <w:tcPr>
            <w:tcW w:w="1294" w:type="dxa"/>
            <w:vAlign w:val="top"/>
          </w:tcPr>
          <w:p w14:paraId="23AC72B5">
            <w:pPr>
              <w:spacing w:before="163"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9BDB79A">
            <w:pPr>
              <w:spacing w:before="163"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25C0773">
            <w:pPr>
              <w:pStyle w:val="25"/>
              <w:rPr>
                <w:rFonts w:hint="eastAsia" w:ascii="宋体" w:hAnsi="宋体" w:eastAsia="宋体" w:cs="宋体"/>
                <w:color w:val="auto"/>
                <w:highlight w:val="none"/>
              </w:rPr>
            </w:pPr>
          </w:p>
        </w:tc>
      </w:tr>
      <w:tr w14:paraId="71E56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1065D67">
            <w:pPr>
              <w:spacing w:before="130" w:line="327" w:lineRule="auto"/>
              <w:ind w:left="115" w:right="25" w:firstLine="12"/>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（五）重量</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8"/>
                <w:sz w:val="24"/>
                <w:szCs w:val="24"/>
                <w:highlight w:val="none"/>
              </w:rPr>
              <w:t>1000kN及以上的大型结构整体顶升、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平移、转体等施工工艺。</w:t>
            </w:r>
          </w:p>
        </w:tc>
        <w:tc>
          <w:tcPr>
            <w:tcW w:w="1294" w:type="dxa"/>
            <w:vAlign w:val="top"/>
          </w:tcPr>
          <w:p w14:paraId="2C9AAB19">
            <w:pPr>
              <w:pStyle w:val="25"/>
              <w:spacing w:line="296" w:lineRule="auto"/>
              <w:rPr>
                <w:rFonts w:hint="eastAsia" w:ascii="宋体" w:hAnsi="宋体" w:eastAsia="宋体" w:cs="宋体"/>
                <w:color w:val="auto"/>
                <w:highlight w:val="none"/>
              </w:rPr>
            </w:pPr>
          </w:p>
          <w:p w14:paraId="4876A57F">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76200BC">
            <w:pPr>
              <w:pStyle w:val="25"/>
              <w:spacing w:line="296" w:lineRule="auto"/>
              <w:rPr>
                <w:rFonts w:hint="eastAsia" w:ascii="宋体" w:hAnsi="宋体" w:eastAsia="宋体" w:cs="宋体"/>
                <w:color w:val="auto"/>
                <w:highlight w:val="none"/>
              </w:rPr>
            </w:pPr>
          </w:p>
          <w:p w14:paraId="7AB7C83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E4D7469">
            <w:pPr>
              <w:pStyle w:val="25"/>
              <w:rPr>
                <w:rFonts w:hint="eastAsia" w:ascii="宋体" w:hAnsi="宋体" w:eastAsia="宋体" w:cs="宋体"/>
                <w:color w:val="auto"/>
                <w:highlight w:val="none"/>
              </w:rPr>
            </w:pPr>
          </w:p>
        </w:tc>
      </w:tr>
      <w:tr w14:paraId="6ACD1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AABE9E">
            <w:pPr>
              <w:spacing w:before="129" w:line="346" w:lineRule="auto"/>
              <w:ind w:left="117" w:right="168" w:firstLine="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（六）采用新技术、新工艺、新材料、新设备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可能影响工程施工安全，尚无国家、行业及地</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1"/>
                <w:sz w:val="24"/>
                <w:szCs w:val="24"/>
                <w:highlight w:val="none"/>
              </w:rPr>
              <w:t>方技术标准的分部分项工程。</w:t>
            </w:r>
          </w:p>
        </w:tc>
        <w:tc>
          <w:tcPr>
            <w:tcW w:w="1294" w:type="dxa"/>
            <w:vAlign w:val="top"/>
          </w:tcPr>
          <w:p w14:paraId="2B72A05D">
            <w:pPr>
              <w:pStyle w:val="25"/>
              <w:spacing w:line="272" w:lineRule="auto"/>
              <w:rPr>
                <w:rFonts w:hint="eastAsia" w:ascii="宋体" w:hAnsi="宋体" w:eastAsia="宋体" w:cs="宋体"/>
                <w:color w:val="auto"/>
                <w:highlight w:val="none"/>
              </w:rPr>
            </w:pPr>
          </w:p>
          <w:p w14:paraId="5116E607">
            <w:pPr>
              <w:pStyle w:val="25"/>
              <w:spacing w:line="272" w:lineRule="auto"/>
              <w:rPr>
                <w:rFonts w:hint="eastAsia" w:ascii="宋体" w:hAnsi="宋体" w:eastAsia="宋体" w:cs="宋体"/>
                <w:color w:val="auto"/>
                <w:highlight w:val="none"/>
              </w:rPr>
            </w:pPr>
          </w:p>
          <w:p w14:paraId="1D92D5C4">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13E1CBC">
            <w:pPr>
              <w:pStyle w:val="25"/>
              <w:spacing w:line="272" w:lineRule="auto"/>
              <w:rPr>
                <w:rFonts w:hint="eastAsia" w:ascii="宋体" w:hAnsi="宋体" w:eastAsia="宋体" w:cs="宋体"/>
                <w:color w:val="auto"/>
                <w:highlight w:val="none"/>
              </w:rPr>
            </w:pPr>
          </w:p>
          <w:p w14:paraId="6170A90B">
            <w:pPr>
              <w:pStyle w:val="25"/>
              <w:spacing w:line="272" w:lineRule="auto"/>
              <w:rPr>
                <w:rFonts w:hint="eastAsia" w:ascii="宋体" w:hAnsi="宋体" w:eastAsia="宋体" w:cs="宋体"/>
                <w:color w:val="auto"/>
                <w:highlight w:val="none"/>
              </w:rPr>
            </w:pPr>
          </w:p>
          <w:p w14:paraId="154F4BC5">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DE1D241">
            <w:pPr>
              <w:pStyle w:val="25"/>
              <w:rPr>
                <w:rFonts w:hint="eastAsia" w:ascii="宋体" w:hAnsi="宋体" w:eastAsia="宋体" w:cs="宋体"/>
                <w:color w:val="auto"/>
                <w:highlight w:val="none"/>
              </w:rPr>
            </w:pPr>
          </w:p>
        </w:tc>
      </w:tr>
    </w:tbl>
    <w:p w14:paraId="6E4A0502">
      <w:pPr>
        <w:pStyle w:val="6"/>
        <w:spacing w:line="288" w:lineRule="auto"/>
        <w:rPr>
          <w:rFonts w:hint="eastAsia" w:ascii="宋体" w:hAnsi="宋体" w:eastAsia="宋体" w:cs="宋体"/>
          <w:color w:val="auto"/>
          <w:highlight w:val="none"/>
        </w:rPr>
      </w:pPr>
    </w:p>
    <w:p w14:paraId="75FD8B74">
      <w:pPr>
        <w:pStyle w:val="6"/>
        <w:spacing w:line="288" w:lineRule="auto"/>
        <w:rPr>
          <w:rFonts w:hint="eastAsia" w:ascii="宋体" w:hAnsi="宋体" w:eastAsia="宋体" w:cs="宋体"/>
          <w:color w:val="auto"/>
          <w:highlight w:val="none"/>
        </w:rPr>
      </w:pPr>
    </w:p>
    <w:p w14:paraId="3445358B">
      <w:pPr>
        <w:spacing w:before="21" w:line="376" w:lineRule="exact"/>
        <w:ind w:firstLine="520" w:firstLineChars="200"/>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10"/>
          <w:sz w:val="24"/>
          <w:szCs w:val="24"/>
          <w:highlight w:val="none"/>
        </w:rPr>
        <w:t>备注：1.根据《危险性较大的分部分项工程安全管理</w:t>
      </w:r>
      <w:r>
        <w:rPr>
          <w:rFonts w:hint="eastAsia" w:ascii="宋体" w:hAnsi="宋体" w:eastAsia="宋体" w:cs="宋体"/>
          <w:color w:val="auto"/>
          <w:spacing w:val="9"/>
          <w:sz w:val="24"/>
          <w:szCs w:val="24"/>
          <w:highlight w:val="none"/>
        </w:rPr>
        <w:t>规定》，该《危险性较大的分部分项工程清单及超</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9"/>
          <w:sz w:val="24"/>
          <w:szCs w:val="24"/>
          <w:highlight w:val="none"/>
        </w:rPr>
        <w:t>过一定规模的危险性较大的分部分项工程清单》</w:t>
      </w:r>
      <w:r>
        <w:rPr>
          <w:rFonts w:hint="eastAsia" w:ascii="宋体" w:hAnsi="宋体" w:eastAsia="宋体" w:cs="宋体"/>
          <w:color w:val="auto"/>
          <w:spacing w:val="9"/>
          <w:sz w:val="24"/>
          <w:szCs w:val="24"/>
          <w:highlight w:val="none"/>
          <w:lang w:eastAsia="zh-CN"/>
        </w:rPr>
        <w:t>应由建设单位组织勘察、设计等单位在招标文件中“勾选（对应项打‘√’标识”危险性较大的分部分项工程。</w:t>
      </w:r>
    </w:p>
    <w:p w14:paraId="21F57ACA">
      <w:pPr>
        <w:spacing w:before="21" w:line="376" w:lineRule="exact"/>
        <w:ind w:firstLine="51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2.该《危险性较大的分部分项工程清单及超过一定规模的危险性较</w:t>
      </w:r>
      <w:r>
        <w:rPr>
          <w:rFonts w:hint="eastAsia" w:ascii="宋体" w:hAnsi="宋体" w:eastAsia="宋体" w:cs="宋体"/>
          <w:color w:val="auto"/>
          <w:spacing w:val="7"/>
          <w:sz w:val="24"/>
          <w:szCs w:val="24"/>
          <w:highlight w:val="none"/>
        </w:rPr>
        <w:t>大的分部分项工程清单》在办理</w:t>
      </w:r>
      <w:r>
        <w:rPr>
          <w:rFonts w:hint="eastAsia" w:ascii="宋体" w:hAnsi="宋体" w:eastAsia="宋体" w:cs="宋体"/>
          <w:color w:val="auto"/>
          <w:spacing w:val="10"/>
          <w:sz w:val="24"/>
          <w:szCs w:val="24"/>
          <w:highlight w:val="none"/>
        </w:rPr>
        <w:t>建设项目施工许可时必须提供，且各地建设行政主管部门可按照《广东省建设工</w:t>
      </w:r>
      <w:r>
        <w:rPr>
          <w:rFonts w:hint="eastAsia" w:ascii="宋体" w:hAnsi="宋体" w:eastAsia="宋体" w:cs="宋体"/>
          <w:color w:val="auto"/>
          <w:spacing w:val="9"/>
          <w:sz w:val="24"/>
          <w:szCs w:val="24"/>
          <w:highlight w:val="none"/>
        </w:rPr>
        <w:t>程项目招标中标后监督</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检查办法》相关规定开展检查。</w:t>
      </w:r>
    </w:p>
    <w:p w14:paraId="7A1DC17D">
      <w:pPr>
        <w:spacing w:before="28" w:line="228" w:lineRule="auto"/>
        <w:ind w:left="553" w:leftChars="244" w:hanging="41" w:hangingChars="16"/>
        <w:rPr>
          <w:rFonts w:hint="eastAsia" w:ascii="宋体" w:hAnsi="宋体" w:eastAsia="宋体" w:cs="宋体"/>
          <w:color w:val="auto"/>
          <w:spacing w:val="8"/>
          <w:sz w:val="24"/>
          <w:szCs w:val="24"/>
          <w:highlight w:val="none"/>
          <w:lang w:eastAsia="zh-CN"/>
        </w:rPr>
      </w:pPr>
      <w:r>
        <w:rPr>
          <w:rFonts w:hint="eastAsia" w:ascii="宋体" w:hAnsi="宋体" w:eastAsia="宋体" w:cs="宋体"/>
          <w:color w:val="auto"/>
          <w:spacing w:val="9"/>
          <w:sz w:val="24"/>
          <w:szCs w:val="24"/>
          <w:highlight w:val="none"/>
        </w:rPr>
        <w:t>3.如果需要（如需要通过计算编制专项方案，或者需要专家论证</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9"/>
          <w:sz w:val="24"/>
          <w:szCs w:val="24"/>
          <w:highlight w:val="none"/>
        </w:rPr>
        <w:t>可中</w:t>
      </w:r>
      <w:r>
        <w:rPr>
          <w:rFonts w:hint="eastAsia" w:ascii="宋体" w:hAnsi="宋体" w:eastAsia="宋体" w:cs="宋体"/>
          <w:color w:val="auto"/>
          <w:spacing w:val="8"/>
          <w:sz w:val="24"/>
          <w:szCs w:val="24"/>
          <w:highlight w:val="none"/>
        </w:rPr>
        <w:t>标后提供</w:t>
      </w:r>
      <w:r>
        <w:rPr>
          <w:rFonts w:hint="eastAsia" w:ascii="宋体" w:hAnsi="宋体" w:eastAsia="宋体" w:cs="宋体"/>
          <w:color w:val="auto"/>
          <w:spacing w:val="8"/>
          <w:sz w:val="24"/>
          <w:szCs w:val="24"/>
          <w:highlight w:val="none"/>
          <w:lang w:eastAsia="zh-CN"/>
        </w:rPr>
        <w:t>详细版。</w:t>
      </w:r>
    </w:p>
    <w:p w14:paraId="07D02C66">
      <w:pPr>
        <w:rPr>
          <w:color w:val="auto"/>
          <w:highlight w:val="none"/>
        </w:rPr>
      </w:pPr>
    </w:p>
    <w:p w14:paraId="086DFF7E">
      <w:pPr>
        <w:pStyle w:val="15"/>
        <w:rPr>
          <w:rFonts w:hint="eastAsia" w:ascii="宋体" w:hAnsi="宋体" w:eastAsia="宋体" w:cs="宋体"/>
          <w:b/>
          <w:bCs/>
          <w:color w:val="auto"/>
          <w:spacing w:val="-4"/>
          <w:sz w:val="24"/>
          <w:szCs w:val="24"/>
          <w:highlight w:val="none"/>
        </w:rPr>
      </w:pPr>
    </w:p>
    <w:p w14:paraId="4D9F0099">
      <w:pPr>
        <w:pStyle w:val="15"/>
        <w:rPr>
          <w:rFonts w:hint="eastAsia" w:ascii="宋体" w:hAnsi="宋体" w:eastAsia="宋体" w:cs="宋体"/>
          <w:b/>
          <w:bCs/>
          <w:color w:val="auto"/>
          <w:spacing w:val="-4"/>
          <w:sz w:val="24"/>
          <w:szCs w:val="24"/>
          <w:highlight w:val="none"/>
        </w:rPr>
      </w:pPr>
    </w:p>
    <w:p w14:paraId="1872DDAC">
      <w:pPr>
        <w:pStyle w:val="15"/>
        <w:rPr>
          <w:rFonts w:hint="eastAsia" w:ascii="宋体" w:hAnsi="宋体" w:eastAsia="宋体" w:cs="宋体"/>
          <w:b/>
          <w:bCs/>
          <w:color w:val="auto"/>
          <w:spacing w:val="-4"/>
          <w:sz w:val="24"/>
          <w:szCs w:val="24"/>
          <w:highlight w:val="none"/>
        </w:rPr>
      </w:pPr>
    </w:p>
    <w:p w14:paraId="102A38AF">
      <w:pPr>
        <w:pStyle w:val="15"/>
        <w:rPr>
          <w:rFonts w:hint="eastAsia" w:ascii="宋体" w:hAnsi="宋体" w:eastAsia="宋体" w:cs="宋体"/>
          <w:b/>
          <w:bCs/>
          <w:color w:val="auto"/>
          <w:spacing w:val="-4"/>
          <w:sz w:val="24"/>
          <w:szCs w:val="24"/>
          <w:highlight w:val="none"/>
        </w:rPr>
      </w:pPr>
    </w:p>
    <w:p w14:paraId="2E1BA95E">
      <w:pPr>
        <w:pStyle w:val="15"/>
        <w:rPr>
          <w:rFonts w:hint="eastAsia" w:ascii="宋体" w:hAnsi="宋体" w:eastAsia="宋体" w:cs="宋体"/>
          <w:b/>
          <w:bCs/>
          <w:color w:val="auto"/>
          <w:spacing w:val="-4"/>
          <w:sz w:val="24"/>
          <w:szCs w:val="24"/>
          <w:highlight w:val="none"/>
        </w:rPr>
      </w:pPr>
    </w:p>
    <w:p w14:paraId="738EC21D">
      <w:pPr>
        <w:pStyle w:val="15"/>
        <w:ind w:left="0" w:leftChars="0" w:firstLine="0" w:firstLineChars="0"/>
        <w:rPr>
          <w:rFonts w:hint="eastAsia" w:ascii="宋体" w:hAnsi="宋体" w:eastAsia="宋体" w:cs="宋体"/>
          <w:b/>
          <w:bCs/>
          <w:color w:val="auto"/>
          <w:spacing w:val="-4"/>
          <w:sz w:val="24"/>
          <w:szCs w:val="24"/>
          <w:highlight w:val="none"/>
        </w:rPr>
      </w:pPr>
    </w:p>
    <w:p w14:paraId="5A49A582">
      <w:pPr>
        <w:spacing w:before="78" w:line="220" w:lineRule="auto"/>
        <w:jc w:val="left"/>
        <w:outlineLvl w:val="9"/>
        <w:rPr>
          <w:rFonts w:hint="eastAsia" w:ascii="宋体" w:hAnsi="宋体" w:eastAsia="宋体" w:cs="宋体"/>
          <w:b/>
          <w:bCs/>
          <w:color w:val="auto"/>
          <w:spacing w:val="-4"/>
          <w:sz w:val="24"/>
          <w:szCs w:val="24"/>
          <w:highlight w:val="none"/>
        </w:rPr>
      </w:pPr>
    </w:p>
    <w:p w14:paraId="6BEB6D14">
      <w:pPr>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br w:type="page"/>
      </w:r>
    </w:p>
    <w:p w14:paraId="246AA64C">
      <w:pPr>
        <w:spacing w:before="78" w:line="220" w:lineRule="auto"/>
        <w:jc w:val="both"/>
        <w:outlineLvl w:val="2"/>
        <w:rPr>
          <w:rFonts w:hint="default" w:ascii="宋体" w:hAnsi="宋体" w:eastAsia="宋体" w:cs="宋体"/>
          <w:b/>
          <w:bCs/>
          <w:color w:val="auto"/>
          <w:spacing w:val="-4"/>
          <w:sz w:val="24"/>
          <w:szCs w:val="24"/>
          <w:highlight w:val="none"/>
          <w:lang w:val="en-US" w:eastAsia="zh-CN"/>
        </w:rPr>
      </w:pPr>
      <w:bookmarkStart w:id="268" w:name="_Toc13171"/>
      <w:r>
        <w:rPr>
          <w:rFonts w:hint="eastAsia" w:ascii="宋体" w:hAnsi="宋体" w:eastAsia="宋体" w:cs="宋体"/>
          <w:b/>
          <w:bCs/>
          <w:color w:val="auto"/>
          <w:spacing w:val="-4"/>
          <w:sz w:val="24"/>
          <w:szCs w:val="24"/>
          <w:highlight w:val="none"/>
        </w:rPr>
        <w:t>格式十四</w:t>
      </w:r>
      <w:r>
        <w:rPr>
          <w:rFonts w:hint="eastAsia" w:ascii="宋体" w:hAnsi="宋体" w:eastAsia="宋体" w:cs="宋体"/>
          <w:b/>
          <w:bCs/>
          <w:color w:val="auto"/>
          <w:spacing w:val="-4"/>
          <w:sz w:val="24"/>
          <w:szCs w:val="24"/>
          <w:highlight w:val="none"/>
          <w:lang w:val="en-US" w:eastAsia="zh-CN"/>
        </w:rPr>
        <w:t xml:space="preserve">  </w:t>
      </w:r>
      <w:r>
        <w:rPr>
          <w:rFonts w:hint="eastAsia" w:ascii="宋体" w:hAnsi="宋体" w:eastAsia="宋体" w:cs="宋体"/>
          <w:b/>
          <w:bCs/>
          <w:color w:val="auto"/>
          <w:spacing w:val="4"/>
          <w:position w:val="3"/>
          <w:sz w:val="21"/>
          <w:szCs w:val="21"/>
          <w:highlight w:val="none"/>
        </w:rPr>
        <w:t>投标保证金信用承诺函</w:t>
      </w:r>
      <w:bookmarkEnd w:id="268"/>
    </w:p>
    <w:p w14:paraId="4FA8B08B">
      <w:pPr>
        <w:spacing w:before="140" w:line="604" w:lineRule="exact"/>
        <w:jc w:val="center"/>
        <w:rPr>
          <w:rFonts w:hint="eastAsia" w:ascii="宋体" w:hAnsi="宋体" w:eastAsia="宋体" w:cs="宋体"/>
          <w:color w:val="auto"/>
          <w:sz w:val="28"/>
          <w:szCs w:val="28"/>
          <w:highlight w:val="none"/>
        </w:rPr>
      </w:pPr>
      <w:r>
        <w:rPr>
          <w:rFonts w:hint="eastAsia" w:ascii="宋体" w:hAnsi="宋体" w:eastAsia="宋体" w:cs="宋体"/>
          <w:b/>
          <w:bCs/>
          <w:color w:val="auto"/>
          <w:spacing w:val="4"/>
          <w:position w:val="3"/>
          <w:sz w:val="28"/>
          <w:szCs w:val="28"/>
          <w:highlight w:val="none"/>
        </w:rPr>
        <w:t>投标保证金信用承诺函</w:t>
      </w:r>
    </w:p>
    <w:p w14:paraId="551571E0">
      <w:pPr>
        <w:pStyle w:val="6"/>
        <w:spacing w:line="408" w:lineRule="auto"/>
        <w:rPr>
          <w:rFonts w:hint="eastAsia" w:ascii="宋体" w:hAnsi="宋体" w:eastAsia="宋体" w:cs="宋体"/>
          <w:color w:val="auto"/>
          <w:highlight w:val="none"/>
        </w:rPr>
      </w:pPr>
    </w:p>
    <w:p w14:paraId="234CE695">
      <w:pPr>
        <w:spacing w:before="101" w:line="257" w:lineRule="auto"/>
        <w:ind w:left="3" w:firstLine="965"/>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一、</w:t>
      </w:r>
      <w:r>
        <w:rPr>
          <w:rFonts w:hint="eastAsia" w:ascii="宋体" w:hAnsi="宋体" w:eastAsia="宋体" w:cs="宋体"/>
          <w:color w:val="auto"/>
          <w:spacing w:val="7"/>
          <w:sz w:val="24"/>
          <w:szCs w:val="24"/>
          <w:highlight w:val="none"/>
        </w:rPr>
        <w:t>我单位参加</w:t>
      </w:r>
      <w:r>
        <w:rPr>
          <w:rFonts w:hint="eastAsia" w:ascii="宋体" w:hAnsi="宋体" w:eastAsia="宋体" w:cs="宋体"/>
          <w:color w:val="auto"/>
          <w:spacing w:val="7"/>
          <w:sz w:val="24"/>
          <w:szCs w:val="24"/>
          <w:highlight w:val="none"/>
          <w:u w:val="single"/>
        </w:rPr>
        <w:t xml:space="preserve">  （工程项目名称）  </w:t>
      </w:r>
      <w:r>
        <w:rPr>
          <w:rFonts w:hint="eastAsia" w:ascii="宋体" w:hAnsi="宋体" w:eastAsia="宋体" w:cs="宋体"/>
          <w:color w:val="auto"/>
          <w:spacing w:val="-116"/>
          <w:sz w:val="24"/>
          <w:szCs w:val="24"/>
          <w:highlight w:val="none"/>
        </w:rPr>
        <w:t xml:space="preserve"> </w:t>
      </w:r>
      <w:r>
        <w:rPr>
          <w:rFonts w:hint="eastAsia" w:ascii="宋体" w:hAnsi="宋体" w:eastAsia="宋体" w:cs="宋体"/>
          <w:color w:val="auto"/>
          <w:spacing w:val="7"/>
          <w:sz w:val="24"/>
          <w:szCs w:val="24"/>
          <w:highlight w:val="none"/>
        </w:rPr>
        <w:t>的投标活动，</w:t>
      </w:r>
      <w:r>
        <w:rPr>
          <w:rFonts w:hint="eastAsia" w:ascii="宋体" w:hAnsi="宋体" w:eastAsia="宋体" w:cs="宋体"/>
          <w:color w:val="auto"/>
          <w:spacing w:val="6"/>
          <w:sz w:val="24"/>
          <w:szCs w:val="24"/>
          <w:highlight w:val="none"/>
        </w:rPr>
        <w:t>现承</w:t>
      </w:r>
      <w:r>
        <w:rPr>
          <w:rFonts w:hint="eastAsia" w:ascii="宋体" w:hAnsi="宋体" w:eastAsia="宋体" w:cs="宋体"/>
          <w:color w:val="auto"/>
          <w:spacing w:val="9"/>
          <w:sz w:val="24"/>
          <w:szCs w:val="24"/>
          <w:highlight w:val="none"/>
        </w:rPr>
        <w:t>诺：将严格按照法律法规规定参与交易活动，按照招标文件要求</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依法履行投标人义务；我方若出现违反《</w:t>
      </w:r>
      <w:r>
        <w:rPr>
          <w:rFonts w:hint="eastAsia" w:ascii="宋体" w:hAnsi="宋体" w:eastAsia="宋体" w:cs="宋体"/>
          <w:color w:val="auto"/>
          <w:spacing w:val="9"/>
          <w:sz w:val="24"/>
          <w:szCs w:val="24"/>
          <w:highlight w:val="none"/>
          <w:lang w:eastAsia="zh-CN"/>
        </w:rPr>
        <w:t>中华人民共和国招标投标法》《</w:t>
      </w:r>
      <w:r>
        <w:rPr>
          <w:rFonts w:hint="eastAsia" w:ascii="宋体" w:hAnsi="宋体" w:eastAsia="宋体" w:cs="宋体"/>
          <w:color w:val="auto"/>
          <w:spacing w:val="9"/>
          <w:sz w:val="24"/>
          <w:szCs w:val="24"/>
          <w:highlight w:val="none"/>
        </w:rPr>
        <w:t>中华人民共和国招标投标法实施条例</w:t>
      </w: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rPr>
        <w:t>电子招标</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投标办法》等有关法律法规的行为，将于投标有效期内全额付清</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7"/>
          <w:sz w:val="24"/>
          <w:szCs w:val="24"/>
          <w:highlight w:val="none"/>
        </w:rPr>
        <w:t>招标文件规定的投标保证金</w:t>
      </w:r>
      <w:r>
        <w:rPr>
          <w:rFonts w:hint="eastAsia" w:ascii="宋体" w:hAnsi="宋体" w:eastAsia="宋体" w:cs="宋体"/>
          <w:color w:val="auto"/>
          <w:spacing w:val="-153"/>
          <w:sz w:val="24"/>
          <w:szCs w:val="24"/>
          <w:highlight w:val="none"/>
        </w:rPr>
        <w:t xml:space="preserve"> </w:t>
      </w:r>
      <w:r>
        <w:rPr>
          <w:rFonts w:hint="eastAsia" w:ascii="宋体" w:hAnsi="宋体" w:eastAsia="宋体" w:cs="宋体"/>
          <w:color w:val="auto"/>
          <w:spacing w:val="5"/>
          <w:sz w:val="24"/>
          <w:szCs w:val="24"/>
          <w:highlight w:val="none"/>
          <w:u w:val="single"/>
        </w:rPr>
        <w:t xml:space="preserve">     </w:t>
      </w:r>
      <w:r>
        <w:rPr>
          <w:rFonts w:hint="eastAsia" w:ascii="宋体" w:hAnsi="宋体" w:eastAsia="宋体" w:cs="宋体"/>
          <w:color w:val="auto"/>
          <w:spacing w:val="-138"/>
          <w:sz w:val="24"/>
          <w:szCs w:val="24"/>
          <w:highlight w:val="none"/>
        </w:rPr>
        <w:t xml:space="preserve"> </w:t>
      </w:r>
      <w:r>
        <w:rPr>
          <w:rFonts w:hint="eastAsia" w:ascii="宋体" w:hAnsi="宋体" w:eastAsia="宋体" w:cs="宋体"/>
          <w:color w:val="auto"/>
          <w:spacing w:val="7"/>
          <w:sz w:val="24"/>
          <w:szCs w:val="24"/>
          <w:highlight w:val="none"/>
        </w:rPr>
        <w:t>元。</w:t>
      </w:r>
    </w:p>
    <w:p w14:paraId="67174F63">
      <w:pPr>
        <w:spacing w:before="48" w:line="252" w:lineRule="auto"/>
        <w:ind w:left="1" w:firstLine="647"/>
        <w:jc w:val="both"/>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二、至投标文件提交当天，本公司无严重不良信用记录或存在曾作出虚假承诺的情形，且不属于韶关市建筑市场信用管理平</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5"/>
          <w:sz w:val="24"/>
          <w:szCs w:val="24"/>
          <w:highlight w:val="none"/>
        </w:rPr>
        <w:t>台公布的信用等级为</w:t>
      </w:r>
      <w:r>
        <w:rPr>
          <w:rFonts w:hint="eastAsia" w:ascii="宋体" w:hAnsi="宋体" w:eastAsia="宋体" w:cs="宋体"/>
          <w:color w:val="auto"/>
          <w:spacing w:val="-62"/>
          <w:sz w:val="24"/>
          <w:szCs w:val="24"/>
          <w:highlight w:val="none"/>
        </w:rPr>
        <w:t xml:space="preserve"> </w:t>
      </w:r>
      <w:r>
        <w:rPr>
          <w:rFonts w:hint="eastAsia" w:ascii="宋体" w:hAnsi="宋体" w:eastAsia="宋体" w:cs="宋体"/>
          <w:color w:val="auto"/>
          <w:spacing w:val="5"/>
          <w:sz w:val="24"/>
          <w:szCs w:val="24"/>
          <w:highlight w:val="none"/>
        </w:rPr>
        <w:t>B</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级、C</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级、D</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级的企业。</w:t>
      </w:r>
    </w:p>
    <w:p w14:paraId="3EE8C656">
      <w:pPr>
        <w:spacing w:before="52" w:line="247" w:lineRule="auto"/>
        <w:ind w:left="6" w:right="2" w:firstLine="638"/>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本企业对以上承诺和声明负责。如有虚假，愿接受行政主管</w:t>
      </w:r>
      <w:r>
        <w:rPr>
          <w:rFonts w:hint="eastAsia" w:ascii="宋体" w:hAnsi="宋体" w:eastAsia="宋体" w:cs="宋体"/>
          <w:color w:val="auto"/>
          <w:spacing w:val="8"/>
          <w:sz w:val="24"/>
          <w:szCs w:val="24"/>
          <w:highlight w:val="none"/>
        </w:rPr>
        <w:t>部门作出的处罚，并承担以下后果：</w:t>
      </w:r>
    </w:p>
    <w:p w14:paraId="3B20EF63">
      <w:pPr>
        <w:spacing w:before="48"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（一）取消本单位在本项目中的投标资格或中标资格；</w:t>
      </w:r>
    </w:p>
    <w:p w14:paraId="01EB796C">
      <w:pPr>
        <w:spacing w:before="64"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（二）将本单位不良行为纳入信用信息管理系统；</w:t>
      </w:r>
    </w:p>
    <w:p w14:paraId="170D400C">
      <w:pPr>
        <w:spacing w:before="60" w:line="244" w:lineRule="auto"/>
        <w:ind w:left="41" w:right="2" w:firstLine="615"/>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（三）主动在产生不良行为所在的各县（市、区）行</w:t>
      </w:r>
      <w:r>
        <w:rPr>
          <w:rFonts w:hint="eastAsia" w:ascii="宋体" w:hAnsi="宋体" w:eastAsia="宋体" w:cs="宋体"/>
          <w:color w:val="auto"/>
          <w:spacing w:val="8"/>
          <w:sz w:val="24"/>
          <w:szCs w:val="24"/>
          <w:highlight w:val="none"/>
        </w:rPr>
        <w:t>政区域</w:t>
      </w:r>
      <w:r>
        <w:rPr>
          <w:rFonts w:hint="eastAsia" w:ascii="宋体" w:hAnsi="宋体" w:eastAsia="宋体" w:cs="宋体"/>
          <w:color w:val="auto"/>
          <w:spacing w:val="6"/>
          <w:sz w:val="24"/>
          <w:szCs w:val="24"/>
          <w:highlight w:val="none"/>
        </w:rPr>
        <w:t>内不参加房建市政工程项目的投标活动一年；</w:t>
      </w:r>
    </w:p>
    <w:p w14:paraId="095339FF">
      <w:pPr>
        <w:spacing w:before="63"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（四）</w:t>
      </w:r>
      <w:r>
        <w:rPr>
          <w:rFonts w:hint="eastAsia" w:ascii="宋体" w:hAnsi="宋体" w:eastAsia="宋体" w:cs="宋体"/>
          <w:color w:val="auto"/>
          <w:spacing w:val="7"/>
          <w:sz w:val="24"/>
          <w:szCs w:val="24"/>
          <w:highlight w:val="none"/>
          <w:lang w:eastAsia="zh-CN"/>
        </w:rPr>
        <w:t>应负</w:t>
      </w:r>
      <w:r>
        <w:rPr>
          <w:rFonts w:hint="eastAsia" w:ascii="宋体" w:hAnsi="宋体" w:eastAsia="宋体" w:cs="宋体"/>
          <w:color w:val="auto"/>
          <w:spacing w:val="7"/>
          <w:sz w:val="24"/>
          <w:szCs w:val="24"/>
          <w:highlight w:val="none"/>
        </w:rPr>
        <w:t>的赔偿责任和相应法律责任。</w:t>
      </w:r>
    </w:p>
    <w:p w14:paraId="324F4DDC">
      <w:pPr>
        <w:pStyle w:val="6"/>
        <w:spacing w:line="329" w:lineRule="auto"/>
        <w:rPr>
          <w:rFonts w:hint="eastAsia" w:ascii="宋体" w:hAnsi="宋体" w:eastAsia="宋体" w:cs="宋体"/>
          <w:color w:val="auto"/>
          <w:sz w:val="24"/>
          <w:szCs w:val="24"/>
          <w:highlight w:val="none"/>
        </w:rPr>
      </w:pPr>
    </w:p>
    <w:p w14:paraId="3A9404A8">
      <w:pPr>
        <w:spacing w:before="102" w:line="225" w:lineRule="auto"/>
        <w:ind w:left="845"/>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单位名称（公章</w:t>
      </w:r>
      <w:r>
        <w:rPr>
          <w:rFonts w:hint="eastAsia" w:ascii="宋体" w:hAnsi="宋体" w:eastAsia="宋体" w:cs="宋体"/>
          <w:color w:val="auto"/>
          <w:spacing w:val="1"/>
          <w:sz w:val="24"/>
          <w:szCs w:val="24"/>
          <w:highlight w:val="none"/>
        </w:rPr>
        <w:t>）：</w:t>
      </w:r>
    </w:p>
    <w:p w14:paraId="68F0A46E">
      <w:pPr>
        <w:pStyle w:val="6"/>
        <w:spacing w:line="457" w:lineRule="auto"/>
        <w:rPr>
          <w:rFonts w:hint="eastAsia" w:ascii="宋体" w:hAnsi="宋体" w:eastAsia="宋体" w:cs="宋体"/>
          <w:color w:val="auto"/>
          <w:sz w:val="24"/>
          <w:szCs w:val="24"/>
          <w:highlight w:val="none"/>
        </w:rPr>
      </w:pPr>
    </w:p>
    <w:p w14:paraId="1043625C">
      <w:pPr>
        <w:spacing w:before="100" w:line="225" w:lineRule="auto"/>
        <w:ind w:left="85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统一社会信用代码：</w:t>
      </w:r>
    </w:p>
    <w:p w14:paraId="2556479A">
      <w:pPr>
        <w:pStyle w:val="6"/>
        <w:spacing w:line="457" w:lineRule="auto"/>
        <w:rPr>
          <w:rFonts w:hint="eastAsia" w:ascii="宋体" w:hAnsi="宋体" w:eastAsia="宋体" w:cs="宋体"/>
          <w:color w:val="auto"/>
          <w:sz w:val="24"/>
          <w:szCs w:val="24"/>
          <w:highlight w:val="none"/>
        </w:rPr>
      </w:pPr>
    </w:p>
    <w:p w14:paraId="28E89218">
      <w:pPr>
        <w:spacing w:before="102" w:line="543" w:lineRule="auto"/>
        <w:ind w:left="844" w:right="5000"/>
        <w:rPr>
          <w:rFonts w:hint="eastAsia" w:ascii="宋体" w:hAnsi="宋体" w:eastAsia="宋体" w:cs="宋体"/>
          <w:color w:val="auto"/>
          <w:spacing w:val="-29"/>
          <w:sz w:val="24"/>
          <w:szCs w:val="24"/>
          <w:highlight w:val="none"/>
        </w:rPr>
      </w:pPr>
      <w:r>
        <w:rPr>
          <w:rFonts w:hint="eastAsia" w:ascii="宋体" w:hAnsi="宋体" w:eastAsia="宋体" w:cs="宋体"/>
          <w:color w:val="auto"/>
          <w:spacing w:val="8"/>
          <w:sz w:val="24"/>
          <w:szCs w:val="24"/>
          <w:highlight w:val="none"/>
        </w:rPr>
        <w:t>法定代表人（签字</w:t>
      </w:r>
      <w:r>
        <w:rPr>
          <w:rFonts w:hint="eastAsia" w:ascii="宋体" w:hAnsi="宋体" w:eastAsia="宋体" w:cs="宋体"/>
          <w:color w:val="auto"/>
          <w:spacing w:val="-29"/>
          <w:sz w:val="24"/>
          <w:szCs w:val="24"/>
          <w:highlight w:val="none"/>
        </w:rPr>
        <w:t>）：</w:t>
      </w:r>
    </w:p>
    <w:p w14:paraId="33A3CBAF">
      <w:pPr>
        <w:spacing w:before="102" w:line="543" w:lineRule="auto"/>
        <w:ind w:left="844" w:right="50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6"/>
          <w:sz w:val="24"/>
          <w:szCs w:val="24"/>
          <w:highlight w:val="none"/>
        </w:rPr>
        <w:t>年</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6"/>
          <w:sz w:val="24"/>
          <w:szCs w:val="24"/>
          <w:highlight w:val="none"/>
        </w:rPr>
        <w:t>月</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39"/>
          <w:sz w:val="24"/>
          <w:szCs w:val="24"/>
          <w:highlight w:val="none"/>
          <w:lang w:val="en-US" w:eastAsia="zh-CN"/>
        </w:rPr>
        <w:t xml:space="preserve">  </w:t>
      </w:r>
      <w:r>
        <w:rPr>
          <w:rFonts w:hint="eastAsia" w:ascii="宋体" w:hAnsi="宋体" w:eastAsia="宋体" w:cs="宋体"/>
          <w:color w:val="auto"/>
          <w:spacing w:val="-6"/>
          <w:sz w:val="24"/>
          <w:szCs w:val="24"/>
          <w:highlight w:val="none"/>
        </w:rPr>
        <w:t>日</w:t>
      </w:r>
    </w:p>
    <w:p w14:paraId="2B287F98">
      <w:pPr>
        <w:pStyle w:val="15"/>
        <w:rPr>
          <w:rFonts w:hint="eastAsia" w:ascii="宋体" w:hAnsi="宋体" w:eastAsia="宋体" w:cs="宋体"/>
          <w:color w:val="auto"/>
          <w:highlight w:val="none"/>
        </w:rPr>
      </w:pPr>
    </w:p>
    <w:p w14:paraId="3CFA9197">
      <w:pPr>
        <w:pStyle w:val="15"/>
        <w:rPr>
          <w:rFonts w:hint="eastAsia" w:ascii="宋体" w:hAnsi="宋体" w:eastAsia="宋体" w:cs="宋体"/>
          <w:color w:val="auto"/>
          <w:spacing w:val="8"/>
          <w:sz w:val="24"/>
          <w:szCs w:val="24"/>
          <w:highlight w:val="none"/>
          <w:lang w:eastAsia="zh-CN"/>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906ADF0">
      <w:pPr>
        <w:spacing w:before="78" w:line="240" w:lineRule="auto"/>
        <w:outlineLvl w:val="2"/>
        <w:rPr>
          <w:rFonts w:hint="eastAsia" w:ascii="宋体" w:hAnsi="宋体" w:eastAsia="宋体" w:cs="宋体"/>
          <w:b/>
          <w:bCs/>
          <w:color w:val="auto"/>
          <w:spacing w:val="-4"/>
          <w:sz w:val="24"/>
          <w:szCs w:val="24"/>
          <w:highlight w:val="none"/>
        </w:rPr>
      </w:pPr>
      <w:bookmarkStart w:id="269" w:name="_Toc31686"/>
      <w:r>
        <w:rPr>
          <w:rFonts w:hint="eastAsia" w:ascii="宋体" w:hAnsi="宋体" w:eastAsia="宋体" w:cs="宋体"/>
          <w:b/>
          <w:bCs/>
          <w:color w:val="auto"/>
          <w:spacing w:val="-4"/>
          <w:sz w:val="24"/>
          <w:szCs w:val="24"/>
          <w:highlight w:val="none"/>
        </w:rPr>
        <w:t>格式十</w:t>
      </w:r>
      <w:r>
        <w:rPr>
          <w:rFonts w:hint="eastAsia" w:ascii="宋体" w:hAnsi="宋体" w:eastAsia="宋体" w:cs="宋体"/>
          <w:b/>
          <w:bCs/>
          <w:color w:val="auto"/>
          <w:spacing w:val="-4"/>
          <w:sz w:val="24"/>
          <w:szCs w:val="24"/>
          <w:highlight w:val="none"/>
          <w:lang w:eastAsia="zh-CN"/>
        </w:rPr>
        <w:t>五</w:t>
      </w:r>
      <w:r>
        <w:rPr>
          <w:rFonts w:hint="eastAsia" w:ascii="宋体" w:hAnsi="宋体" w:eastAsia="宋体" w:cs="宋体"/>
          <w:b/>
          <w:bCs/>
          <w:color w:val="auto"/>
          <w:spacing w:val="-4"/>
          <w:sz w:val="24"/>
          <w:szCs w:val="24"/>
          <w:highlight w:val="none"/>
        </w:rPr>
        <w:t xml:space="preserve">  原件一览表</w:t>
      </w:r>
      <w:bookmarkEnd w:id="269"/>
    </w:p>
    <w:tbl>
      <w:tblPr>
        <w:tblStyle w:val="17"/>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31804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24FB1F09">
            <w:pPr>
              <w:spacing w:before="132" w:line="240" w:lineRule="auto"/>
              <w:ind w:left="3965"/>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原件一览表</w:t>
            </w:r>
          </w:p>
        </w:tc>
      </w:tr>
      <w:tr w14:paraId="2057F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top"/>
          </w:tcPr>
          <w:p w14:paraId="0CEAB9EA">
            <w:pPr>
              <w:spacing w:before="62" w:line="240"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工程名称</w:t>
            </w:r>
          </w:p>
        </w:tc>
        <w:tc>
          <w:tcPr>
            <w:tcW w:w="6816" w:type="dxa"/>
            <w:gridSpan w:val="6"/>
            <w:vAlign w:val="top"/>
          </w:tcPr>
          <w:p w14:paraId="3FF8FF0B">
            <w:pPr>
              <w:pStyle w:val="25"/>
              <w:rPr>
                <w:rFonts w:hint="eastAsia" w:ascii="宋体" w:hAnsi="宋体" w:eastAsia="宋体" w:cs="宋体"/>
                <w:color w:val="auto"/>
                <w:sz w:val="24"/>
                <w:szCs w:val="24"/>
                <w:highlight w:val="none"/>
              </w:rPr>
            </w:pPr>
          </w:p>
        </w:tc>
      </w:tr>
      <w:tr w14:paraId="5DC6A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26176662">
            <w:pPr>
              <w:spacing w:before="150" w:line="240"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r>
              <w:rPr>
                <w:rFonts w:hint="eastAsia" w:ascii="宋体" w:hAnsi="宋体" w:eastAsia="宋体" w:cs="宋体"/>
                <w:color w:val="auto"/>
                <w:spacing w:val="7"/>
                <w:sz w:val="24"/>
                <w:szCs w:val="24"/>
                <w:highlight w:val="none"/>
                <w:lang w:eastAsia="zh-CN"/>
              </w:rPr>
              <w:t>（</w:t>
            </w:r>
            <w:r>
              <w:rPr>
                <w:rFonts w:hint="eastAsia" w:ascii="宋体" w:hAnsi="宋体" w:eastAsia="宋体" w:cs="宋体"/>
                <w:color w:val="auto"/>
                <w:spacing w:val="5"/>
                <w:sz w:val="24"/>
                <w:szCs w:val="24"/>
                <w:highlight w:val="none"/>
              </w:rPr>
              <w:t>请务必填写单位全称</w:t>
            </w:r>
            <w:r>
              <w:rPr>
                <w:rFonts w:hint="eastAsia" w:ascii="宋体" w:hAnsi="宋体" w:eastAsia="宋体" w:cs="宋体"/>
                <w:color w:val="auto"/>
                <w:spacing w:val="5"/>
                <w:sz w:val="24"/>
                <w:szCs w:val="24"/>
                <w:highlight w:val="none"/>
                <w:lang w:eastAsia="zh-CN"/>
              </w:rPr>
              <w:t>）</w:t>
            </w:r>
          </w:p>
        </w:tc>
        <w:tc>
          <w:tcPr>
            <w:tcW w:w="6816" w:type="dxa"/>
            <w:gridSpan w:val="6"/>
            <w:vAlign w:val="top"/>
          </w:tcPr>
          <w:p w14:paraId="668497E6">
            <w:pPr>
              <w:pStyle w:val="25"/>
              <w:rPr>
                <w:rFonts w:hint="eastAsia" w:ascii="宋体" w:hAnsi="宋体" w:eastAsia="宋体" w:cs="宋体"/>
                <w:color w:val="auto"/>
                <w:sz w:val="24"/>
                <w:szCs w:val="24"/>
                <w:highlight w:val="none"/>
              </w:rPr>
            </w:pPr>
          </w:p>
        </w:tc>
      </w:tr>
      <w:tr w14:paraId="0FA60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6FE90DC5">
            <w:pPr>
              <w:spacing w:before="151"/>
              <w:ind w:right="149"/>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投标人法定代表人或其委托代理人签名</w:t>
            </w:r>
          </w:p>
        </w:tc>
        <w:tc>
          <w:tcPr>
            <w:tcW w:w="2689" w:type="dxa"/>
            <w:gridSpan w:val="2"/>
            <w:vAlign w:val="top"/>
          </w:tcPr>
          <w:p w14:paraId="000B4605">
            <w:pPr>
              <w:pStyle w:val="25"/>
              <w:rPr>
                <w:rFonts w:hint="eastAsia" w:ascii="宋体" w:hAnsi="宋体" w:eastAsia="宋体" w:cs="宋体"/>
                <w:color w:val="auto"/>
                <w:sz w:val="24"/>
                <w:szCs w:val="24"/>
                <w:highlight w:val="none"/>
              </w:rPr>
            </w:pPr>
          </w:p>
        </w:tc>
        <w:tc>
          <w:tcPr>
            <w:tcW w:w="1499" w:type="dxa"/>
            <w:gridSpan w:val="2"/>
            <w:vAlign w:val="top"/>
          </w:tcPr>
          <w:p w14:paraId="3D60D1A8">
            <w:pPr>
              <w:spacing w:before="151" w:line="240" w:lineRule="auto"/>
              <w:ind w:right="17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手机</w:t>
            </w:r>
            <w:r>
              <w:rPr>
                <w:rFonts w:hint="eastAsia" w:ascii="宋体" w:hAnsi="宋体" w:eastAsia="宋体" w:cs="宋体"/>
                <w:color w:val="auto"/>
                <w:spacing w:val="2"/>
                <w:sz w:val="24"/>
                <w:szCs w:val="24"/>
                <w:highlight w:val="none"/>
              </w:rPr>
              <w:t>号码</w:t>
            </w:r>
          </w:p>
        </w:tc>
        <w:tc>
          <w:tcPr>
            <w:tcW w:w="2628" w:type="dxa"/>
            <w:gridSpan w:val="2"/>
            <w:vAlign w:val="top"/>
          </w:tcPr>
          <w:p w14:paraId="7B412076">
            <w:pPr>
              <w:pStyle w:val="25"/>
              <w:rPr>
                <w:rFonts w:hint="eastAsia" w:ascii="宋体" w:hAnsi="宋体" w:eastAsia="宋体" w:cs="宋体"/>
                <w:color w:val="auto"/>
                <w:sz w:val="24"/>
                <w:szCs w:val="24"/>
                <w:highlight w:val="none"/>
              </w:rPr>
            </w:pPr>
          </w:p>
        </w:tc>
      </w:tr>
      <w:tr w14:paraId="17484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567918AA">
            <w:pPr>
              <w:spacing w:before="62" w:line="240" w:lineRule="auto"/>
              <w:ind w:left="336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递交的证明材料原件如下：</w:t>
            </w:r>
          </w:p>
        </w:tc>
      </w:tr>
      <w:tr w14:paraId="1F0A6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21E26167">
            <w:pPr>
              <w:pStyle w:val="25"/>
              <w:spacing w:line="240" w:lineRule="auto"/>
              <w:rPr>
                <w:rFonts w:hint="eastAsia" w:ascii="宋体" w:hAnsi="宋体" w:eastAsia="宋体" w:cs="宋体"/>
                <w:color w:val="auto"/>
                <w:sz w:val="24"/>
                <w:szCs w:val="24"/>
                <w:highlight w:val="none"/>
              </w:rPr>
            </w:pPr>
          </w:p>
          <w:p w14:paraId="0EC21191">
            <w:pPr>
              <w:spacing w:before="62" w:line="240" w:lineRule="auto"/>
              <w:ind w:left="15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5304" w:type="dxa"/>
            <w:gridSpan w:val="4"/>
            <w:vAlign w:val="top"/>
          </w:tcPr>
          <w:p w14:paraId="76A61080">
            <w:pPr>
              <w:pStyle w:val="25"/>
              <w:spacing w:line="240" w:lineRule="auto"/>
              <w:rPr>
                <w:rFonts w:hint="eastAsia" w:ascii="宋体" w:hAnsi="宋体" w:eastAsia="宋体" w:cs="宋体"/>
                <w:color w:val="auto"/>
                <w:sz w:val="24"/>
                <w:szCs w:val="24"/>
                <w:highlight w:val="none"/>
              </w:rPr>
            </w:pPr>
          </w:p>
          <w:p w14:paraId="1A81F5E2">
            <w:pPr>
              <w:spacing w:before="61" w:line="240" w:lineRule="auto"/>
              <w:ind w:left="1765"/>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证明材料原件名称</w:t>
            </w:r>
          </w:p>
        </w:tc>
        <w:tc>
          <w:tcPr>
            <w:tcW w:w="1771" w:type="dxa"/>
            <w:gridSpan w:val="2"/>
            <w:vAlign w:val="top"/>
          </w:tcPr>
          <w:p w14:paraId="0177F328">
            <w:pPr>
              <w:pStyle w:val="25"/>
              <w:spacing w:line="240" w:lineRule="auto"/>
              <w:rPr>
                <w:rFonts w:hint="eastAsia" w:ascii="宋体" w:hAnsi="宋体" w:eastAsia="宋体" w:cs="宋体"/>
                <w:color w:val="auto"/>
                <w:sz w:val="24"/>
                <w:szCs w:val="24"/>
                <w:highlight w:val="none"/>
              </w:rPr>
            </w:pPr>
          </w:p>
          <w:p w14:paraId="456665A1">
            <w:pPr>
              <w:spacing w:before="62" w:line="240" w:lineRule="auto"/>
              <w:ind w:left="664"/>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单位</w:t>
            </w:r>
          </w:p>
        </w:tc>
        <w:tc>
          <w:tcPr>
            <w:tcW w:w="1637" w:type="dxa"/>
            <w:vAlign w:val="top"/>
          </w:tcPr>
          <w:p w14:paraId="41F7CEAC">
            <w:pPr>
              <w:pStyle w:val="25"/>
              <w:spacing w:line="240" w:lineRule="auto"/>
              <w:rPr>
                <w:rFonts w:hint="eastAsia" w:ascii="宋体" w:hAnsi="宋体" w:eastAsia="宋体" w:cs="宋体"/>
                <w:color w:val="auto"/>
                <w:sz w:val="24"/>
                <w:szCs w:val="24"/>
                <w:highlight w:val="none"/>
              </w:rPr>
            </w:pPr>
          </w:p>
          <w:p w14:paraId="09C47EB1">
            <w:pPr>
              <w:spacing w:before="62" w:line="240" w:lineRule="auto"/>
              <w:ind w:left="59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数量</w:t>
            </w:r>
          </w:p>
        </w:tc>
      </w:tr>
      <w:tr w14:paraId="46502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6FF8B91C">
            <w:pPr>
              <w:spacing w:before="287" w:line="240" w:lineRule="auto"/>
              <w:ind w:left="31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304" w:type="dxa"/>
            <w:gridSpan w:val="4"/>
            <w:vAlign w:val="top"/>
          </w:tcPr>
          <w:p w14:paraId="28B25A0D">
            <w:pPr>
              <w:pStyle w:val="25"/>
              <w:rPr>
                <w:rFonts w:hint="eastAsia" w:ascii="宋体" w:hAnsi="宋体" w:eastAsia="宋体" w:cs="宋体"/>
                <w:color w:val="auto"/>
                <w:sz w:val="24"/>
                <w:szCs w:val="24"/>
                <w:highlight w:val="none"/>
              </w:rPr>
            </w:pPr>
          </w:p>
        </w:tc>
        <w:tc>
          <w:tcPr>
            <w:tcW w:w="1771" w:type="dxa"/>
            <w:gridSpan w:val="2"/>
            <w:vAlign w:val="top"/>
          </w:tcPr>
          <w:p w14:paraId="4F42E60F">
            <w:pPr>
              <w:pStyle w:val="25"/>
              <w:rPr>
                <w:rFonts w:hint="eastAsia" w:ascii="宋体" w:hAnsi="宋体" w:eastAsia="宋体" w:cs="宋体"/>
                <w:color w:val="auto"/>
                <w:sz w:val="24"/>
                <w:szCs w:val="24"/>
                <w:highlight w:val="none"/>
              </w:rPr>
            </w:pPr>
          </w:p>
        </w:tc>
        <w:tc>
          <w:tcPr>
            <w:tcW w:w="1637" w:type="dxa"/>
            <w:vAlign w:val="top"/>
          </w:tcPr>
          <w:p w14:paraId="3C09D08F">
            <w:pPr>
              <w:pStyle w:val="25"/>
              <w:rPr>
                <w:rFonts w:hint="eastAsia" w:ascii="宋体" w:hAnsi="宋体" w:eastAsia="宋体" w:cs="宋体"/>
                <w:color w:val="auto"/>
                <w:sz w:val="24"/>
                <w:szCs w:val="24"/>
                <w:highlight w:val="none"/>
              </w:rPr>
            </w:pPr>
          </w:p>
        </w:tc>
      </w:tr>
      <w:tr w14:paraId="12E32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5B0FF1CC">
            <w:pPr>
              <w:spacing w:before="288" w:line="240" w:lineRule="auto"/>
              <w:ind w:left="3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304" w:type="dxa"/>
            <w:gridSpan w:val="4"/>
            <w:vAlign w:val="top"/>
          </w:tcPr>
          <w:p w14:paraId="0D3F050A">
            <w:pPr>
              <w:pStyle w:val="25"/>
              <w:rPr>
                <w:rFonts w:hint="eastAsia" w:ascii="宋体" w:hAnsi="宋体" w:eastAsia="宋体" w:cs="宋体"/>
                <w:color w:val="auto"/>
                <w:sz w:val="24"/>
                <w:szCs w:val="24"/>
                <w:highlight w:val="none"/>
              </w:rPr>
            </w:pPr>
          </w:p>
        </w:tc>
        <w:tc>
          <w:tcPr>
            <w:tcW w:w="1771" w:type="dxa"/>
            <w:gridSpan w:val="2"/>
            <w:vAlign w:val="top"/>
          </w:tcPr>
          <w:p w14:paraId="745FD79F">
            <w:pPr>
              <w:pStyle w:val="25"/>
              <w:rPr>
                <w:rFonts w:hint="eastAsia" w:ascii="宋体" w:hAnsi="宋体" w:eastAsia="宋体" w:cs="宋体"/>
                <w:color w:val="auto"/>
                <w:sz w:val="24"/>
                <w:szCs w:val="24"/>
                <w:highlight w:val="none"/>
              </w:rPr>
            </w:pPr>
          </w:p>
        </w:tc>
        <w:tc>
          <w:tcPr>
            <w:tcW w:w="1637" w:type="dxa"/>
            <w:vAlign w:val="top"/>
          </w:tcPr>
          <w:p w14:paraId="2EFE754E">
            <w:pPr>
              <w:pStyle w:val="25"/>
              <w:rPr>
                <w:rFonts w:hint="eastAsia" w:ascii="宋体" w:hAnsi="宋体" w:eastAsia="宋体" w:cs="宋体"/>
                <w:color w:val="auto"/>
                <w:sz w:val="24"/>
                <w:szCs w:val="24"/>
                <w:highlight w:val="none"/>
              </w:rPr>
            </w:pPr>
          </w:p>
        </w:tc>
      </w:tr>
      <w:tr w14:paraId="5A6E4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DF57AC7">
            <w:pPr>
              <w:spacing w:before="287" w:line="240" w:lineRule="auto"/>
              <w:ind w:left="30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5304" w:type="dxa"/>
            <w:gridSpan w:val="4"/>
            <w:vAlign w:val="top"/>
          </w:tcPr>
          <w:p w14:paraId="54C3FBF3">
            <w:pPr>
              <w:pStyle w:val="25"/>
              <w:rPr>
                <w:rFonts w:hint="eastAsia" w:ascii="宋体" w:hAnsi="宋体" w:eastAsia="宋体" w:cs="宋体"/>
                <w:color w:val="auto"/>
                <w:sz w:val="24"/>
                <w:szCs w:val="24"/>
                <w:highlight w:val="none"/>
              </w:rPr>
            </w:pPr>
          </w:p>
        </w:tc>
        <w:tc>
          <w:tcPr>
            <w:tcW w:w="1771" w:type="dxa"/>
            <w:gridSpan w:val="2"/>
            <w:vAlign w:val="top"/>
          </w:tcPr>
          <w:p w14:paraId="40E0E057">
            <w:pPr>
              <w:pStyle w:val="25"/>
              <w:rPr>
                <w:rFonts w:hint="eastAsia" w:ascii="宋体" w:hAnsi="宋体" w:eastAsia="宋体" w:cs="宋体"/>
                <w:color w:val="auto"/>
                <w:sz w:val="24"/>
                <w:szCs w:val="24"/>
                <w:highlight w:val="none"/>
              </w:rPr>
            </w:pPr>
          </w:p>
        </w:tc>
        <w:tc>
          <w:tcPr>
            <w:tcW w:w="1637" w:type="dxa"/>
            <w:vAlign w:val="top"/>
          </w:tcPr>
          <w:p w14:paraId="28B42581">
            <w:pPr>
              <w:pStyle w:val="25"/>
              <w:rPr>
                <w:rFonts w:hint="eastAsia" w:ascii="宋体" w:hAnsi="宋体" w:eastAsia="宋体" w:cs="宋体"/>
                <w:color w:val="auto"/>
                <w:sz w:val="24"/>
                <w:szCs w:val="24"/>
                <w:highlight w:val="none"/>
              </w:rPr>
            </w:pPr>
          </w:p>
        </w:tc>
      </w:tr>
      <w:tr w14:paraId="582BA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C0A2F9F">
            <w:pPr>
              <w:pStyle w:val="25"/>
              <w:spacing w:line="240" w:lineRule="auto"/>
              <w:rPr>
                <w:rFonts w:hint="eastAsia" w:ascii="宋体" w:hAnsi="宋体" w:eastAsia="宋体" w:cs="宋体"/>
                <w:color w:val="auto"/>
                <w:sz w:val="24"/>
                <w:szCs w:val="24"/>
                <w:highlight w:val="none"/>
              </w:rPr>
            </w:pPr>
          </w:p>
          <w:p w14:paraId="4F527954">
            <w:pPr>
              <w:spacing w:before="78" w:line="240" w:lineRule="auto"/>
              <w:ind w:left="186"/>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w:t>
            </w:r>
          </w:p>
        </w:tc>
        <w:tc>
          <w:tcPr>
            <w:tcW w:w="5304" w:type="dxa"/>
            <w:gridSpan w:val="4"/>
            <w:vAlign w:val="top"/>
          </w:tcPr>
          <w:p w14:paraId="47EB6644">
            <w:pPr>
              <w:pStyle w:val="25"/>
              <w:rPr>
                <w:rFonts w:hint="eastAsia" w:ascii="宋体" w:hAnsi="宋体" w:eastAsia="宋体" w:cs="宋体"/>
                <w:color w:val="auto"/>
                <w:sz w:val="24"/>
                <w:szCs w:val="24"/>
                <w:highlight w:val="none"/>
              </w:rPr>
            </w:pPr>
          </w:p>
        </w:tc>
        <w:tc>
          <w:tcPr>
            <w:tcW w:w="1771" w:type="dxa"/>
            <w:gridSpan w:val="2"/>
            <w:vAlign w:val="top"/>
          </w:tcPr>
          <w:p w14:paraId="6D54D719">
            <w:pPr>
              <w:pStyle w:val="25"/>
              <w:rPr>
                <w:rFonts w:hint="eastAsia" w:ascii="宋体" w:hAnsi="宋体" w:eastAsia="宋体" w:cs="宋体"/>
                <w:color w:val="auto"/>
                <w:sz w:val="24"/>
                <w:szCs w:val="24"/>
                <w:highlight w:val="none"/>
              </w:rPr>
            </w:pPr>
          </w:p>
        </w:tc>
        <w:tc>
          <w:tcPr>
            <w:tcW w:w="1637" w:type="dxa"/>
            <w:vAlign w:val="top"/>
          </w:tcPr>
          <w:p w14:paraId="75E6A05C">
            <w:pPr>
              <w:pStyle w:val="25"/>
              <w:rPr>
                <w:rFonts w:hint="eastAsia" w:ascii="宋体" w:hAnsi="宋体" w:eastAsia="宋体" w:cs="宋体"/>
                <w:color w:val="auto"/>
                <w:sz w:val="24"/>
                <w:szCs w:val="24"/>
                <w:highlight w:val="none"/>
              </w:rPr>
            </w:pPr>
          </w:p>
        </w:tc>
      </w:tr>
      <w:tr w14:paraId="3E543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6D36533C">
            <w:pPr>
              <w:pStyle w:val="25"/>
              <w:spacing w:line="240" w:lineRule="auto"/>
              <w:rPr>
                <w:rFonts w:hint="eastAsia" w:ascii="宋体" w:hAnsi="宋体" w:eastAsia="宋体" w:cs="宋体"/>
                <w:color w:val="auto"/>
                <w:sz w:val="24"/>
                <w:szCs w:val="24"/>
                <w:highlight w:val="none"/>
              </w:rPr>
            </w:pPr>
          </w:p>
          <w:p w14:paraId="198C1B4E">
            <w:pPr>
              <w:pStyle w:val="25"/>
              <w:spacing w:line="240" w:lineRule="auto"/>
              <w:rPr>
                <w:rFonts w:hint="eastAsia" w:ascii="宋体" w:hAnsi="宋体" w:eastAsia="宋体" w:cs="宋体"/>
                <w:color w:val="auto"/>
                <w:sz w:val="24"/>
                <w:szCs w:val="24"/>
                <w:highlight w:val="none"/>
              </w:rPr>
            </w:pPr>
          </w:p>
          <w:p w14:paraId="161C02DA">
            <w:pPr>
              <w:pStyle w:val="25"/>
              <w:spacing w:line="240" w:lineRule="auto"/>
              <w:rPr>
                <w:rFonts w:hint="eastAsia" w:ascii="宋体" w:hAnsi="宋体" w:eastAsia="宋体" w:cs="宋体"/>
                <w:color w:val="auto"/>
                <w:sz w:val="24"/>
                <w:szCs w:val="24"/>
                <w:highlight w:val="none"/>
              </w:rPr>
            </w:pPr>
          </w:p>
          <w:p w14:paraId="57AB557F">
            <w:pPr>
              <w:spacing w:before="62" w:line="240" w:lineRule="auto"/>
              <w:ind w:left="2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注意：</w:t>
            </w:r>
          </w:p>
        </w:tc>
        <w:tc>
          <w:tcPr>
            <w:tcW w:w="8712" w:type="dxa"/>
            <w:gridSpan w:val="7"/>
            <w:vAlign w:val="top"/>
          </w:tcPr>
          <w:p w14:paraId="57B0800F">
            <w:pPr>
              <w:spacing w:before="148"/>
              <w:ind w:left="111" w:right="107" w:firstLine="483"/>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该表一式两份，两份表格投标人均需如实填写各项内容，两份表格的填写内容应一致。一</w:t>
            </w:r>
            <w:r>
              <w:rPr>
                <w:rFonts w:hint="eastAsia" w:ascii="宋体" w:hAnsi="宋体" w:eastAsia="宋体" w:cs="宋体"/>
                <w:color w:val="auto"/>
                <w:spacing w:val="9"/>
                <w:sz w:val="24"/>
                <w:szCs w:val="24"/>
                <w:highlight w:val="none"/>
              </w:rPr>
              <w:t>份贴于装纳原件的文件袋（箱</w:t>
            </w:r>
            <w:r>
              <w:rPr>
                <w:rFonts w:hint="eastAsia" w:ascii="宋体" w:hAnsi="宋体" w:eastAsia="宋体" w:cs="宋体"/>
                <w:color w:val="auto"/>
                <w:spacing w:val="20"/>
                <w:sz w:val="24"/>
                <w:szCs w:val="24"/>
                <w:highlight w:val="none"/>
              </w:rPr>
              <w:t>），</w:t>
            </w:r>
            <w:r>
              <w:rPr>
                <w:rFonts w:hint="eastAsia" w:ascii="宋体" w:hAnsi="宋体" w:eastAsia="宋体" w:cs="宋体"/>
                <w:color w:val="auto"/>
                <w:spacing w:val="9"/>
                <w:sz w:val="24"/>
                <w:szCs w:val="24"/>
                <w:highlight w:val="none"/>
              </w:rPr>
              <w:t>一份在递交文件袋（箱）时由招标代理机构、投标人签字后交招标代理机构。招标代理机构仅代签收装纳原件的文件袋（箱</w:t>
            </w:r>
            <w:r>
              <w:rPr>
                <w:rFonts w:hint="eastAsia" w:ascii="宋体" w:hAnsi="宋体" w:eastAsia="宋体" w:cs="宋体"/>
                <w:color w:val="auto"/>
                <w:spacing w:val="19"/>
                <w:sz w:val="24"/>
                <w:szCs w:val="24"/>
                <w:highlight w:val="none"/>
              </w:rPr>
              <w:t>），</w:t>
            </w:r>
            <w:r>
              <w:rPr>
                <w:rFonts w:hint="eastAsia" w:ascii="宋体" w:hAnsi="宋体" w:eastAsia="宋体" w:cs="宋体"/>
                <w:color w:val="auto"/>
                <w:spacing w:val="9"/>
                <w:sz w:val="24"/>
                <w:szCs w:val="24"/>
                <w:highlight w:val="none"/>
              </w:rPr>
              <w:t>而不对文件袋（箱）中资</w:t>
            </w:r>
            <w:r>
              <w:rPr>
                <w:rFonts w:hint="eastAsia" w:ascii="宋体" w:hAnsi="宋体" w:eastAsia="宋体" w:cs="宋体"/>
                <w:color w:val="auto"/>
                <w:spacing w:val="5"/>
                <w:sz w:val="24"/>
                <w:szCs w:val="24"/>
                <w:highlight w:val="none"/>
              </w:rPr>
              <w:t>料的数量、</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内容及真实性负责。</w:t>
            </w:r>
          </w:p>
        </w:tc>
      </w:tr>
      <w:tr w14:paraId="016ED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0440D7A1">
            <w:pPr>
              <w:pStyle w:val="25"/>
              <w:spacing w:line="240" w:lineRule="auto"/>
              <w:rPr>
                <w:rFonts w:hint="eastAsia" w:ascii="宋体" w:hAnsi="宋体" w:eastAsia="宋体" w:cs="宋体"/>
                <w:color w:val="auto"/>
                <w:sz w:val="24"/>
                <w:szCs w:val="24"/>
                <w:highlight w:val="none"/>
              </w:rPr>
            </w:pPr>
          </w:p>
          <w:p w14:paraId="107CC9BB">
            <w:pPr>
              <w:spacing w:before="61" w:line="240" w:lineRule="auto"/>
              <w:ind w:left="760" w:right="153" w:hanging="600"/>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接收原件经办人</w:t>
            </w:r>
          </w:p>
          <w:p w14:paraId="6D1AB722">
            <w:pPr>
              <w:spacing w:before="61" w:line="240" w:lineRule="auto"/>
              <w:ind w:left="760" w:right="153" w:hanging="6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招标</w:t>
            </w:r>
            <w:r>
              <w:rPr>
                <w:rFonts w:hint="eastAsia" w:ascii="宋体" w:hAnsi="宋体" w:eastAsia="宋体" w:cs="宋体"/>
                <w:color w:val="auto"/>
                <w:spacing w:val="3"/>
                <w:sz w:val="24"/>
                <w:szCs w:val="24"/>
                <w:highlight w:val="none"/>
              </w:rPr>
              <w:t>代理</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w:t>
            </w:r>
          </w:p>
        </w:tc>
        <w:tc>
          <w:tcPr>
            <w:tcW w:w="1725" w:type="dxa"/>
            <w:vAlign w:val="top"/>
          </w:tcPr>
          <w:p w14:paraId="396C35BA">
            <w:pPr>
              <w:pStyle w:val="25"/>
              <w:rPr>
                <w:rFonts w:hint="eastAsia" w:ascii="宋体" w:hAnsi="宋体" w:eastAsia="宋体" w:cs="宋体"/>
                <w:color w:val="auto"/>
                <w:sz w:val="24"/>
                <w:szCs w:val="24"/>
                <w:highlight w:val="none"/>
              </w:rPr>
            </w:pPr>
          </w:p>
        </w:tc>
        <w:tc>
          <w:tcPr>
            <w:tcW w:w="1683" w:type="dxa"/>
            <w:gridSpan w:val="2"/>
            <w:vAlign w:val="top"/>
          </w:tcPr>
          <w:p w14:paraId="5328A3CB">
            <w:pPr>
              <w:pStyle w:val="25"/>
              <w:spacing w:line="240" w:lineRule="auto"/>
              <w:rPr>
                <w:rFonts w:hint="eastAsia" w:ascii="宋体" w:hAnsi="宋体" w:eastAsia="宋体" w:cs="宋体"/>
                <w:color w:val="auto"/>
                <w:sz w:val="24"/>
                <w:szCs w:val="24"/>
                <w:highlight w:val="none"/>
              </w:rPr>
            </w:pPr>
          </w:p>
          <w:p w14:paraId="0C2B5A86">
            <w:pPr>
              <w:pStyle w:val="25"/>
              <w:spacing w:line="240" w:lineRule="auto"/>
              <w:rPr>
                <w:rFonts w:hint="eastAsia" w:ascii="宋体" w:hAnsi="宋体" w:eastAsia="宋体" w:cs="宋体"/>
                <w:color w:val="auto"/>
                <w:sz w:val="24"/>
                <w:szCs w:val="24"/>
                <w:highlight w:val="none"/>
              </w:rPr>
            </w:pPr>
          </w:p>
          <w:p w14:paraId="06A559B5">
            <w:pPr>
              <w:spacing w:before="62" w:line="240" w:lineRule="auto"/>
              <w:ind w:left="315"/>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接收时间：</w:t>
            </w:r>
          </w:p>
        </w:tc>
        <w:tc>
          <w:tcPr>
            <w:tcW w:w="3408" w:type="dxa"/>
            <w:gridSpan w:val="3"/>
            <w:vAlign w:val="top"/>
          </w:tcPr>
          <w:p w14:paraId="655901F3">
            <w:pPr>
              <w:pStyle w:val="25"/>
              <w:spacing w:line="240" w:lineRule="auto"/>
              <w:rPr>
                <w:rFonts w:hint="eastAsia" w:ascii="宋体" w:hAnsi="宋体" w:eastAsia="宋体" w:cs="宋体"/>
                <w:color w:val="auto"/>
                <w:sz w:val="24"/>
                <w:szCs w:val="24"/>
                <w:highlight w:val="none"/>
              </w:rPr>
            </w:pPr>
          </w:p>
          <w:p w14:paraId="0F1E1751">
            <w:pPr>
              <w:pStyle w:val="25"/>
              <w:spacing w:line="240" w:lineRule="auto"/>
              <w:rPr>
                <w:rFonts w:hint="eastAsia" w:ascii="宋体" w:hAnsi="宋体" w:eastAsia="宋体" w:cs="宋体"/>
                <w:color w:val="auto"/>
                <w:sz w:val="24"/>
                <w:szCs w:val="24"/>
                <w:highlight w:val="none"/>
              </w:rPr>
            </w:pPr>
          </w:p>
          <w:p w14:paraId="3ABE9DD0">
            <w:pPr>
              <w:spacing w:before="62" w:line="240" w:lineRule="auto"/>
              <w:ind w:firstLine="444"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9"/>
                <w:sz w:val="24"/>
                <w:szCs w:val="24"/>
                <w:highlight w:val="none"/>
              </w:rPr>
              <w:t>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时</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9"/>
                <w:sz w:val="24"/>
                <w:szCs w:val="24"/>
                <w:highlight w:val="none"/>
              </w:rPr>
              <w:t>分</w:t>
            </w:r>
          </w:p>
        </w:tc>
      </w:tr>
      <w:tr w14:paraId="76534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453382FD">
            <w:pPr>
              <w:spacing w:before="155" w:line="240" w:lineRule="auto"/>
              <w:ind w:left="861" w:right="153" w:hanging="699"/>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退还原件接收人</w:t>
            </w:r>
          </w:p>
          <w:p w14:paraId="4CBD4052">
            <w:pPr>
              <w:spacing w:before="155" w:line="240" w:lineRule="auto"/>
              <w:ind w:left="861" w:right="153" w:hanging="699"/>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投标</w:t>
            </w:r>
            <w:r>
              <w:rPr>
                <w:rFonts w:hint="eastAsia" w:ascii="宋体" w:hAnsi="宋体" w:eastAsia="宋体" w:cs="宋体"/>
                <w:color w:val="auto"/>
                <w:spacing w:val="2"/>
                <w:sz w:val="24"/>
                <w:szCs w:val="24"/>
                <w:highlight w:val="none"/>
              </w:rPr>
              <w:t>人</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w:t>
            </w:r>
          </w:p>
        </w:tc>
        <w:tc>
          <w:tcPr>
            <w:tcW w:w="1725" w:type="dxa"/>
            <w:vAlign w:val="top"/>
          </w:tcPr>
          <w:p w14:paraId="2C206521">
            <w:pPr>
              <w:pStyle w:val="25"/>
              <w:rPr>
                <w:rFonts w:hint="eastAsia" w:ascii="宋体" w:hAnsi="宋体" w:eastAsia="宋体" w:cs="宋体"/>
                <w:color w:val="auto"/>
                <w:sz w:val="24"/>
                <w:szCs w:val="24"/>
                <w:highlight w:val="none"/>
              </w:rPr>
            </w:pPr>
          </w:p>
        </w:tc>
        <w:tc>
          <w:tcPr>
            <w:tcW w:w="1683" w:type="dxa"/>
            <w:gridSpan w:val="2"/>
            <w:vAlign w:val="top"/>
          </w:tcPr>
          <w:p w14:paraId="7AC1377A">
            <w:pPr>
              <w:pStyle w:val="25"/>
              <w:spacing w:line="240" w:lineRule="auto"/>
              <w:rPr>
                <w:rFonts w:hint="eastAsia" w:ascii="宋体" w:hAnsi="宋体" w:eastAsia="宋体" w:cs="宋体"/>
                <w:color w:val="auto"/>
                <w:sz w:val="24"/>
                <w:szCs w:val="24"/>
                <w:highlight w:val="none"/>
              </w:rPr>
            </w:pPr>
          </w:p>
          <w:p w14:paraId="1E023FA8">
            <w:pPr>
              <w:spacing w:before="61" w:line="240" w:lineRule="auto"/>
              <w:ind w:left="31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退还时间：</w:t>
            </w:r>
          </w:p>
        </w:tc>
        <w:tc>
          <w:tcPr>
            <w:tcW w:w="3408" w:type="dxa"/>
            <w:gridSpan w:val="3"/>
            <w:vAlign w:val="top"/>
          </w:tcPr>
          <w:p w14:paraId="209D4A82">
            <w:pPr>
              <w:pStyle w:val="25"/>
              <w:spacing w:line="240" w:lineRule="auto"/>
              <w:rPr>
                <w:rFonts w:hint="eastAsia" w:ascii="宋体" w:hAnsi="宋体" w:eastAsia="宋体" w:cs="宋体"/>
                <w:color w:val="auto"/>
                <w:sz w:val="24"/>
                <w:szCs w:val="24"/>
                <w:highlight w:val="none"/>
              </w:rPr>
            </w:pPr>
          </w:p>
          <w:p w14:paraId="459BFBAC">
            <w:pPr>
              <w:spacing w:before="62" w:line="240" w:lineRule="auto"/>
              <w:ind w:firstLine="444"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9"/>
                <w:sz w:val="24"/>
                <w:szCs w:val="24"/>
                <w:highlight w:val="none"/>
              </w:rPr>
              <w:t>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时</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分</w:t>
            </w:r>
          </w:p>
        </w:tc>
      </w:tr>
    </w:tbl>
    <w:p w14:paraId="5303C8CD">
      <w:pPr>
        <w:rPr>
          <w:rFonts w:hint="eastAsia" w:ascii="宋体" w:hAnsi="宋体" w:eastAsia="宋体" w:cs="宋体"/>
          <w:b/>
          <w:bCs/>
          <w:color w:val="auto"/>
          <w:spacing w:val="-3"/>
          <w:sz w:val="24"/>
          <w:szCs w:val="24"/>
          <w:highlight w:val="none"/>
        </w:rPr>
      </w:pPr>
      <w:bookmarkStart w:id="270" w:name="bookmark107"/>
      <w:bookmarkEnd w:id="270"/>
      <w:r>
        <w:rPr>
          <w:rFonts w:hint="eastAsia" w:ascii="宋体" w:hAnsi="宋体" w:eastAsia="宋体" w:cs="宋体"/>
          <w:b/>
          <w:bCs/>
          <w:color w:val="auto"/>
          <w:spacing w:val="-3"/>
          <w:sz w:val="24"/>
          <w:szCs w:val="24"/>
          <w:highlight w:val="none"/>
        </w:rPr>
        <w:br w:type="page"/>
      </w:r>
    </w:p>
    <w:p w14:paraId="3792074E">
      <w:pPr>
        <w:jc w:val="both"/>
        <w:rPr>
          <w:rStyle w:val="24"/>
          <w:rFonts w:hint="eastAsia" w:ascii="Times New Roman" w:hAnsi="宋体" w:eastAsia="宋体" w:cs="Times New Roman"/>
          <w:b/>
          <w:bCs/>
          <w:color w:val="auto"/>
          <w:sz w:val="21"/>
          <w:szCs w:val="21"/>
          <w:highlight w:val="none"/>
          <w:lang w:eastAsia="zh-CN"/>
        </w:rPr>
      </w:pPr>
    </w:p>
    <w:p w14:paraId="5D5BF24D">
      <w:pPr>
        <w:jc w:val="both"/>
        <w:rPr>
          <w:rStyle w:val="24"/>
          <w:rFonts w:hint="eastAsia" w:ascii="Times New Roman" w:hAnsi="宋体" w:eastAsia="宋体" w:cs="Times New Roman"/>
          <w:b/>
          <w:bCs/>
          <w:color w:val="auto"/>
          <w:sz w:val="21"/>
          <w:szCs w:val="21"/>
          <w:highlight w:val="none"/>
          <w:lang w:val="en-US" w:eastAsia="zh-CN"/>
        </w:rPr>
      </w:pPr>
      <w:r>
        <w:rPr>
          <w:rStyle w:val="24"/>
          <w:rFonts w:hint="eastAsia" w:ascii="Times New Roman" w:hAnsi="宋体" w:eastAsia="宋体" w:cs="Times New Roman"/>
          <w:b/>
          <w:bCs/>
          <w:color w:val="auto"/>
          <w:sz w:val="21"/>
          <w:szCs w:val="21"/>
          <w:highlight w:val="none"/>
          <w:lang w:eastAsia="zh-CN"/>
        </w:rPr>
        <w:t>格式十</w:t>
      </w:r>
      <w:r>
        <w:rPr>
          <w:rStyle w:val="24"/>
          <w:rFonts w:hint="eastAsia" w:ascii="Times New Roman" w:hAnsi="宋体" w:cs="Times New Roman"/>
          <w:b/>
          <w:bCs/>
          <w:color w:val="auto"/>
          <w:sz w:val="21"/>
          <w:szCs w:val="21"/>
          <w:highlight w:val="none"/>
          <w:lang w:val="en-US" w:eastAsia="zh-CN"/>
        </w:rPr>
        <w:t xml:space="preserve">六  </w:t>
      </w:r>
      <w:r>
        <w:rPr>
          <w:rStyle w:val="24"/>
          <w:rFonts w:hint="eastAsia" w:ascii="Times New Roman" w:hAnsi="宋体" w:eastAsia="宋体" w:cs="Times New Roman"/>
          <w:b/>
          <w:bCs/>
          <w:color w:val="auto"/>
          <w:sz w:val="21"/>
          <w:szCs w:val="21"/>
          <w:highlight w:val="none"/>
          <w:lang w:val="en-US" w:eastAsia="zh-CN"/>
        </w:rPr>
        <w:t>主要材料选用与履约保障承诺函</w:t>
      </w:r>
    </w:p>
    <w:p w14:paraId="11464778">
      <w:pPr>
        <w:jc w:val="center"/>
        <w:rPr>
          <w:rFonts w:hint="eastAsia" w:ascii="方正公文小标宋" w:hAnsi="方正公文小标宋" w:eastAsia="方正公文小标宋" w:cs="方正公文小标宋"/>
          <w:sz w:val="44"/>
          <w:szCs w:val="52"/>
          <w:lang w:val="en-US" w:eastAsia="zh-CN"/>
        </w:rPr>
      </w:pPr>
    </w:p>
    <w:p w14:paraId="6DE9557A">
      <w:pPr>
        <w:jc w:val="center"/>
        <w:rPr>
          <w:rFonts w:hint="eastAsia" w:ascii="方正公文小标宋" w:hAnsi="方正公文小标宋" w:eastAsia="方正公文小标宋" w:cs="方正公文小标宋"/>
          <w:sz w:val="40"/>
          <w:szCs w:val="48"/>
          <w:lang w:val="en-US" w:eastAsia="zh-CN"/>
        </w:rPr>
      </w:pPr>
      <w:r>
        <w:rPr>
          <w:rFonts w:hint="eastAsia" w:ascii="方正公文小标宋" w:hAnsi="方正公文小标宋" w:eastAsia="方正公文小标宋" w:cs="方正公文小标宋"/>
          <w:sz w:val="40"/>
          <w:szCs w:val="48"/>
          <w:lang w:val="en-US" w:eastAsia="zh-CN"/>
        </w:rPr>
        <w:t>主要材料选用与履约保障承诺函</w:t>
      </w:r>
    </w:p>
    <w:p w14:paraId="63477366">
      <w:pPr>
        <w:jc w:val="center"/>
        <w:rPr>
          <w:rFonts w:hint="eastAsia" w:ascii="方正公文小标宋" w:hAnsi="方正公文小标宋" w:eastAsia="方正公文小标宋" w:cs="方正公文小标宋"/>
          <w:sz w:val="40"/>
          <w:szCs w:val="48"/>
          <w:lang w:val="en-US" w:eastAsia="zh-CN"/>
        </w:rPr>
      </w:pPr>
    </w:p>
    <w:p w14:paraId="51A555E3">
      <w:pPr>
        <w:spacing w:before="78" w:line="360"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致</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17"/>
          <w:sz w:val="24"/>
          <w:szCs w:val="24"/>
          <w:highlight w:val="none"/>
          <w:u w:val="single"/>
          <w:lang w:val="en-US" w:eastAsia="zh-CN"/>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9"/>
          <w:sz w:val="24"/>
          <w:szCs w:val="24"/>
          <w:highlight w:val="none"/>
        </w:rPr>
        <w:t>招标人名称</w:t>
      </w:r>
      <w:r>
        <w:rPr>
          <w:rFonts w:hint="eastAsia" w:ascii="宋体" w:hAnsi="宋体" w:eastAsia="宋体" w:cs="宋体"/>
          <w:color w:val="auto"/>
          <w:spacing w:val="-17"/>
          <w:sz w:val="24"/>
          <w:szCs w:val="24"/>
          <w:highlight w:val="none"/>
        </w:rPr>
        <w:t>）</w:t>
      </w:r>
    </w:p>
    <w:p w14:paraId="5B5CFA14">
      <w:pPr>
        <w:spacing w:before="78" w:line="360" w:lineRule="auto"/>
        <w:rPr>
          <w:rFonts w:hint="eastAsia" w:ascii="宋体" w:hAnsi="宋体" w:eastAsia="宋体" w:cs="宋体"/>
          <w:color w:val="auto"/>
          <w:spacing w:val="-17"/>
          <w:sz w:val="24"/>
          <w:szCs w:val="24"/>
          <w:highlight w:val="none"/>
          <w:u w:val="none"/>
          <w:lang w:val="en-US" w:eastAsia="zh-CN"/>
        </w:rPr>
      </w:pPr>
      <w:r>
        <w:rPr>
          <w:rFonts w:hint="eastAsia" w:ascii="宋体" w:hAnsi="宋体" w:eastAsia="宋体" w:cs="宋体"/>
          <w:color w:val="auto"/>
          <w:spacing w:val="-17"/>
          <w:sz w:val="24"/>
          <w:szCs w:val="24"/>
          <w:highlight w:val="none"/>
          <w:u w:val="none"/>
          <w:lang w:val="en-US" w:eastAsia="zh-CN"/>
        </w:rPr>
        <w:t>为保障</w:t>
      </w:r>
      <w:r>
        <w:rPr>
          <w:rFonts w:hint="eastAsia" w:ascii="宋体" w:hAnsi="宋体" w:eastAsia="宋体" w:cs="宋体"/>
          <w:color w:val="auto"/>
          <w:spacing w:val="7"/>
          <w:sz w:val="24"/>
          <w:szCs w:val="24"/>
          <w:highlight w:val="none"/>
          <w:u w:val="none"/>
        </w:rPr>
        <w:t xml:space="preserve"> </w:t>
      </w:r>
      <w:r>
        <w:rPr>
          <w:rFonts w:hint="eastAsia" w:ascii="宋体" w:hAnsi="宋体" w:eastAsia="宋体" w:cs="宋体"/>
          <w:color w:val="auto"/>
          <w:spacing w:val="7"/>
          <w:sz w:val="24"/>
          <w:szCs w:val="24"/>
          <w:highlight w:val="none"/>
          <w:u w:val="single"/>
        </w:rPr>
        <w:t xml:space="preserve"> （工程项目名称）  </w:t>
      </w:r>
      <w:r>
        <w:rPr>
          <w:rFonts w:hint="eastAsia" w:ascii="宋体" w:hAnsi="宋体" w:eastAsia="宋体" w:cs="宋体"/>
          <w:color w:val="auto"/>
          <w:spacing w:val="-17"/>
          <w:sz w:val="24"/>
          <w:szCs w:val="24"/>
          <w:highlight w:val="none"/>
          <w:u w:val="none"/>
          <w:lang w:val="en-US" w:eastAsia="zh-CN"/>
        </w:rPr>
        <w:t>的施工质量与安全，现郑重向贵司作出如下承诺：</w:t>
      </w:r>
    </w:p>
    <w:p w14:paraId="3DD01AEC">
      <w:pPr>
        <w:numPr>
          <w:ilvl w:val="0"/>
          <w:numId w:val="3"/>
        </w:numPr>
        <w:spacing w:before="78" w:line="360" w:lineRule="auto"/>
        <w:ind w:left="239" w:leftChars="114" w:firstLine="161" w:firstLineChars="63"/>
        <w:rPr>
          <w:rFonts w:hint="eastAsia" w:ascii="宋体" w:hAnsi="宋体" w:eastAsia="宋体" w:cs="宋体"/>
          <w:color w:val="auto"/>
          <w:spacing w:val="8"/>
          <w:sz w:val="24"/>
          <w:szCs w:val="24"/>
          <w:highlight w:val="none"/>
          <w:lang w:val="en-US" w:eastAsia="zh-CN"/>
        </w:rPr>
      </w:pPr>
      <w:r>
        <w:rPr>
          <w:rFonts w:hint="eastAsia" w:ascii="宋体" w:hAnsi="宋体" w:eastAsia="宋体" w:cs="宋体"/>
          <w:color w:val="auto"/>
          <w:spacing w:val="8"/>
          <w:sz w:val="24"/>
          <w:szCs w:val="24"/>
          <w:highlight w:val="none"/>
          <w:lang w:val="en-US" w:eastAsia="zh-CN"/>
        </w:rPr>
        <w:t>材料选用承诺：拟投入本工程的主要材料（如管材、管件、阀门等），将选用</w:t>
      </w:r>
    </w:p>
    <w:p w14:paraId="6EA4243C">
      <w:pPr>
        <w:numPr>
          <w:ilvl w:val="0"/>
          <w:numId w:val="0"/>
        </w:numPr>
        <w:spacing w:before="78" w:line="360" w:lineRule="auto"/>
        <w:rPr>
          <w:rFonts w:hint="eastAsia" w:ascii="宋体" w:hAnsi="宋体" w:eastAsia="宋体" w:cs="宋体"/>
          <w:color w:val="auto"/>
          <w:spacing w:val="8"/>
          <w:sz w:val="24"/>
          <w:szCs w:val="24"/>
          <w:highlight w:val="none"/>
          <w:lang w:val="en-US" w:eastAsia="zh-CN"/>
        </w:rPr>
      </w:pPr>
      <w:r>
        <w:rPr>
          <w:rFonts w:hint="eastAsia" w:ascii="宋体" w:hAnsi="宋体" w:eastAsia="宋体" w:cs="宋体"/>
          <w:color w:val="auto"/>
          <w:spacing w:val="8"/>
          <w:sz w:val="24"/>
          <w:szCs w:val="24"/>
          <w:highlight w:val="none"/>
          <w:u w:val="single"/>
          <w:lang w:val="en-US" w:eastAsia="zh-CN"/>
        </w:rPr>
        <w:t xml:space="preserve">         </w:t>
      </w:r>
      <w:r>
        <w:rPr>
          <w:rFonts w:hint="eastAsia" w:ascii="宋体" w:hAnsi="宋体" w:eastAsia="宋体" w:cs="宋体"/>
          <w:color w:val="auto"/>
          <w:spacing w:val="8"/>
          <w:sz w:val="24"/>
          <w:szCs w:val="24"/>
          <w:highlight w:val="none"/>
          <w:lang w:val="en-US" w:eastAsia="zh-CN"/>
        </w:rPr>
        <w:t>品牌；我方保证该品牌的技术参数、质量性能均相当于或优于参考品牌。</w:t>
      </w:r>
    </w:p>
    <w:p w14:paraId="6C9252CE">
      <w:pPr>
        <w:spacing w:before="78" w:line="360" w:lineRule="auto"/>
        <w:ind w:firstLine="344"/>
        <w:rPr>
          <w:rFonts w:hint="eastAsia" w:ascii="宋体" w:hAnsi="宋体" w:eastAsia="宋体" w:cs="宋体"/>
          <w:color w:val="auto"/>
          <w:spacing w:val="8"/>
          <w:sz w:val="24"/>
          <w:szCs w:val="24"/>
          <w:highlight w:val="none"/>
          <w:lang w:val="en-US" w:eastAsia="zh-CN"/>
        </w:rPr>
      </w:pPr>
      <w:r>
        <w:rPr>
          <w:rFonts w:hint="eastAsia" w:ascii="宋体" w:hAnsi="宋体" w:eastAsia="宋体" w:cs="宋体"/>
          <w:color w:val="auto"/>
          <w:spacing w:val="8"/>
          <w:sz w:val="24"/>
          <w:szCs w:val="24"/>
          <w:highlight w:val="none"/>
        </w:rPr>
        <w:t>（二）</w:t>
      </w:r>
      <w:r>
        <w:rPr>
          <w:rFonts w:hint="eastAsia" w:ascii="宋体" w:hAnsi="宋体" w:eastAsia="宋体" w:cs="宋体"/>
          <w:color w:val="auto"/>
          <w:spacing w:val="8"/>
          <w:sz w:val="24"/>
          <w:szCs w:val="24"/>
          <w:highlight w:val="none"/>
          <w:lang w:val="en-US" w:eastAsia="zh-CN"/>
        </w:rPr>
        <w:t>质量管控与进场验收承诺：所有进场材料均具备合格证及第三方检测报告，严格执行进场查验与见证取样送检，杜绝不合格材料进场。</w:t>
      </w:r>
    </w:p>
    <w:p w14:paraId="75353708">
      <w:pPr>
        <w:spacing w:before="78" w:line="360" w:lineRule="auto"/>
        <w:ind w:firstLine="344"/>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（三）</w:t>
      </w:r>
      <w:r>
        <w:rPr>
          <w:rFonts w:hint="eastAsia" w:ascii="宋体" w:hAnsi="宋体" w:eastAsia="宋体" w:cs="宋体"/>
          <w:color w:val="auto"/>
          <w:spacing w:val="8"/>
          <w:sz w:val="24"/>
          <w:szCs w:val="24"/>
          <w:highlight w:val="none"/>
          <w:lang w:val="en-US" w:eastAsia="zh-CN"/>
        </w:rPr>
        <w:t>履约保障承诺：</w:t>
      </w:r>
      <w:r>
        <w:rPr>
          <w:rFonts w:hint="eastAsia" w:ascii="宋体" w:hAnsi="宋体" w:eastAsia="宋体" w:cs="宋体"/>
          <w:color w:val="auto"/>
          <w:spacing w:val="8"/>
          <w:sz w:val="24"/>
          <w:szCs w:val="24"/>
          <w:highlight w:val="none"/>
        </w:rPr>
        <w:t>若进场材料品牌、规格或质量与承诺不符，我方自愿无条件退换</w:t>
      </w:r>
      <w:r>
        <w:rPr>
          <w:rFonts w:hint="eastAsia" w:ascii="宋体" w:hAnsi="宋体" w:eastAsia="宋体" w:cs="宋体"/>
          <w:color w:val="auto"/>
          <w:spacing w:val="8"/>
          <w:sz w:val="24"/>
          <w:szCs w:val="24"/>
          <w:highlight w:val="none"/>
          <w:lang w:eastAsia="zh-CN"/>
        </w:rPr>
        <w:t>，并</w:t>
      </w:r>
      <w:r>
        <w:rPr>
          <w:rFonts w:hint="eastAsia" w:ascii="宋体" w:hAnsi="宋体" w:eastAsia="宋体" w:cs="宋体"/>
          <w:color w:val="auto"/>
          <w:spacing w:val="8"/>
          <w:sz w:val="24"/>
          <w:szCs w:val="24"/>
          <w:highlight w:val="none"/>
        </w:rPr>
        <w:t>承担由此产生的全部费用及工期损失</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并</w:t>
      </w:r>
      <w:r>
        <w:rPr>
          <w:rFonts w:hint="eastAsia" w:ascii="宋体" w:hAnsi="宋体" w:eastAsia="宋体" w:cs="宋体"/>
          <w:color w:val="auto"/>
          <w:spacing w:val="8"/>
          <w:sz w:val="24"/>
          <w:szCs w:val="24"/>
          <w:highlight w:val="none"/>
          <w:lang w:val="en-US" w:eastAsia="zh-CN"/>
        </w:rPr>
        <w:t>向招标人</w:t>
      </w:r>
      <w:r>
        <w:rPr>
          <w:rFonts w:hint="eastAsia" w:ascii="宋体" w:hAnsi="宋体" w:eastAsia="宋体" w:cs="宋体"/>
          <w:color w:val="auto"/>
          <w:spacing w:val="8"/>
          <w:sz w:val="24"/>
          <w:szCs w:val="24"/>
          <w:highlight w:val="none"/>
        </w:rPr>
        <w:t>支付违约金，违约金金额</w:t>
      </w:r>
      <w:r>
        <w:rPr>
          <w:rFonts w:hint="eastAsia" w:ascii="宋体" w:hAnsi="宋体" w:eastAsia="宋体" w:cs="宋体"/>
          <w:color w:val="auto"/>
          <w:spacing w:val="8"/>
          <w:sz w:val="24"/>
          <w:szCs w:val="24"/>
          <w:highlight w:val="none"/>
          <w:lang w:val="en-US" w:eastAsia="zh-CN"/>
        </w:rPr>
        <w:t>按合同价的</w:t>
      </w:r>
      <w:r>
        <w:rPr>
          <w:rFonts w:hint="eastAsia" w:ascii="宋体" w:hAnsi="宋体" w:eastAsia="宋体" w:cs="宋体"/>
          <w:color w:val="auto"/>
          <w:spacing w:val="8"/>
          <w:sz w:val="24"/>
          <w:szCs w:val="24"/>
          <w:highlight w:val="none"/>
          <w:u w:val="single"/>
          <w:lang w:val="en-US" w:eastAsia="zh-CN"/>
        </w:rPr>
        <w:t xml:space="preserve">    </w:t>
      </w:r>
      <w:r>
        <w:rPr>
          <w:rFonts w:hint="eastAsia" w:ascii="宋体" w:hAnsi="宋体" w:eastAsia="宋体" w:cs="宋体"/>
          <w:color w:val="auto"/>
          <w:spacing w:val="8"/>
          <w:sz w:val="24"/>
          <w:szCs w:val="24"/>
          <w:highlight w:val="none"/>
          <w:u w:val="none"/>
          <w:lang w:val="en-US" w:eastAsia="zh-CN"/>
        </w:rPr>
        <w:t>%计取</w:t>
      </w:r>
      <w:r>
        <w:rPr>
          <w:rFonts w:hint="eastAsia" w:ascii="宋体" w:hAnsi="宋体" w:eastAsia="宋体" w:cs="宋体"/>
          <w:color w:val="auto"/>
          <w:spacing w:val="8"/>
          <w:sz w:val="24"/>
          <w:szCs w:val="24"/>
          <w:highlight w:val="none"/>
        </w:rPr>
        <w:t>。</w:t>
      </w:r>
    </w:p>
    <w:p w14:paraId="2E9E17E5">
      <w:pPr>
        <w:spacing w:before="78" w:line="360" w:lineRule="auto"/>
        <w:ind w:firstLine="344"/>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本承诺函自签字盖章之日起生效，并作为我方投标文件的有效组成部分，具有同等法律效力。</w:t>
      </w:r>
    </w:p>
    <w:p w14:paraId="620D0A1B">
      <w:pPr>
        <w:spacing w:before="78" w:line="360" w:lineRule="auto"/>
        <w:ind w:firstLine="344"/>
        <w:rPr>
          <w:rFonts w:ascii="微软雅黑" w:hAnsi="微软雅黑" w:eastAsia="微软雅黑" w:cs="微软雅黑"/>
          <w:i w:val="0"/>
          <w:iCs w:val="0"/>
          <w:caps w:val="0"/>
          <w:color w:val="222222"/>
          <w:spacing w:val="0"/>
          <w:sz w:val="24"/>
          <w:szCs w:val="24"/>
          <w:shd w:val="clear" w:fill="FFFFFF"/>
        </w:rPr>
      </w:pPr>
    </w:p>
    <w:p w14:paraId="1461045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righ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rPr>
        <w:t>盖电子印章）</w:t>
      </w:r>
    </w:p>
    <w:p w14:paraId="27C6AB8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right"/>
        <w:textAlignment w:val="auto"/>
        <w:outlineLvl w:val="9"/>
        <w:rPr>
          <w:rFonts w:hint="eastAsia" w:ascii="宋体" w:hAnsi="宋体" w:eastAsia="宋体" w:cs="宋体"/>
          <w:color w:val="auto"/>
          <w:sz w:val="21"/>
          <w:szCs w:val="21"/>
          <w:highlight w:val="none"/>
        </w:rPr>
      </w:pPr>
    </w:p>
    <w:p w14:paraId="4EA9E11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righ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（电子签名</w:t>
      </w:r>
      <w:r>
        <w:rPr>
          <w:rFonts w:hint="eastAsia" w:ascii="宋体" w:hAnsi="宋体" w:eastAsia="宋体" w:cs="宋体"/>
          <w:color w:val="auto"/>
          <w:sz w:val="21"/>
          <w:szCs w:val="21"/>
          <w:highlight w:val="none"/>
          <w:lang w:eastAsia="zh-CN"/>
        </w:rPr>
        <w:t>或</w:t>
      </w:r>
      <w:r>
        <w:rPr>
          <w:rFonts w:hint="eastAsia" w:ascii="宋体" w:hAnsi="宋体" w:eastAsia="宋体" w:cs="宋体"/>
          <w:color w:val="auto"/>
          <w:sz w:val="21"/>
          <w:szCs w:val="21"/>
          <w:highlight w:val="none"/>
        </w:rPr>
        <w:t>盖电子印章）</w:t>
      </w:r>
    </w:p>
    <w:p w14:paraId="6B08A1D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right"/>
        <w:textAlignment w:val="auto"/>
        <w:outlineLvl w:val="9"/>
        <w:rPr>
          <w:rFonts w:hint="eastAsia" w:ascii="宋体" w:hAnsi="宋体" w:eastAsia="宋体" w:cs="宋体"/>
          <w:color w:val="auto"/>
          <w:sz w:val="21"/>
          <w:szCs w:val="21"/>
          <w:highlight w:val="none"/>
        </w:rPr>
      </w:pPr>
    </w:p>
    <w:p w14:paraId="278B77B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righ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435E560C">
      <w:pPr>
        <w:spacing w:before="78" w:line="360" w:lineRule="auto"/>
        <w:ind w:firstLine="344"/>
        <w:rPr>
          <w:rFonts w:hint="default" w:ascii="微软雅黑" w:hAnsi="微软雅黑" w:eastAsia="微软雅黑" w:cs="微软雅黑"/>
          <w:i w:val="0"/>
          <w:iCs w:val="0"/>
          <w:caps w:val="0"/>
          <w:color w:val="222222"/>
          <w:spacing w:val="0"/>
          <w:sz w:val="24"/>
          <w:szCs w:val="24"/>
          <w:shd w:val="clear" w:fill="FFFFFF"/>
          <w:lang w:val="en-US" w:eastAsia="zh-CN"/>
        </w:rPr>
      </w:pPr>
    </w:p>
    <w:p w14:paraId="09B15C70">
      <w:pPr>
        <w:pStyle w:val="49"/>
        <w:snapToGrid w:val="0"/>
        <w:spacing w:line="440" w:lineRule="exact"/>
        <w:ind w:left="0" w:leftChars="0" w:firstLine="0" w:firstLineChars="0"/>
        <w:outlineLvl w:val="1"/>
        <w:rPr>
          <w:rStyle w:val="24"/>
          <w:rFonts w:hint="eastAsia" w:ascii="Times New Roman" w:hAnsi="宋体" w:eastAsia="宋体" w:cs="Times New Roman"/>
          <w:b/>
          <w:bCs/>
          <w:color w:val="auto"/>
          <w:sz w:val="21"/>
          <w:szCs w:val="21"/>
          <w:highlight w:val="none"/>
          <w:lang w:val="en-US" w:eastAsia="zh-CN"/>
        </w:rPr>
      </w:pPr>
      <w:r>
        <w:rPr>
          <w:rStyle w:val="47"/>
          <w:rFonts w:hint="eastAsia" w:ascii="宋体" w:hAnsi="宋体" w:eastAsia="宋体" w:cs="宋体"/>
          <w:bCs/>
          <w:color w:val="auto"/>
          <w:kern w:val="2"/>
          <w:sz w:val="21"/>
          <w:szCs w:val="21"/>
          <w:highlight w:val="none"/>
        </w:rPr>
        <w:br w:type="page"/>
      </w:r>
      <w:bookmarkStart w:id="271" w:name="_Toc26911"/>
      <w:bookmarkStart w:id="272" w:name="_Toc29459"/>
      <w:r>
        <w:rPr>
          <w:rStyle w:val="24"/>
          <w:rFonts w:hint="eastAsia" w:ascii="Times New Roman" w:hAnsi="宋体" w:eastAsia="宋体" w:cs="Times New Roman"/>
          <w:b/>
          <w:bCs/>
          <w:color w:val="auto"/>
          <w:sz w:val="21"/>
          <w:szCs w:val="21"/>
          <w:highlight w:val="none"/>
          <w:lang w:eastAsia="zh-CN"/>
        </w:rPr>
        <w:t>格式十</w:t>
      </w:r>
      <w:r>
        <w:rPr>
          <w:rStyle w:val="24"/>
          <w:rFonts w:hint="eastAsia" w:ascii="Times New Roman" w:hAnsi="宋体" w:cs="Times New Roman"/>
          <w:b/>
          <w:bCs/>
          <w:color w:val="auto"/>
          <w:sz w:val="21"/>
          <w:szCs w:val="21"/>
          <w:highlight w:val="none"/>
          <w:lang w:val="en-US" w:eastAsia="zh-CN"/>
        </w:rPr>
        <w:t xml:space="preserve">七  </w:t>
      </w:r>
      <w:r>
        <w:rPr>
          <w:rStyle w:val="24"/>
          <w:rFonts w:hint="eastAsia" w:ascii="Times New Roman" w:hAnsi="宋体" w:eastAsia="宋体" w:cs="Times New Roman"/>
          <w:b/>
          <w:bCs/>
          <w:color w:val="auto"/>
          <w:sz w:val="21"/>
          <w:szCs w:val="21"/>
          <w:highlight w:val="none"/>
          <w:lang w:val="en-US" w:eastAsia="zh-CN"/>
        </w:rPr>
        <w:t>定标因素评审资料</w:t>
      </w:r>
      <w:bookmarkEnd w:id="271"/>
      <w:bookmarkEnd w:id="272"/>
    </w:p>
    <w:p w14:paraId="1FBABC69">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24"/>
          <w:szCs w:val="24"/>
          <w:highlight w:val="none"/>
          <w:lang w:eastAsia="zh-CN"/>
        </w:rPr>
        <w:t>定标因素评审资料</w:t>
      </w:r>
    </w:p>
    <w:p w14:paraId="6109F8B3">
      <w:pPr>
        <w:jc w:val="left"/>
        <w:rPr>
          <w:rFonts w:hint="eastAsia" w:ascii="宋体" w:hAnsi="宋体" w:eastAsia="宋体" w:cs="宋体"/>
          <w:color w:val="auto"/>
          <w:sz w:val="24"/>
          <w:highlight w:val="none"/>
          <w:lang w:eastAsia="zh-CN"/>
        </w:rPr>
      </w:pPr>
    </w:p>
    <w:p w14:paraId="53BC4F7B">
      <w:pPr>
        <w:pStyle w:val="43"/>
        <w:ind w:left="0" w:leftChars="0" w:firstLine="0" w:firstLineChars="0"/>
        <w:rPr>
          <w:rStyle w:val="47"/>
          <w:rFonts w:hint="eastAsia" w:ascii="宋体" w:hAnsi="宋体" w:eastAsia="宋体" w:cs="宋体"/>
          <w:b/>
          <w:bCs/>
          <w:color w:val="auto"/>
          <w:kern w:val="2"/>
          <w:sz w:val="24"/>
          <w:szCs w:val="24"/>
          <w:highlight w:val="none"/>
        </w:rPr>
      </w:pPr>
      <w:r>
        <w:rPr>
          <w:rFonts w:hint="eastAsia" w:ascii="宋体" w:hAnsi="宋体" w:eastAsia="宋体" w:cs="宋体"/>
          <w:b/>
          <w:bCs/>
          <w:color w:val="auto"/>
          <w:sz w:val="24"/>
          <w:szCs w:val="24"/>
          <w:highlight w:val="none"/>
          <w:lang w:val="en-US" w:eastAsia="zh-CN"/>
        </w:rPr>
        <w:t>投标人根据“</w:t>
      </w:r>
      <w:r>
        <w:rPr>
          <w:rFonts w:hint="eastAsia" w:ascii="宋体" w:hAnsi="宋体" w:eastAsia="宋体" w:cs="宋体"/>
          <w:b/>
          <w:bCs/>
          <w:color w:val="auto"/>
          <w:sz w:val="24"/>
          <w:szCs w:val="24"/>
          <w:highlight w:val="none"/>
        </w:rPr>
        <w:t>第</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章 第</w:t>
      </w: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节 定标</w:t>
      </w:r>
      <w:r>
        <w:rPr>
          <w:rFonts w:hint="eastAsia" w:ascii="宋体" w:hAnsi="宋体" w:eastAsia="宋体" w:cs="宋体"/>
          <w:b/>
          <w:bCs/>
          <w:color w:val="auto"/>
          <w:sz w:val="24"/>
          <w:szCs w:val="24"/>
          <w:highlight w:val="none"/>
          <w:lang w:eastAsia="zh-CN"/>
        </w:rPr>
        <w:t>规定</w:t>
      </w:r>
      <w:r>
        <w:rPr>
          <w:rFonts w:hint="eastAsia" w:ascii="宋体" w:hAnsi="宋体" w:eastAsia="宋体" w:cs="宋体"/>
          <w:b/>
          <w:bCs/>
          <w:color w:val="auto"/>
          <w:sz w:val="24"/>
          <w:szCs w:val="24"/>
          <w:highlight w:val="none"/>
          <w:lang w:val="en-US" w:eastAsia="zh-CN"/>
        </w:rPr>
        <w:t>及细则”载明的</w:t>
      </w:r>
      <w:r>
        <w:rPr>
          <w:rFonts w:hint="eastAsia" w:ascii="宋体" w:hAnsi="宋体" w:eastAsia="宋体" w:cs="宋体"/>
          <w:b/>
          <w:bCs/>
          <w:color w:val="auto"/>
          <w:sz w:val="24"/>
          <w:szCs w:val="24"/>
          <w:highlight w:val="none"/>
          <w:lang w:eastAsia="zh-CN"/>
        </w:rPr>
        <w:t>定标因素，</w:t>
      </w:r>
      <w:r>
        <w:rPr>
          <w:rFonts w:hint="eastAsia" w:ascii="宋体" w:hAnsi="宋体" w:eastAsia="宋体" w:cs="宋体"/>
          <w:b/>
          <w:bCs/>
          <w:color w:val="auto"/>
          <w:sz w:val="24"/>
          <w:szCs w:val="24"/>
          <w:highlight w:val="none"/>
          <w:lang w:val="en-US" w:eastAsia="zh-CN"/>
        </w:rPr>
        <w:t>提交</w:t>
      </w:r>
      <w:r>
        <w:rPr>
          <w:rFonts w:hint="eastAsia" w:ascii="宋体" w:hAnsi="宋体" w:eastAsia="宋体" w:cs="宋体"/>
          <w:b/>
          <w:bCs/>
          <w:color w:val="auto"/>
          <w:sz w:val="24"/>
          <w:szCs w:val="24"/>
          <w:highlight w:val="none"/>
          <w:lang w:eastAsia="zh-CN"/>
        </w:rPr>
        <w:t>评审资料。</w:t>
      </w:r>
    </w:p>
    <w:p w14:paraId="14C25B53">
      <w:pPr>
        <w:spacing w:before="78" w:line="219" w:lineRule="auto"/>
        <w:jc w:val="center"/>
        <w:outlineLvl w:val="1"/>
        <w:rPr>
          <w:rFonts w:hint="eastAsia" w:ascii="宋体" w:hAnsi="宋体" w:eastAsia="宋体" w:cs="宋体"/>
          <w:b/>
          <w:bCs/>
          <w:color w:val="auto"/>
          <w:spacing w:val="-3"/>
          <w:sz w:val="24"/>
          <w:szCs w:val="24"/>
          <w:highlight w:val="none"/>
        </w:rPr>
      </w:pPr>
    </w:p>
    <w:p w14:paraId="7A6AD313">
      <w:pPr>
        <w:spacing w:before="78" w:line="219" w:lineRule="auto"/>
        <w:jc w:val="center"/>
        <w:outlineLvl w:val="1"/>
        <w:rPr>
          <w:rFonts w:hint="eastAsia" w:ascii="宋体" w:hAnsi="宋体" w:eastAsia="宋体" w:cs="宋体"/>
          <w:b/>
          <w:bCs/>
          <w:color w:val="auto"/>
          <w:spacing w:val="-3"/>
          <w:sz w:val="24"/>
          <w:szCs w:val="24"/>
          <w:highlight w:val="none"/>
        </w:rPr>
      </w:pPr>
    </w:p>
    <w:p w14:paraId="2495B873">
      <w:pPr>
        <w:spacing w:before="78" w:line="219" w:lineRule="auto"/>
        <w:jc w:val="center"/>
        <w:outlineLvl w:val="1"/>
        <w:rPr>
          <w:rFonts w:hint="eastAsia" w:ascii="宋体" w:hAnsi="宋体" w:eastAsia="宋体" w:cs="宋体"/>
          <w:b/>
          <w:bCs/>
          <w:color w:val="auto"/>
          <w:spacing w:val="-3"/>
          <w:sz w:val="24"/>
          <w:szCs w:val="24"/>
          <w:highlight w:val="none"/>
        </w:rPr>
      </w:pPr>
    </w:p>
    <w:p w14:paraId="7F14BE6C">
      <w:pPr>
        <w:spacing w:before="78" w:line="219" w:lineRule="auto"/>
        <w:jc w:val="center"/>
        <w:outlineLvl w:val="1"/>
        <w:rPr>
          <w:rFonts w:hint="eastAsia" w:ascii="宋体" w:hAnsi="宋体" w:eastAsia="宋体" w:cs="宋体"/>
          <w:b/>
          <w:bCs/>
          <w:color w:val="auto"/>
          <w:spacing w:val="-3"/>
          <w:sz w:val="24"/>
          <w:szCs w:val="24"/>
          <w:highlight w:val="none"/>
        </w:rPr>
      </w:pPr>
    </w:p>
    <w:p w14:paraId="48FF3C2F">
      <w:pPr>
        <w:spacing w:before="78" w:line="219" w:lineRule="auto"/>
        <w:jc w:val="center"/>
        <w:outlineLvl w:val="1"/>
        <w:rPr>
          <w:rFonts w:hint="eastAsia" w:ascii="宋体" w:hAnsi="宋体" w:eastAsia="宋体" w:cs="宋体"/>
          <w:b/>
          <w:bCs/>
          <w:color w:val="auto"/>
          <w:spacing w:val="-3"/>
          <w:sz w:val="24"/>
          <w:szCs w:val="24"/>
          <w:highlight w:val="none"/>
        </w:rPr>
      </w:pPr>
    </w:p>
    <w:p w14:paraId="2290D916">
      <w:pPr>
        <w:spacing w:before="78" w:line="219" w:lineRule="auto"/>
        <w:jc w:val="center"/>
        <w:outlineLvl w:val="1"/>
        <w:rPr>
          <w:rFonts w:hint="eastAsia" w:ascii="宋体" w:hAnsi="宋体" w:eastAsia="宋体" w:cs="宋体"/>
          <w:b/>
          <w:bCs/>
          <w:color w:val="auto"/>
          <w:spacing w:val="-3"/>
          <w:sz w:val="24"/>
          <w:szCs w:val="24"/>
          <w:highlight w:val="none"/>
        </w:rPr>
      </w:pPr>
    </w:p>
    <w:p w14:paraId="391FCD36">
      <w:pPr>
        <w:spacing w:before="78" w:line="219" w:lineRule="auto"/>
        <w:jc w:val="center"/>
        <w:outlineLvl w:val="1"/>
        <w:rPr>
          <w:rFonts w:hint="eastAsia" w:ascii="宋体" w:hAnsi="宋体" w:eastAsia="宋体" w:cs="宋体"/>
          <w:b/>
          <w:bCs/>
          <w:color w:val="auto"/>
          <w:spacing w:val="-3"/>
          <w:sz w:val="24"/>
          <w:szCs w:val="24"/>
          <w:highlight w:val="none"/>
        </w:rPr>
      </w:pPr>
    </w:p>
    <w:p w14:paraId="3C6BB66F">
      <w:pPr>
        <w:spacing w:before="78" w:line="219" w:lineRule="auto"/>
        <w:jc w:val="center"/>
        <w:outlineLvl w:val="1"/>
        <w:rPr>
          <w:rFonts w:hint="eastAsia" w:ascii="宋体" w:hAnsi="宋体" w:eastAsia="宋体" w:cs="宋体"/>
          <w:b/>
          <w:bCs/>
          <w:color w:val="auto"/>
          <w:spacing w:val="-3"/>
          <w:sz w:val="24"/>
          <w:szCs w:val="24"/>
          <w:highlight w:val="none"/>
        </w:rPr>
      </w:pPr>
    </w:p>
    <w:p w14:paraId="2E4A244E">
      <w:pPr>
        <w:spacing w:before="78" w:line="219" w:lineRule="auto"/>
        <w:jc w:val="center"/>
        <w:outlineLvl w:val="1"/>
        <w:rPr>
          <w:rFonts w:hint="eastAsia" w:ascii="宋体" w:hAnsi="宋体" w:eastAsia="宋体" w:cs="宋体"/>
          <w:b/>
          <w:bCs/>
          <w:color w:val="auto"/>
          <w:spacing w:val="-3"/>
          <w:sz w:val="24"/>
          <w:szCs w:val="24"/>
          <w:highlight w:val="none"/>
        </w:rPr>
      </w:pPr>
    </w:p>
    <w:p w14:paraId="765F7C6C">
      <w:pPr>
        <w:spacing w:before="78" w:line="219" w:lineRule="auto"/>
        <w:jc w:val="center"/>
        <w:outlineLvl w:val="1"/>
        <w:rPr>
          <w:rFonts w:hint="eastAsia" w:ascii="宋体" w:hAnsi="宋体" w:eastAsia="宋体" w:cs="宋体"/>
          <w:b/>
          <w:bCs/>
          <w:color w:val="auto"/>
          <w:spacing w:val="-3"/>
          <w:sz w:val="24"/>
          <w:szCs w:val="24"/>
          <w:highlight w:val="none"/>
        </w:rPr>
      </w:pPr>
    </w:p>
    <w:p w14:paraId="23EB9E71">
      <w:pPr>
        <w:spacing w:before="78" w:line="219" w:lineRule="auto"/>
        <w:jc w:val="center"/>
        <w:outlineLvl w:val="1"/>
        <w:rPr>
          <w:rFonts w:hint="eastAsia" w:ascii="宋体" w:hAnsi="宋体" w:eastAsia="宋体" w:cs="宋体"/>
          <w:b/>
          <w:bCs/>
          <w:color w:val="auto"/>
          <w:spacing w:val="-3"/>
          <w:sz w:val="24"/>
          <w:szCs w:val="24"/>
          <w:highlight w:val="none"/>
        </w:rPr>
      </w:pPr>
    </w:p>
    <w:p w14:paraId="15AA33D0">
      <w:pPr>
        <w:spacing w:before="78" w:line="219" w:lineRule="auto"/>
        <w:jc w:val="center"/>
        <w:outlineLvl w:val="1"/>
        <w:rPr>
          <w:rFonts w:hint="eastAsia" w:ascii="宋体" w:hAnsi="宋体" w:eastAsia="宋体" w:cs="宋体"/>
          <w:b/>
          <w:bCs/>
          <w:color w:val="auto"/>
          <w:spacing w:val="-3"/>
          <w:sz w:val="24"/>
          <w:szCs w:val="24"/>
          <w:highlight w:val="none"/>
        </w:rPr>
      </w:pPr>
    </w:p>
    <w:p w14:paraId="7B279407">
      <w:pPr>
        <w:spacing w:before="78" w:line="219" w:lineRule="auto"/>
        <w:jc w:val="center"/>
        <w:outlineLvl w:val="1"/>
        <w:rPr>
          <w:rFonts w:hint="eastAsia" w:ascii="宋体" w:hAnsi="宋体" w:eastAsia="宋体" w:cs="宋体"/>
          <w:b/>
          <w:bCs/>
          <w:color w:val="auto"/>
          <w:spacing w:val="-3"/>
          <w:sz w:val="24"/>
          <w:szCs w:val="24"/>
          <w:highlight w:val="none"/>
        </w:rPr>
      </w:pPr>
    </w:p>
    <w:p w14:paraId="2574C13D">
      <w:pPr>
        <w:spacing w:before="78" w:line="219" w:lineRule="auto"/>
        <w:jc w:val="center"/>
        <w:outlineLvl w:val="1"/>
        <w:rPr>
          <w:rFonts w:hint="eastAsia" w:ascii="宋体" w:hAnsi="宋体" w:eastAsia="宋体" w:cs="宋体"/>
          <w:b/>
          <w:bCs/>
          <w:color w:val="auto"/>
          <w:spacing w:val="-3"/>
          <w:sz w:val="24"/>
          <w:szCs w:val="24"/>
          <w:highlight w:val="none"/>
        </w:rPr>
      </w:pPr>
    </w:p>
    <w:p w14:paraId="7BC7ADD0">
      <w:pPr>
        <w:spacing w:before="78" w:line="219" w:lineRule="auto"/>
        <w:jc w:val="center"/>
        <w:outlineLvl w:val="1"/>
        <w:rPr>
          <w:rFonts w:hint="eastAsia" w:ascii="宋体" w:hAnsi="宋体" w:eastAsia="宋体" w:cs="宋体"/>
          <w:b/>
          <w:bCs/>
          <w:color w:val="auto"/>
          <w:spacing w:val="-3"/>
          <w:sz w:val="24"/>
          <w:szCs w:val="24"/>
          <w:highlight w:val="none"/>
        </w:rPr>
      </w:pPr>
    </w:p>
    <w:p w14:paraId="2E2C18EC">
      <w:pPr>
        <w:spacing w:before="78" w:line="219" w:lineRule="auto"/>
        <w:jc w:val="center"/>
        <w:outlineLvl w:val="1"/>
        <w:rPr>
          <w:rFonts w:hint="eastAsia" w:ascii="宋体" w:hAnsi="宋体" w:eastAsia="宋体" w:cs="宋体"/>
          <w:b/>
          <w:bCs/>
          <w:color w:val="auto"/>
          <w:spacing w:val="-3"/>
          <w:sz w:val="24"/>
          <w:szCs w:val="24"/>
          <w:highlight w:val="none"/>
        </w:rPr>
      </w:pPr>
    </w:p>
    <w:p w14:paraId="4B756AD1">
      <w:pPr>
        <w:spacing w:before="78" w:line="219" w:lineRule="auto"/>
        <w:jc w:val="center"/>
        <w:outlineLvl w:val="1"/>
        <w:rPr>
          <w:rFonts w:hint="eastAsia" w:ascii="宋体" w:hAnsi="宋体" w:eastAsia="宋体" w:cs="宋体"/>
          <w:b/>
          <w:bCs/>
          <w:color w:val="auto"/>
          <w:spacing w:val="-3"/>
          <w:sz w:val="24"/>
          <w:szCs w:val="24"/>
          <w:highlight w:val="none"/>
        </w:rPr>
      </w:pPr>
    </w:p>
    <w:p w14:paraId="053E6982">
      <w:pPr>
        <w:spacing w:before="78" w:line="219" w:lineRule="auto"/>
        <w:jc w:val="center"/>
        <w:outlineLvl w:val="1"/>
        <w:rPr>
          <w:rFonts w:hint="eastAsia" w:ascii="宋体" w:hAnsi="宋体" w:eastAsia="宋体" w:cs="宋体"/>
          <w:b/>
          <w:bCs/>
          <w:color w:val="auto"/>
          <w:spacing w:val="-3"/>
          <w:sz w:val="24"/>
          <w:szCs w:val="24"/>
          <w:highlight w:val="none"/>
        </w:rPr>
      </w:pPr>
    </w:p>
    <w:p w14:paraId="7870DAE2">
      <w:pPr>
        <w:spacing w:before="78" w:line="219" w:lineRule="auto"/>
        <w:jc w:val="center"/>
        <w:outlineLvl w:val="1"/>
        <w:rPr>
          <w:rFonts w:hint="eastAsia" w:ascii="宋体" w:hAnsi="宋体" w:eastAsia="宋体" w:cs="宋体"/>
          <w:b/>
          <w:bCs/>
          <w:color w:val="auto"/>
          <w:spacing w:val="-3"/>
          <w:sz w:val="24"/>
          <w:szCs w:val="24"/>
          <w:highlight w:val="none"/>
        </w:rPr>
      </w:pPr>
    </w:p>
    <w:p w14:paraId="4F14D8C4">
      <w:pPr>
        <w:spacing w:before="78" w:line="219" w:lineRule="auto"/>
        <w:jc w:val="center"/>
        <w:outlineLvl w:val="1"/>
        <w:rPr>
          <w:rFonts w:hint="eastAsia" w:ascii="宋体" w:hAnsi="宋体" w:eastAsia="宋体" w:cs="宋体"/>
          <w:b/>
          <w:bCs/>
          <w:color w:val="auto"/>
          <w:spacing w:val="-3"/>
          <w:sz w:val="24"/>
          <w:szCs w:val="24"/>
          <w:highlight w:val="none"/>
        </w:rPr>
      </w:pPr>
    </w:p>
    <w:p w14:paraId="35A8BC8A">
      <w:pPr>
        <w:spacing w:before="78" w:line="219" w:lineRule="auto"/>
        <w:jc w:val="center"/>
        <w:outlineLvl w:val="1"/>
        <w:rPr>
          <w:rFonts w:hint="eastAsia" w:ascii="宋体" w:hAnsi="宋体" w:eastAsia="宋体" w:cs="宋体"/>
          <w:b/>
          <w:bCs/>
          <w:color w:val="auto"/>
          <w:spacing w:val="-3"/>
          <w:sz w:val="24"/>
          <w:szCs w:val="24"/>
          <w:highlight w:val="none"/>
        </w:rPr>
      </w:pPr>
    </w:p>
    <w:p w14:paraId="27FBC262">
      <w:pPr>
        <w:spacing w:before="78" w:line="219" w:lineRule="auto"/>
        <w:jc w:val="center"/>
        <w:outlineLvl w:val="1"/>
        <w:rPr>
          <w:rFonts w:hint="eastAsia" w:ascii="宋体" w:hAnsi="宋体" w:eastAsia="宋体" w:cs="宋体"/>
          <w:b/>
          <w:bCs/>
          <w:color w:val="auto"/>
          <w:spacing w:val="-3"/>
          <w:sz w:val="24"/>
          <w:szCs w:val="24"/>
          <w:highlight w:val="none"/>
        </w:rPr>
      </w:pPr>
    </w:p>
    <w:p w14:paraId="6CBE51BC">
      <w:pPr>
        <w:spacing w:before="78" w:line="219" w:lineRule="auto"/>
        <w:jc w:val="center"/>
        <w:outlineLvl w:val="1"/>
        <w:rPr>
          <w:rFonts w:hint="eastAsia" w:ascii="宋体" w:hAnsi="宋体" w:eastAsia="宋体" w:cs="宋体"/>
          <w:b/>
          <w:bCs/>
          <w:color w:val="auto"/>
          <w:spacing w:val="-3"/>
          <w:sz w:val="24"/>
          <w:szCs w:val="24"/>
          <w:highlight w:val="none"/>
        </w:rPr>
      </w:pPr>
    </w:p>
    <w:p w14:paraId="360EE02A">
      <w:pPr>
        <w:spacing w:before="78" w:line="219" w:lineRule="auto"/>
        <w:jc w:val="center"/>
        <w:outlineLvl w:val="1"/>
        <w:rPr>
          <w:rFonts w:hint="eastAsia" w:ascii="宋体" w:hAnsi="宋体" w:eastAsia="宋体" w:cs="宋体"/>
          <w:b/>
          <w:bCs/>
          <w:color w:val="auto"/>
          <w:spacing w:val="-3"/>
          <w:sz w:val="24"/>
          <w:szCs w:val="24"/>
          <w:highlight w:val="none"/>
        </w:rPr>
      </w:pPr>
    </w:p>
    <w:p w14:paraId="76926CBB">
      <w:pPr>
        <w:spacing w:before="78" w:line="219" w:lineRule="auto"/>
        <w:jc w:val="center"/>
        <w:outlineLvl w:val="1"/>
        <w:rPr>
          <w:rFonts w:hint="eastAsia" w:ascii="宋体" w:hAnsi="宋体" w:eastAsia="宋体" w:cs="宋体"/>
          <w:b/>
          <w:bCs/>
          <w:color w:val="auto"/>
          <w:spacing w:val="-3"/>
          <w:sz w:val="24"/>
          <w:szCs w:val="24"/>
          <w:highlight w:val="none"/>
        </w:rPr>
      </w:pPr>
    </w:p>
    <w:p w14:paraId="750F22B2">
      <w:pPr>
        <w:spacing w:before="78" w:line="219" w:lineRule="auto"/>
        <w:jc w:val="center"/>
        <w:outlineLvl w:val="1"/>
        <w:rPr>
          <w:rFonts w:hint="eastAsia" w:ascii="宋体" w:hAnsi="宋体" w:eastAsia="宋体" w:cs="宋体"/>
          <w:b/>
          <w:bCs/>
          <w:color w:val="auto"/>
          <w:spacing w:val="-3"/>
          <w:sz w:val="24"/>
          <w:szCs w:val="24"/>
          <w:highlight w:val="none"/>
        </w:rPr>
      </w:pPr>
    </w:p>
    <w:p w14:paraId="0E614BAE">
      <w:pPr>
        <w:spacing w:before="78" w:line="219" w:lineRule="auto"/>
        <w:jc w:val="center"/>
        <w:outlineLvl w:val="1"/>
        <w:rPr>
          <w:rFonts w:hint="eastAsia" w:ascii="宋体" w:hAnsi="宋体" w:eastAsia="宋体" w:cs="宋体"/>
          <w:b/>
          <w:bCs/>
          <w:color w:val="auto"/>
          <w:spacing w:val="-3"/>
          <w:sz w:val="24"/>
          <w:szCs w:val="24"/>
          <w:highlight w:val="none"/>
        </w:rPr>
      </w:pPr>
    </w:p>
    <w:p w14:paraId="657A2391">
      <w:pPr>
        <w:spacing w:before="78" w:line="219" w:lineRule="auto"/>
        <w:jc w:val="center"/>
        <w:outlineLvl w:val="1"/>
        <w:rPr>
          <w:rFonts w:hint="eastAsia" w:ascii="宋体" w:hAnsi="宋体" w:eastAsia="宋体" w:cs="宋体"/>
          <w:b/>
          <w:bCs/>
          <w:color w:val="auto"/>
          <w:spacing w:val="-3"/>
          <w:sz w:val="24"/>
          <w:szCs w:val="24"/>
          <w:highlight w:val="none"/>
        </w:rPr>
      </w:pPr>
    </w:p>
    <w:p w14:paraId="20392549">
      <w:pPr>
        <w:spacing w:before="78" w:line="219" w:lineRule="auto"/>
        <w:jc w:val="center"/>
        <w:outlineLvl w:val="1"/>
        <w:rPr>
          <w:rFonts w:hint="eastAsia" w:ascii="宋体" w:hAnsi="宋体" w:eastAsia="宋体" w:cs="宋体"/>
          <w:b/>
          <w:bCs/>
          <w:color w:val="auto"/>
          <w:spacing w:val="-3"/>
          <w:sz w:val="24"/>
          <w:szCs w:val="24"/>
          <w:highlight w:val="none"/>
        </w:rPr>
      </w:pPr>
    </w:p>
    <w:p w14:paraId="3E85AE23">
      <w:pPr>
        <w:spacing w:before="78" w:line="219" w:lineRule="auto"/>
        <w:jc w:val="center"/>
        <w:outlineLvl w:val="1"/>
        <w:rPr>
          <w:rFonts w:hint="eastAsia" w:ascii="宋体" w:hAnsi="宋体" w:eastAsia="宋体" w:cs="宋体"/>
          <w:b/>
          <w:bCs/>
          <w:color w:val="auto"/>
          <w:spacing w:val="-3"/>
          <w:sz w:val="24"/>
          <w:szCs w:val="24"/>
          <w:highlight w:val="none"/>
        </w:rPr>
      </w:pPr>
    </w:p>
    <w:p w14:paraId="3E68A076">
      <w:pPr>
        <w:spacing w:before="78" w:line="219" w:lineRule="auto"/>
        <w:jc w:val="center"/>
        <w:outlineLvl w:val="1"/>
        <w:rPr>
          <w:rFonts w:hint="eastAsia" w:ascii="宋体" w:hAnsi="宋体" w:eastAsia="宋体" w:cs="宋体"/>
          <w:b/>
          <w:bCs/>
          <w:color w:val="auto"/>
          <w:spacing w:val="-3"/>
          <w:sz w:val="24"/>
          <w:szCs w:val="24"/>
          <w:highlight w:val="none"/>
        </w:rPr>
      </w:pPr>
    </w:p>
    <w:p w14:paraId="6F5EA10B">
      <w:pPr>
        <w:spacing w:before="78" w:line="219" w:lineRule="auto"/>
        <w:jc w:val="center"/>
        <w:outlineLvl w:val="1"/>
        <w:rPr>
          <w:rFonts w:hint="eastAsia" w:ascii="宋体" w:hAnsi="宋体" w:eastAsia="宋体" w:cs="宋体"/>
          <w:b/>
          <w:bCs/>
          <w:color w:val="auto"/>
          <w:spacing w:val="-3"/>
          <w:sz w:val="24"/>
          <w:szCs w:val="24"/>
          <w:highlight w:val="none"/>
        </w:rPr>
      </w:pPr>
    </w:p>
    <w:p w14:paraId="0C629BAA">
      <w:pPr>
        <w:spacing w:before="78" w:line="219" w:lineRule="auto"/>
        <w:jc w:val="center"/>
        <w:outlineLvl w:val="1"/>
        <w:rPr>
          <w:rFonts w:hint="eastAsia" w:ascii="宋体" w:hAnsi="宋体" w:eastAsia="宋体" w:cs="宋体"/>
          <w:b/>
          <w:bCs/>
          <w:color w:val="auto"/>
          <w:spacing w:val="-3"/>
          <w:sz w:val="24"/>
          <w:szCs w:val="24"/>
          <w:highlight w:val="none"/>
        </w:rPr>
      </w:pPr>
    </w:p>
    <w:p w14:paraId="3C9DA96F">
      <w:pPr>
        <w:spacing w:before="78" w:line="219" w:lineRule="auto"/>
        <w:jc w:val="center"/>
        <w:outlineLvl w:val="1"/>
        <w:rPr>
          <w:rFonts w:hint="eastAsia" w:ascii="宋体" w:hAnsi="宋体" w:eastAsia="宋体" w:cs="宋体"/>
          <w:color w:val="auto"/>
          <w:highlight w:val="none"/>
        </w:rPr>
      </w:pPr>
      <w:bookmarkStart w:id="273" w:name="_Toc9193"/>
      <w:r>
        <w:rPr>
          <w:rFonts w:hint="eastAsia" w:ascii="宋体" w:hAnsi="宋体" w:eastAsia="宋体" w:cs="宋体"/>
          <w:b/>
          <w:bCs/>
          <w:color w:val="auto"/>
          <w:spacing w:val="-3"/>
          <w:sz w:val="24"/>
          <w:szCs w:val="24"/>
          <w:highlight w:val="none"/>
        </w:rPr>
        <w:t>第七章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建设工程施工合同</w:t>
      </w:r>
      <w:bookmarkEnd w:id="273"/>
    </w:p>
    <w:p w14:paraId="179363DD">
      <w:pPr>
        <w:pStyle w:val="6"/>
        <w:spacing w:line="257" w:lineRule="auto"/>
        <w:rPr>
          <w:rFonts w:hint="eastAsia" w:ascii="宋体" w:hAnsi="宋体" w:eastAsia="宋体" w:cs="宋体"/>
          <w:color w:val="auto"/>
          <w:highlight w:val="none"/>
        </w:rPr>
      </w:pPr>
    </w:p>
    <w:p w14:paraId="6DEC5D22">
      <w:pPr>
        <w:spacing w:before="78" w:line="324"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（略</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3"/>
          <w:sz w:val="24"/>
          <w:szCs w:val="24"/>
          <w:highlight w:val="none"/>
        </w:rPr>
        <w:t>按《广东省建设工程标准施工合同》（2009 年版）或《建设工程施工合同</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rPr>
        <w:t>（示范文本）》（GF—2017—0201）执行。</w:t>
      </w:r>
    </w:p>
    <w:p w14:paraId="4BB447BE">
      <w:pPr>
        <w:rPr>
          <w:rFonts w:hint="eastAsia" w:ascii="宋体" w:hAnsi="宋体" w:eastAsia="宋体" w:cs="宋体"/>
          <w:color w:val="auto"/>
          <w:highlight w:val="none"/>
        </w:rPr>
      </w:pPr>
    </w:p>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F"/>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auto"/>
    <w:pitch w:val="default"/>
    <w:sig w:usb0="00000000" w:usb1="00000000" w:usb2="0000007F" w:usb3="00000000" w:csb0="203F01FF" w:csb1="D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embedRegular r:id="rId1" w:fontKey="{15011403-4477-4D8A-B67B-47582A8D7AFD}"/>
  </w:font>
  <w:font w:name="方正公文小标宋">
    <w:panose1 w:val="02000500000000000000"/>
    <w:charset w:val="86"/>
    <w:family w:val="auto"/>
    <w:pitch w:val="default"/>
    <w:sig w:usb0="A00002BF" w:usb1="38CF7CFA" w:usb2="00000016" w:usb3="00000000" w:csb0="00040001" w:csb1="00000000"/>
    <w:embedRegular r:id="rId2" w:fontKey="{97C61B14-DAA9-404C-9A69-A883E54821F4}"/>
  </w:font>
  <w:font w:name="WPSEMBED1">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D07F9">
    <w:pPr>
      <w:pStyle w:val="10"/>
    </w:pPr>
    <w:r>
      <w:rPr>
        <w:sz w:val="18"/>
      </w:rPr>
      <mc:AlternateContent>
        <mc:Choice Requires="wps">
          <w:drawing>
            <wp:anchor distT="0" distB="0" distL="114300" distR="114300" simplePos="0" relativeHeight="251679744" behindDoc="0" locked="0" layoutInCell="1" allowOverlap="1">
              <wp:simplePos x="0" y="0"/>
              <wp:positionH relativeFrom="margin">
                <wp:posOffset>3024505</wp:posOffset>
              </wp:positionH>
              <wp:positionV relativeFrom="paragraph">
                <wp:posOffset>-589280</wp:posOffset>
              </wp:positionV>
              <wp:extent cx="133350" cy="33972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33350" cy="339725"/>
                      </a:xfrm>
                      <a:prstGeom prst="rect">
                        <a:avLst/>
                      </a:prstGeom>
                      <a:noFill/>
                      <a:ln>
                        <a:noFill/>
                      </a:ln>
                    </wps:spPr>
                    <wps:txbx>
                      <w:txbxContent>
                        <w:p w14:paraId="5A3393F2">
                          <w:pPr>
                            <w:pStyle w:val="10"/>
                          </w:pPr>
                          <w:r>
                            <w:fldChar w:fldCharType="begin"/>
                          </w:r>
                          <w:r>
                            <w:instrText xml:space="preserve"> PAGE  \* MERGEFORMAT </w:instrText>
                          </w:r>
                          <w:r>
                            <w:fldChar w:fldCharType="separate"/>
                          </w:r>
                          <w:r>
                            <w:t>1</w:t>
                          </w:r>
                          <w:r>
                            <w:fldChar w:fldCharType="end"/>
                          </w:r>
                        </w:p>
                      </w:txbxContent>
                    </wps:txbx>
                    <wps:bodyPr lIns="0" tIns="0" rIns="0" bIns="0" upright="0"/>
                  </wps:wsp>
                </a:graphicData>
              </a:graphic>
            </wp:anchor>
          </w:drawing>
        </mc:Choice>
        <mc:Fallback>
          <w:pict>
            <v:shape id="_x0000_s1026" o:spid="_x0000_s1026" o:spt="202" type="#_x0000_t202" style="position:absolute;left:0pt;margin-left:238.15pt;margin-top:-46.4pt;height:26.75pt;width:10.5pt;mso-position-horizontal-relative:margin;z-index:251679744;mso-width-relative:page;mso-height-relative:page;" filled="f" stroked="f" coordsize="21600,21600" o:gfxdata="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B79DX2QAAAAsBAAAPAAAAAAAAAAEAIAAAACIAAABkcnMvZG93bnJldi54bWxQSwEC&#10;FAAUAAAACACHTuJACW6KoLoBAABzAwAADgAAAAAAAAABACAAAAAoAQAAZHJzL2Uyb0RvYy54bWxQ&#10;SwUGAAAAAAYABgBZAQAAVAUAAAAA&#10;">
              <v:fill on="f" focussize="0,0"/>
              <v:stroke on="f"/>
              <v:imagedata o:title=""/>
              <o:lock v:ext="edit" aspectratio="f"/>
              <v:textbox inset="0mm,0mm,0mm,0mm">
                <w:txbxContent>
                  <w:p w14:paraId="5A3393F2">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D0199">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6448F3">
                          <w:pPr>
                            <w:pStyle w:val="10"/>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WErUc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zpM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WErUcoBAACbAwAADgAAAAAAAAABACAAAAAeAQAAZHJzL2Uyb0Rv&#10;Yy54bWxQSwUGAAAAAAYABgBZAQAAWgUAAAAA&#10;">
              <v:fill on="f" focussize="0,0"/>
              <v:stroke on="f"/>
              <v:imagedata o:title=""/>
              <o:lock v:ext="edit" aspectratio="f"/>
              <v:textbox inset="0mm,0mm,0mm,0mm" style="mso-fit-shape-to-text:t;">
                <w:txbxContent>
                  <w:p w14:paraId="676448F3">
                    <w:pPr>
                      <w:pStyle w:val="10"/>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7FF26">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119CC0">
                          <w:pPr>
                            <w:pStyle w:val="10"/>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HiCcoBAACb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dvKH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kHiCcoBAACbAwAADgAAAAAAAAABACAAAAAeAQAAZHJzL2Uyb0Rv&#10;Yy54bWxQSwUGAAAAAAYABgBZAQAAWgUAAAAA&#10;">
              <v:fill on="f" focussize="0,0"/>
              <v:stroke on="f"/>
              <v:imagedata o:title=""/>
              <o:lock v:ext="edit" aspectratio="f"/>
              <v:textbox inset="0mm,0mm,0mm,0mm" style="mso-fit-shape-to-text:t;">
                <w:txbxContent>
                  <w:p w14:paraId="1F119CC0">
                    <w:pPr>
                      <w:pStyle w:val="10"/>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59332">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D5F1FB">
                          <w:pPr>
                            <w:pStyle w:val="10"/>
                          </w:pPr>
                          <w:r>
                            <w:fldChar w:fldCharType="begin"/>
                          </w:r>
                          <w:r>
                            <w:instrText xml:space="preserve"> PAGE  \* MERGEFORMAT </w:instrText>
                          </w:r>
                          <w:r>
                            <w:fldChar w:fldCharType="separate"/>
                          </w:r>
                          <w:r>
                            <w:t>47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14:paraId="3BD5F1FB">
                    <w:pPr>
                      <w:pStyle w:val="10"/>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DCA5A">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319613">
                          <w:pPr>
                            <w:pStyle w:val="10"/>
                          </w:pPr>
                          <w:r>
                            <w:fldChar w:fldCharType="begin"/>
                          </w:r>
                          <w:r>
                            <w:instrText xml:space="preserve"> PAGE  \* MERGEFORMAT </w:instrText>
                          </w:r>
                          <w:r>
                            <w:fldChar w:fldCharType="separate"/>
                          </w:r>
                          <w:r>
                            <w:t>78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0AeM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ctrShy3OPHzzx/nX3/Ov78T&#10;9KFAfYAa8x4CZqbhgx9wbWY/oDPzHlS0+YuMCMZR3tNFXjkkIvKj1XK1qjAkMDZfEJ89Pg8R0kfp&#10;LclGQyPOr8jKj3eQxtQ5JVdz/lYbU2Zo3H8OxMwelnsfe8xWGnbDRGjn2xPy6XH0DXW46ZSYTw6V&#10;zVsyG3E2drNxCFHvu7JGuR6E94eETZTecoURdiqMMyvspv3KS/HvvWQ9/lO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DQB4yQEAAJsDAAAOAAAAAAAAAAEAIAAAAB4BAABkcnMvZTJvRG9j&#10;LnhtbFBLBQYAAAAABgAGAFkBAABZBQAAAAA=&#10;">
              <v:fill on="f" focussize="0,0"/>
              <v:stroke on="f"/>
              <v:imagedata o:title=""/>
              <o:lock v:ext="edit" aspectratio="f"/>
              <v:textbox inset="0mm,0mm,0mm,0mm" style="mso-fit-shape-to-text:t;">
                <w:txbxContent>
                  <w:p w14:paraId="78319613">
                    <w:pPr>
                      <w:pStyle w:val="10"/>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FDE00">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4DAE0F">
                          <w:pPr>
                            <w:pStyle w:val="10"/>
                          </w:pPr>
                          <w:r>
                            <w:fldChar w:fldCharType="begin"/>
                          </w:r>
                          <w:r>
                            <w:instrText xml:space="preserve"> PAGE  \* MERGEFORMAT </w:instrText>
                          </w:r>
                          <w:r>
                            <w:fldChar w:fldCharType="separate"/>
                          </w:r>
                          <w:r>
                            <w:t>79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v:fill on="f" focussize="0,0"/>
              <v:stroke on="f"/>
              <v:imagedata o:title=""/>
              <o:lock v:ext="edit" aspectratio="f"/>
              <v:textbox inset="0mm,0mm,0mm,0mm" style="mso-fit-shape-to-text:t;">
                <w:txbxContent>
                  <w:p w14:paraId="214DAE0F">
                    <w:pPr>
                      <w:pStyle w:val="10"/>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3E019">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567FB9">
                          <w:pPr>
                            <w:pStyle w:val="10"/>
                          </w:pPr>
                          <w:r>
                            <w:fldChar w:fldCharType="begin"/>
                          </w:r>
                          <w:r>
                            <w:instrText xml:space="preserve"> PAGE  \* MERGEFORMAT </w:instrText>
                          </w:r>
                          <w:r>
                            <w:fldChar w:fldCharType="separate"/>
                          </w:r>
                          <w:r>
                            <w:t>80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29567FB9">
                    <w:pPr>
                      <w:pStyle w:val="10"/>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34BA4">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6616AD">
                          <w:pPr>
                            <w:pStyle w:val="10"/>
                          </w:pPr>
                          <w:r>
                            <w:fldChar w:fldCharType="begin"/>
                          </w:r>
                          <w:r>
                            <w:instrText xml:space="preserve"> PAGE  \* MERGEFORMAT </w:instrText>
                          </w:r>
                          <w:r>
                            <w:fldChar w:fldCharType="separate"/>
                          </w:r>
                          <w:r>
                            <w:t>81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nmGe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4d8ctTvz84/v55+/zr28E&#10;fShQH6DGvMeAmWm48QMmz35AZ+Y9qGjzFxkRjKO8p4u8ckhE5Eer5WpVYUhgbL4gPnt6HiKkO+kt&#10;yUZDI86vyMqP95DG1DklV3P+VhtTZmjcXw7EzB6Wex97zFYadsNEaOfbE/LpcfQNdbjplJiPDpXN&#10;WzIbcTZ2s3EIUe+7ska5HoQPh4RNlN5yhRF2KowzK+ym/cpL8fxesp7+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p5hnvIAQAAmwMAAA4AAAAAAAAAAQAgAAAAHgEAAGRycy9lMm9Eb2Mu&#10;eG1sUEsFBgAAAAAGAAYAWQEAAFgFAAAAAA==&#10;">
              <v:fill on="f" focussize="0,0"/>
              <v:stroke on="f"/>
              <v:imagedata o:title=""/>
              <o:lock v:ext="edit" aspectratio="f"/>
              <v:textbox inset="0mm,0mm,0mm,0mm" style="mso-fit-shape-to-text:t;">
                <w:txbxContent>
                  <w:p w14:paraId="5B6616AD">
                    <w:pPr>
                      <w:pStyle w:val="10"/>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A5013">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5E7166">
                          <w:pPr>
                            <w:pStyle w:val="10"/>
                          </w:pPr>
                          <w:r>
                            <w:fldChar w:fldCharType="begin"/>
                          </w:r>
                          <w:r>
                            <w:instrText xml:space="preserve"> PAGE  \* MERGEFORMAT </w:instrText>
                          </w:r>
                          <w:r>
                            <w:fldChar w:fldCharType="separate"/>
                          </w:r>
                          <w:r>
                            <w:t>83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14:paraId="6E5E7166">
                    <w:pPr>
                      <w:pStyle w:val="10"/>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E90E9">
    <w:pPr>
      <w:pStyle w:val="10"/>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EFCB23">
                          <w:pPr>
                            <w:pStyle w:val="10"/>
                          </w:pPr>
                          <w:r>
                            <w:fldChar w:fldCharType="begin"/>
                          </w:r>
                          <w:r>
                            <w:instrText xml:space="preserve"> PAGE  \* MERGEFORMAT </w:instrText>
                          </w:r>
                          <w:r>
                            <w:fldChar w:fldCharType="separate"/>
                          </w:r>
                          <w:r>
                            <w:t>84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6BEFCB23">
                    <w:pPr>
                      <w:pStyle w:val="10"/>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73186">
    <w:pPr>
      <w:pStyle w:val="10"/>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B5328D">
                          <w:pPr>
                            <w:pStyle w:val="10"/>
                          </w:pPr>
                          <w:r>
                            <w:fldChar w:fldCharType="begin"/>
                          </w:r>
                          <w:r>
                            <w:instrText xml:space="preserve"> PAGE  \* MERGEFORMAT </w:instrText>
                          </w:r>
                          <w:r>
                            <w:fldChar w:fldCharType="separate"/>
                          </w:r>
                          <w:r>
                            <w:t>85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05B5328D">
                    <w:pPr>
                      <w:pStyle w:val="10"/>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79E83">
    <w:pPr>
      <w:pStyle w:val="10"/>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8DD399">
                          <w:pPr>
                            <w:pStyle w:val="10"/>
                          </w:pPr>
                          <w:r>
                            <w:fldChar w:fldCharType="begin"/>
                          </w:r>
                          <w:r>
                            <w:instrText xml:space="preserve"> PAGE  \* MERGEFORMAT </w:instrText>
                          </w:r>
                          <w:r>
                            <w:fldChar w:fldCharType="separate"/>
                          </w:r>
                          <w:r>
                            <w:t>86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7B8DD399">
                    <w:pPr>
                      <w:pStyle w:val="10"/>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10808">
    <w:pPr>
      <w:pStyle w:val="10"/>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382479">
                          <w:pPr>
                            <w:pStyle w:val="10"/>
                          </w:pPr>
                          <w:r>
                            <w:fldChar w:fldCharType="begin"/>
                          </w:r>
                          <w:r>
                            <w:instrText xml:space="preserve"> PAGE  \* MERGEFORMAT </w:instrText>
                          </w:r>
                          <w:r>
                            <w:fldChar w:fldCharType="separate"/>
                          </w:r>
                          <w:r>
                            <w:t>89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41382479">
                    <w:pPr>
                      <w:pStyle w:val="10"/>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0FA81">
    <w:pPr>
      <w:pStyle w:val="10"/>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92879A">
                          <w:pPr>
                            <w:pStyle w:val="10"/>
                          </w:pPr>
                          <w:r>
                            <w:fldChar w:fldCharType="begin"/>
                          </w:r>
                          <w:r>
                            <w:instrText xml:space="preserve"> PAGE  \* MERGEFORMAT </w:instrText>
                          </w:r>
                          <w:r>
                            <w:fldChar w:fldCharType="separate"/>
                          </w:r>
                          <w:r>
                            <w:t>90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2692879A">
                    <w:pPr>
                      <w:pStyle w:val="10"/>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1A343">
    <w:pPr>
      <w:pStyle w:val="10"/>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B21017">
                          <w:pPr>
                            <w:pStyle w:val="10"/>
                          </w:pPr>
                          <w:r>
                            <w:fldChar w:fldCharType="begin"/>
                          </w:r>
                          <w:r>
                            <w:instrText xml:space="preserve"> PAGE  \* MERGEFORMAT </w:instrText>
                          </w:r>
                          <w:r>
                            <w:fldChar w:fldCharType="separate"/>
                          </w:r>
                          <w:r>
                            <w:t>91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4BB21017">
                    <w:pPr>
                      <w:pStyle w:val="10"/>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DCA71">
    <w:pPr>
      <w:pStyle w:val="10"/>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53BFF6">
                          <w:pPr>
                            <w:pStyle w:val="10"/>
                          </w:pPr>
                          <w:r>
                            <w:fldChar w:fldCharType="begin"/>
                          </w:r>
                          <w:r>
                            <w:instrText xml:space="preserve"> PAGE  \* MERGEFORMAT </w:instrText>
                          </w:r>
                          <w:r>
                            <w:fldChar w:fldCharType="separate"/>
                          </w:r>
                          <w:r>
                            <w:t>93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3953BFF6">
                    <w:pPr>
                      <w:pStyle w:val="10"/>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DDC36">
    <w:pPr>
      <w:pStyle w:val="10"/>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12D34B">
                          <w:pPr>
                            <w:pStyle w:val="10"/>
                          </w:pPr>
                          <w:r>
                            <w:fldChar w:fldCharType="begin"/>
                          </w:r>
                          <w:r>
                            <w:instrText xml:space="preserve"> PAGE  \* MERGEFORMAT </w:instrText>
                          </w:r>
                          <w:r>
                            <w:fldChar w:fldCharType="separate"/>
                          </w:r>
                          <w:r>
                            <w:t>94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A12D34B">
                    <w:pPr>
                      <w:pStyle w:val="10"/>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BB37">
    <w:pPr>
      <w:pStyle w:val="10"/>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DDC229">
                          <w:pPr>
                            <w:pStyle w:val="10"/>
                          </w:pPr>
                          <w:r>
                            <w:fldChar w:fldCharType="begin"/>
                          </w:r>
                          <w:r>
                            <w:instrText xml:space="preserve"> PAGE  \* MERGEFORMAT </w:instrText>
                          </w:r>
                          <w:r>
                            <w:fldChar w:fldCharType="separate"/>
                          </w:r>
                          <w:r>
                            <w:t>102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7DDC229">
                    <w:pPr>
                      <w:pStyle w:val="10"/>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60057">
    <w:pPr>
      <w:pStyle w:val="6"/>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01CC2">
    <w:pPr>
      <w:pStyle w:val="6"/>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88046">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decimal"/>
      <w:suff w:val="nothing"/>
      <w:lvlText w:val="（%1）"/>
      <w:lvlJc w:val="left"/>
    </w:lvl>
  </w:abstractNum>
  <w:abstractNum w:abstractNumId="1">
    <w:nsid w:val="240CEE03"/>
    <w:multiLevelType w:val="singleLevel"/>
    <w:tmpl w:val="240CEE03"/>
    <w:lvl w:ilvl="0" w:tentative="0">
      <w:start w:val="3"/>
      <w:numFmt w:val="decimal"/>
      <w:suff w:val="space"/>
      <w:lvlText w:val="%1."/>
      <w:lvlJc w:val="left"/>
    </w:lvl>
  </w:abstractNum>
  <w:abstractNum w:abstractNumId="2">
    <w:nsid w:val="2E9C5FBE"/>
    <w:multiLevelType w:val="singleLevel"/>
    <w:tmpl w:val="2E9C5FBE"/>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ZmUxYzUwZTk0YWQ4OWIxZDY5YjRhZmIwMjUzNzMifQ=="/>
  </w:docVars>
  <w:rsids>
    <w:rsidRoot w:val="4F582EF7"/>
    <w:rsid w:val="00072C34"/>
    <w:rsid w:val="00473031"/>
    <w:rsid w:val="00824069"/>
    <w:rsid w:val="00A65FA9"/>
    <w:rsid w:val="00AA0437"/>
    <w:rsid w:val="00D61DC8"/>
    <w:rsid w:val="010B1F32"/>
    <w:rsid w:val="01276505"/>
    <w:rsid w:val="013F232E"/>
    <w:rsid w:val="014C6B51"/>
    <w:rsid w:val="018B7D8A"/>
    <w:rsid w:val="01B6213A"/>
    <w:rsid w:val="01BE1198"/>
    <w:rsid w:val="01E25ABE"/>
    <w:rsid w:val="01EE7C08"/>
    <w:rsid w:val="01FD63CC"/>
    <w:rsid w:val="02337D11"/>
    <w:rsid w:val="023B3D55"/>
    <w:rsid w:val="02421D02"/>
    <w:rsid w:val="024F6BF1"/>
    <w:rsid w:val="02662A7A"/>
    <w:rsid w:val="028B7528"/>
    <w:rsid w:val="02A76756"/>
    <w:rsid w:val="02B250DA"/>
    <w:rsid w:val="02BF0C55"/>
    <w:rsid w:val="02CF32AF"/>
    <w:rsid w:val="02F13018"/>
    <w:rsid w:val="031418F0"/>
    <w:rsid w:val="0358304C"/>
    <w:rsid w:val="03661A20"/>
    <w:rsid w:val="039E06FB"/>
    <w:rsid w:val="04021749"/>
    <w:rsid w:val="04221DEB"/>
    <w:rsid w:val="04522D7C"/>
    <w:rsid w:val="04B67F25"/>
    <w:rsid w:val="04BF763A"/>
    <w:rsid w:val="04E2157A"/>
    <w:rsid w:val="04ED07CA"/>
    <w:rsid w:val="04EF43C3"/>
    <w:rsid w:val="050B1B91"/>
    <w:rsid w:val="050E4E89"/>
    <w:rsid w:val="055E6E53"/>
    <w:rsid w:val="056C5F91"/>
    <w:rsid w:val="058F34B0"/>
    <w:rsid w:val="05D4768F"/>
    <w:rsid w:val="05E67124"/>
    <w:rsid w:val="05E732EC"/>
    <w:rsid w:val="05EC614B"/>
    <w:rsid w:val="062235DD"/>
    <w:rsid w:val="063C112F"/>
    <w:rsid w:val="06856661"/>
    <w:rsid w:val="069B537E"/>
    <w:rsid w:val="06A065A2"/>
    <w:rsid w:val="06C70A28"/>
    <w:rsid w:val="06C929F2"/>
    <w:rsid w:val="06CA23DC"/>
    <w:rsid w:val="06D05B2E"/>
    <w:rsid w:val="06DD024B"/>
    <w:rsid w:val="07001B9F"/>
    <w:rsid w:val="07133987"/>
    <w:rsid w:val="0721282E"/>
    <w:rsid w:val="07520C39"/>
    <w:rsid w:val="07A1396F"/>
    <w:rsid w:val="07A71DAB"/>
    <w:rsid w:val="07B92A66"/>
    <w:rsid w:val="07DE24CD"/>
    <w:rsid w:val="086230FE"/>
    <w:rsid w:val="088C763C"/>
    <w:rsid w:val="08CD7283"/>
    <w:rsid w:val="08E41D65"/>
    <w:rsid w:val="08EB6C4F"/>
    <w:rsid w:val="08ED6E6B"/>
    <w:rsid w:val="092D5890"/>
    <w:rsid w:val="09377CD6"/>
    <w:rsid w:val="0963211F"/>
    <w:rsid w:val="09724BB7"/>
    <w:rsid w:val="09A62A72"/>
    <w:rsid w:val="09C807D3"/>
    <w:rsid w:val="09E65669"/>
    <w:rsid w:val="09F06AB0"/>
    <w:rsid w:val="09F2400E"/>
    <w:rsid w:val="09FA34EB"/>
    <w:rsid w:val="09FF4A68"/>
    <w:rsid w:val="0A62467A"/>
    <w:rsid w:val="0A7D4664"/>
    <w:rsid w:val="0A87732E"/>
    <w:rsid w:val="0ABB4F07"/>
    <w:rsid w:val="0AD33307"/>
    <w:rsid w:val="0AE05E8C"/>
    <w:rsid w:val="0AF3628F"/>
    <w:rsid w:val="0B3866B7"/>
    <w:rsid w:val="0B666A61"/>
    <w:rsid w:val="0B9E41C6"/>
    <w:rsid w:val="0BC6217A"/>
    <w:rsid w:val="0BD240F7"/>
    <w:rsid w:val="0C120997"/>
    <w:rsid w:val="0C2A7A8F"/>
    <w:rsid w:val="0C2B1A59"/>
    <w:rsid w:val="0C4153D2"/>
    <w:rsid w:val="0C443DDF"/>
    <w:rsid w:val="0C49746F"/>
    <w:rsid w:val="0C597D15"/>
    <w:rsid w:val="0CA07D76"/>
    <w:rsid w:val="0CA27F6D"/>
    <w:rsid w:val="0CF14A50"/>
    <w:rsid w:val="0D03679A"/>
    <w:rsid w:val="0D3B3F1D"/>
    <w:rsid w:val="0D4F62D4"/>
    <w:rsid w:val="0D6F2B98"/>
    <w:rsid w:val="0DCB0DFD"/>
    <w:rsid w:val="0DCE22AF"/>
    <w:rsid w:val="0DE75219"/>
    <w:rsid w:val="0DF525DE"/>
    <w:rsid w:val="0DF61CE0"/>
    <w:rsid w:val="0DF86616"/>
    <w:rsid w:val="0DFC7414"/>
    <w:rsid w:val="0E1E1875"/>
    <w:rsid w:val="0E460DCC"/>
    <w:rsid w:val="0E5E6115"/>
    <w:rsid w:val="0E684952"/>
    <w:rsid w:val="0E86353F"/>
    <w:rsid w:val="0E8E37ED"/>
    <w:rsid w:val="0EAF2E14"/>
    <w:rsid w:val="0EBD2E3C"/>
    <w:rsid w:val="0EDB59B8"/>
    <w:rsid w:val="0F1C2D99"/>
    <w:rsid w:val="0F69076D"/>
    <w:rsid w:val="0F6F04DC"/>
    <w:rsid w:val="0F8B6DD7"/>
    <w:rsid w:val="0FA40799"/>
    <w:rsid w:val="0FC74213"/>
    <w:rsid w:val="105858FC"/>
    <w:rsid w:val="106C3AC2"/>
    <w:rsid w:val="108403E2"/>
    <w:rsid w:val="109275A9"/>
    <w:rsid w:val="10C15734"/>
    <w:rsid w:val="10C44237"/>
    <w:rsid w:val="10C761F4"/>
    <w:rsid w:val="11124F95"/>
    <w:rsid w:val="11164A85"/>
    <w:rsid w:val="1122342A"/>
    <w:rsid w:val="11533574"/>
    <w:rsid w:val="11785740"/>
    <w:rsid w:val="117A3266"/>
    <w:rsid w:val="11862732"/>
    <w:rsid w:val="118F278E"/>
    <w:rsid w:val="119D4F21"/>
    <w:rsid w:val="11A47985"/>
    <w:rsid w:val="11AC40AD"/>
    <w:rsid w:val="11C67A56"/>
    <w:rsid w:val="11D80D88"/>
    <w:rsid w:val="124573B6"/>
    <w:rsid w:val="12474DCB"/>
    <w:rsid w:val="12527641"/>
    <w:rsid w:val="126805E3"/>
    <w:rsid w:val="12E7492B"/>
    <w:rsid w:val="12E74FC1"/>
    <w:rsid w:val="12F27F6E"/>
    <w:rsid w:val="14141B79"/>
    <w:rsid w:val="144B7C59"/>
    <w:rsid w:val="1457788F"/>
    <w:rsid w:val="14757DAD"/>
    <w:rsid w:val="14760C96"/>
    <w:rsid w:val="14882C02"/>
    <w:rsid w:val="14D013EF"/>
    <w:rsid w:val="150A2744"/>
    <w:rsid w:val="150D2643"/>
    <w:rsid w:val="15115C90"/>
    <w:rsid w:val="154D2A40"/>
    <w:rsid w:val="155A4F75"/>
    <w:rsid w:val="15763D45"/>
    <w:rsid w:val="15853F88"/>
    <w:rsid w:val="15A45AE5"/>
    <w:rsid w:val="15AD48B2"/>
    <w:rsid w:val="15D97B34"/>
    <w:rsid w:val="15DC13FE"/>
    <w:rsid w:val="15E038B4"/>
    <w:rsid w:val="16005D04"/>
    <w:rsid w:val="160E0085"/>
    <w:rsid w:val="162E6E4D"/>
    <w:rsid w:val="16443E43"/>
    <w:rsid w:val="16737FC1"/>
    <w:rsid w:val="16C17241"/>
    <w:rsid w:val="16CB00C0"/>
    <w:rsid w:val="16CB4A2F"/>
    <w:rsid w:val="1722468F"/>
    <w:rsid w:val="173C4B1A"/>
    <w:rsid w:val="17440A2C"/>
    <w:rsid w:val="176127D3"/>
    <w:rsid w:val="17726DD2"/>
    <w:rsid w:val="17C50FB3"/>
    <w:rsid w:val="17F17647"/>
    <w:rsid w:val="18226406"/>
    <w:rsid w:val="182A472E"/>
    <w:rsid w:val="18602A8A"/>
    <w:rsid w:val="190B3062"/>
    <w:rsid w:val="193071FD"/>
    <w:rsid w:val="1963464B"/>
    <w:rsid w:val="197764F6"/>
    <w:rsid w:val="1981143D"/>
    <w:rsid w:val="19BC1F42"/>
    <w:rsid w:val="1A314705"/>
    <w:rsid w:val="1A3A6836"/>
    <w:rsid w:val="1A584D7E"/>
    <w:rsid w:val="1A5B5BFF"/>
    <w:rsid w:val="1A5D1977"/>
    <w:rsid w:val="1AC50DC4"/>
    <w:rsid w:val="1AE57555"/>
    <w:rsid w:val="1B0A266C"/>
    <w:rsid w:val="1B656D35"/>
    <w:rsid w:val="1B6A170F"/>
    <w:rsid w:val="1B745FC1"/>
    <w:rsid w:val="1B79458F"/>
    <w:rsid w:val="1B8D003A"/>
    <w:rsid w:val="1BC752FA"/>
    <w:rsid w:val="1BEC4D61"/>
    <w:rsid w:val="1C22061E"/>
    <w:rsid w:val="1C2A3ADB"/>
    <w:rsid w:val="1C324211"/>
    <w:rsid w:val="1C4A1A87"/>
    <w:rsid w:val="1C512E14"/>
    <w:rsid w:val="1C5632C7"/>
    <w:rsid w:val="1C71563E"/>
    <w:rsid w:val="1C7F3E27"/>
    <w:rsid w:val="1C827473"/>
    <w:rsid w:val="1D880AB9"/>
    <w:rsid w:val="1DA27862"/>
    <w:rsid w:val="1DE11B57"/>
    <w:rsid w:val="1E11303E"/>
    <w:rsid w:val="1E193E07"/>
    <w:rsid w:val="1E206F43"/>
    <w:rsid w:val="1E3B5B2B"/>
    <w:rsid w:val="1E491296"/>
    <w:rsid w:val="1E4F7829"/>
    <w:rsid w:val="1E5D49E3"/>
    <w:rsid w:val="1E994221"/>
    <w:rsid w:val="1EDA5344"/>
    <w:rsid w:val="1EE13915"/>
    <w:rsid w:val="1EE461C3"/>
    <w:rsid w:val="1F077682"/>
    <w:rsid w:val="1F152820"/>
    <w:rsid w:val="1F487665"/>
    <w:rsid w:val="1F683A66"/>
    <w:rsid w:val="1F75092B"/>
    <w:rsid w:val="1F7F5EEC"/>
    <w:rsid w:val="1F875754"/>
    <w:rsid w:val="1FFE32B4"/>
    <w:rsid w:val="2020237A"/>
    <w:rsid w:val="20515ADA"/>
    <w:rsid w:val="20656D9A"/>
    <w:rsid w:val="20801F1B"/>
    <w:rsid w:val="208A4B48"/>
    <w:rsid w:val="209669C5"/>
    <w:rsid w:val="20B16579"/>
    <w:rsid w:val="20C37337"/>
    <w:rsid w:val="20CB1F07"/>
    <w:rsid w:val="20F6072B"/>
    <w:rsid w:val="20F85F56"/>
    <w:rsid w:val="20FE449A"/>
    <w:rsid w:val="21090925"/>
    <w:rsid w:val="21162880"/>
    <w:rsid w:val="211712A5"/>
    <w:rsid w:val="21244F9D"/>
    <w:rsid w:val="213315AC"/>
    <w:rsid w:val="213362C5"/>
    <w:rsid w:val="213D3171"/>
    <w:rsid w:val="21F44FD4"/>
    <w:rsid w:val="222C2B90"/>
    <w:rsid w:val="22457E73"/>
    <w:rsid w:val="22466B3F"/>
    <w:rsid w:val="22837AA1"/>
    <w:rsid w:val="22884FD6"/>
    <w:rsid w:val="22F866E1"/>
    <w:rsid w:val="2304572A"/>
    <w:rsid w:val="23213C5D"/>
    <w:rsid w:val="232C2DD6"/>
    <w:rsid w:val="2331574F"/>
    <w:rsid w:val="233953DA"/>
    <w:rsid w:val="233D0598"/>
    <w:rsid w:val="234017CA"/>
    <w:rsid w:val="235B72E4"/>
    <w:rsid w:val="23757D31"/>
    <w:rsid w:val="23931F66"/>
    <w:rsid w:val="23C465C3"/>
    <w:rsid w:val="24262DDA"/>
    <w:rsid w:val="2446643F"/>
    <w:rsid w:val="24521E21"/>
    <w:rsid w:val="24594F5D"/>
    <w:rsid w:val="246102B6"/>
    <w:rsid w:val="24782AD4"/>
    <w:rsid w:val="248726E0"/>
    <w:rsid w:val="249C3951"/>
    <w:rsid w:val="24DB3BC4"/>
    <w:rsid w:val="24EF0213"/>
    <w:rsid w:val="24FA6740"/>
    <w:rsid w:val="25004979"/>
    <w:rsid w:val="25243F0A"/>
    <w:rsid w:val="252C36B2"/>
    <w:rsid w:val="2535226A"/>
    <w:rsid w:val="253A7C36"/>
    <w:rsid w:val="254C2D14"/>
    <w:rsid w:val="25695674"/>
    <w:rsid w:val="256D06AE"/>
    <w:rsid w:val="256E2C8A"/>
    <w:rsid w:val="2582242A"/>
    <w:rsid w:val="259D2ECD"/>
    <w:rsid w:val="25A55F80"/>
    <w:rsid w:val="25B20381"/>
    <w:rsid w:val="25E62821"/>
    <w:rsid w:val="25F25669"/>
    <w:rsid w:val="260B04D9"/>
    <w:rsid w:val="264763B7"/>
    <w:rsid w:val="2672726E"/>
    <w:rsid w:val="26734FA1"/>
    <w:rsid w:val="26881A92"/>
    <w:rsid w:val="268B2A3A"/>
    <w:rsid w:val="268B3DAD"/>
    <w:rsid w:val="26962499"/>
    <w:rsid w:val="26A61FB0"/>
    <w:rsid w:val="26EE0B24"/>
    <w:rsid w:val="2703598D"/>
    <w:rsid w:val="27035E88"/>
    <w:rsid w:val="27415C62"/>
    <w:rsid w:val="277A5916"/>
    <w:rsid w:val="27B65EBB"/>
    <w:rsid w:val="27B92C6D"/>
    <w:rsid w:val="27CA47C6"/>
    <w:rsid w:val="282B4E63"/>
    <w:rsid w:val="28884FF7"/>
    <w:rsid w:val="289A5B44"/>
    <w:rsid w:val="289F315B"/>
    <w:rsid w:val="28D472A8"/>
    <w:rsid w:val="29017971"/>
    <w:rsid w:val="290F389D"/>
    <w:rsid w:val="2921623E"/>
    <w:rsid w:val="2962542C"/>
    <w:rsid w:val="299E36C0"/>
    <w:rsid w:val="29CC6CA4"/>
    <w:rsid w:val="29EE6148"/>
    <w:rsid w:val="2A9C3DF6"/>
    <w:rsid w:val="2B0D34BE"/>
    <w:rsid w:val="2B197546"/>
    <w:rsid w:val="2B367172"/>
    <w:rsid w:val="2B5B15BB"/>
    <w:rsid w:val="2B7314CC"/>
    <w:rsid w:val="2B784A6E"/>
    <w:rsid w:val="2B905C30"/>
    <w:rsid w:val="2B9A7B07"/>
    <w:rsid w:val="2BA07916"/>
    <w:rsid w:val="2BAE2033"/>
    <w:rsid w:val="2BB37649"/>
    <w:rsid w:val="2BC9037C"/>
    <w:rsid w:val="2BFB5B18"/>
    <w:rsid w:val="2BFD3113"/>
    <w:rsid w:val="2C0003B4"/>
    <w:rsid w:val="2C1005F7"/>
    <w:rsid w:val="2C15160E"/>
    <w:rsid w:val="2C44430E"/>
    <w:rsid w:val="2C4F172C"/>
    <w:rsid w:val="2C9C00DD"/>
    <w:rsid w:val="2CA156F3"/>
    <w:rsid w:val="2CD4098C"/>
    <w:rsid w:val="2CF47382"/>
    <w:rsid w:val="2CFF066C"/>
    <w:rsid w:val="2D1F1649"/>
    <w:rsid w:val="2D7F496C"/>
    <w:rsid w:val="2D906B09"/>
    <w:rsid w:val="2D9C5EBB"/>
    <w:rsid w:val="2DB9602B"/>
    <w:rsid w:val="2DD973AC"/>
    <w:rsid w:val="2DE03FF9"/>
    <w:rsid w:val="2DFB1659"/>
    <w:rsid w:val="2E0221C2"/>
    <w:rsid w:val="2E31796B"/>
    <w:rsid w:val="2E5302D6"/>
    <w:rsid w:val="2E611B70"/>
    <w:rsid w:val="2E7C7067"/>
    <w:rsid w:val="2E9A689E"/>
    <w:rsid w:val="2EA96AE1"/>
    <w:rsid w:val="2EC851B9"/>
    <w:rsid w:val="2ECB6A58"/>
    <w:rsid w:val="2EDD4BB1"/>
    <w:rsid w:val="2EE93382"/>
    <w:rsid w:val="2EE95130"/>
    <w:rsid w:val="2F01185F"/>
    <w:rsid w:val="2F2729AC"/>
    <w:rsid w:val="2F3C0F4C"/>
    <w:rsid w:val="2F950E14"/>
    <w:rsid w:val="2FB82F9F"/>
    <w:rsid w:val="2FCB3049"/>
    <w:rsid w:val="2FE418AC"/>
    <w:rsid w:val="2FE5383E"/>
    <w:rsid w:val="2FEA4C7F"/>
    <w:rsid w:val="30330D58"/>
    <w:rsid w:val="3037089D"/>
    <w:rsid w:val="30E07611"/>
    <w:rsid w:val="30EA3353"/>
    <w:rsid w:val="31013C49"/>
    <w:rsid w:val="312319EF"/>
    <w:rsid w:val="313C778B"/>
    <w:rsid w:val="318D4356"/>
    <w:rsid w:val="318F6462"/>
    <w:rsid w:val="321A2D0F"/>
    <w:rsid w:val="32382656"/>
    <w:rsid w:val="323D7C6C"/>
    <w:rsid w:val="324D664C"/>
    <w:rsid w:val="3267118D"/>
    <w:rsid w:val="32870EE7"/>
    <w:rsid w:val="32A55811"/>
    <w:rsid w:val="32BE6EB2"/>
    <w:rsid w:val="32C7154E"/>
    <w:rsid w:val="33156D5E"/>
    <w:rsid w:val="3317207A"/>
    <w:rsid w:val="331A6B7B"/>
    <w:rsid w:val="331F2052"/>
    <w:rsid w:val="333554DB"/>
    <w:rsid w:val="33396D39"/>
    <w:rsid w:val="33643EF5"/>
    <w:rsid w:val="33D80BF4"/>
    <w:rsid w:val="33D939C5"/>
    <w:rsid w:val="33F77F81"/>
    <w:rsid w:val="34254482"/>
    <w:rsid w:val="343878DE"/>
    <w:rsid w:val="346F257B"/>
    <w:rsid w:val="347B398E"/>
    <w:rsid w:val="348C4EDB"/>
    <w:rsid w:val="348F605A"/>
    <w:rsid w:val="34E716B6"/>
    <w:rsid w:val="3505113E"/>
    <w:rsid w:val="35233259"/>
    <w:rsid w:val="35357321"/>
    <w:rsid w:val="355115AF"/>
    <w:rsid w:val="355C6968"/>
    <w:rsid w:val="359F2BE0"/>
    <w:rsid w:val="35AE6CC5"/>
    <w:rsid w:val="35CB4FA0"/>
    <w:rsid w:val="35FC399A"/>
    <w:rsid w:val="362A675A"/>
    <w:rsid w:val="36B60605"/>
    <w:rsid w:val="36DB3EF8"/>
    <w:rsid w:val="36DB7A54"/>
    <w:rsid w:val="36EC39E0"/>
    <w:rsid w:val="372C3702"/>
    <w:rsid w:val="37484E0B"/>
    <w:rsid w:val="37647A49"/>
    <w:rsid w:val="37704640"/>
    <w:rsid w:val="37704A11"/>
    <w:rsid w:val="37C45ACE"/>
    <w:rsid w:val="37D3697D"/>
    <w:rsid w:val="37DF2D89"/>
    <w:rsid w:val="37E335F2"/>
    <w:rsid w:val="37FE7E9E"/>
    <w:rsid w:val="3835053A"/>
    <w:rsid w:val="386B727B"/>
    <w:rsid w:val="3872790A"/>
    <w:rsid w:val="38BE1535"/>
    <w:rsid w:val="38F848ED"/>
    <w:rsid w:val="39194863"/>
    <w:rsid w:val="391D7376"/>
    <w:rsid w:val="39403E21"/>
    <w:rsid w:val="397A7B42"/>
    <w:rsid w:val="399A1E48"/>
    <w:rsid w:val="39B4157B"/>
    <w:rsid w:val="39D55A01"/>
    <w:rsid w:val="39DA2245"/>
    <w:rsid w:val="3A104D75"/>
    <w:rsid w:val="3A344D97"/>
    <w:rsid w:val="3A3F1636"/>
    <w:rsid w:val="3A4C2C68"/>
    <w:rsid w:val="3A4D1A2B"/>
    <w:rsid w:val="3A5244D1"/>
    <w:rsid w:val="3A5E69D2"/>
    <w:rsid w:val="3A780A05"/>
    <w:rsid w:val="3B2C2F74"/>
    <w:rsid w:val="3B3415C4"/>
    <w:rsid w:val="3B345984"/>
    <w:rsid w:val="3B351E28"/>
    <w:rsid w:val="3B4F53C1"/>
    <w:rsid w:val="3B626996"/>
    <w:rsid w:val="3B6C6BA3"/>
    <w:rsid w:val="3B78218B"/>
    <w:rsid w:val="3BAE3989"/>
    <w:rsid w:val="3BB15227"/>
    <w:rsid w:val="3BF02721"/>
    <w:rsid w:val="3BFA0A8A"/>
    <w:rsid w:val="3C177D40"/>
    <w:rsid w:val="3C242530"/>
    <w:rsid w:val="3C4165AB"/>
    <w:rsid w:val="3CCA02B2"/>
    <w:rsid w:val="3CD613E9"/>
    <w:rsid w:val="3CE62383"/>
    <w:rsid w:val="3CEC7A2A"/>
    <w:rsid w:val="3D0433A8"/>
    <w:rsid w:val="3D0F69B6"/>
    <w:rsid w:val="3D2959BD"/>
    <w:rsid w:val="3D3219D3"/>
    <w:rsid w:val="3D3474F8"/>
    <w:rsid w:val="3DB50FFF"/>
    <w:rsid w:val="3DCE35B6"/>
    <w:rsid w:val="3DD136B5"/>
    <w:rsid w:val="3DD5344F"/>
    <w:rsid w:val="3E0F3EB7"/>
    <w:rsid w:val="3E2609B2"/>
    <w:rsid w:val="3E6D7B2B"/>
    <w:rsid w:val="3E76426F"/>
    <w:rsid w:val="3E7F6463"/>
    <w:rsid w:val="3E962D65"/>
    <w:rsid w:val="3E9C707D"/>
    <w:rsid w:val="3E9E1A93"/>
    <w:rsid w:val="3EA51073"/>
    <w:rsid w:val="3ECB4852"/>
    <w:rsid w:val="3ED731F7"/>
    <w:rsid w:val="3EE85404"/>
    <w:rsid w:val="3EEB0292"/>
    <w:rsid w:val="3F235AF6"/>
    <w:rsid w:val="3F281B00"/>
    <w:rsid w:val="3F6A7BC7"/>
    <w:rsid w:val="3F930BE9"/>
    <w:rsid w:val="3F952DC8"/>
    <w:rsid w:val="3FE15005"/>
    <w:rsid w:val="3FE77469"/>
    <w:rsid w:val="400E2C48"/>
    <w:rsid w:val="40664D7E"/>
    <w:rsid w:val="407623F3"/>
    <w:rsid w:val="407E19EB"/>
    <w:rsid w:val="40ED6D01"/>
    <w:rsid w:val="411B561D"/>
    <w:rsid w:val="41216845"/>
    <w:rsid w:val="413A36FE"/>
    <w:rsid w:val="4176014F"/>
    <w:rsid w:val="41943BAD"/>
    <w:rsid w:val="42092656"/>
    <w:rsid w:val="4213220D"/>
    <w:rsid w:val="4235270E"/>
    <w:rsid w:val="423F17DF"/>
    <w:rsid w:val="42461BF0"/>
    <w:rsid w:val="424C7A58"/>
    <w:rsid w:val="427179B7"/>
    <w:rsid w:val="428D039F"/>
    <w:rsid w:val="429E2362"/>
    <w:rsid w:val="42D261AF"/>
    <w:rsid w:val="42FC0E58"/>
    <w:rsid w:val="43077F25"/>
    <w:rsid w:val="4310792B"/>
    <w:rsid w:val="43621354"/>
    <w:rsid w:val="436D5ED7"/>
    <w:rsid w:val="437454B8"/>
    <w:rsid w:val="437702E4"/>
    <w:rsid w:val="43947908"/>
    <w:rsid w:val="43AA0EDA"/>
    <w:rsid w:val="43CC52F4"/>
    <w:rsid w:val="43D25E53"/>
    <w:rsid w:val="43E25FC1"/>
    <w:rsid w:val="440138A0"/>
    <w:rsid w:val="44246EDE"/>
    <w:rsid w:val="44692B43"/>
    <w:rsid w:val="447C65C0"/>
    <w:rsid w:val="448742A8"/>
    <w:rsid w:val="44875C56"/>
    <w:rsid w:val="44983428"/>
    <w:rsid w:val="44C47D79"/>
    <w:rsid w:val="451A208F"/>
    <w:rsid w:val="45433394"/>
    <w:rsid w:val="45513D03"/>
    <w:rsid w:val="45877724"/>
    <w:rsid w:val="458A0FC3"/>
    <w:rsid w:val="458D2861"/>
    <w:rsid w:val="458F3B36"/>
    <w:rsid w:val="45A71B75"/>
    <w:rsid w:val="45BB3260"/>
    <w:rsid w:val="46092999"/>
    <w:rsid w:val="4612476D"/>
    <w:rsid w:val="462A00B0"/>
    <w:rsid w:val="46694586"/>
    <w:rsid w:val="468F5CB4"/>
    <w:rsid w:val="46957C1F"/>
    <w:rsid w:val="46C027C2"/>
    <w:rsid w:val="46D802E3"/>
    <w:rsid w:val="4743767B"/>
    <w:rsid w:val="474820C5"/>
    <w:rsid w:val="474855C4"/>
    <w:rsid w:val="475B13E7"/>
    <w:rsid w:val="47777325"/>
    <w:rsid w:val="47B6609F"/>
    <w:rsid w:val="47DD7AD0"/>
    <w:rsid w:val="47E70FBB"/>
    <w:rsid w:val="47F02414"/>
    <w:rsid w:val="48021647"/>
    <w:rsid w:val="481D611E"/>
    <w:rsid w:val="48221986"/>
    <w:rsid w:val="483D554C"/>
    <w:rsid w:val="487815A6"/>
    <w:rsid w:val="48965ED0"/>
    <w:rsid w:val="489B03C3"/>
    <w:rsid w:val="48B545A9"/>
    <w:rsid w:val="48D34790"/>
    <w:rsid w:val="48ED18F0"/>
    <w:rsid w:val="48F826E7"/>
    <w:rsid w:val="4929464F"/>
    <w:rsid w:val="494C6C0E"/>
    <w:rsid w:val="4955379A"/>
    <w:rsid w:val="498C348F"/>
    <w:rsid w:val="49971F00"/>
    <w:rsid w:val="49C34AA3"/>
    <w:rsid w:val="49D22F38"/>
    <w:rsid w:val="49DA3B9B"/>
    <w:rsid w:val="49DA528B"/>
    <w:rsid w:val="49FA4012"/>
    <w:rsid w:val="49FA5FEB"/>
    <w:rsid w:val="4A4F4589"/>
    <w:rsid w:val="4A5573E4"/>
    <w:rsid w:val="4A62606A"/>
    <w:rsid w:val="4A712751"/>
    <w:rsid w:val="4AAA61C6"/>
    <w:rsid w:val="4AF87271"/>
    <w:rsid w:val="4B036BFD"/>
    <w:rsid w:val="4B380D6F"/>
    <w:rsid w:val="4B3A1029"/>
    <w:rsid w:val="4B4D6D1A"/>
    <w:rsid w:val="4B555BCF"/>
    <w:rsid w:val="4B5A3EB8"/>
    <w:rsid w:val="4B6E0A3F"/>
    <w:rsid w:val="4B771FE9"/>
    <w:rsid w:val="4BBC29D4"/>
    <w:rsid w:val="4BCA3CFF"/>
    <w:rsid w:val="4C3C0B3D"/>
    <w:rsid w:val="4C443C2D"/>
    <w:rsid w:val="4C560DCF"/>
    <w:rsid w:val="4C723258"/>
    <w:rsid w:val="4C7878FA"/>
    <w:rsid w:val="4C9014E4"/>
    <w:rsid w:val="4CB608EF"/>
    <w:rsid w:val="4CC51444"/>
    <w:rsid w:val="4D0E072B"/>
    <w:rsid w:val="4D0F1621"/>
    <w:rsid w:val="4D1D0EC2"/>
    <w:rsid w:val="4D24354A"/>
    <w:rsid w:val="4D4E6D7A"/>
    <w:rsid w:val="4D9A1FBF"/>
    <w:rsid w:val="4DAB4BAF"/>
    <w:rsid w:val="4DCE1EB5"/>
    <w:rsid w:val="4DCE1F8B"/>
    <w:rsid w:val="4DF94F37"/>
    <w:rsid w:val="4E0D2791"/>
    <w:rsid w:val="4E2A6045"/>
    <w:rsid w:val="4E437F61"/>
    <w:rsid w:val="4E4E19C6"/>
    <w:rsid w:val="4EB40E5E"/>
    <w:rsid w:val="4EFA36F6"/>
    <w:rsid w:val="4F1A33B7"/>
    <w:rsid w:val="4F411EB6"/>
    <w:rsid w:val="4F582EF7"/>
    <w:rsid w:val="4FBA24A4"/>
    <w:rsid w:val="4FBB7FCB"/>
    <w:rsid w:val="4FDA2B47"/>
    <w:rsid w:val="50100316"/>
    <w:rsid w:val="501B0676"/>
    <w:rsid w:val="50280768"/>
    <w:rsid w:val="502A41CA"/>
    <w:rsid w:val="50377300"/>
    <w:rsid w:val="503979C4"/>
    <w:rsid w:val="50983373"/>
    <w:rsid w:val="50AB5953"/>
    <w:rsid w:val="50D60C20"/>
    <w:rsid w:val="50D9042C"/>
    <w:rsid w:val="51183927"/>
    <w:rsid w:val="5135755A"/>
    <w:rsid w:val="51574F11"/>
    <w:rsid w:val="517B73AD"/>
    <w:rsid w:val="518A5306"/>
    <w:rsid w:val="51983548"/>
    <w:rsid w:val="51AB3D3B"/>
    <w:rsid w:val="51BD3D23"/>
    <w:rsid w:val="51D04201"/>
    <w:rsid w:val="51DA0BDC"/>
    <w:rsid w:val="51DC4954"/>
    <w:rsid w:val="521A27DD"/>
    <w:rsid w:val="52534816"/>
    <w:rsid w:val="52634928"/>
    <w:rsid w:val="52A0414F"/>
    <w:rsid w:val="5302488E"/>
    <w:rsid w:val="53277999"/>
    <w:rsid w:val="53897FB5"/>
    <w:rsid w:val="53987EBC"/>
    <w:rsid w:val="53A35FB7"/>
    <w:rsid w:val="53A95638"/>
    <w:rsid w:val="53D37FD9"/>
    <w:rsid w:val="53E24E44"/>
    <w:rsid w:val="53F94527"/>
    <w:rsid w:val="54014B46"/>
    <w:rsid w:val="54297BF9"/>
    <w:rsid w:val="5472334E"/>
    <w:rsid w:val="548D462B"/>
    <w:rsid w:val="54DB5397"/>
    <w:rsid w:val="550348EE"/>
    <w:rsid w:val="555D5DAC"/>
    <w:rsid w:val="5563097D"/>
    <w:rsid w:val="556F4EE2"/>
    <w:rsid w:val="55D21BD3"/>
    <w:rsid w:val="56312D95"/>
    <w:rsid w:val="564725B8"/>
    <w:rsid w:val="56652099"/>
    <w:rsid w:val="56680EAC"/>
    <w:rsid w:val="56843C9F"/>
    <w:rsid w:val="569B3338"/>
    <w:rsid w:val="56A40209"/>
    <w:rsid w:val="56F5281F"/>
    <w:rsid w:val="573E766F"/>
    <w:rsid w:val="5765355C"/>
    <w:rsid w:val="57690BD0"/>
    <w:rsid w:val="576F0018"/>
    <w:rsid w:val="57C15E41"/>
    <w:rsid w:val="57CA1153"/>
    <w:rsid w:val="57E46E53"/>
    <w:rsid w:val="580118E9"/>
    <w:rsid w:val="580E253F"/>
    <w:rsid w:val="580F7106"/>
    <w:rsid w:val="58254B7B"/>
    <w:rsid w:val="584A495B"/>
    <w:rsid w:val="584B22BE"/>
    <w:rsid w:val="5892758E"/>
    <w:rsid w:val="58947716"/>
    <w:rsid w:val="58A65CBC"/>
    <w:rsid w:val="58B502E7"/>
    <w:rsid w:val="58B66C06"/>
    <w:rsid w:val="58C779E0"/>
    <w:rsid w:val="5909228A"/>
    <w:rsid w:val="59154BEF"/>
    <w:rsid w:val="592851C9"/>
    <w:rsid w:val="592B7F6F"/>
    <w:rsid w:val="593A16EF"/>
    <w:rsid w:val="599B3347"/>
    <w:rsid w:val="59CA7788"/>
    <w:rsid w:val="5A1B6236"/>
    <w:rsid w:val="5A2E712E"/>
    <w:rsid w:val="5A2F2D66"/>
    <w:rsid w:val="5A48555B"/>
    <w:rsid w:val="5A6D6164"/>
    <w:rsid w:val="5A86004F"/>
    <w:rsid w:val="5A8938AD"/>
    <w:rsid w:val="5AAE69DB"/>
    <w:rsid w:val="5ABC17C7"/>
    <w:rsid w:val="5AF0582F"/>
    <w:rsid w:val="5AF947C9"/>
    <w:rsid w:val="5B1B6AA6"/>
    <w:rsid w:val="5B224E28"/>
    <w:rsid w:val="5B7D7A78"/>
    <w:rsid w:val="5BA65FD3"/>
    <w:rsid w:val="5BAF7B56"/>
    <w:rsid w:val="5BD91F04"/>
    <w:rsid w:val="5BDB5C7C"/>
    <w:rsid w:val="5BF611E3"/>
    <w:rsid w:val="5C025303"/>
    <w:rsid w:val="5C0E6052"/>
    <w:rsid w:val="5C2F4713"/>
    <w:rsid w:val="5C313AEE"/>
    <w:rsid w:val="5C7D02EE"/>
    <w:rsid w:val="5C86208C"/>
    <w:rsid w:val="5CAC7619"/>
    <w:rsid w:val="5D077809"/>
    <w:rsid w:val="5D131446"/>
    <w:rsid w:val="5D6323CD"/>
    <w:rsid w:val="5D656145"/>
    <w:rsid w:val="5D7C18C6"/>
    <w:rsid w:val="5DA14CA4"/>
    <w:rsid w:val="5DA779D9"/>
    <w:rsid w:val="5DC84953"/>
    <w:rsid w:val="5DDC3F2E"/>
    <w:rsid w:val="5E9E23A9"/>
    <w:rsid w:val="5EAC56AE"/>
    <w:rsid w:val="5ED34E14"/>
    <w:rsid w:val="5EDA0A8B"/>
    <w:rsid w:val="5F0537AA"/>
    <w:rsid w:val="5F162912"/>
    <w:rsid w:val="5F20072A"/>
    <w:rsid w:val="5F2117F1"/>
    <w:rsid w:val="5F27754A"/>
    <w:rsid w:val="5F2B3E04"/>
    <w:rsid w:val="5F760F40"/>
    <w:rsid w:val="5F916BA7"/>
    <w:rsid w:val="5F9F0F87"/>
    <w:rsid w:val="5FDB713D"/>
    <w:rsid w:val="5FE21584"/>
    <w:rsid w:val="5FE82E26"/>
    <w:rsid w:val="5FF3691B"/>
    <w:rsid w:val="5FFF5CB2"/>
    <w:rsid w:val="60161979"/>
    <w:rsid w:val="60673F83"/>
    <w:rsid w:val="606E1F64"/>
    <w:rsid w:val="609E5FA7"/>
    <w:rsid w:val="60C253E7"/>
    <w:rsid w:val="60CE0912"/>
    <w:rsid w:val="60CE0B25"/>
    <w:rsid w:val="60E05AE3"/>
    <w:rsid w:val="60E7004C"/>
    <w:rsid w:val="60F12BA5"/>
    <w:rsid w:val="611759A9"/>
    <w:rsid w:val="61555832"/>
    <w:rsid w:val="618F343D"/>
    <w:rsid w:val="61A30FEA"/>
    <w:rsid w:val="61AB1547"/>
    <w:rsid w:val="61CC4DD7"/>
    <w:rsid w:val="61D5316E"/>
    <w:rsid w:val="61D67CE4"/>
    <w:rsid w:val="61DB6D9C"/>
    <w:rsid w:val="61EF4230"/>
    <w:rsid w:val="6200643D"/>
    <w:rsid w:val="623C3CCB"/>
    <w:rsid w:val="6277131B"/>
    <w:rsid w:val="62894736"/>
    <w:rsid w:val="62EC69C1"/>
    <w:rsid w:val="63520F1A"/>
    <w:rsid w:val="635E38F3"/>
    <w:rsid w:val="636E0BBA"/>
    <w:rsid w:val="6384309D"/>
    <w:rsid w:val="638A70CF"/>
    <w:rsid w:val="63964B41"/>
    <w:rsid w:val="63994A58"/>
    <w:rsid w:val="642E6274"/>
    <w:rsid w:val="646C600B"/>
    <w:rsid w:val="647C3D75"/>
    <w:rsid w:val="64B27796"/>
    <w:rsid w:val="64CC5E52"/>
    <w:rsid w:val="64DA0DFC"/>
    <w:rsid w:val="64FD5E87"/>
    <w:rsid w:val="65785BCE"/>
    <w:rsid w:val="65815AE7"/>
    <w:rsid w:val="658C3A08"/>
    <w:rsid w:val="658D4138"/>
    <w:rsid w:val="65A319AD"/>
    <w:rsid w:val="65B768E4"/>
    <w:rsid w:val="65F17A91"/>
    <w:rsid w:val="66043DF1"/>
    <w:rsid w:val="660B7840"/>
    <w:rsid w:val="661D46CA"/>
    <w:rsid w:val="66887A48"/>
    <w:rsid w:val="66B94E0C"/>
    <w:rsid w:val="66BB1AFB"/>
    <w:rsid w:val="66CF7EED"/>
    <w:rsid w:val="66E83943"/>
    <w:rsid w:val="670F317A"/>
    <w:rsid w:val="673D6A15"/>
    <w:rsid w:val="67960780"/>
    <w:rsid w:val="682E5386"/>
    <w:rsid w:val="683726A5"/>
    <w:rsid w:val="684B23DC"/>
    <w:rsid w:val="68576EF7"/>
    <w:rsid w:val="6874548F"/>
    <w:rsid w:val="68817FE2"/>
    <w:rsid w:val="688D47A2"/>
    <w:rsid w:val="689043A1"/>
    <w:rsid w:val="68CD623B"/>
    <w:rsid w:val="68DB72BC"/>
    <w:rsid w:val="68FD36D6"/>
    <w:rsid w:val="69562DE6"/>
    <w:rsid w:val="695E105C"/>
    <w:rsid w:val="696012B6"/>
    <w:rsid w:val="69642093"/>
    <w:rsid w:val="69793390"/>
    <w:rsid w:val="69C02956"/>
    <w:rsid w:val="69CA6B08"/>
    <w:rsid w:val="69F97B76"/>
    <w:rsid w:val="6A042666"/>
    <w:rsid w:val="6A9736F0"/>
    <w:rsid w:val="6AF830B1"/>
    <w:rsid w:val="6B1715B7"/>
    <w:rsid w:val="6B2C2051"/>
    <w:rsid w:val="6B3233DF"/>
    <w:rsid w:val="6B601CFA"/>
    <w:rsid w:val="6B680BAF"/>
    <w:rsid w:val="6B6C68F1"/>
    <w:rsid w:val="6B9E46D0"/>
    <w:rsid w:val="6BA17D14"/>
    <w:rsid w:val="6BBB33D4"/>
    <w:rsid w:val="6BCC55E2"/>
    <w:rsid w:val="6BD44D33"/>
    <w:rsid w:val="6BEA8026"/>
    <w:rsid w:val="6C0C5BDB"/>
    <w:rsid w:val="6C3D08A3"/>
    <w:rsid w:val="6C6770B8"/>
    <w:rsid w:val="6C845EBC"/>
    <w:rsid w:val="6CA41CC8"/>
    <w:rsid w:val="6CC20E82"/>
    <w:rsid w:val="6CD26C28"/>
    <w:rsid w:val="6CF3436B"/>
    <w:rsid w:val="6CF7293C"/>
    <w:rsid w:val="6D056FFD"/>
    <w:rsid w:val="6D443964"/>
    <w:rsid w:val="6D5B6316"/>
    <w:rsid w:val="6D9143ED"/>
    <w:rsid w:val="6DC74A88"/>
    <w:rsid w:val="6DD724DA"/>
    <w:rsid w:val="6DDC0B81"/>
    <w:rsid w:val="6DEA2117"/>
    <w:rsid w:val="6E041063"/>
    <w:rsid w:val="6E0C6BA8"/>
    <w:rsid w:val="6E4C538F"/>
    <w:rsid w:val="6E8C1058"/>
    <w:rsid w:val="6EBF142E"/>
    <w:rsid w:val="6ED722D3"/>
    <w:rsid w:val="6EE175F6"/>
    <w:rsid w:val="6F24190C"/>
    <w:rsid w:val="6F7C2E7B"/>
    <w:rsid w:val="6FC36D9E"/>
    <w:rsid w:val="6FE70C3C"/>
    <w:rsid w:val="70076BE8"/>
    <w:rsid w:val="70666005"/>
    <w:rsid w:val="707A0DD5"/>
    <w:rsid w:val="70852D97"/>
    <w:rsid w:val="70A47AAD"/>
    <w:rsid w:val="70AE40C7"/>
    <w:rsid w:val="70C25205"/>
    <w:rsid w:val="70DA254F"/>
    <w:rsid w:val="70E51DA8"/>
    <w:rsid w:val="70F20FE3"/>
    <w:rsid w:val="71174B27"/>
    <w:rsid w:val="71946BA2"/>
    <w:rsid w:val="71A843FB"/>
    <w:rsid w:val="71B24116"/>
    <w:rsid w:val="71C97895"/>
    <w:rsid w:val="721B697B"/>
    <w:rsid w:val="721E450C"/>
    <w:rsid w:val="7256750B"/>
    <w:rsid w:val="7262278F"/>
    <w:rsid w:val="72D73D3D"/>
    <w:rsid w:val="72DD793F"/>
    <w:rsid w:val="72EC6569"/>
    <w:rsid w:val="72EE408F"/>
    <w:rsid w:val="73012015"/>
    <w:rsid w:val="73394BB6"/>
    <w:rsid w:val="73397A01"/>
    <w:rsid w:val="736A253A"/>
    <w:rsid w:val="73A429A0"/>
    <w:rsid w:val="73AC2D59"/>
    <w:rsid w:val="73BE1CB4"/>
    <w:rsid w:val="73EC5B91"/>
    <w:rsid w:val="73FC458A"/>
    <w:rsid w:val="74197614"/>
    <w:rsid w:val="742E7E7F"/>
    <w:rsid w:val="74622041"/>
    <w:rsid w:val="74654825"/>
    <w:rsid w:val="747B5DF7"/>
    <w:rsid w:val="74C002E8"/>
    <w:rsid w:val="74C57072"/>
    <w:rsid w:val="74CF1255"/>
    <w:rsid w:val="74E7523A"/>
    <w:rsid w:val="74F02341"/>
    <w:rsid w:val="74F64620"/>
    <w:rsid w:val="74F76776"/>
    <w:rsid w:val="74FB54A4"/>
    <w:rsid w:val="751A7B05"/>
    <w:rsid w:val="75220020"/>
    <w:rsid w:val="753C5586"/>
    <w:rsid w:val="755522F8"/>
    <w:rsid w:val="755E2DEF"/>
    <w:rsid w:val="75611CC1"/>
    <w:rsid w:val="75A03D67"/>
    <w:rsid w:val="75C72835"/>
    <w:rsid w:val="75DD731F"/>
    <w:rsid w:val="75FB2773"/>
    <w:rsid w:val="7621652A"/>
    <w:rsid w:val="76265AC6"/>
    <w:rsid w:val="763A2EF5"/>
    <w:rsid w:val="76634D94"/>
    <w:rsid w:val="76642085"/>
    <w:rsid w:val="766D79C1"/>
    <w:rsid w:val="768014A2"/>
    <w:rsid w:val="7682438C"/>
    <w:rsid w:val="768857E3"/>
    <w:rsid w:val="768D4B1F"/>
    <w:rsid w:val="769D2054"/>
    <w:rsid w:val="76C31EDD"/>
    <w:rsid w:val="76E56E2D"/>
    <w:rsid w:val="76EC2FDC"/>
    <w:rsid w:val="77060EB2"/>
    <w:rsid w:val="77120FDD"/>
    <w:rsid w:val="771739AE"/>
    <w:rsid w:val="775C2950"/>
    <w:rsid w:val="77610F13"/>
    <w:rsid w:val="778C37F8"/>
    <w:rsid w:val="779C230C"/>
    <w:rsid w:val="779D7E32"/>
    <w:rsid w:val="77A92C7B"/>
    <w:rsid w:val="77B12E34"/>
    <w:rsid w:val="77B5517C"/>
    <w:rsid w:val="77D46CD2"/>
    <w:rsid w:val="77D83D50"/>
    <w:rsid w:val="781D0CC1"/>
    <w:rsid w:val="7823193A"/>
    <w:rsid w:val="782E61C7"/>
    <w:rsid w:val="783B33E4"/>
    <w:rsid w:val="7844130F"/>
    <w:rsid w:val="78534B66"/>
    <w:rsid w:val="785B3F75"/>
    <w:rsid w:val="787B0197"/>
    <w:rsid w:val="787E1A12"/>
    <w:rsid w:val="78BE10F6"/>
    <w:rsid w:val="78CA4C57"/>
    <w:rsid w:val="78CF6711"/>
    <w:rsid w:val="78D43D28"/>
    <w:rsid w:val="78DD2BDC"/>
    <w:rsid w:val="792E5466"/>
    <w:rsid w:val="79424773"/>
    <w:rsid w:val="79435553"/>
    <w:rsid w:val="794672BF"/>
    <w:rsid w:val="79BE0C60"/>
    <w:rsid w:val="79E263BE"/>
    <w:rsid w:val="7A064282"/>
    <w:rsid w:val="7A1B7E60"/>
    <w:rsid w:val="7A3C1B84"/>
    <w:rsid w:val="7A3C1D44"/>
    <w:rsid w:val="7A9E283F"/>
    <w:rsid w:val="7AC77F2D"/>
    <w:rsid w:val="7ACB4CB6"/>
    <w:rsid w:val="7ADD5362"/>
    <w:rsid w:val="7B036E36"/>
    <w:rsid w:val="7B0E3521"/>
    <w:rsid w:val="7B1A0118"/>
    <w:rsid w:val="7B31160A"/>
    <w:rsid w:val="7B4C6C5F"/>
    <w:rsid w:val="7B62386D"/>
    <w:rsid w:val="7B6E2211"/>
    <w:rsid w:val="7BAD0A4E"/>
    <w:rsid w:val="7BB00E61"/>
    <w:rsid w:val="7BD227A0"/>
    <w:rsid w:val="7BE86C44"/>
    <w:rsid w:val="7BF12E1F"/>
    <w:rsid w:val="7C1822AA"/>
    <w:rsid w:val="7C7C731A"/>
    <w:rsid w:val="7C85264B"/>
    <w:rsid w:val="7CA06753"/>
    <w:rsid w:val="7CB43242"/>
    <w:rsid w:val="7CB61824"/>
    <w:rsid w:val="7CBD69D7"/>
    <w:rsid w:val="7CC76395"/>
    <w:rsid w:val="7CEF2EDE"/>
    <w:rsid w:val="7D1961AD"/>
    <w:rsid w:val="7D4F7E21"/>
    <w:rsid w:val="7D7A30EF"/>
    <w:rsid w:val="7D9D293A"/>
    <w:rsid w:val="7DA51A4B"/>
    <w:rsid w:val="7DAC5273"/>
    <w:rsid w:val="7DCE6F97"/>
    <w:rsid w:val="7E0B01EB"/>
    <w:rsid w:val="7E1E7F1F"/>
    <w:rsid w:val="7E321E60"/>
    <w:rsid w:val="7E390B0F"/>
    <w:rsid w:val="7E493D4F"/>
    <w:rsid w:val="7E5356EF"/>
    <w:rsid w:val="7E881DA7"/>
    <w:rsid w:val="7E894498"/>
    <w:rsid w:val="7E9B65C0"/>
    <w:rsid w:val="7EDF6295"/>
    <w:rsid w:val="7F060C17"/>
    <w:rsid w:val="7F0C421B"/>
    <w:rsid w:val="7F2F766E"/>
    <w:rsid w:val="7F3D58B7"/>
    <w:rsid w:val="7F6B3277"/>
    <w:rsid w:val="7F7C3A97"/>
    <w:rsid w:val="7F9051D5"/>
    <w:rsid w:val="7F9C372F"/>
    <w:rsid w:val="7FB23E78"/>
    <w:rsid w:val="7FE01204"/>
    <w:rsid w:val="7FFA67D9"/>
    <w:rsid w:val="7FFB9374"/>
    <w:rsid w:val="7FFC4290"/>
    <w:rsid w:val="DFBBF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link w:val="47"/>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4"/>
    <w:basedOn w:val="1"/>
    <w:next w:val="1"/>
    <w:qFormat/>
    <w:uiPriority w:val="0"/>
    <w:pPr>
      <w:keepNext/>
      <w:keepLines/>
      <w:spacing w:line="374" w:lineRule="auto"/>
      <w:outlineLvl w:val="3"/>
    </w:pPr>
    <w:rPr>
      <w:rFonts w:ascii="Arial" w:hAnsi="Arial"/>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annotation text"/>
    <w:basedOn w:val="1"/>
    <w:next w:val="1"/>
    <w:qFormat/>
    <w:uiPriority w:val="0"/>
    <w:pPr>
      <w:adjustRightInd w:val="0"/>
      <w:spacing w:line="360" w:lineRule="atLeast"/>
      <w:jc w:val="left"/>
      <w:textAlignment w:val="baseline"/>
    </w:pPr>
    <w:rPr>
      <w:kern w:val="0"/>
    </w:r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Body Text Indent"/>
    <w:basedOn w:val="1"/>
    <w:qFormat/>
    <w:uiPriority w:val="0"/>
    <w:pPr>
      <w:ind w:firstLine="560" w:firstLineChars="200"/>
    </w:pPr>
  </w:style>
  <w:style w:type="paragraph" w:styleId="8">
    <w:name w:val="toc 3"/>
    <w:basedOn w:val="1"/>
    <w:next w:val="1"/>
    <w:qFormat/>
    <w:uiPriority w:val="0"/>
    <w:pPr>
      <w:ind w:left="840" w:leftChars="400"/>
    </w:pPr>
  </w:style>
  <w:style w:type="paragraph" w:styleId="9">
    <w:name w:val="Plain Text"/>
    <w:basedOn w:val="1"/>
    <w:qFormat/>
    <w:uiPriority w:val="0"/>
    <w:rPr>
      <w:rFonts w:ascii="宋体" w:hAnsi="Courier New"/>
      <w:szCs w:val="20"/>
    </w:rPr>
  </w:style>
  <w:style w:type="paragraph" w:styleId="10">
    <w:name w:val="footer"/>
    <w:basedOn w:val="1"/>
    <w:qFormat/>
    <w:uiPriority w:val="0"/>
    <w:pPr>
      <w:tabs>
        <w:tab w:val="center" w:pos="4153"/>
        <w:tab w:val="right" w:pos="8306"/>
      </w:tabs>
      <w:snapToGrid w:val="0"/>
      <w:jc w:val="left"/>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Body Text 2"/>
    <w:basedOn w:val="1"/>
    <w:next w:val="6"/>
    <w:qFormat/>
    <w:uiPriority w:val="0"/>
    <w:pPr>
      <w:spacing w:line="500" w:lineRule="exact"/>
    </w:pPr>
    <w:rPr>
      <w:rFonts w:ascii="宋体" w:hAnsi="Times New Roman" w:eastAsia="宋体" w:cs="Times New Roman"/>
      <w:sz w:val="24"/>
    </w:rPr>
  </w:style>
  <w:style w:type="paragraph" w:styleId="14">
    <w:name w:val="Normal (Web)"/>
    <w:basedOn w:val="1"/>
    <w:qFormat/>
    <w:uiPriority w:val="0"/>
    <w:pPr>
      <w:spacing w:beforeAutospacing="1" w:afterAutospacing="1"/>
      <w:jc w:val="left"/>
    </w:pPr>
    <w:rPr>
      <w:rFonts w:cs="Times New Roman"/>
      <w:kern w:val="0"/>
      <w:sz w:val="24"/>
    </w:rPr>
  </w:style>
  <w:style w:type="paragraph" w:styleId="15">
    <w:name w:val="Body Text First Indent"/>
    <w:basedOn w:val="6"/>
    <w:qFormat/>
    <w:uiPriority w:val="99"/>
    <w:pPr>
      <w:spacing w:line="240" w:lineRule="auto"/>
      <w:ind w:firstLine="420" w:firstLineChars="100"/>
    </w:pPr>
    <w:rPr>
      <w:rFonts w:ascii="Times New Roman" w:cs="Times New Roman"/>
      <w:sz w:val="20"/>
      <w:szCs w:val="20"/>
    </w:rPr>
  </w:style>
  <w:style w:type="paragraph" w:styleId="16">
    <w:name w:val="Body Text First Indent 2"/>
    <w:basedOn w:val="7"/>
    <w:unhideWhenUsed/>
    <w:qFormat/>
    <w:uiPriority w:val="99"/>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Emphasis"/>
    <w:basedOn w:val="19"/>
    <w:qFormat/>
    <w:uiPriority w:val="0"/>
    <w:rPr>
      <w:i/>
    </w:rPr>
  </w:style>
  <w:style w:type="paragraph" w:customStyle="1" w:styleId="22">
    <w:name w:val="Default"/>
    <w:unhideWhenUsed/>
    <w:qFormat/>
    <w:uiPriority w:val="99"/>
    <w:pPr>
      <w:widowControl w:val="0"/>
      <w:autoSpaceDE w:val="0"/>
      <w:autoSpaceDN w:val="0"/>
      <w:adjustRightInd w:val="0"/>
    </w:pPr>
    <w:rPr>
      <w:rFonts w:hint="eastAsia" w:ascii="Arial Unicode MS" w:hAnsi="Arial Unicode MS" w:eastAsia="Arial Unicode MS" w:cs="Times New Roman"/>
      <w:color w:val="000000"/>
      <w:sz w:val="24"/>
      <w:lang w:val="en-US" w:eastAsia="zh-CN" w:bidi="ar-SA"/>
    </w:rPr>
  </w:style>
  <w:style w:type="paragraph" w:customStyle="1" w:styleId="23">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4">
    <w:name w:val="NormalCharacter"/>
    <w:qFormat/>
    <w:uiPriority w:val="99"/>
  </w:style>
  <w:style w:type="paragraph" w:customStyle="1" w:styleId="25">
    <w:name w:val="Table Text"/>
    <w:basedOn w:val="1"/>
    <w:semiHidden/>
    <w:qFormat/>
    <w:uiPriority w:val="0"/>
    <w:rPr>
      <w:rFonts w:ascii="Arial" w:hAnsi="Arial" w:eastAsia="Arial" w:cs="Arial"/>
      <w:sz w:val="21"/>
      <w:szCs w:val="21"/>
      <w:lang w:val="en-US" w:eastAsia="en-US" w:bidi="ar-SA"/>
    </w:rPr>
  </w:style>
  <w:style w:type="paragraph" w:customStyle="1" w:styleId="26">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
    <w:name w:val="正文缩进1"/>
    <w:basedOn w:val="1"/>
    <w:qFormat/>
    <w:uiPriority w:val="0"/>
    <w:pPr>
      <w:widowControl/>
      <w:ind w:firstLine="420"/>
      <w:jc w:val="left"/>
    </w:pPr>
    <w:rPr>
      <w:kern w:val="0"/>
    </w:rPr>
  </w:style>
  <w:style w:type="paragraph" w:customStyle="1" w:styleId="28">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29">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0">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1">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2">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3">
    <w:name w:val="Heading2"/>
    <w:basedOn w:val="1"/>
    <w:next w:val="1"/>
    <w:qFormat/>
    <w:uiPriority w:val="99"/>
    <w:pPr>
      <w:jc w:val="left"/>
    </w:pPr>
    <w:rPr>
      <w:kern w:val="0"/>
    </w:rPr>
  </w:style>
  <w:style w:type="paragraph" w:customStyle="1" w:styleId="34">
    <w:name w:val="AnnotationText"/>
    <w:basedOn w:val="1"/>
    <w:qFormat/>
    <w:uiPriority w:val="99"/>
    <w:pPr>
      <w:spacing w:line="360" w:lineRule="atLeast"/>
      <w:jc w:val="left"/>
    </w:pPr>
    <w:rPr>
      <w:kern w:val="0"/>
    </w:rPr>
  </w:style>
  <w:style w:type="paragraph" w:customStyle="1" w:styleId="35">
    <w:name w:val="UserStyle_44"/>
    <w:basedOn w:val="36"/>
    <w:qFormat/>
    <w:uiPriority w:val="99"/>
    <w:rPr>
      <w:sz w:val="24"/>
      <w:szCs w:val="24"/>
    </w:rPr>
  </w:style>
  <w:style w:type="paragraph" w:customStyle="1" w:styleId="36">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7">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38">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39">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40">
    <w:name w:val="BodyText"/>
    <w:basedOn w:val="1"/>
    <w:next w:val="41"/>
    <w:qFormat/>
    <w:uiPriority w:val="99"/>
    <w:pPr>
      <w:spacing w:after="120"/>
    </w:pPr>
  </w:style>
  <w:style w:type="paragraph" w:customStyle="1" w:styleId="41">
    <w:name w:val="BodyText2"/>
    <w:basedOn w:val="1"/>
    <w:qFormat/>
    <w:uiPriority w:val="99"/>
    <w:pPr>
      <w:spacing w:line="500" w:lineRule="exact"/>
    </w:pPr>
  </w:style>
  <w:style w:type="paragraph" w:customStyle="1" w:styleId="42">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3">
    <w:name w:val="正文缩进 New"/>
    <w:basedOn w:val="44"/>
    <w:qFormat/>
    <w:uiPriority w:val="0"/>
    <w:pPr>
      <w:widowControl/>
      <w:ind w:firstLine="420"/>
      <w:jc w:val="left"/>
    </w:pPr>
    <w:rPr>
      <w:kern w:val="0"/>
      <w:sz w:val="20"/>
    </w:rPr>
  </w:style>
  <w:style w:type="paragraph" w:customStyle="1" w:styleId="44">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5">
    <w:name w:val="正文文本 New"/>
    <w:basedOn w:val="1"/>
    <w:qFormat/>
    <w:uiPriority w:val="0"/>
    <w:pPr>
      <w:spacing w:after="120" w:line="360" w:lineRule="auto"/>
    </w:pPr>
    <w:rPr>
      <w:rFonts w:ascii="宋体" w:hAnsi="Times New Roman" w:eastAsia="宋体" w:cs="Times New Roman"/>
      <w:sz w:val="24"/>
      <w:szCs w:val="20"/>
    </w:rPr>
  </w:style>
  <w:style w:type="character" w:customStyle="1" w:styleId="46">
    <w:name w:val="正文文本 (2) + 间距 0 pt3"/>
    <w:basedOn w:val="19"/>
    <w:qFormat/>
    <w:uiPriority w:val="0"/>
    <w:rPr>
      <w:rFonts w:ascii="MingLiU" w:hAnsi="Times New Roman" w:eastAsia="MingLiU" w:cs="MingLiU"/>
      <w:spacing w:val="0"/>
      <w:sz w:val="22"/>
      <w:szCs w:val="22"/>
      <w:u w:val="none"/>
    </w:rPr>
  </w:style>
  <w:style w:type="character" w:customStyle="1" w:styleId="47">
    <w:name w:val="标题 2 字符"/>
    <w:link w:val="3"/>
    <w:qFormat/>
    <w:uiPriority w:val="0"/>
    <w:rPr>
      <w:rFonts w:hint="eastAsia" w:ascii="宋体" w:hAnsi="宋体" w:eastAsia="宋体" w:cs="宋体"/>
      <w:b/>
      <w:bCs/>
      <w:kern w:val="0"/>
      <w:sz w:val="36"/>
      <w:szCs w:val="36"/>
      <w:lang w:val="en-US" w:eastAsia="zh-CN" w:bidi="ar"/>
    </w:rPr>
  </w:style>
  <w:style w:type="paragraph" w:customStyle="1" w:styleId="48">
    <w:name w:val="标题 3 New New"/>
    <w:basedOn w:val="43"/>
    <w:next w:val="43"/>
    <w:qFormat/>
    <w:uiPriority w:val="0"/>
    <w:pPr>
      <w:keepNext/>
      <w:keepLines/>
      <w:spacing w:before="120" w:beforeLines="0" w:beforeAutospacing="0" w:after="120" w:afterLines="0" w:afterAutospacing="0"/>
      <w:jc w:val="center"/>
      <w:outlineLvl w:val="2"/>
    </w:pPr>
    <w:rPr>
      <w:rFonts w:ascii="Times New Roman" w:hAnsi="Times New Roman" w:eastAsia="宋体" w:cs="Times New Roman"/>
      <w:sz w:val="24"/>
    </w:rPr>
  </w:style>
  <w:style w:type="paragraph" w:customStyle="1" w:styleId="49">
    <w:name w:val="UserStyle_76"/>
    <w:basedOn w:val="50"/>
    <w:qFormat/>
    <w:uiPriority w:val="99"/>
    <w:pPr>
      <w:ind w:firstLine="420"/>
      <w:jc w:val="left"/>
    </w:pPr>
    <w:rPr>
      <w:kern w:val="0"/>
      <w:sz w:val="20"/>
      <w:szCs w:val="20"/>
    </w:rPr>
  </w:style>
  <w:style w:type="paragraph" w:customStyle="1" w:styleId="50">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51">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2">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3">
    <w:name w:val="普通(网站) New"/>
    <w:basedOn w:val="54"/>
    <w:qFormat/>
    <w:uiPriority w:val="0"/>
    <w:rPr>
      <w:sz w:val="24"/>
    </w:rPr>
  </w:style>
  <w:style w:type="paragraph" w:customStyle="1" w:styleId="54">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table" w:customStyle="1" w:styleId="55">
    <w:name w:val="Table Normal"/>
    <w:semiHidden/>
    <w:unhideWhenUsed/>
    <w:qFormat/>
    <w:uiPriority w:val="0"/>
    <w:tblPr>
      <w:tblCellMar>
        <w:top w:w="0" w:type="dxa"/>
        <w:left w:w="0" w:type="dxa"/>
        <w:bottom w:w="0" w:type="dxa"/>
        <w:right w:w="0" w:type="dxa"/>
      </w:tblCellMar>
    </w:tblPr>
  </w:style>
  <w:style w:type="paragraph" w:customStyle="1" w:styleId="56">
    <w:name w:val="正文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5.png"/><Relationship Id="rId28" Type="http://schemas.openxmlformats.org/officeDocument/2006/relationships/image" Target="media/image4.jpeg"/><Relationship Id="rId27" Type="http://schemas.openxmlformats.org/officeDocument/2006/relationships/image" Target="media/image3.png"/><Relationship Id="rId26" Type="http://schemas.openxmlformats.org/officeDocument/2006/relationships/image" Target="media/image2.png"/><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cbeb4241-366e-4d7a-a2b5-10472e76db02</errorID>
      <errorWord>填写</errorWord>
      <group>L1_Word</group>
      <groupName>字词问题</groupName>
      <ability>L2_Typo</ability>
      <abilityName>字词错误</abilityName>
      <candidateList>
        <item>时填写</item>
      </candidateList>
      <explain/>
      <paraID>38534563</paraID>
      <start>44</start>
      <end>46</end>
      <status>ignored</status>
      <modifiedWord/>
      <trackRevisions>false</trackRevisions>
    </reviewItem>
    <reviewItem>
      <errorID>5f5fcee9-36ed-4ab9-8a1b-8eb44395a3ce</errorID>
      <errorWord>（</errorWord>
      <group>L1_Punc</group>
      <groupName>标点问题</groupName>
      <ability>L2_Punc_CN</ability>
      <abilityName>标点符号问题</abilityName>
      <candidateList/>
      <explain>同一形式括号套用。</explain>
      <paraID>4A2C9212</paraID>
      <start>69</start>
      <end>70</end>
      <status>ignored</status>
      <modifiedWord/>
      <trackRevisions>false</trackRevisions>
    </reviewItem>
    <reviewItem>
      <errorID>3724234a-6886-4cbc-b43d-d78b8d239a43</errorID>
      <errorWord>）</errorWord>
      <group>L1_Punc</group>
      <groupName>标点问题</groupName>
      <ability>L2_Punc_CN</ability>
      <abilityName>标点符号问题</abilityName>
      <candidateList/>
      <explain>同一形式括号套用。</explain>
      <paraID>4A2C9212</paraID>
      <start>73</start>
      <end>74</end>
      <status>ignored</status>
      <modifiedWord/>
      <trackRevisions>false</trackRevisions>
    </reviewItem>
    <reviewItem>
      <errorID>7e462185-5c54-4014-922f-4c36426809af</errorID>
      <errorWord>（</errorWord>
      <group>L1_Punc</group>
      <groupName>标点问题</groupName>
      <ability>L2_Punc_CN</ability>
      <abilityName>标点符号问题</abilityName>
      <candidateList/>
      <explain>同一形式括号套用。</explain>
      <paraID>5641EEF8</paraID>
      <start>28</start>
      <end>29</end>
      <status>ignored</status>
      <modifiedWord/>
      <trackRevisions>false</trackRevisions>
    </reviewItem>
    <reviewItem>
      <errorID>f8b5c93d-14a4-4aba-866f-7a0a306efbb7</errorID>
      <errorWord>）</errorWord>
      <group>L1_Punc</group>
      <groupName>标点问题</groupName>
      <ability>L2_Punc_CN</ability>
      <abilityName>标点符号问题</abilityName>
      <candidateList/>
      <explain>同一形式括号套用。</explain>
      <paraID>5641EEF8</paraID>
      <start>32</start>
      <end>33</end>
      <status>ignored</status>
      <modifiedWord/>
      <trackRevisions>false</trackRevisions>
    </reviewItem>
    <reviewItem>
      <errorID>3c092837-cfc0-4c0b-a119-b9f2197b40e0</errorID>
      <errorWord>（</errorWord>
      <group>L1_Punc</group>
      <groupName>标点问题</groupName>
      <ability>L2_Punc_CN</ability>
      <abilityName>标点符号问题</abilityName>
      <candidateList/>
      <explain>同一形式括号套用。</explain>
      <paraID>7AF2FA9E</paraID>
      <start>134</start>
      <end>135</end>
      <status>ignored</status>
      <modifiedWord/>
      <trackRevisions>false</trackRevisions>
    </reviewItem>
    <reviewItem>
      <errorID>3ca90aae-1935-4b78-a1df-97f8169b00eb</errorID>
      <errorWord>）</errorWord>
      <group>L1_Punc</group>
      <groupName>标点问题</groupName>
      <ability>L2_Punc_CN</ability>
      <abilityName>标点符号问题</abilityName>
      <candidateList/>
      <explain>同一形式括号套用。</explain>
      <paraID>7AF2FA9E</paraID>
      <start>150</start>
      <end>151</end>
      <status>ignored</status>
      <modifiedWord/>
      <trackRevisions>false</trackRevisions>
    </reviewItem>
    <reviewItem>
      <errorID>024d7de9-9f8e-4da7-9aff-61f5d3b5c10a</errorID>
      <errorWord>（</errorWord>
      <group>L1_Punc</group>
      <groupName>标点问题</groupName>
      <ability>L2_Punc_CN</ability>
      <abilityName>标点符号问题</abilityName>
      <candidateList/>
      <explain>同一形式括号套用。</explain>
      <paraID>6CD5160B</paraID>
      <start>71</start>
      <end>72</end>
      <status>ignored</status>
      <modifiedWord/>
      <trackRevisions>false</trackRevisions>
    </reviewItem>
    <reviewItem>
      <errorID>953ef12f-8d0b-43e3-88f7-39b883d3c836</errorID>
      <errorWord>）</errorWord>
      <group>L1_Punc</group>
      <groupName>标点问题</groupName>
      <ability>L2_Punc_CN</ability>
      <abilityName>标点符号问题</abilityName>
      <candidateList/>
      <explain>同一形式括号套用。</explain>
      <paraID>6CD5160B</paraID>
      <start>75</start>
      <end>76</end>
      <status>ignored</status>
      <modifiedWord/>
      <trackRevisions>false</trackRevisions>
    </reviewItem>
    <reviewItem>
      <errorID>628d9df6-79f4-44fc-b45b-e2343821ae15</errorID>
      <errorWord>（</errorWord>
      <group>L1_Punc</group>
      <groupName>标点问题</groupName>
      <ability>L2_Punc_CN</ability>
      <abilityName>标点符号问题</abilityName>
      <candidateList/>
      <explain>同一形式括号套用。</explain>
      <paraID>636DEBE8</paraID>
      <start>28</start>
      <end>29</end>
      <status>ignored</status>
      <modifiedWord/>
      <trackRevisions>false</trackRevisions>
    </reviewItem>
    <reviewItem>
      <errorID>a6654df9-efd1-4cb4-bcd8-ca3b5d2ae516</errorID>
      <errorWord>）</errorWord>
      <group>L1_Punc</group>
      <groupName>标点问题</groupName>
      <ability>L2_Punc_CN</ability>
      <abilityName>标点符号问题</abilityName>
      <candidateList/>
      <explain>同一形式括号套用。</explain>
      <paraID>636DEBE8</paraID>
      <start>32</start>
      <end>33</end>
      <status>ignored</status>
      <modifiedWord/>
      <trackRevisions>false</trackRevisions>
    </reviewItem>
    <reviewItem>
      <errorID>841b9739-20d0-49a4-8f83-fdedab80294e</errorID>
      <errorWord>（</errorWord>
      <group>L1_Punc</group>
      <groupName>标点问题</groupName>
      <ability>L2_Punc_CN</ability>
      <abilityName>标点符号问题</abilityName>
      <candidateList/>
      <explain>同一形式括号套用。</explain>
      <paraID>6C531DE2</paraID>
      <start>136</start>
      <end>137</end>
      <status>ignored</status>
      <modifiedWord/>
      <trackRevisions>false</trackRevisions>
    </reviewItem>
    <reviewItem>
      <errorID>dbcb5f30-99c1-481b-99b1-ad6642826db5</errorID>
      <errorWord>）</errorWord>
      <group>L1_Punc</group>
      <groupName>标点问题</groupName>
      <ability>L2_Punc_CN</ability>
      <abilityName>标点符号问题</abilityName>
      <candidateList/>
      <explain>同一形式括号套用。</explain>
      <paraID>6C531DE2</paraID>
      <start>152</start>
      <end>153</end>
      <status>ignored</status>
      <modifiedWord/>
      <trackRevisions>false</trackRevisions>
    </reviewItem>
    <reviewItem>
      <errorID>3f1ddeaf-511b-4efe-a9d6-8c3c163c4d45</errorID>
      <errorWord>）</errorWord>
      <group>L1_Punc</group>
      <groupName>标点问题</groupName>
      <ability>L2_Punc_CN</ability>
      <abilityName>标点符号问题</abilityName>
      <candidateList>
        <item>，</item>
      </candidateList>
      <explain/>
      <paraID>6EFCD790</paraID>
      <start>205</start>
      <end>206</end>
      <status>ignored</status>
      <modifiedWord/>
      <trackRevisions>false</trackRevisions>
    </reviewItem>
    <reviewItem>
      <errorID>d52cf473-d6eb-4f24-8486-7d8d92ab8613</errorID>
      <errorWord>一致</errorWord>
      <group>L1_Punc</group>
      <groupName>标点问题</groupName>
      <ability>L2_Punc_CN</ability>
      <abilityName>标点符号问题</abilityName>
      <candidateList>
        <item>一致）</item>
      </candidateList>
      <explain/>
      <paraID>6EFCD790</paraID>
      <start>223</start>
      <end>225</end>
      <status>ignored</status>
      <modifiedWord/>
      <trackRevisions>false</trackRevisions>
    </reviewItem>
    <reviewItem>
      <errorID>984b2f7d-68aa-4e66-9433-1d193947209a</errorID>
      <errorWord>保证</errorWord>
      <group>L1_Word</group>
      <groupName>字词问题</groupName>
      <ability>L2_Typo</ability>
      <abilityName>字词错误</abilityName>
      <candidateList>
        <item>保证金</item>
      </candidateList>
      <explain/>
      <paraID> 50F418D</paraID>
      <start>39</start>
      <end>41</end>
      <status>ignored</status>
      <modifiedWord/>
      <trackRevisions>false</trackRevisions>
    </reviewItem>
    <reviewItem>
      <errorID>7dc018ab-e153-459d-94c8-dcb9d70dda53</errorID>
      <errorWord>证</errorWord>
      <group>L1_Word</group>
      <groupName>字词问题</groupName>
      <ability>L2_Typo</ability>
      <abilityName>字词错误</abilityName>
      <candidateList>
        <item>证金</item>
      </candidateList>
      <explain/>
      <paraID> 6BEDC68</paraID>
      <start>37</start>
      <end>38</end>
      <status>ignored</status>
      <modifiedWord/>
      <trackRevisions>false</trackRevisions>
    </reviewItem>
    <reviewItem>
      <errorID>12e275d1-36ed-4925-8f09-73459bef7896</errorID>
      <errorWord>《</errorWord>
      <group>L1_Punc</group>
      <groupName>标点问题</groupName>
      <ability>L2_Punc_CN</ability>
      <abilityName>标点符号问题</abilityName>
      <candidateList>
        <item>、《</item>
      </candidateList>
      <explain/>
      <paraID>55BAFE0B</paraID>
      <start>106</start>
      <end>107</end>
      <status>ignored</status>
      <modifiedWord/>
      <trackRevisions>false</trackRevisions>
    </reviewItem>
    <reviewItem>
      <errorID>d8615abb-8f13-4eb0-af4e-509776a149b7</errorID>
      <errorWord>《</errorWord>
      <group>L1_Punc</group>
      <groupName>标点问题</groupName>
      <ability>L2_Punc_CN</ability>
      <abilityName>标点符号问题</abilityName>
      <candidateList>
        <item>、《</item>
      </candidateList>
      <explain/>
      <paraID>55BAFE0B</paraID>
      <start>133</start>
      <end>134</end>
      <status>ignored</status>
      <modifiedWord/>
      <trackRevisions>false</trackRevisions>
    </reviewItem>
    <reviewItem>
      <errorID>eecdf887-7690-46fb-8630-c6121d2eb822</errorID>
      <errorWord>《</errorWord>
      <group>L1_Punc</group>
      <groupName>标点问题</groupName>
      <ability>L2_Punc_CN</ability>
      <abilityName>标点符号问题</abilityName>
      <candidateList>
        <item>、《</item>
      </candidateList>
      <explain/>
      <paraID>1F123386</paraID>
      <start>107</start>
      <end>108</end>
      <status>ignored</status>
      <modifiedWord/>
      <trackRevisions>false</trackRevisions>
    </reviewItem>
    <reviewItem>
      <errorID>63049079-e401-4736-babb-6c520bf102d9</errorID>
      <errorWord>《</errorWord>
      <group>L1_Punc</group>
      <groupName>标点问题</groupName>
      <ability>L2_Punc_CN</ability>
      <abilityName>标点符号问题</abilityName>
      <candidateList>
        <item>、《</item>
      </candidateList>
      <explain/>
      <paraID>1F123386</paraID>
      <start>134</start>
      <end>135</end>
      <status>ignored</status>
      <modifiedWord/>
      <trackRevisions>false</trackRevisions>
    </reviewItem>
    <reviewItem>
      <errorID>a0cfa355-e30a-4ed2-9e8f-2d64738e8117</errorID>
      <errorWord>证</errorWord>
      <group>L1_Word</group>
      <groupName>字词问题</groupName>
      <ability>L2_Typo</ability>
      <abilityName>字词错误</abilityName>
      <candidateList>
        <item>证金</item>
      </candidateList>
      <explain/>
      <paraID>7065F65E</paraID>
      <start>6</start>
      <end>7</end>
      <status>ignored</status>
      <modifiedWord/>
      <trackRevisions>false</trackRevisions>
    </reviewItem>
    <reviewItem>
      <errorID>259143b4-9e3f-4a7e-845f-2286c200d592</errorID>
      <errorWord>）</errorWord>
      <group>L1_Punc</group>
      <groupName>标点问题</groupName>
      <ability>L2_Punc_CN</ability>
      <abilityName>标点符号问题</abilityName>
      <candidateList>
        <item>）；</item>
      </candidateList>
      <explain/>
      <paraID>4448288D</paraID>
      <start>9</start>
      <end>10</end>
      <status>ignored</status>
      <modifiedWord/>
      <trackRevisions>false</trackRevisions>
    </reviewItem>
    <reviewItem>
      <errorID>ba27ce01-0924-4938-96b9-0243aae1f415</errorID>
      <errorWord>（</errorWord>
      <group>L1_Punc</group>
      <groupName>标点问题</groupName>
      <ability>L2_Punc_CN</ability>
      <abilityName>标点符号问题</abilityName>
      <candidateList/>
      <explain>同一形式括号套用。</explain>
      <paraID>7BB5E824</paraID>
      <start>55</start>
      <end>56</end>
      <status>ignored</status>
      <modifiedWord/>
      <trackRevisions>false</trackRevisions>
    </reviewItem>
    <reviewItem>
      <errorID>bd1f3a0a-b294-4e71-b28e-afe51041a12b</errorID>
      <errorWord>）</errorWord>
      <group>L1_Punc</group>
      <groupName>标点问题</groupName>
      <ability>L2_Punc_CN</ability>
      <abilityName>标点符号问题</abilityName>
      <candidateList/>
      <explain>同一形式括号套用。</explain>
      <paraID>7BB5E824</paraID>
      <start>62</start>
      <end>63</end>
      <status>ignored</status>
      <modifiedWord/>
      <trackRevisions>false</trackRevisions>
    </reviewItem>
    <reviewItem>
      <errorID>f31df1d2-225c-44a3-9309-f948db0421b8</errorID>
      <errorWord>）</errorWord>
      <group>L1_Punc</group>
      <groupName>标点问题</groupName>
      <ability>L2_Punc_CN</ability>
      <abilityName>标点符号问题</abilityName>
      <candidateList>
        <item>）；</item>
      </candidateList>
      <explain/>
      <paraID>2A004467</paraID>
      <start>9</start>
      <end>10</end>
      <status>ignored</status>
      <modifiedWord/>
      <trackRevisions>false</trackRevisions>
    </reviewItem>
    <reviewItem>
      <errorID>e8cce9bf-0595-4916-a93c-aba99a99f470</errorID>
      <errorWord>证</errorWord>
      <group>L1_Word</group>
      <groupName>字词问题</groupName>
      <ability>L2_Typo</ability>
      <abilityName>字词错误</abilityName>
      <candidateList>
        <item>证金</item>
      </candidateList>
      <explain/>
      <paraID>792BE085</paraID>
      <start>32</start>
      <end>33</end>
      <status>ignored</status>
      <modifiedWord/>
      <trackRevisions>false</trackRevisions>
    </reviewItem>
    <reviewItem>
      <errorID>469f2d08-28f6-49db-9147-9487286104fb</errorID>
      <errorWord>证</errorWord>
      <group>L1_Word</group>
      <groupName>字词问题</groupName>
      <ability>L2_Typo</ability>
      <abilityName>字词错误</abilityName>
      <candidateList>
        <item>证金</item>
      </candidateList>
      <explain/>
      <paraID>652A2E38</paraID>
      <start>32</start>
      <end>33</end>
      <status>ignored</status>
      <modifiedWord/>
      <trackRevisions>false</trackRevisions>
    </reviewItem>
    <reviewItem>
      <errorID>6a4e73de-fc2a-4f22-9c1c-7f160c72593d</errorID>
      <errorWord>证</errorWord>
      <group>L1_Word</group>
      <groupName>字词问题</groupName>
      <ability>L2_Typo</ability>
      <abilityName>字词错误</abilityName>
      <candidateList>
        <item>证金</item>
      </candidateList>
      <explain/>
      <paraID>652A2E38</paraID>
      <start>96</start>
      <end>97</end>
      <status>ignored</status>
      <modifiedWord/>
      <trackRevisions>false</trackRevisions>
    </reviewItem>
    <reviewItem>
      <errorID>b1b34a51-948b-4e98-924d-c8b278e0aa0d</errorID>
      <errorWord>中标</errorWord>
      <group>L1_Word</group>
      <groupName>字词问题</groupName>
      <ability>L2_Typo</ability>
      <abilityName>字词错误</abilityName>
      <candidateList>
        <item>定标</item>
      </candidateList>
      <explain/>
      <paraID>70C32CE3</paraID>
      <start>30</start>
      <end>32</end>
      <status>ignored</status>
      <modifiedWord/>
      <trackRevisions>false</trackRevisions>
    </reviewItem>
    <reviewItem>
      <errorID>d79ef616-4533-44f9-a813-0f55923396dd</errorID>
      <errorWord>2026年1月1日</errorWord>
      <group>L1_Word</group>
      <groupName>字词问题</groupName>
      <ability>L2_Typo</ability>
      <abilityName>字词错误</abilityName>
      <candidateList>
        <item>2026年1月1日起</item>
      </candidateList>
      <explain/>
      <paraID>67D85537</paraID>
      <start>22</start>
      <end>31</end>
      <status>ignored</status>
      <modifiedWord/>
      <trackRevisions>false</trackRevisions>
    </reviewItem>
    <reviewItem>
      <errorID>ba791a94-f8dd-48cb-97e5-007302ba2d09</errorID>
      <errorWord>2026年1月1日</errorWord>
      <group>L1_Word</group>
      <groupName>字词问题</groupName>
      <ability>L2_Typo</ability>
      <abilityName>字词错误</abilityName>
      <candidateList>
        <item>2026年1月1日起</item>
      </candidateList>
      <explain/>
      <paraID>2B57F3E1</paraID>
      <start>32</start>
      <end>41</end>
      <status>ignored</status>
      <modifiedWord/>
      <trackRevisions>false</trackRevisions>
    </reviewItem>
    <reviewItem>
      <errorID>a34ae632-b3bf-4f09-9e4d-f8d96dd15929</errorID>
      <errorWord>2026年1月1日</errorWord>
      <group>L1_Word</group>
      <groupName>字词问题</groupName>
      <ability>L2_Typo</ability>
      <abilityName>字词错误</abilityName>
      <candidateList>
        <item>2026年1月1日起</item>
      </candidateList>
      <explain/>
      <paraID>32236993</paraID>
      <start>22</start>
      <end>31</end>
      <status>ignored</status>
      <modifiedWord/>
      <trackRevisions>false</trackRevisions>
    </reviewItem>
    <reviewItem>
      <errorID>0bf1a7c5-1ec2-4d8f-b7e8-403739e2fe39</errorID>
      <errorWord>2026年1月1日</errorWord>
      <group>L1_Word</group>
      <groupName>字词问题</groupName>
      <ability>L2_Typo</ability>
      <abilityName>字词错误</abilityName>
      <candidateList>
        <item>2026年1月1日起</item>
      </candidateList>
      <explain/>
      <paraID> F888744</paraID>
      <start>19</start>
      <end>28</end>
      <status>ignored</status>
      <modifiedWord/>
      <trackRevisions>false</trackRevisions>
    </reviewItem>
    <reviewItem>
      <errorID>5b430c44-84a2-4f05-b435-c11efb3c5827</errorID>
      <errorWord> </errorWord>
      <group>L1_Punc</group>
      <groupName>标点问题</groupName>
      <ability>L2_Punc_CN</ability>
      <abilityName>标点符号问题</abilityName>
      <candidateList>
        <item/>
      </candidateList>
      <explain>此处空格冗余，建议删除。</explain>
      <paraID> F888744</paraID>
      <start>76</start>
      <end>77</end>
      <status>ignored</status>
      <modifiedWord/>
      <trackRevisions>false</trackRevisions>
    </reviewItem>
    <reviewItem>
      <errorID>66f8236a-cdb0-41ae-af16-4a22a61225d8</errorID>
      <errorWord>年度</errorWord>
      <group>L1_Word</group>
      <groupName>字词问题</groupName>
      <ability>L2_Typo</ability>
      <abilityName>字词错误</abilityName>
      <candidateList>
        <item>年</item>
      </candidateList>
      <explain/>
      <paraID>6DAF1AE3</paraID>
      <start>6</start>
      <end>8</end>
      <status>ignored</status>
      <modifiedWord/>
      <trackRevisions>false</trackRevisions>
    </reviewItem>
    <reviewItem>
      <errorID>c196d23d-7f4b-4d75-9018-3856c489561c</errorID>
      <errorWord>2026年1月1日</errorWord>
      <group>L1_Word</group>
      <groupName>字词问题</groupName>
      <ability>L2_Typo</ability>
      <abilityName>字词错误</abilityName>
      <candidateList>
        <item>2026年1月1日起</item>
      </candidateList>
      <explain/>
      <paraID>6DAF1AE3</paraID>
      <start>19</start>
      <end>28</end>
      <status>ignored</status>
      <modifiedWord/>
      <trackRevisions>false</trackRevisions>
    </reviewItem>
    <reviewItem>
      <errorID>793ac750-2e95-41f7-82c3-148fd02e9b42</errorID>
      <errorWord>（</errorWord>
      <group>L1_Punc</group>
      <groupName>标点问题</groupName>
      <ability>L2_Punc_CN</ability>
      <abilityName>标点符号问题</abilityName>
      <candidateList/>
      <explain>同一形式括号套用。</explain>
      <paraID>33B4389D</paraID>
      <start>42</start>
      <end>43</end>
      <status>ignored</status>
      <modifiedWord/>
      <trackRevisions>false</trackRevisions>
    </reviewItem>
    <reviewItem>
      <errorID>63bf05a8-e777-46d8-a53e-ba8a4539b2b1</errorID>
      <errorWord>）</errorWord>
      <group>L1_Punc</group>
      <groupName>标点问题</groupName>
      <ability>L2_Punc_CN</ability>
      <abilityName>标点符号问题</abilityName>
      <candidateList/>
      <explain>同一形式括号套用。</explain>
      <paraID>33B4389D</paraID>
      <start>54</start>
      <end>55</end>
      <status>ignored</status>
      <modifiedWord/>
      <trackRevisions>false</trackRevisions>
    </reviewItem>
    <reviewItem>
      <errorID>1c65231b-80f5-440f-927e-8ca07555b96c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396D5353</paraID>
      <start>103</start>
      <end>104</end>
      <status>ignored</status>
      <modifiedWord/>
      <trackRevisions>false</trackRevisions>
    </reviewItem>
    <reviewItem>
      <errorID>2d4582dc-2ed3-4136-8ade-bc19cb0d6290</errorID>
      <errorWord>（</errorWord>
      <group>L1_Punc</group>
      <groupName>标点问题</groupName>
      <ability>L2_Punc_CN</ability>
      <abilityName>标点符号问题</abilityName>
      <candidateList/>
      <explain>同一形式括号套用。</explain>
      <paraID> EDC6E94</paraID>
      <start>66</start>
      <end>67</end>
      <status>ignored</status>
      <modifiedWord/>
      <trackRevisions>false</trackRevisions>
    </reviewItem>
    <reviewItem>
      <errorID>ef412958-3fea-4a13-9750-c57f8fe5598b</errorID>
      <errorWord>）</errorWord>
      <group>L1_Punc</group>
      <groupName>标点问题</groupName>
      <ability>L2_Punc_CN</ability>
      <abilityName>标点符号问题</abilityName>
      <candidateList/>
      <explain>同一形式括号套用。</explain>
      <paraID> EDC6E94</paraID>
      <start>78</start>
      <end>79</end>
      <status>ignored</status>
      <modifiedWord/>
      <trackRevisions>false</trackRevisions>
    </reviewItem>
    <reviewItem>
      <errorID>d0d1fe0f-a584-4259-ad73-200d75937ecd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1904FDEC</paraID>
      <start>193</start>
      <end>194</end>
      <status>ignored</status>
      <modifiedWord/>
      <trackRevisions>false</trackRevisions>
    </reviewItem>
    <reviewItem>
      <errorID>1c66e01e-8fcb-4cf9-8a54-630a191bb584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1ADE4925</paraID>
      <start>258</start>
      <end>259</end>
      <status>ignored</status>
      <modifiedWord/>
      <trackRevisions>false</trackRevisions>
    </reviewItem>
    <reviewItem>
      <errorID>502f23c1-3bc8-4d0d-ab99-dc93505d6210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14B894AA</paraID>
      <start>4</start>
      <end>5</end>
      <status>ignored</status>
      <modifiedWord/>
      <trackRevisions>false</trackRevisions>
    </reviewItem>
    <reviewItem>
      <errorID>89a55791-6920-495e-a9d1-2123dc96b80a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3445358B</paraID>
      <start>93</start>
      <end>94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02998e-a3e5-43ce-919d-d6cdecf4f003}">
  <ds:schemaRefs/>
</ds:datastoreItem>
</file>

<file path=docProps/app.xml><?xml version="1.0" encoding="utf-8"?>
<Properties xmlns="http://schemas.openxmlformats.org/officeDocument/2006/extended-properties" xmlns:vt="http://schemas.openxmlformats.org/officeDocument/2006/docPropsVTypes">
  <Template>Normal.dotm</Template>
  <Pages>94</Pages>
  <Words>4601</Words>
  <Characters>4857</Characters>
  <Lines>0</Lines>
  <Paragraphs>0</Paragraphs>
  <TotalTime>29</TotalTime>
  <ScaleCrop>false</ScaleCrop>
  <LinksUpToDate>false</LinksUpToDate>
  <CharactersWithSpaces>5223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2024-09-28T20:36:00Z</dcterms:created>
  <dc:creator>Administrator</dc:creator>
  <cp:lastModifiedBy>锦鲤</cp:lastModifiedBy>
  <cp:lastPrinted>2026-05-07T07:51:00Z</cp:lastPrinted>
  <dcterms:modified xsi:type="dcterms:W3CDTF">2026-08-07T06:34:36Z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9AEFAD19F1B3467591C121C90F7D27E1_13</vt:lpwstr>
  </property>
  <property fmtid="{D5CDD505-2E9C-101B-9397-08002B2CF9AE}" pid="4" name="KSOTemplateDocerSaveRecord">
    <vt:lpwstr>eyJoZGlkIjoiNDhmNzljZDk3NjliODZjY2M1NDEyODcwYzdhMjM1YTQiLCJ1c2VySWQiOiIyODUzMDI3MjcifQ==</vt:lpwstr>
  </property>
</Properties>
</file>