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FFFB">
      <w:pPr>
        <w:pStyle w:val="51"/>
        <w:shd w:val="clear" w:color="auto" w:fill="auto"/>
        <w:wordWrap w:val="0"/>
        <w:adjustRightInd w:val="0"/>
        <w:snapToGrid w:val="0"/>
        <w:spacing w:line="360" w:lineRule="auto"/>
        <w:jc w:val="center"/>
        <w:rPr>
          <w:rFonts w:hint="default" w:ascii="宋体" w:hAnsi="宋体" w:eastAsia="宋体" w:cs="宋体"/>
          <w:b/>
          <w:snapToGrid w:val="0"/>
          <w:color w:val="auto"/>
          <w:kern w:val="0"/>
          <w:sz w:val="44"/>
          <w:szCs w:val="44"/>
          <w:highlight w:val="none"/>
          <w:lang w:val="en-US" w:eastAsia="zh-CN"/>
        </w:rPr>
      </w:pPr>
      <w:r>
        <w:rPr>
          <w:rFonts w:hint="eastAsia" w:ascii="宋体" w:hAnsi="宋体" w:eastAsia="宋体" w:cs="宋体"/>
          <w:b/>
          <w:snapToGrid w:val="0"/>
          <w:color w:val="auto"/>
          <w:kern w:val="0"/>
          <w:sz w:val="48"/>
          <w:szCs w:val="48"/>
          <w:highlight w:val="none"/>
          <w:lang w:eastAsia="zh-CN"/>
        </w:rPr>
        <w:t>浈江产业园（犁市片区）基础设施建设项目（土方工程一期）监理</w:t>
      </w:r>
    </w:p>
    <w:p w14:paraId="7DE7DF09">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38D19011">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D975719">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F2AB17A">
      <w:pPr>
        <w:pStyle w:val="51"/>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p>
    <w:p w14:paraId="22BF48F2">
      <w:pPr>
        <w:shd w:val="clear" w:color="auto" w:fill="auto"/>
        <w:wordWrap w:val="0"/>
        <w:adjustRightInd w:val="0"/>
        <w:snapToGrid w:val="0"/>
        <w:jc w:val="center"/>
        <w:rPr>
          <w:rFonts w:hint="eastAsia" w:hAnsi="宋体" w:cs="宋体"/>
          <w:b/>
          <w:bCs/>
          <w:snapToGrid w:val="0"/>
          <w:color w:val="auto"/>
          <w:kern w:val="0"/>
          <w:sz w:val="48"/>
          <w:szCs w:val="48"/>
          <w:highlight w:val="none"/>
        </w:rPr>
      </w:pPr>
    </w:p>
    <w:p w14:paraId="2A9EC3E3">
      <w:pPr>
        <w:pStyle w:val="7"/>
        <w:shd w:val="clear" w:color="auto" w:fill="auto"/>
        <w:rPr>
          <w:rFonts w:hint="eastAsia" w:hAnsi="宋体" w:cs="宋体"/>
          <w:b/>
          <w:bCs/>
          <w:snapToGrid w:val="0"/>
          <w:color w:val="auto"/>
          <w:sz w:val="48"/>
          <w:szCs w:val="48"/>
          <w:highlight w:val="none"/>
        </w:rPr>
      </w:pPr>
    </w:p>
    <w:p w14:paraId="189CCAC7">
      <w:pPr>
        <w:shd w:val="clear" w:color="auto" w:fill="auto"/>
        <w:rPr>
          <w:rFonts w:hint="eastAsia"/>
          <w:color w:val="auto"/>
          <w:highlight w:val="none"/>
        </w:rPr>
      </w:pPr>
    </w:p>
    <w:tbl>
      <w:tblPr>
        <w:tblStyle w:val="24"/>
        <w:tblpPr w:leftFromText="180" w:rightFromText="180" w:vertAnchor="text" w:horzAnchor="page" w:tblpX="847" w:tblpY="580"/>
        <w:tblOverlap w:val="never"/>
        <w:tblW w:w="10579" w:type="dxa"/>
        <w:tblInd w:w="0" w:type="dxa"/>
        <w:tblLayout w:type="fixed"/>
        <w:tblCellMar>
          <w:top w:w="0" w:type="dxa"/>
          <w:left w:w="0" w:type="dxa"/>
          <w:bottom w:w="0" w:type="dxa"/>
          <w:right w:w="0" w:type="dxa"/>
        </w:tblCellMar>
      </w:tblPr>
      <w:tblGrid>
        <w:gridCol w:w="4957"/>
        <w:gridCol w:w="5622"/>
      </w:tblGrid>
      <w:tr w14:paraId="47408CDB">
        <w:tblPrEx>
          <w:tblCellMar>
            <w:top w:w="0" w:type="dxa"/>
            <w:left w:w="0" w:type="dxa"/>
            <w:bottom w:w="0" w:type="dxa"/>
            <w:right w:w="0" w:type="dxa"/>
          </w:tblCellMar>
        </w:tblPrEx>
        <w:trPr>
          <w:trHeight w:val="685" w:hRule="atLeast"/>
        </w:trPr>
        <w:tc>
          <w:tcPr>
            <w:tcW w:w="4957" w:type="dxa"/>
            <w:vAlign w:val="center"/>
          </w:tcPr>
          <w:p w14:paraId="13851042">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622" w:type="dxa"/>
            <w:vAlign w:val="center"/>
          </w:tcPr>
          <w:p w14:paraId="3274DF56">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东莞（韶关）浈江产业转移工业园管理委员会</w:t>
            </w:r>
          </w:p>
        </w:tc>
      </w:tr>
      <w:tr w14:paraId="3114C767">
        <w:tblPrEx>
          <w:tblCellMar>
            <w:top w:w="0" w:type="dxa"/>
            <w:left w:w="0" w:type="dxa"/>
            <w:bottom w:w="0" w:type="dxa"/>
            <w:right w:w="0" w:type="dxa"/>
          </w:tblCellMar>
        </w:tblPrEx>
        <w:trPr>
          <w:trHeight w:val="562" w:hRule="atLeast"/>
        </w:trPr>
        <w:tc>
          <w:tcPr>
            <w:tcW w:w="4957" w:type="dxa"/>
            <w:vAlign w:val="center"/>
          </w:tcPr>
          <w:p w14:paraId="203ED82A">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622" w:type="dxa"/>
            <w:vAlign w:val="center"/>
          </w:tcPr>
          <w:p w14:paraId="2DEFF4E2">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42639087">
        <w:tblPrEx>
          <w:tblCellMar>
            <w:top w:w="0" w:type="dxa"/>
            <w:left w:w="0" w:type="dxa"/>
            <w:bottom w:w="0" w:type="dxa"/>
            <w:right w:w="0" w:type="dxa"/>
          </w:tblCellMar>
        </w:tblPrEx>
        <w:trPr>
          <w:trHeight w:val="617" w:hRule="atLeast"/>
        </w:trPr>
        <w:tc>
          <w:tcPr>
            <w:tcW w:w="4957" w:type="dxa"/>
            <w:vAlign w:val="center"/>
          </w:tcPr>
          <w:p w14:paraId="248BC780">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622" w:type="dxa"/>
            <w:vAlign w:val="center"/>
          </w:tcPr>
          <w:p w14:paraId="7BF27896">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广东合正项目管理有限公司</w:t>
            </w:r>
          </w:p>
        </w:tc>
      </w:tr>
      <w:tr w14:paraId="161E4A71">
        <w:tblPrEx>
          <w:tblCellMar>
            <w:top w:w="0" w:type="dxa"/>
            <w:left w:w="0" w:type="dxa"/>
            <w:bottom w:w="0" w:type="dxa"/>
            <w:right w:w="0" w:type="dxa"/>
          </w:tblCellMar>
        </w:tblPrEx>
        <w:trPr>
          <w:trHeight w:val="588" w:hRule="atLeast"/>
        </w:trPr>
        <w:tc>
          <w:tcPr>
            <w:tcW w:w="4957" w:type="dxa"/>
            <w:vAlign w:val="center"/>
          </w:tcPr>
          <w:p w14:paraId="3186211B">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622" w:type="dxa"/>
            <w:vAlign w:val="center"/>
          </w:tcPr>
          <w:p w14:paraId="0BE609E3">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3E328BC2">
        <w:tblPrEx>
          <w:tblCellMar>
            <w:top w:w="0" w:type="dxa"/>
            <w:left w:w="0" w:type="dxa"/>
            <w:bottom w:w="0" w:type="dxa"/>
            <w:right w:w="0" w:type="dxa"/>
          </w:tblCellMar>
        </w:tblPrEx>
        <w:trPr>
          <w:trHeight w:val="601" w:hRule="atLeast"/>
        </w:trPr>
        <w:tc>
          <w:tcPr>
            <w:tcW w:w="4957" w:type="dxa"/>
            <w:vAlign w:val="center"/>
          </w:tcPr>
          <w:p w14:paraId="221F651F">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622" w:type="dxa"/>
            <w:vAlign w:val="center"/>
          </w:tcPr>
          <w:p w14:paraId="197AFA77">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5A569AB5">
        <w:tblPrEx>
          <w:tblCellMar>
            <w:top w:w="0" w:type="dxa"/>
            <w:left w:w="0" w:type="dxa"/>
            <w:bottom w:w="0" w:type="dxa"/>
            <w:right w:w="0" w:type="dxa"/>
          </w:tblCellMar>
        </w:tblPrEx>
        <w:trPr>
          <w:trHeight w:val="632" w:hRule="atLeast"/>
        </w:trPr>
        <w:tc>
          <w:tcPr>
            <w:tcW w:w="4957" w:type="dxa"/>
            <w:vAlign w:val="center"/>
          </w:tcPr>
          <w:p w14:paraId="7FA77EB2">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622" w:type="dxa"/>
            <w:vAlign w:val="center"/>
          </w:tcPr>
          <w:p w14:paraId="428ADB8E">
            <w:pPr>
              <w:pStyle w:val="57"/>
              <w:shd w:val="clear" w:color="auto" w:fill="auto"/>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lang w:val="en-US" w:eastAsia="zh-CN"/>
              </w:rPr>
              <w:t xml:space="preserve">  2025</w:t>
            </w:r>
            <w:r>
              <w:rPr>
                <w:rFonts w:hint="eastAsia" w:hAnsi="宋体" w:cs="宋体"/>
                <w:snapToGrid w:val="0"/>
                <w:color w:val="auto"/>
                <w:kern w:val="0"/>
                <w:sz w:val="28"/>
                <w:highlight w:val="none"/>
              </w:rPr>
              <w:t>年</w:t>
            </w:r>
            <w:r>
              <w:rPr>
                <w:rFonts w:hint="eastAsia" w:hAnsi="宋体" w:cs="宋体"/>
                <w:snapToGrid w:val="0"/>
                <w:color w:val="auto"/>
                <w:kern w:val="0"/>
                <w:sz w:val="28"/>
                <w:highlight w:val="none"/>
                <w:lang w:val="en-US" w:eastAsia="zh-CN"/>
              </w:rPr>
              <w:t>10</w:t>
            </w:r>
            <w:r>
              <w:rPr>
                <w:rFonts w:hint="eastAsia" w:hAnsi="宋体" w:cs="宋体"/>
                <w:snapToGrid w:val="0"/>
                <w:color w:val="auto"/>
                <w:kern w:val="0"/>
                <w:sz w:val="28"/>
                <w:highlight w:val="none"/>
              </w:rPr>
              <w:t>月</w:t>
            </w:r>
          </w:p>
        </w:tc>
      </w:tr>
    </w:tbl>
    <w:p w14:paraId="4BE64107">
      <w:pPr>
        <w:pStyle w:val="7"/>
        <w:shd w:val="clear" w:color="auto" w:fill="auto"/>
        <w:rPr>
          <w:rFonts w:hint="eastAsia" w:hAnsi="宋体" w:cs="宋体"/>
          <w:b/>
          <w:bCs/>
          <w:snapToGrid w:val="0"/>
          <w:color w:val="auto"/>
          <w:sz w:val="48"/>
          <w:szCs w:val="48"/>
          <w:highlight w:val="none"/>
        </w:rPr>
      </w:pPr>
    </w:p>
    <w:p w14:paraId="7C5F7DC3">
      <w:pPr>
        <w:shd w:val="clear" w:color="auto" w:fill="auto"/>
        <w:tabs>
          <w:tab w:val="left" w:pos="4935"/>
        </w:tabs>
        <w:wordWrap w:val="0"/>
        <w:adjustRightInd w:val="0"/>
        <w:snapToGrid w:val="0"/>
        <w:spacing w:line="440" w:lineRule="exact"/>
        <w:rPr>
          <w:rFonts w:hint="eastAsia" w:hAnsi="宋体" w:cs="宋体"/>
          <w:b/>
          <w:snapToGrid w:val="0"/>
          <w:color w:val="auto"/>
          <w:kern w:val="0"/>
          <w:sz w:val="28"/>
          <w:szCs w:val="28"/>
          <w:highlight w:val="none"/>
        </w:rPr>
        <w:sectPr>
          <w:footerReference r:id="rId5" w:type="default"/>
          <w:endnotePr>
            <w:numFmt w:val="decimal"/>
          </w:endnotePr>
          <w:pgSz w:w="11906" w:h="16838"/>
          <w:pgMar w:top="1701" w:right="1975" w:bottom="1417" w:left="1531" w:header="850" w:footer="992" w:gutter="0"/>
          <w:pgNumType w:start="1"/>
          <w:cols w:space="720" w:num="1"/>
          <w:rtlGutter w:val="0"/>
          <w:docGrid w:linePitch="327" w:charSpace="0"/>
        </w:sectPr>
      </w:pPr>
    </w:p>
    <w:p w14:paraId="2A16E503">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49FD4B">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FC5071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9DD254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B3697A1">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C43E62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25B2CE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8B67B6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bookmarkStart w:id="585" w:name="_GoBack"/>
    </w:p>
    <w:bookmarkEnd w:id="585"/>
    <w:p w14:paraId="140664CA">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88DC354">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7ADBF38">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32C4A0A">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568BC5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DBE03B6">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3944B94">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B8119E5">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FDDD723">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F06257C">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6A3D543">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3E05AC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8140622">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25A3D35">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A652515">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8AF9A0A">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1181B0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9B8A4D">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1D20DE9">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A23C459">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12F9CC5">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8360AF9">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EE9ABCF">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F2B51B0">
      <w:pPr>
        <w:pStyle w:val="11"/>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r>
        <w:rPr>
          <w:rFonts w:hint="eastAsia" w:hAnsi="宋体" w:cs="宋体"/>
          <w:b/>
          <w:snapToGrid w:val="0"/>
          <w:color w:val="auto"/>
          <w:kern w:val="0"/>
          <w:sz w:val="28"/>
          <w:szCs w:val="28"/>
          <w:highlight w:val="none"/>
        </w:rPr>
        <w:t>目    录</w:t>
      </w:r>
      <w:bookmarkStart w:id="0" w:name="_Hlt122423813"/>
      <w:bookmarkEnd w:id="0"/>
      <w:bookmarkStart w:id="1" w:name="_Hlt66153951"/>
      <w:bookmarkEnd w:id="1"/>
      <w:bookmarkStart w:id="2" w:name="_Hlt66104981"/>
      <w:bookmarkEnd w:id="2"/>
      <w:bookmarkStart w:id="3" w:name="_Toc476739600"/>
      <w:bookmarkStart w:id="4" w:name="_Toc14094"/>
      <w:bookmarkStart w:id="5" w:name="_Hlt111690251"/>
    </w:p>
    <w:p w14:paraId="21AEFCA3">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_Toc1285 </w:instrText>
      </w:r>
      <w:r>
        <w:rPr>
          <w:rFonts w:hint="eastAsia"/>
          <w:color w:val="auto"/>
          <w:highlight w:val="none"/>
        </w:rPr>
        <w:fldChar w:fldCharType="separate"/>
      </w:r>
      <w:r>
        <w:rPr>
          <w:rFonts w:hint="eastAsia" w:hAnsi="宋体" w:cs="宋体"/>
          <w:snapToGrid w:val="0"/>
          <w:color w:val="auto"/>
          <w:kern w:val="0"/>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_Toc1285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29E368CA">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_Toc24800 </w:instrText>
      </w:r>
      <w:r>
        <w:rPr>
          <w:rFonts w:hint="eastAsia"/>
          <w:color w:val="auto"/>
          <w:highlight w:val="none"/>
        </w:rPr>
        <w:fldChar w:fldCharType="separate"/>
      </w:r>
      <w:r>
        <w:rPr>
          <w:rFonts w:hint="eastAsia"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_Toc24800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40FBC9C">
      <w:pPr>
        <w:pStyle w:val="18"/>
        <w:shd w:val="clear" w:color="auto" w:fill="auto"/>
        <w:tabs>
          <w:tab w:val="right" w:leader="dot" w:pos="8844"/>
        </w:tabs>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_Toc2241 </w:instrText>
      </w:r>
      <w:r>
        <w:rPr>
          <w:rFonts w:hint="eastAsia"/>
          <w:color w:val="auto"/>
          <w:highlight w:val="none"/>
        </w:rPr>
        <w:fldChar w:fldCharType="separate"/>
      </w:r>
      <w:r>
        <w:rPr>
          <w:rFonts w:hint="eastAsia"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_Toc2241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1F785783">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_Toc22644 </w:instrText>
      </w:r>
      <w:r>
        <w:rPr>
          <w:rFonts w:hint="eastAsia"/>
          <w:color w:val="auto"/>
          <w:highlight w:val="none"/>
        </w:rPr>
        <w:fldChar w:fldCharType="separate"/>
      </w:r>
      <w:r>
        <w:rPr>
          <w:rFonts w:hint="eastAsia"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_Toc22644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14C8CA0E">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_Toc26179 </w:instrText>
      </w:r>
      <w:r>
        <w:rPr>
          <w:rFonts w:hint="eastAsia"/>
          <w:color w:val="auto"/>
          <w:highlight w:val="none"/>
        </w:rPr>
        <w:fldChar w:fldCharType="separate"/>
      </w:r>
      <w:r>
        <w:rPr>
          <w:rFonts w:hint="eastAsia" w:ascii="宋体" w:hAnsi="宋体" w:cs="宋体"/>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_Toc26179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02F28E30">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_Toc3407 </w:instrText>
      </w:r>
      <w:r>
        <w:rPr>
          <w:rFonts w:hint="eastAsia"/>
          <w:color w:val="auto"/>
          <w:highlight w:val="none"/>
        </w:rPr>
        <w:fldChar w:fldCharType="separate"/>
      </w:r>
      <w:r>
        <w:rPr>
          <w:rFonts w:hint="eastAsia" w:ascii="宋体" w:hAnsi="宋体" w:cs="宋体"/>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_Toc3407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67FCC073">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_Toc4403 </w:instrText>
      </w:r>
      <w:r>
        <w:rPr>
          <w:rFonts w:hint="eastAsia"/>
          <w:color w:val="auto"/>
          <w:highlight w:val="none"/>
        </w:rPr>
        <w:fldChar w:fldCharType="separate"/>
      </w:r>
      <w:r>
        <w:rPr>
          <w:rFonts w:hint="eastAsia" w:ascii="宋体" w:hAnsi="宋体" w:cs="宋体"/>
          <w:bCs/>
          <w:snapToGrid w:val="0"/>
          <w:color w:val="auto"/>
          <w:kern w:val="0"/>
          <w:highlight w:val="none"/>
        </w:rPr>
        <w:t>3．招标文件获取</w:t>
      </w:r>
      <w:r>
        <w:rPr>
          <w:color w:val="auto"/>
          <w:highlight w:val="none"/>
        </w:rPr>
        <w:tab/>
      </w:r>
      <w:r>
        <w:rPr>
          <w:color w:val="auto"/>
          <w:highlight w:val="none"/>
        </w:rPr>
        <w:fldChar w:fldCharType="begin"/>
      </w:r>
      <w:r>
        <w:rPr>
          <w:color w:val="auto"/>
          <w:highlight w:val="none"/>
        </w:rPr>
        <w:instrText xml:space="preserve"> PAGEREF _Toc4403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14:paraId="0D780821">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_Toc6940 </w:instrText>
      </w:r>
      <w:r>
        <w:rPr>
          <w:rFonts w:hint="eastAsia"/>
          <w:color w:val="auto"/>
          <w:highlight w:val="none"/>
        </w:rPr>
        <w:fldChar w:fldCharType="separate"/>
      </w:r>
      <w:r>
        <w:rPr>
          <w:rFonts w:hint="eastAsia" w:ascii="宋体"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_Toc6940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278830D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_Toc31374 </w:instrText>
      </w:r>
      <w:r>
        <w:rPr>
          <w:rFonts w:hint="eastAsia"/>
          <w:color w:val="auto"/>
          <w:highlight w:val="none"/>
        </w:rPr>
        <w:fldChar w:fldCharType="separate"/>
      </w:r>
      <w:r>
        <w:rPr>
          <w:rFonts w:hint="eastAsia" w:ascii="宋体" w:hAnsi="宋体" w:cs="宋体"/>
          <w:bCs/>
          <w:snapToGrid w:val="0"/>
          <w:color w:val="auto"/>
          <w:kern w:val="0"/>
          <w:highlight w:val="none"/>
        </w:rPr>
        <w:t>5．服务标准</w:t>
      </w:r>
      <w:r>
        <w:rPr>
          <w:color w:val="auto"/>
          <w:highlight w:val="none"/>
        </w:rPr>
        <w:tab/>
      </w:r>
      <w:r>
        <w:rPr>
          <w:color w:val="auto"/>
          <w:highlight w:val="none"/>
        </w:rPr>
        <w:fldChar w:fldCharType="begin"/>
      </w:r>
      <w:r>
        <w:rPr>
          <w:color w:val="auto"/>
          <w:highlight w:val="none"/>
        </w:rPr>
        <w:instrText xml:space="preserve"> PAGEREF _Toc31374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694CEF6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_Toc27367 </w:instrText>
      </w:r>
      <w:r>
        <w:rPr>
          <w:rFonts w:hint="eastAsia"/>
          <w:color w:val="auto"/>
          <w:highlight w:val="none"/>
        </w:rPr>
        <w:fldChar w:fldCharType="separate"/>
      </w:r>
      <w:r>
        <w:rPr>
          <w:rFonts w:hint="eastAsia" w:ascii="宋体" w:hAnsi="宋体" w:cs="宋体"/>
          <w:bCs/>
          <w:snapToGrid w:val="0"/>
          <w:color w:val="auto"/>
          <w:kern w:val="0"/>
          <w:highlight w:val="none"/>
        </w:rPr>
        <w:t>6．现场踏勘</w:t>
      </w:r>
      <w:r>
        <w:rPr>
          <w:color w:val="auto"/>
          <w:highlight w:val="none"/>
        </w:rPr>
        <w:tab/>
      </w:r>
      <w:r>
        <w:rPr>
          <w:color w:val="auto"/>
          <w:highlight w:val="none"/>
        </w:rPr>
        <w:fldChar w:fldCharType="begin"/>
      </w:r>
      <w:r>
        <w:rPr>
          <w:color w:val="auto"/>
          <w:highlight w:val="none"/>
        </w:rPr>
        <w:instrText xml:space="preserve"> PAGEREF _Toc27367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14A6118B">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_Toc6981 </w:instrText>
      </w:r>
      <w:r>
        <w:rPr>
          <w:rFonts w:hint="eastAsia"/>
          <w:color w:val="auto"/>
          <w:highlight w:val="none"/>
        </w:rPr>
        <w:fldChar w:fldCharType="separate"/>
      </w:r>
      <w:r>
        <w:rPr>
          <w:rFonts w:hint="eastAsia" w:hAnsi="宋体" w:cs="宋体"/>
          <w:bCs/>
          <w:snapToGrid w:val="0"/>
          <w:color w:val="auto"/>
          <w:szCs w:val="24"/>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_Toc6981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50414FA0">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_Toc15770 </w:instrText>
      </w:r>
      <w:r>
        <w:rPr>
          <w:rFonts w:hint="eastAsia"/>
          <w:color w:val="auto"/>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_Toc15770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0E6ADE8F">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_Toc21815 </w:instrText>
      </w:r>
      <w:r>
        <w:rPr>
          <w:rFonts w:hint="eastAsia"/>
          <w:color w:val="auto"/>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_Toc21815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6C296EF1">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_Toc25728 </w:instrText>
      </w:r>
      <w:r>
        <w:rPr>
          <w:rFonts w:hint="eastAsia"/>
          <w:color w:val="auto"/>
          <w:highlight w:val="none"/>
        </w:rPr>
        <w:fldChar w:fldCharType="separate"/>
      </w:r>
      <w:r>
        <w:rPr>
          <w:rFonts w:hint="eastAsia"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_Toc25728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01D4804E">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_Toc4068 </w:instrText>
      </w:r>
      <w:r>
        <w:rPr>
          <w:rFonts w:hint="eastAsia"/>
          <w:color w:val="auto"/>
          <w:highlight w:val="none"/>
        </w:rPr>
        <w:fldChar w:fldCharType="separate"/>
      </w:r>
      <w:r>
        <w:rPr>
          <w:rFonts w:hint="eastAsia" w:hAnsi="宋体" w:cs="宋体"/>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_Toc4068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rPr>
        <w:fldChar w:fldCharType="end"/>
      </w:r>
    </w:p>
    <w:p w14:paraId="588CAEA6">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_Toc11440 </w:instrText>
      </w:r>
      <w:r>
        <w:rPr>
          <w:rFonts w:hint="eastAsia"/>
          <w:color w:val="auto"/>
          <w:highlight w:val="none"/>
        </w:rPr>
        <w:fldChar w:fldCharType="separate"/>
      </w:r>
      <w:r>
        <w:rPr>
          <w:rFonts w:hint="eastAsia" w:hAnsi="宋体" w:cs="宋体"/>
          <w:snapToGrid w:val="0"/>
          <w:color w:val="auto"/>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_Toc11440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rPr>
        <w:fldChar w:fldCharType="end"/>
      </w:r>
    </w:p>
    <w:p w14:paraId="0FDD99D1">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_Toc3479 </w:instrText>
      </w:r>
      <w:r>
        <w:rPr>
          <w:rFonts w:hint="eastAsia"/>
          <w:color w:val="auto"/>
          <w:highlight w:val="none"/>
        </w:rPr>
        <w:fldChar w:fldCharType="separate"/>
      </w:r>
      <w:r>
        <w:rPr>
          <w:rFonts w:hint="eastAsia" w:hAnsi="宋体" w:cs="宋体"/>
          <w:snapToGrid w:val="0"/>
          <w:color w:val="auto"/>
          <w:kern w:val="0"/>
          <w:highlight w:val="none"/>
        </w:rPr>
        <w:t>13．投标有效期</w:t>
      </w:r>
      <w:r>
        <w:rPr>
          <w:color w:val="auto"/>
          <w:highlight w:val="none"/>
        </w:rPr>
        <w:tab/>
      </w:r>
      <w:r>
        <w:rPr>
          <w:color w:val="auto"/>
          <w:highlight w:val="none"/>
        </w:rPr>
        <w:fldChar w:fldCharType="begin"/>
      </w:r>
      <w:r>
        <w:rPr>
          <w:color w:val="auto"/>
          <w:highlight w:val="none"/>
        </w:rPr>
        <w:instrText xml:space="preserve"> PAGEREF _Toc3479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330ABFEE">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_Toc18547 </w:instrText>
      </w:r>
      <w:r>
        <w:rPr>
          <w:rFonts w:hint="eastAsia"/>
          <w:color w:val="auto"/>
          <w:highlight w:val="none"/>
        </w:rPr>
        <w:fldChar w:fldCharType="separate"/>
      </w:r>
      <w:r>
        <w:rPr>
          <w:rFonts w:hint="eastAsia" w:hAnsi="宋体" w:cs="宋体"/>
          <w:snapToGrid w:val="0"/>
          <w:color w:val="auto"/>
          <w:kern w:val="0"/>
          <w:highlight w:val="none"/>
        </w:rPr>
        <w:t>14．开标</w:t>
      </w:r>
      <w:r>
        <w:rPr>
          <w:color w:val="auto"/>
          <w:highlight w:val="none"/>
        </w:rPr>
        <w:tab/>
      </w:r>
      <w:r>
        <w:rPr>
          <w:color w:val="auto"/>
          <w:highlight w:val="none"/>
        </w:rPr>
        <w:fldChar w:fldCharType="begin"/>
      </w:r>
      <w:r>
        <w:rPr>
          <w:color w:val="auto"/>
          <w:highlight w:val="none"/>
        </w:rPr>
        <w:instrText xml:space="preserve"> PAGEREF _Toc18547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120A86CC">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_Toc13528 </w:instrText>
      </w:r>
      <w:r>
        <w:rPr>
          <w:rFonts w:hint="eastAsia"/>
          <w:color w:val="auto"/>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_Toc13528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08F2D8A9">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_Toc14248 </w:instrText>
      </w:r>
      <w:r>
        <w:rPr>
          <w:rFonts w:hint="eastAsia"/>
          <w:color w:val="auto"/>
          <w:highlight w:val="none"/>
        </w:rPr>
        <w:fldChar w:fldCharType="separate"/>
      </w:r>
      <w:r>
        <w:rPr>
          <w:rFonts w:hint="eastAsia" w:hAnsi="宋体" w:cs="宋体"/>
          <w:snapToGrid w:val="0"/>
          <w:color w:val="auto"/>
          <w:kern w:val="0"/>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_Toc14248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14:paraId="3E57127A">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_Toc14955 </w:instrText>
      </w:r>
      <w:r>
        <w:rPr>
          <w:rFonts w:hint="eastAsia"/>
          <w:color w:val="auto"/>
          <w:highlight w:val="none"/>
        </w:rPr>
        <w:fldChar w:fldCharType="separate"/>
      </w:r>
      <w:r>
        <w:rPr>
          <w:rFonts w:hint="eastAsia" w:hAnsi="宋体" w:cs="宋体"/>
          <w:snapToGrid w:val="0"/>
          <w:color w:val="auto"/>
          <w:kern w:val="0"/>
          <w:highlight w:val="none"/>
        </w:rPr>
        <w:t>17．中标候选人公示</w:t>
      </w:r>
      <w:r>
        <w:rPr>
          <w:color w:val="auto"/>
          <w:highlight w:val="none"/>
        </w:rPr>
        <w:tab/>
      </w:r>
      <w:r>
        <w:rPr>
          <w:color w:val="auto"/>
          <w:highlight w:val="none"/>
        </w:rPr>
        <w:fldChar w:fldCharType="begin"/>
      </w:r>
      <w:r>
        <w:rPr>
          <w:color w:val="auto"/>
          <w:highlight w:val="none"/>
        </w:rPr>
        <w:instrText xml:space="preserve"> PAGEREF _Toc14955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14:paraId="78AD4B96">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_Toc9979 </w:instrText>
      </w:r>
      <w:r>
        <w:rPr>
          <w:rFonts w:hint="eastAsia"/>
          <w:color w:val="auto"/>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_Toc9979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620BD627">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_Toc32629 </w:instrText>
      </w:r>
      <w:r>
        <w:rPr>
          <w:rFonts w:hint="eastAsia"/>
          <w:color w:val="auto"/>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_Toc32629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4F103B49">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_Toc25976 </w:instrText>
      </w:r>
      <w:r>
        <w:rPr>
          <w:rFonts w:hint="eastAsia"/>
          <w:color w:val="auto"/>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_Toc25976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4BF0DC63">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_Toc18248 </w:instrText>
      </w:r>
      <w:r>
        <w:rPr>
          <w:rFonts w:hint="eastAsia"/>
          <w:color w:val="auto"/>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_Toc18248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14:paraId="565B2614">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_Toc32705 </w:instrText>
      </w:r>
      <w:r>
        <w:rPr>
          <w:rFonts w:hint="eastAsia"/>
          <w:color w:val="auto"/>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_Toc32705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14:paraId="61AD2707">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_Toc12363 </w:instrText>
      </w:r>
      <w:r>
        <w:rPr>
          <w:rFonts w:hint="eastAsia"/>
          <w:color w:val="auto"/>
          <w:highlight w:val="none"/>
        </w:rPr>
        <w:fldChar w:fldCharType="separate"/>
      </w:r>
      <w:r>
        <w:rPr>
          <w:rFonts w:hint="eastAsia" w:hAnsi="宋体" w:cs="宋体"/>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_Toc12363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rPr>
        <w:fldChar w:fldCharType="end"/>
      </w:r>
    </w:p>
    <w:p w14:paraId="596C1E08">
      <w:pPr>
        <w:pStyle w:val="17"/>
        <w:shd w:val="clear" w:color="auto" w:fill="auto"/>
        <w:tabs>
          <w:tab w:val="right" w:leader="dot" w:pos="8844"/>
        </w:tabs>
        <w:rPr>
          <w:rFonts w:hint="eastAsia" w:eastAsia="宋体"/>
          <w:color w:val="auto"/>
          <w:highlight w:val="none"/>
          <w:lang w:eastAsia="zh-CN"/>
        </w:rPr>
      </w:pPr>
      <w:r>
        <w:rPr>
          <w:rFonts w:hint="eastAsia"/>
          <w:color w:val="auto"/>
          <w:highlight w:val="none"/>
        </w:rPr>
        <w:fldChar w:fldCharType="begin"/>
      </w:r>
      <w:r>
        <w:rPr>
          <w:rFonts w:hint="eastAsia"/>
          <w:color w:val="auto"/>
          <w:highlight w:val="none"/>
        </w:rPr>
        <w:instrText xml:space="preserve"> HYPERLINK \l _Toc12639 </w:instrText>
      </w:r>
      <w:r>
        <w:rPr>
          <w:rFonts w:hint="eastAsia"/>
          <w:color w:val="auto"/>
          <w:highlight w:val="none"/>
        </w:rPr>
        <w:fldChar w:fldCharType="separate"/>
      </w:r>
      <w:r>
        <w:rPr>
          <w:rFonts w:hint="eastAsia" w:hAnsi="宋体" w:cs="宋体"/>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_Toc12639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5825A93C">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_Toc26371 </w:instrText>
      </w:r>
      <w:r>
        <w:rPr>
          <w:rFonts w:hint="eastAsia"/>
          <w:color w:val="auto"/>
          <w:highlight w:val="none"/>
        </w:rPr>
        <w:fldChar w:fldCharType="separate"/>
      </w:r>
      <w:r>
        <w:rPr>
          <w:rFonts w:hint="eastAsia" w:hAnsi="宋体" w:cs="宋体"/>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_Toc26371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rPr>
        <w:fldChar w:fldCharType="end"/>
      </w:r>
    </w:p>
    <w:p w14:paraId="2DAD371F">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_Toc10032 </w:instrText>
      </w:r>
      <w:r>
        <w:rPr>
          <w:rFonts w:hint="eastAsia"/>
          <w:color w:val="auto"/>
          <w:highlight w:val="none"/>
        </w:rPr>
        <w:fldChar w:fldCharType="separate"/>
      </w:r>
      <w:r>
        <w:rPr>
          <w:rFonts w:hint="eastAsia" w:hAnsi="宋体" w:cs="宋体"/>
          <w:snapToGrid w:val="0"/>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_Toc10032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rPr>
        <w:fldChar w:fldCharType="end"/>
      </w:r>
    </w:p>
    <w:p w14:paraId="0F7FFD93">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_Toc13127 </w:instrText>
      </w:r>
      <w:r>
        <w:rPr>
          <w:rFonts w:hint="eastAsia"/>
          <w:color w:val="auto"/>
          <w:highlight w:val="none"/>
        </w:rPr>
        <w:fldChar w:fldCharType="separate"/>
      </w:r>
      <w:r>
        <w:rPr>
          <w:rFonts w:hint="eastAsia"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_Toc13127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rPr>
        <w:fldChar w:fldCharType="end"/>
      </w:r>
    </w:p>
    <w:p w14:paraId="3B612E07">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_Toc6488 </w:instrText>
      </w:r>
      <w:r>
        <w:rPr>
          <w:rFonts w:hint="eastAsia"/>
          <w:color w:val="auto"/>
          <w:highlight w:val="none"/>
        </w:rPr>
        <w:fldChar w:fldCharType="separate"/>
      </w:r>
      <w:r>
        <w:rPr>
          <w:rFonts w:hint="eastAsia"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_Toc6488 \h </w:instrText>
      </w:r>
      <w:r>
        <w:rPr>
          <w:color w:val="auto"/>
          <w:highlight w:val="none"/>
        </w:rPr>
        <w:fldChar w:fldCharType="separate"/>
      </w:r>
      <w:r>
        <w:rPr>
          <w:color w:val="auto"/>
          <w:highlight w:val="none"/>
        </w:rPr>
        <w:t>55</w:t>
      </w:r>
      <w:r>
        <w:rPr>
          <w:color w:val="auto"/>
          <w:highlight w:val="none"/>
        </w:rPr>
        <w:fldChar w:fldCharType="end"/>
      </w:r>
      <w:r>
        <w:rPr>
          <w:rFonts w:hint="eastAsia"/>
          <w:color w:val="auto"/>
          <w:highlight w:val="none"/>
        </w:rPr>
        <w:fldChar w:fldCharType="end"/>
      </w:r>
    </w:p>
    <w:p w14:paraId="5D24AD25">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_Toc14232 </w:instrText>
      </w:r>
      <w:r>
        <w:rPr>
          <w:rFonts w:hint="eastAsia"/>
          <w:color w:val="auto"/>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_Toc14232 \h </w:instrText>
      </w:r>
      <w:r>
        <w:rPr>
          <w:color w:val="auto"/>
          <w:highlight w:val="none"/>
        </w:rPr>
        <w:fldChar w:fldCharType="separate"/>
      </w:r>
      <w:r>
        <w:rPr>
          <w:color w:val="auto"/>
          <w:highlight w:val="none"/>
        </w:rPr>
        <w:t>56</w:t>
      </w:r>
      <w:r>
        <w:rPr>
          <w:color w:val="auto"/>
          <w:highlight w:val="none"/>
        </w:rPr>
        <w:fldChar w:fldCharType="end"/>
      </w:r>
      <w:r>
        <w:rPr>
          <w:rFonts w:hint="eastAsia"/>
          <w:color w:val="auto"/>
          <w:highlight w:val="none"/>
        </w:rPr>
        <w:fldChar w:fldCharType="end"/>
      </w:r>
    </w:p>
    <w:p w14:paraId="0D0F06B4">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_Toc22067 </w:instrText>
      </w:r>
      <w:r>
        <w:rPr>
          <w:rFonts w:hint="eastAsia"/>
          <w:color w:val="auto"/>
          <w:highlight w:val="none"/>
        </w:rPr>
        <w:fldChar w:fldCharType="separate"/>
      </w:r>
      <w:r>
        <w:rPr>
          <w:rFonts w:hint="eastAsia" w:hAnsi="宋体" w:cs="宋体"/>
          <w:bCs/>
          <w:snapToGrid w:val="0"/>
          <w:color w:val="auto"/>
          <w:kern w:val="0"/>
          <w:szCs w:val="24"/>
          <w:highlight w:val="none"/>
        </w:rPr>
        <w:t>格式四 法定代表人授权委托书</w:t>
      </w:r>
      <w:r>
        <w:rPr>
          <w:color w:val="auto"/>
          <w:highlight w:val="none"/>
        </w:rPr>
        <w:tab/>
      </w:r>
      <w:r>
        <w:rPr>
          <w:color w:val="auto"/>
          <w:highlight w:val="none"/>
        </w:rPr>
        <w:fldChar w:fldCharType="begin"/>
      </w:r>
      <w:r>
        <w:rPr>
          <w:color w:val="auto"/>
          <w:highlight w:val="none"/>
        </w:rPr>
        <w:instrText xml:space="preserve"> PAGEREF _Toc22067 \h </w:instrText>
      </w:r>
      <w:r>
        <w:rPr>
          <w:color w:val="auto"/>
          <w:highlight w:val="none"/>
        </w:rPr>
        <w:fldChar w:fldCharType="separate"/>
      </w:r>
      <w:r>
        <w:rPr>
          <w:color w:val="auto"/>
          <w:highlight w:val="none"/>
        </w:rPr>
        <w:t>58</w:t>
      </w:r>
      <w:r>
        <w:rPr>
          <w:color w:val="auto"/>
          <w:highlight w:val="none"/>
        </w:rPr>
        <w:fldChar w:fldCharType="end"/>
      </w:r>
      <w:r>
        <w:rPr>
          <w:rFonts w:hint="eastAsia"/>
          <w:color w:val="auto"/>
          <w:highlight w:val="none"/>
        </w:rPr>
        <w:fldChar w:fldCharType="end"/>
      </w:r>
    </w:p>
    <w:p w14:paraId="60AC2212">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_Toc11496 </w:instrText>
      </w:r>
      <w:r>
        <w:rPr>
          <w:rFonts w:hint="eastAsia"/>
          <w:color w:val="auto"/>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_Toc11496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7B010FC4">
      <w:pPr>
        <w:pStyle w:val="11"/>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_Toc9774 </w:instrText>
      </w:r>
      <w:r>
        <w:rPr>
          <w:rFonts w:hint="eastAsia"/>
          <w:color w:val="auto"/>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_Toc9774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rPr>
        <w:fldChar w:fldCharType="end"/>
      </w:r>
    </w:p>
    <w:p w14:paraId="287D3D15">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"_Toc35334265"</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格式七</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_Toc35334265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D0D6E8D">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"_Toc35334266"</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格式八</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_Toc35334266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1B280F5B">
      <w:pPr>
        <w:pStyle w:val="11"/>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"_Toc35334267"</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格式九</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总监理工程师任职项目情况表</w:t>
      </w:r>
      <w:r>
        <w:rPr>
          <w:color w:val="auto"/>
          <w:highlight w:val="none"/>
        </w:rPr>
        <w:tab/>
      </w:r>
      <w:r>
        <w:rPr>
          <w:color w:val="auto"/>
          <w:highlight w:val="none"/>
        </w:rPr>
        <w:fldChar w:fldCharType="begin"/>
      </w:r>
      <w:r>
        <w:rPr>
          <w:color w:val="auto"/>
          <w:highlight w:val="none"/>
        </w:rPr>
        <w:instrText xml:space="preserve"> PAGEREF _Toc35334267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6129AF62">
      <w:pPr>
        <w:pStyle w:val="11"/>
        <w:shd w:val="clear" w:color="auto" w:fill="auto"/>
        <w:tabs>
          <w:tab w:val="right" w:leader="dot" w:pos="8834"/>
        </w:tabs>
        <w:rPr>
          <w:rFonts w:hint="default"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"_Toc35334268"</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w:t>
      </w:r>
      <w:r>
        <w:rPr>
          <w:rStyle w:val="27"/>
          <w:rFonts w:ascii="Times New Roman"/>
          <w:snapToGrid w:val="0"/>
          <w:color w:val="auto"/>
          <w:highlight w:val="none"/>
        </w:rPr>
        <w:t xml:space="preserve"> </w:t>
      </w:r>
      <w:r>
        <w:rPr>
          <w:rStyle w:val="27"/>
          <w:rFonts w:hint="eastAsia" w:ascii="Times New Roman"/>
          <w:snapToGrid w:val="0"/>
          <w:color w:val="auto"/>
          <w:highlight w:val="none"/>
        </w:rPr>
        <w:t>项目监理机构组成人员汇总表</w:t>
      </w:r>
      <w:r>
        <w:rPr>
          <w:color w:val="auto"/>
          <w:highlight w:val="none"/>
        </w:rPr>
        <w:tab/>
      </w:r>
      <w:r>
        <w:rPr>
          <w:color w:val="auto"/>
          <w:highlight w:val="none"/>
        </w:rPr>
        <w:fldChar w:fldCharType="end"/>
      </w:r>
      <w:r>
        <w:rPr>
          <w:rFonts w:hint="eastAsia"/>
          <w:color w:val="auto"/>
          <w:highlight w:val="none"/>
          <w:lang w:val="en-US" w:eastAsia="zh-CN"/>
        </w:rPr>
        <w:t>67</w:t>
      </w:r>
    </w:p>
    <w:p w14:paraId="1D89D318">
      <w:pPr>
        <w:pStyle w:val="11"/>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"_Toc35334269"</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格式十一</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总监理工程师简历表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8</w:t>
      </w:r>
    </w:p>
    <w:p w14:paraId="572162C0">
      <w:pPr>
        <w:pStyle w:val="11"/>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"_Toc35334270"</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格式十二</w:t>
      </w:r>
      <w:r>
        <w:rPr>
          <w:rStyle w:val="27"/>
          <w:rFonts w:ascii="Times New Roman"/>
          <w:snapToGrid w:val="0"/>
          <w:color w:val="auto"/>
          <w:highlight w:val="none"/>
        </w:rPr>
        <w:t xml:space="preserve"> </w:t>
      </w:r>
      <w:r>
        <w:rPr>
          <w:rStyle w:val="27"/>
          <w:rFonts w:hint="eastAsia" w:ascii="Times New Roman"/>
          <w:snapToGrid w:val="0"/>
          <w:color w:val="auto"/>
          <w:highlight w:val="none"/>
        </w:rPr>
        <w:t>其他拟派人员简历表</w:t>
      </w:r>
      <w:r>
        <w:rPr>
          <w:color w:val="auto"/>
          <w:highlight w:val="none"/>
        </w:rPr>
        <w:tab/>
      </w:r>
      <w:r>
        <w:rPr>
          <w:color w:val="auto"/>
          <w:highlight w:val="none"/>
        </w:rPr>
        <w:fldChar w:fldCharType="end"/>
      </w:r>
      <w:r>
        <w:rPr>
          <w:rFonts w:hint="eastAsia"/>
          <w:color w:val="auto"/>
          <w:highlight w:val="none"/>
          <w:lang w:val="en-US" w:eastAsia="zh-CN"/>
        </w:rPr>
        <w:t>69</w:t>
      </w:r>
    </w:p>
    <w:p w14:paraId="4CDA144F">
      <w:pPr>
        <w:pStyle w:val="11"/>
        <w:shd w:val="clear" w:color="auto" w:fill="auto"/>
        <w:tabs>
          <w:tab w:val="right" w:leader="dot" w:pos="8844"/>
        </w:tabs>
        <w:rPr>
          <w:rFonts w:hint="eastAsia" w:eastAsia="宋体"/>
          <w:color w:val="auto"/>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"_Toc35334271"</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格式十三</w:t>
      </w:r>
      <w:r>
        <w:rPr>
          <w:rStyle w:val="27"/>
          <w:rFonts w:ascii="Times New Roman"/>
          <w:snapToGrid w:val="0"/>
          <w:color w:val="auto"/>
          <w:highlight w:val="none"/>
        </w:rPr>
        <w:t xml:space="preserve"> </w:t>
      </w:r>
      <w:r>
        <w:rPr>
          <w:rStyle w:val="27"/>
          <w:rFonts w:hint="eastAsia" w:ascii="Times New Roman"/>
          <w:snapToGrid w:val="0"/>
          <w:color w:val="auto"/>
          <w:highlight w:val="none"/>
        </w:rPr>
        <w:t>监理及相关服务报酬清单</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0</w:t>
      </w:r>
    </w:p>
    <w:p w14:paraId="687922D8">
      <w:pPr>
        <w:pStyle w:val="17"/>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_Toc10006 </w:instrText>
      </w:r>
      <w:r>
        <w:rPr>
          <w:rFonts w:hint="eastAsia"/>
          <w:color w:val="auto"/>
          <w:highlight w:val="none"/>
        </w:rPr>
        <w:fldChar w:fldCharType="separate"/>
      </w:r>
      <w:r>
        <w:rPr>
          <w:rFonts w:hint="eastAsia" w:hAnsi="宋体" w:cs="宋体"/>
          <w:snapToGrid w:val="0"/>
          <w:color w:val="auto"/>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_Toc10006 \h </w:instrText>
      </w:r>
      <w:r>
        <w:rPr>
          <w:color w:val="auto"/>
          <w:highlight w:val="none"/>
        </w:rPr>
        <w:fldChar w:fldCharType="separate"/>
      </w:r>
      <w:r>
        <w:rPr>
          <w:color w:val="auto"/>
          <w:highlight w:val="none"/>
        </w:rPr>
        <w:t>68</w:t>
      </w:r>
      <w:r>
        <w:rPr>
          <w:color w:val="auto"/>
          <w:highlight w:val="none"/>
        </w:rPr>
        <w:fldChar w:fldCharType="end"/>
      </w:r>
      <w:r>
        <w:rPr>
          <w:rFonts w:hint="eastAsia"/>
          <w:color w:val="auto"/>
          <w:highlight w:val="none"/>
        </w:rPr>
        <w:fldChar w:fldCharType="end"/>
      </w:r>
    </w:p>
    <w:p w14:paraId="124A3352">
      <w:pPr>
        <w:shd w:val="clear" w:color="auto" w:fill="auto"/>
        <w:rPr>
          <w:rFonts w:hint="eastAsia"/>
          <w:color w:val="auto"/>
          <w:highlight w:val="none"/>
        </w:rPr>
      </w:pPr>
      <w:r>
        <w:rPr>
          <w:rFonts w:hint="eastAsia"/>
          <w:color w:val="auto"/>
          <w:highlight w:val="none"/>
        </w:rPr>
        <w:fldChar w:fldCharType="end"/>
      </w:r>
    </w:p>
    <w:p w14:paraId="0E6CB9F8">
      <w:pPr>
        <w:pStyle w:val="11"/>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sectPr>
          <w:footerReference r:id="rId6" w:type="default"/>
          <w:endnotePr>
            <w:numFmt w:val="decimal"/>
          </w:endnotePr>
          <w:pgSz w:w="11906" w:h="16838"/>
          <w:pgMar w:top="1701" w:right="1531" w:bottom="1417" w:left="1531" w:header="850" w:footer="992" w:gutter="0"/>
          <w:pgNumType w:start="1"/>
          <w:cols w:space="720" w:num="1"/>
          <w:rtlGutter w:val="0"/>
          <w:docGrid w:linePitch="327" w:charSpace="0"/>
        </w:sectPr>
      </w:pPr>
      <w:bookmarkStart w:id="6" w:name="_Toc22752"/>
    </w:p>
    <w:p w14:paraId="4BA2B1AB">
      <w:pPr>
        <w:pStyle w:val="11"/>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pPr>
      <w:bookmarkStart w:id="7" w:name="_Toc24935"/>
      <w:bookmarkStart w:id="8" w:name="_Toc1285"/>
      <w:bookmarkStart w:id="9" w:name="_Toc30630"/>
      <w:bookmarkStart w:id="10" w:name="_Toc5583"/>
      <w:bookmarkStart w:id="11" w:name="_Toc23113"/>
      <w:bookmarkStart w:id="12" w:name="_Toc15229"/>
      <w:bookmarkStart w:id="13" w:name="_Toc5663"/>
      <w:bookmarkStart w:id="14" w:name="_Toc21126"/>
      <w:bookmarkStart w:id="15" w:name="_Toc26307"/>
      <w:r>
        <w:rPr>
          <w:rFonts w:hint="eastAsia" w:hAnsi="宋体" w:cs="宋体"/>
          <w:b/>
          <w:snapToGrid w:val="0"/>
          <w:color w:val="auto"/>
          <w:kern w:val="0"/>
          <w:highlight w:val="none"/>
        </w:rPr>
        <w:t>第一章 投标人须知</w:t>
      </w:r>
      <w:bookmarkEnd w:id="3"/>
      <w:bookmarkEnd w:id="4"/>
      <w:bookmarkEnd w:id="6"/>
      <w:bookmarkEnd w:id="7"/>
      <w:bookmarkEnd w:id="8"/>
      <w:bookmarkEnd w:id="9"/>
      <w:bookmarkEnd w:id="10"/>
      <w:bookmarkEnd w:id="11"/>
      <w:bookmarkEnd w:id="12"/>
      <w:bookmarkEnd w:id="13"/>
      <w:bookmarkEnd w:id="14"/>
      <w:bookmarkEnd w:id="15"/>
    </w:p>
    <w:p w14:paraId="4FD23C7F">
      <w:pPr>
        <w:pStyle w:val="3"/>
        <w:keepNext w:val="0"/>
        <w:keepLines w:val="0"/>
        <w:pageBreakBefore w:val="0"/>
        <w:widowControl w:val="0"/>
        <w:shd w:val="clear" w:color="auto" w:fill="auto"/>
        <w:kinsoku/>
        <w:wordWrap w:val="0"/>
        <w:overflowPunct/>
        <w:topLinePunct w:val="0"/>
        <w:autoSpaceDE/>
        <w:autoSpaceDN/>
        <w:bidi w:val="0"/>
        <w:adjustRightInd w:val="0"/>
        <w:snapToGrid w:val="0"/>
        <w:spacing w:before="140" w:after="140" w:line="440" w:lineRule="exact"/>
        <w:jc w:val="both"/>
        <w:textAlignment w:val="auto"/>
        <w:rPr>
          <w:rFonts w:hint="eastAsia" w:hAnsi="宋体" w:cs="宋体"/>
          <w:b/>
          <w:snapToGrid w:val="0"/>
          <w:color w:val="auto"/>
          <w:highlight w:val="none"/>
        </w:rPr>
      </w:pPr>
      <w:bookmarkStart w:id="16" w:name="_Hlt127175444"/>
      <w:bookmarkEnd w:id="16"/>
      <w:bookmarkStart w:id="17" w:name="_Toc16331"/>
      <w:bookmarkStart w:id="18" w:name="_Toc3285"/>
      <w:bookmarkStart w:id="19" w:name="_Toc26922"/>
      <w:bookmarkStart w:id="20" w:name="_Toc25631"/>
      <w:bookmarkStart w:id="21" w:name="_Toc20747"/>
      <w:bookmarkStart w:id="22" w:name="_Toc11495"/>
      <w:bookmarkStart w:id="23" w:name="_Toc24724"/>
      <w:bookmarkStart w:id="24" w:name="_Toc24800"/>
      <w:bookmarkStart w:id="25" w:name="_Toc3634"/>
      <w:bookmarkStart w:id="26" w:name="_Toc11024"/>
      <w:bookmarkStart w:id="27" w:name="_Toc28652"/>
      <w:bookmarkStart w:id="28" w:name="_Hlt120077520"/>
      <w:r>
        <w:rPr>
          <w:rFonts w:hint="eastAsia" w:hAnsi="宋体" w:cs="宋体"/>
          <w:b/>
          <w:snapToGrid w:val="0"/>
          <w:color w:val="auto"/>
          <w:highlight w:val="none"/>
        </w:rPr>
        <w:t>第一节 投标人须知前附表</w:t>
      </w:r>
      <w:bookmarkEnd w:id="17"/>
      <w:bookmarkEnd w:id="18"/>
      <w:bookmarkEnd w:id="19"/>
      <w:bookmarkEnd w:id="20"/>
      <w:bookmarkEnd w:id="21"/>
      <w:bookmarkEnd w:id="22"/>
      <w:bookmarkEnd w:id="23"/>
      <w:bookmarkEnd w:id="24"/>
      <w:bookmarkEnd w:id="25"/>
      <w:bookmarkEnd w:id="26"/>
      <w:bookmarkEnd w:id="27"/>
    </w:p>
    <w:tbl>
      <w:tblPr>
        <w:tblStyle w:val="24"/>
        <w:tblW w:w="9187"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8"/>
        <w:gridCol w:w="1995"/>
        <w:gridCol w:w="6534"/>
      </w:tblGrid>
      <w:tr w14:paraId="177A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5" w:hRule="atLeast"/>
        </w:trPr>
        <w:tc>
          <w:tcPr>
            <w:tcW w:w="658" w:type="dxa"/>
            <w:tcBorders>
              <w:top w:val="single" w:color="auto" w:sz="4" w:space="0"/>
              <w:left w:val="single" w:color="auto" w:sz="4" w:space="0"/>
              <w:bottom w:val="single" w:color="auto" w:sz="4" w:space="0"/>
              <w:right w:val="single" w:color="auto" w:sz="4" w:space="0"/>
            </w:tcBorders>
            <w:vAlign w:val="center"/>
          </w:tcPr>
          <w:p w14:paraId="52CA75F4">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序号</w:t>
            </w:r>
          </w:p>
        </w:tc>
        <w:tc>
          <w:tcPr>
            <w:tcW w:w="1995" w:type="dxa"/>
            <w:tcBorders>
              <w:top w:val="single" w:color="auto" w:sz="4" w:space="0"/>
              <w:left w:val="single" w:color="auto" w:sz="4" w:space="0"/>
              <w:bottom w:val="single" w:color="auto" w:sz="4" w:space="0"/>
              <w:right w:val="single" w:color="auto" w:sz="4" w:space="0"/>
            </w:tcBorders>
            <w:vAlign w:val="center"/>
          </w:tcPr>
          <w:p w14:paraId="2451BACF">
            <w:pPr>
              <w:shd w:val="clear" w:color="auto" w:fill="auto"/>
              <w:wordWrap w:val="0"/>
              <w:adjustRightInd w:val="0"/>
              <w:snapToGrid w:val="0"/>
              <w:spacing w:line="24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内容</w:t>
            </w:r>
          </w:p>
        </w:tc>
        <w:tc>
          <w:tcPr>
            <w:tcW w:w="6534" w:type="dxa"/>
            <w:tcBorders>
              <w:top w:val="single" w:color="auto" w:sz="4" w:space="0"/>
              <w:left w:val="single" w:color="auto" w:sz="4" w:space="0"/>
              <w:bottom w:val="single" w:color="auto" w:sz="4" w:space="0"/>
              <w:right w:val="single" w:color="auto" w:sz="4" w:space="0"/>
            </w:tcBorders>
            <w:vAlign w:val="center"/>
          </w:tcPr>
          <w:p w14:paraId="565351E1">
            <w:pPr>
              <w:shd w:val="clear" w:color="auto" w:fill="auto"/>
              <w:tabs>
                <w:tab w:val="left" w:pos="1180"/>
              </w:tabs>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说明与要求</w:t>
            </w:r>
          </w:p>
        </w:tc>
      </w:tr>
      <w:tr w14:paraId="6AD5E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trPr>
        <w:tc>
          <w:tcPr>
            <w:tcW w:w="658" w:type="dxa"/>
            <w:tcBorders>
              <w:top w:val="single" w:color="auto" w:sz="4" w:space="0"/>
              <w:left w:val="single" w:color="auto" w:sz="4" w:space="0"/>
              <w:bottom w:val="single" w:color="auto" w:sz="4" w:space="0"/>
              <w:right w:val="single" w:color="auto" w:sz="4" w:space="0"/>
            </w:tcBorders>
            <w:vAlign w:val="center"/>
          </w:tcPr>
          <w:p w14:paraId="1E6DEEE3">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18DB77B8">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项目名称</w:t>
            </w:r>
          </w:p>
        </w:tc>
        <w:tc>
          <w:tcPr>
            <w:tcW w:w="6534" w:type="dxa"/>
            <w:tcBorders>
              <w:top w:val="single" w:color="auto" w:sz="4" w:space="0"/>
              <w:left w:val="single" w:color="auto" w:sz="4" w:space="0"/>
              <w:bottom w:val="single" w:color="auto" w:sz="4" w:space="0"/>
              <w:right w:val="single" w:color="auto" w:sz="4" w:space="0"/>
            </w:tcBorders>
            <w:vAlign w:val="center"/>
          </w:tcPr>
          <w:p w14:paraId="1A3D823F">
            <w:pPr>
              <w:shd w:val="clear" w:color="auto" w:fill="auto"/>
              <w:tabs>
                <w:tab w:val="left" w:pos="1180"/>
              </w:tabs>
              <w:wordWrap w:val="0"/>
              <w:adjustRightInd w:val="0"/>
              <w:snapToGrid w:val="0"/>
              <w:spacing w:line="400" w:lineRule="exact"/>
              <w:jc w:val="left"/>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b w:val="0"/>
                <w:snapToGrid w:val="0"/>
                <w:color w:val="auto"/>
                <w:kern w:val="0"/>
                <w:sz w:val="21"/>
                <w:szCs w:val="21"/>
                <w:highlight w:val="none"/>
                <w:lang w:eastAsia="zh-CN"/>
              </w:rPr>
              <w:t>浈江产业园（犁市片区）基础设施建设项目（土方工程一期）监理</w:t>
            </w:r>
          </w:p>
        </w:tc>
      </w:tr>
      <w:tr w14:paraId="0A45F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891CAEE">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w:t>
            </w:r>
          </w:p>
        </w:tc>
        <w:tc>
          <w:tcPr>
            <w:tcW w:w="1995" w:type="dxa"/>
            <w:tcBorders>
              <w:top w:val="single" w:color="auto" w:sz="4" w:space="0"/>
              <w:left w:val="single" w:color="auto" w:sz="4" w:space="0"/>
              <w:bottom w:val="single" w:color="auto" w:sz="4" w:space="0"/>
              <w:right w:val="single" w:color="auto" w:sz="4" w:space="0"/>
            </w:tcBorders>
            <w:vAlign w:val="center"/>
          </w:tcPr>
          <w:p w14:paraId="6C305E57">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项目业主</w:t>
            </w:r>
          </w:p>
        </w:tc>
        <w:tc>
          <w:tcPr>
            <w:tcW w:w="6534" w:type="dxa"/>
            <w:tcBorders>
              <w:top w:val="single" w:color="auto" w:sz="4" w:space="0"/>
              <w:left w:val="single" w:color="auto" w:sz="4" w:space="0"/>
              <w:bottom w:val="single" w:color="auto" w:sz="4" w:space="0"/>
              <w:right w:val="single" w:color="auto" w:sz="4" w:space="0"/>
            </w:tcBorders>
            <w:vAlign w:val="center"/>
          </w:tcPr>
          <w:p w14:paraId="11BDD3BA">
            <w:pPr>
              <w:pStyle w:val="48"/>
              <w:shd w:val="clear" w:color="auto" w:fill="auto"/>
              <w:spacing w:line="240" w:lineRule="auto"/>
              <w:ind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lang w:val="en-US" w:eastAsia="zh-CN" w:bidi="ar-SA"/>
              </w:rPr>
              <w:t>东莞（韶关）浈江产业转移工业园管理委员会</w:t>
            </w:r>
          </w:p>
        </w:tc>
      </w:tr>
      <w:tr w14:paraId="20E6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5" w:hRule="exact"/>
        </w:trPr>
        <w:tc>
          <w:tcPr>
            <w:tcW w:w="658" w:type="dxa"/>
            <w:tcBorders>
              <w:top w:val="single" w:color="auto" w:sz="4" w:space="0"/>
              <w:left w:val="single" w:color="auto" w:sz="4" w:space="0"/>
              <w:bottom w:val="single" w:color="auto" w:sz="4" w:space="0"/>
              <w:right w:val="single" w:color="auto" w:sz="4" w:space="0"/>
            </w:tcBorders>
            <w:vAlign w:val="center"/>
          </w:tcPr>
          <w:p w14:paraId="07DDC6D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w:t>
            </w:r>
          </w:p>
        </w:tc>
        <w:tc>
          <w:tcPr>
            <w:tcW w:w="1995" w:type="dxa"/>
            <w:tcBorders>
              <w:top w:val="single" w:color="auto" w:sz="4" w:space="0"/>
              <w:left w:val="single" w:color="auto" w:sz="4" w:space="0"/>
              <w:bottom w:val="single" w:color="auto" w:sz="4" w:space="0"/>
              <w:right w:val="single" w:color="auto" w:sz="4" w:space="0"/>
            </w:tcBorders>
            <w:vAlign w:val="center"/>
          </w:tcPr>
          <w:p w14:paraId="71A1884C">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lang w:val="en-US" w:eastAsia="zh-CN"/>
              </w:rPr>
              <w:t>项目批准部门及项目批准文号</w:t>
            </w:r>
          </w:p>
        </w:tc>
        <w:tc>
          <w:tcPr>
            <w:tcW w:w="6534" w:type="dxa"/>
            <w:tcBorders>
              <w:top w:val="single" w:color="auto" w:sz="4" w:space="0"/>
              <w:left w:val="single" w:color="auto" w:sz="4" w:space="0"/>
              <w:bottom w:val="single" w:color="auto" w:sz="4" w:space="0"/>
              <w:right w:val="single" w:color="auto" w:sz="4" w:space="0"/>
            </w:tcBorders>
            <w:vAlign w:val="center"/>
          </w:tcPr>
          <w:p w14:paraId="4D3313E3">
            <w:pPr>
              <w:pStyle w:val="48"/>
              <w:shd w:val="clear" w:color="auto" w:fill="auto"/>
              <w:spacing w:line="360" w:lineRule="auto"/>
              <w:ind w:firstLine="210" w:firstLineChars="100"/>
              <w:rPr>
                <w:rFonts w:hint="eastAsia" w:asciiTheme="majorEastAsia" w:hAnsiTheme="majorEastAsia" w:eastAsiaTheme="majorEastAsia" w:cstheme="majorEastAsia"/>
                <w:snapToGrid w:val="0"/>
                <w:color w:val="auto"/>
                <w:kern w:val="0"/>
                <w:sz w:val="21"/>
                <w:szCs w:val="21"/>
                <w:highlight w:val="none"/>
                <w:lang w:val="en-US" w:eastAsia="zh-CN" w:bidi="ar-SA"/>
              </w:rPr>
            </w:pPr>
            <w:r>
              <w:rPr>
                <w:rFonts w:hint="eastAsia" w:asciiTheme="majorEastAsia" w:hAnsiTheme="majorEastAsia" w:eastAsiaTheme="majorEastAsia" w:cstheme="majorEastAsia"/>
                <w:snapToGrid w:val="0"/>
                <w:color w:val="auto"/>
                <w:kern w:val="0"/>
                <w:sz w:val="21"/>
                <w:szCs w:val="21"/>
                <w:highlight w:val="none"/>
                <w:lang w:val="en-US" w:eastAsia="zh-CN" w:bidi="ar-SA"/>
              </w:rPr>
              <w:t>韶关市浈江区发展和改革局（</w:t>
            </w:r>
            <w:r>
              <w:rPr>
                <w:rFonts w:hint="eastAsia" w:asciiTheme="majorEastAsia" w:hAnsiTheme="majorEastAsia" w:eastAsiaTheme="majorEastAsia" w:cstheme="majorEastAsia"/>
                <w:color w:val="auto"/>
                <w:sz w:val="21"/>
                <w:szCs w:val="21"/>
                <w:highlight w:val="none"/>
                <w:lang w:val="en-US" w:eastAsia="zh-CN"/>
              </w:rPr>
              <w:t>韶浈发改投审〔2024〕20号）、</w:t>
            </w:r>
            <w:r>
              <w:rPr>
                <w:rFonts w:hint="eastAsia" w:asciiTheme="majorEastAsia" w:hAnsiTheme="majorEastAsia" w:eastAsiaTheme="majorEastAsia" w:cstheme="majorEastAsia"/>
                <w:color w:val="auto"/>
                <w:sz w:val="21"/>
                <w:szCs w:val="21"/>
                <w:highlight w:val="none"/>
                <w:lang w:eastAsia="zh-CN"/>
              </w:rPr>
              <w:t>韶浈发改投审〔2025〕51号</w:t>
            </w:r>
          </w:p>
        </w:tc>
      </w:tr>
      <w:tr w14:paraId="55299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exact"/>
        </w:trPr>
        <w:tc>
          <w:tcPr>
            <w:tcW w:w="658" w:type="dxa"/>
            <w:tcBorders>
              <w:top w:val="single" w:color="auto" w:sz="4" w:space="0"/>
              <w:left w:val="single" w:color="auto" w:sz="4" w:space="0"/>
              <w:bottom w:val="single" w:color="auto" w:sz="4" w:space="0"/>
              <w:right w:val="single" w:color="auto" w:sz="4" w:space="0"/>
            </w:tcBorders>
            <w:vAlign w:val="center"/>
          </w:tcPr>
          <w:p w14:paraId="168414F6">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6E7F6BD3">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sz w:val="21"/>
                <w:szCs w:val="21"/>
                <w:highlight w:val="none"/>
                <w:lang w:val="en-US" w:eastAsia="zh-CN" w:bidi="ar-SA"/>
              </w:rPr>
              <w:t>建设地点</w:t>
            </w:r>
          </w:p>
        </w:tc>
        <w:tc>
          <w:tcPr>
            <w:tcW w:w="6534" w:type="dxa"/>
            <w:tcBorders>
              <w:top w:val="single" w:color="auto" w:sz="4" w:space="0"/>
              <w:left w:val="single" w:color="auto" w:sz="4" w:space="0"/>
              <w:bottom w:val="single" w:color="auto" w:sz="4" w:space="0"/>
              <w:right w:val="single" w:color="auto" w:sz="4" w:space="0"/>
            </w:tcBorders>
            <w:vAlign w:val="center"/>
          </w:tcPr>
          <w:p w14:paraId="24F989CD">
            <w:pPr>
              <w:pStyle w:val="7"/>
              <w:shd w:val="clear" w:color="auto" w:fill="auto"/>
              <w:ind w:firstLine="210" w:firstLineChars="100"/>
              <w:rPr>
                <w:rFonts w:hint="eastAsia" w:asciiTheme="majorEastAsia" w:hAnsiTheme="majorEastAsia" w:eastAsiaTheme="majorEastAsia" w:cstheme="majorEastAsia"/>
                <w:snapToGrid w:val="0"/>
                <w:color w:val="auto"/>
                <w:kern w:val="0"/>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韶关市中心城区西北部，犁市镇西部</w:t>
            </w:r>
          </w:p>
        </w:tc>
      </w:tr>
      <w:tr w14:paraId="12C3D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vAlign w:val="center"/>
          </w:tcPr>
          <w:p w14:paraId="7EB95D1B">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76249CE3">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项目代码</w:t>
            </w:r>
          </w:p>
        </w:tc>
        <w:tc>
          <w:tcPr>
            <w:tcW w:w="6534" w:type="dxa"/>
            <w:tcBorders>
              <w:top w:val="single" w:color="auto" w:sz="4" w:space="0"/>
              <w:left w:val="single" w:color="auto" w:sz="4" w:space="0"/>
              <w:bottom w:val="single" w:color="auto" w:sz="4" w:space="0"/>
              <w:right w:val="single" w:color="auto" w:sz="4" w:space="0"/>
            </w:tcBorders>
            <w:vAlign w:val="center"/>
          </w:tcPr>
          <w:p w14:paraId="00ACE9E7">
            <w:pPr>
              <w:pStyle w:val="48"/>
              <w:shd w:val="clear" w:color="auto" w:fill="auto"/>
              <w:spacing w:line="360" w:lineRule="auto"/>
              <w:ind w:firstLine="210" w:firstLineChars="100"/>
              <w:rPr>
                <w:rFonts w:hint="eastAsia" w:asciiTheme="majorEastAsia" w:hAnsiTheme="majorEastAsia" w:eastAsiaTheme="majorEastAsia" w:cstheme="majorEastAsia"/>
                <w:snapToGrid w:val="0"/>
                <w:color w:val="auto"/>
                <w:kern w:val="0"/>
                <w:sz w:val="21"/>
                <w:szCs w:val="21"/>
                <w:highlight w:val="none"/>
                <w:lang w:val="en-US" w:eastAsia="zh-CN" w:bidi="ar-SA"/>
              </w:rPr>
            </w:pPr>
            <w:r>
              <w:rPr>
                <w:rFonts w:hint="eastAsia" w:asciiTheme="majorEastAsia" w:hAnsiTheme="majorEastAsia" w:eastAsiaTheme="majorEastAsia" w:cstheme="majorEastAsia"/>
                <w:snapToGrid w:val="0"/>
                <w:color w:val="auto"/>
                <w:kern w:val="0"/>
                <w:sz w:val="21"/>
                <w:szCs w:val="21"/>
                <w:highlight w:val="none"/>
                <w:lang w:val="en-US" w:eastAsia="zh-CN" w:bidi="ar-SA"/>
              </w:rPr>
              <w:t>2310-440204-04-01-369836</w:t>
            </w:r>
          </w:p>
        </w:tc>
      </w:tr>
      <w:tr w14:paraId="013ED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658" w:type="dxa"/>
            <w:tcBorders>
              <w:top w:val="single" w:color="auto" w:sz="4" w:space="0"/>
              <w:left w:val="single" w:color="auto" w:sz="4" w:space="0"/>
              <w:bottom w:val="single" w:color="auto" w:sz="4" w:space="0"/>
              <w:right w:val="single" w:color="auto" w:sz="4" w:space="0"/>
            </w:tcBorders>
            <w:vAlign w:val="center"/>
          </w:tcPr>
          <w:p w14:paraId="63A61C59">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6</w:t>
            </w:r>
          </w:p>
        </w:tc>
        <w:tc>
          <w:tcPr>
            <w:tcW w:w="1995" w:type="dxa"/>
            <w:tcBorders>
              <w:top w:val="single" w:color="auto" w:sz="4" w:space="0"/>
              <w:left w:val="single" w:color="auto" w:sz="4" w:space="0"/>
              <w:bottom w:val="single" w:color="auto" w:sz="4" w:space="0"/>
              <w:right w:val="single" w:color="auto" w:sz="4" w:space="0"/>
            </w:tcBorders>
            <w:vAlign w:val="center"/>
          </w:tcPr>
          <w:p w14:paraId="71FD911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资金来源</w:t>
            </w:r>
          </w:p>
          <w:p w14:paraId="189499A4">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及出资比例</w:t>
            </w:r>
          </w:p>
        </w:tc>
        <w:tc>
          <w:tcPr>
            <w:tcW w:w="6534" w:type="dxa"/>
            <w:tcBorders>
              <w:top w:val="single" w:color="auto" w:sz="4" w:space="0"/>
              <w:left w:val="single" w:color="auto" w:sz="4" w:space="0"/>
              <w:bottom w:val="single" w:color="auto" w:sz="4" w:space="0"/>
              <w:right w:val="single" w:color="auto" w:sz="4" w:space="0"/>
            </w:tcBorders>
            <w:vAlign w:val="center"/>
          </w:tcPr>
          <w:p w14:paraId="4D951C30">
            <w:pPr>
              <w:pStyle w:val="48"/>
              <w:shd w:val="clear" w:color="auto" w:fill="auto"/>
              <w:spacing w:line="360" w:lineRule="auto"/>
              <w:ind w:firstLine="210" w:firstLineChars="100"/>
              <w:rPr>
                <w:rFonts w:hint="eastAsia" w:asciiTheme="majorEastAsia" w:hAnsiTheme="majorEastAsia" w:eastAsiaTheme="majorEastAsia" w:cstheme="majorEastAsia"/>
                <w:snapToGrid w:val="0"/>
                <w:color w:val="auto"/>
                <w:kern w:val="0"/>
                <w:sz w:val="21"/>
                <w:szCs w:val="21"/>
                <w:highlight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上级财政投资和地方配套解决</w:t>
            </w:r>
            <w:r>
              <w:rPr>
                <w:rFonts w:hint="eastAsia" w:asciiTheme="majorEastAsia" w:hAnsiTheme="majorEastAsia" w:eastAsiaTheme="majorEastAsia" w:cstheme="majorEastAsia"/>
                <w:snapToGrid w:val="0"/>
                <w:color w:val="auto"/>
                <w:kern w:val="0"/>
                <w:sz w:val="21"/>
                <w:szCs w:val="21"/>
                <w:highlight w:val="none"/>
                <w:lang w:val="en-US" w:eastAsia="zh-CN" w:bidi="ar-SA"/>
              </w:rPr>
              <w:t>，100%</w:t>
            </w:r>
          </w:p>
        </w:tc>
      </w:tr>
      <w:tr w14:paraId="57D27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8CEBCF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7</w:t>
            </w:r>
          </w:p>
        </w:tc>
        <w:tc>
          <w:tcPr>
            <w:tcW w:w="1995" w:type="dxa"/>
            <w:tcBorders>
              <w:top w:val="single" w:color="auto" w:sz="4" w:space="0"/>
              <w:left w:val="single" w:color="auto" w:sz="4" w:space="0"/>
              <w:bottom w:val="single" w:color="auto" w:sz="4" w:space="0"/>
              <w:right w:val="single" w:color="auto" w:sz="4" w:space="0"/>
            </w:tcBorders>
            <w:vAlign w:val="center"/>
          </w:tcPr>
          <w:p w14:paraId="05E3CA61">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招标人</w:t>
            </w:r>
          </w:p>
        </w:tc>
        <w:tc>
          <w:tcPr>
            <w:tcW w:w="6534" w:type="dxa"/>
            <w:tcBorders>
              <w:top w:val="single" w:color="auto" w:sz="4" w:space="0"/>
              <w:left w:val="single" w:color="auto" w:sz="4" w:space="0"/>
              <w:bottom w:val="single" w:color="auto" w:sz="4" w:space="0"/>
              <w:right w:val="single" w:color="auto" w:sz="4" w:space="0"/>
            </w:tcBorders>
            <w:vAlign w:val="center"/>
          </w:tcPr>
          <w:p w14:paraId="295D7830">
            <w:pPr>
              <w:shd w:val="clear" w:color="auto" w:fill="auto"/>
              <w:wordWrap w:val="0"/>
              <w:adjustRightInd w:val="0"/>
              <w:snapToGrid w:val="0"/>
              <w:spacing w:line="400" w:lineRule="exact"/>
              <w:ind w:firstLine="210" w:firstLineChars="100"/>
              <w:jc w:val="left"/>
              <w:rPr>
                <w:rFonts w:hint="eastAsia" w:asciiTheme="majorEastAsia" w:hAnsiTheme="majorEastAsia" w:eastAsiaTheme="majorEastAsia" w:cstheme="majorEastAsia"/>
                <w:bCs/>
                <w:snapToGrid w:val="0"/>
                <w:color w:val="auto"/>
                <w:kern w:val="0"/>
                <w:sz w:val="21"/>
                <w:szCs w:val="21"/>
                <w:highlight w:val="none"/>
                <w:lang w:eastAsia="zh-CN"/>
              </w:rPr>
            </w:pPr>
            <w:r>
              <w:rPr>
                <w:rFonts w:hint="eastAsia" w:asciiTheme="majorEastAsia" w:hAnsiTheme="majorEastAsia" w:eastAsiaTheme="majorEastAsia" w:cstheme="majorEastAsia"/>
                <w:bCs/>
                <w:snapToGrid w:val="0"/>
                <w:color w:val="auto"/>
                <w:kern w:val="0"/>
                <w:sz w:val="21"/>
                <w:szCs w:val="21"/>
                <w:highlight w:val="none"/>
                <w:lang w:eastAsia="zh-CN"/>
              </w:rPr>
              <w:t>东莞（韶关）浈江产业转移工业园管理委员会</w:t>
            </w:r>
          </w:p>
        </w:tc>
      </w:tr>
      <w:tr w14:paraId="7E6B1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F0C3811">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8</w:t>
            </w:r>
          </w:p>
        </w:tc>
        <w:tc>
          <w:tcPr>
            <w:tcW w:w="1995" w:type="dxa"/>
            <w:tcBorders>
              <w:top w:val="single" w:color="auto" w:sz="4" w:space="0"/>
              <w:left w:val="single" w:color="auto" w:sz="4" w:space="0"/>
              <w:bottom w:val="single" w:color="auto" w:sz="4" w:space="0"/>
              <w:right w:val="single" w:color="auto" w:sz="4" w:space="0"/>
            </w:tcBorders>
            <w:vAlign w:val="center"/>
          </w:tcPr>
          <w:p w14:paraId="41829CCE">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招标代理机构</w:t>
            </w:r>
          </w:p>
        </w:tc>
        <w:tc>
          <w:tcPr>
            <w:tcW w:w="6534" w:type="dxa"/>
            <w:tcBorders>
              <w:top w:val="single" w:color="auto" w:sz="4" w:space="0"/>
              <w:left w:val="single" w:color="auto" w:sz="4" w:space="0"/>
              <w:bottom w:val="single" w:color="auto" w:sz="4" w:space="0"/>
              <w:right w:val="single" w:color="auto" w:sz="4" w:space="0"/>
            </w:tcBorders>
            <w:vAlign w:val="center"/>
          </w:tcPr>
          <w:p w14:paraId="5E7289B6">
            <w:pPr>
              <w:shd w:val="clear" w:color="auto" w:fill="auto"/>
              <w:wordWrap w:val="0"/>
              <w:adjustRightInd w:val="0"/>
              <w:snapToGrid w:val="0"/>
              <w:spacing w:line="400" w:lineRule="exact"/>
              <w:ind w:firstLine="210" w:firstLineChars="100"/>
              <w:jc w:val="left"/>
              <w:rPr>
                <w:rFonts w:hint="eastAsia" w:asciiTheme="majorEastAsia" w:hAnsiTheme="majorEastAsia" w:eastAsiaTheme="majorEastAsia" w:cstheme="majorEastAsia"/>
                <w:bCs/>
                <w:snapToGrid w:val="0"/>
                <w:color w:val="auto"/>
                <w:kern w:val="0"/>
                <w:sz w:val="21"/>
                <w:szCs w:val="21"/>
                <w:highlight w:val="none"/>
                <w:lang w:eastAsia="zh-CN"/>
              </w:rPr>
            </w:pPr>
            <w:r>
              <w:rPr>
                <w:rFonts w:hint="eastAsia" w:asciiTheme="majorEastAsia" w:hAnsiTheme="majorEastAsia" w:eastAsiaTheme="majorEastAsia" w:cstheme="majorEastAsia"/>
                <w:bCs/>
                <w:snapToGrid w:val="0"/>
                <w:color w:val="auto"/>
                <w:kern w:val="0"/>
                <w:sz w:val="21"/>
                <w:szCs w:val="21"/>
                <w:highlight w:val="none"/>
                <w:lang w:eastAsia="zh-CN"/>
              </w:rPr>
              <w:t>广东合正项目管理有限公司</w:t>
            </w:r>
          </w:p>
        </w:tc>
      </w:tr>
      <w:tr w14:paraId="492C5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3D4B208">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9</w:t>
            </w:r>
          </w:p>
        </w:tc>
        <w:tc>
          <w:tcPr>
            <w:tcW w:w="1995" w:type="dxa"/>
            <w:tcBorders>
              <w:top w:val="single" w:color="auto" w:sz="4" w:space="0"/>
              <w:left w:val="single" w:color="auto" w:sz="4" w:space="0"/>
              <w:bottom w:val="single" w:color="auto" w:sz="4" w:space="0"/>
              <w:right w:val="single" w:color="auto" w:sz="4" w:space="0"/>
            </w:tcBorders>
            <w:vAlign w:val="center"/>
          </w:tcPr>
          <w:p w14:paraId="0DA10D49">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sz w:val="21"/>
                <w:szCs w:val="21"/>
                <w:highlight w:val="none"/>
                <w:lang w:val="en-US" w:eastAsia="zh-CN" w:bidi="ar-SA"/>
              </w:rPr>
              <w:t>设计单位</w:t>
            </w:r>
          </w:p>
        </w:tc>
        <w:tc>
          <w:tcPr>
            <w:tcW w:w="6534" w:type="dxa"/>
            <w:tcBorders>
              <w:top w:val="single" w:color="auto" w:sz="4" w:space="0"/>
              <w:left w:val="single" w:color="auto" w:sz="4" w:space="0"/>
              <w:bottom w:val="single" w:color="auto" w:sz="4" w:space="0"/>
              <w:right w:val="single" w:color="auto" w:sz="4" w:space="0"/>
            </w:tcBorders>
            <w:vAlign w:val="center"/>
          </w:tcPr>
          <w:p w14:paraId="5CDF706A">
            <w:pPr>
              <w:pStyle w:val="7"/>
              <w:shd w:val="clear" w:color="auto" w:fill="auto"/>
              <w:ind w:firstLine="210" w:firstLineChars="100"/>
              <w:rPr>
                <w:rFonts w:hint="eastAsia" w:asciiTheme="majorEastAsia" w:hAnsiTheme="majorEastAsia" w:eastAsiaTheme="majorEastAsia" w:cstheme="majorEastAsia"/>
                <w:bCs/>
                <w:snapToGrid w:val="0"/>
                <w:color w:val="auto"/>
                <w:kern w:val="0"/>
                <w:sz w:val="21"/>
                <w:szCs w:val="21"/>
                <w:highlight w:val="none"/>
                <w:lang w:val="en-US" w:eastAsia="zh-CN"/>
              </w:rPr>
            </w:pPr>
            <w:r>
              <w:rPr>
                <w:rFonts w:hint="eastAsia" w:asciiTheme="majorEastAsia" w:hAnsiTheme="majorEastAsia" w:eastAsiaTheme="majorEastAsia" w:cstheme="majorEastAsia"/>
                <w:bCs/>
                <w:snapToGrid w:val="0"/>
                <w:color w:val="auto"/>
                <w:kern w:val="0"/>
                <w:sz w:val="21"/>
                <w:szCs w:val="21"/>
                <w:highlight w:val="none"/>
                <w:lang w:val="en-US" w:eastAsia="zh-CN"/>
              </w:rPr>
              <w:t>韶关市规划市政设计研究院有限公司</w:t>
            </w:r>
          </w:p>
        </w:tc>
      </w:tr>
      <w:tr w14:paraId="6434D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4AA491B">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10</w:t>
            </w:r>
          </w:p>
        </w:tc>
        <w:tc>
          <w:tcPr>
            <w:tcW w:w="1995" w:type="dxa"/>
            <w:tcBorders>
              <w:top w:val="single" w:color="auto" w:sz="4" w:space="0"/>
              <w:left w:val="single" w:color="auto" w:sz="4" w:space="0"/>
              <w:bottom w:val="single" w:color="auto" w:sz="4" w:space="0"/>
              <w:right w:val="single" w:color="auto" w:sz="4" w:space="0"/>
            </w:tcBorders>
            <w:vAlign w:val="center"/>
          </w:tcPr>
          <w:p w14:paraId="00DF83B0">
            <w:pPr>
              <w:shd w:val="clear" w:color="auto" w:fill="auto"/>
              <w:spacing w:before="197" w:line="227" w:lineRule="auto"/>
              <w:jc w:val="center"/>
              <w:rPr>
                <w:rFonts w:hint="eastAsia" w:asciiTheme="majorEastAsia" w:hAnsiTheme="majorEastAsia" w:eastAsiaTheme="majorEastAsia" w:cstheme="majorEastAsia"/>
                <w:snapToGrid w:val="0"/>
                <w:color w:val="auto"/>
                <w:sz w:val="21"/>
                <w:szCs w:val="21"/>
                <w:highlight w:val="none"/>
                <w:lang w:val="en-US" w:eastAsia="zh-CN" w:bidi="ar-SA"/>
              </w:rPr>
            </w:pPr>
            <w:r>
              <w:rPr>
                <w:rFonts w:hint="eastAsia" w:asciiTheme="majorEastAsia" w:hAnsiTheme="majorEastAsia" w:eastAsiaTheme="majorEastAsia" w:cstheme="majorEastAsia"/>
                <w:snapToGrid w:val="0"/>
                <w:color w:val="auto"/>
                <w:sz w:val="21"/>
                <w:szCs w:val="21"/>
                <w:highlight w:val="none"/>
                <w:lang w:val="en-US" w:eastAsia="zh-CN" w:bidi="ar-SA"/>
              </w:rPr>
              <w:t>造价咨询单位</w:t>
            </w:r>
          </w:p>
        </w:tc>
        <w:tc>
          <w:tcPr>
            <w:tcW w:w="6534" w:type="dxa"/>
            <w:tcBorders>
              <w:top w:val="single" w:color="auto" w:sz="4" w:space="0"/>
              <w:left w:val="single" w:color="auto" w:sz="4" w:space="0"/>
              <w:bottom w:val="single" w:color="auto" w:sz="4" w:space="0"/>
              <w:right w:val="single" w:color="auto" w:sz="4" w:space="0"/>
            </w:tcBorders>
            <w:vAlign w:val="center"/>
          </w:tcPr>
          <w:p w14:paraId="0E8955EA">
            <w:pPr>
              <w:shd w:val="clear" w:color="auto" w:fill="auto"/>
              <w:spacing w:before="185" w:line="219" w:lineRule="auto"/>
              <w:ind w:left="33" w:leftChars="0" w:firstLine="206" w:firstLineChars="100"/>
              <w:rPr>
                <w:rFonts w:hint="eastAsia" w:asciiTheme="majorEastAsia" w:hAnsiTheme="majorEastAsia" w:eastAsiaTheme="majorEastAsia" w:cstheme="majorEastAsia"/>
                <w:bCs/>
                <w:snapToGrid w:val="0"/>
                <w:color w:val="auto"/>
                <w:kern w:val="0"/>
                <w:sz w:val="21"/>
                <w:szCs w:val="21"/>
                <w:highlight w:val="none"/>
                <w:lang w:val="en-US" w:eastAsia="zh-CN"/>
              </w:rPr>
            </w:pPr>
            <w:r>
              <w:rPr>
                <w:rFonts w:hint="eastAsia" w:asciiTheme="majorEastAsia" w:hAnsiTheme="majorEastAsia" w:eastAsiaTheme="majorEastAsia" w:cstheme="majorEastAsia"/>
                <w:color w:val="auto"/>
                <w:spacing w:val="-2"/>
                <w:sz w:val="21"/>
                <w:szCs w:val="21"/>
                <w:highlight w:val="none"/>
                <w:lang w:val="en-US" w:eastAsia="zh-CN"/>
              </w:rPr>
              <w:t xml:space="preserve"> </w:t>
            </w:r>
            <w:r>
              <w:rPr>
                <w:rFonts w:hint="eastAsia" w:asciiTheme="majorEastAsia" w:hAnsiTheme="majorEastAsia" w:eastAsiaTheme="majorEastAsia" w:cstheme="majorEastAsia"/>
                <w:color w:val="auto"/>
                <w:spacing w:val="-2"/>
                <w:sz w:val="21"/>
                <w:szCs w:val="21"/>
                <w:highlight w:val="none"/>
                <w:lang w:eastAsia="zh-CN"/>
              </w:rPr>
              <w:t>□</w:t>
            </w:r>
            <w:r>
              <w:rPr>
                <w:rFonts w:hint="eastAsia" w:asciiTheme="majorEastAsia" w:hAnsiTheme="majorEastAsia" w:eastAsiaTheme="majorEastAsia" w:cstheme="majorEastAsia"/>
                <w:color w:val="auto"/>
                <w:spacing w:val="-2"/>
                <w:sz w:val="21"/>
                <w:szCs w:val="21"/>
                <w:highlight w:val="none"/>
              </w:rPr>
              <w:t>全过程造价咨询</w:t>
            </w:r>
            <w:r>
              <w:rPr>
                <w:rFonts w:hint="eastAsia" w:asciiTheme="majorEastAsia" w:hAnsiTheme="majorEastAsia" w:eastAsiaTheme="majorEastAsia" w:cstheme="majorEastAsia"/>
                <w:snapToGrid w:val="0"/>
                <w:color w:val="auto"/>
                <w:sz w:val="21"/>
                <w:szCs w:val="21"/>
                <w:highlight w:val="none"/>
                <w:lang w:val="en-US" w:eastAsia="zh-CN" w:bidi="ar-SA"/>
              </w:rPr>
              <w:t xml:space="preserve"> </w:t>
            </w:r>
            <w:r>
              <w:rPr>
                <w:rFonts w:hint="eastAsia" w:asciiTheme="majorEastAsia" w:hAnsiTheme="majorEastAsia" w:eastAsiaTheme="majorEastAsia" w:cstheme="majorEastAsia"/>
                <w:color w:val="auto"/>
                <w:spacing w:val="-2"/>
                <w:sz w:val="21"/>
                <w:szCs w:val="21"/>
                <w:highlight w:val="none"/>
                <w:lang w:eastAsia="zh-CN"/>
              </w:rPr>
              <w:t>☑</w:t>
            </w:r>
            <w:r>
              <w:rPr>
                <w:rFonts w:hint="eastAsia" w:asciiTheme="majorEastAsia" w:hAnsiTheme="majorEastAsia" w:eastAsiaTheme="majorEastAsia" w:cstheme="majorEastAsia"/>
                <w:color w:val="auto"/>
                <w:spacing w:val="-2"/>
                <w:sz w:val="21"/>
                <w:szCs w:val="21"/>
                <w:highlight w:val="none"/>
              </w:rPr>
              <w:t>非全过程造价咨询</w:t>
            </w:r>
            <w:r>
              <w:rPr>
                <w:rFonts w:hint="eastAsia" w:asciiTheme="majorEastAsia" w:hAnsiTheme="majorEastAsia" w:eastAsiaTheme="majorEastAsia" w:cstheme="majorEastAsia"/>
                <w:color w:val="auto"/>
                <w:spacing w:val="-2"/>
                <w:sz w:val="21"/>
                <w:szCs w:val="21"/>
                <w:highlight w:val="none"/>
                <w:lang w:val="en-US" w:eastAsia="zh-CN"/>
              </w:rPr>
              <w:t xml:space="preserve"> </w:t>
            </w:r>
            <w:r>
              <w:rPr>
                <w:rFonts w:hint="eastAsia" w:asciiTheme="majorEastAsia" w:hAnsiTheme="majorEastAsia" w:eastAsiaTheme="majorEastAsia" w:cstheme="majorEastAsia"/>
                <w:snapToGrid w:val="0"/>
                <w:color w:val="auto"/>
                <w:sz w:val="21"/>
                <w:szCs w:val="21"/>
                <w:highlight w:val="none"/>
                <w:lang w:val="en-US" w:eastAsia="zh-CN" w:bidi="ar-SA"/>
              </w:rPr>
              <w:t xml:space="preserve"> </w:t>
            </w:r>
          </w:p>
        </w:tc>
      </w:tr>
      <w:tr w14:paraId="5895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127F2635">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11</w:t>
            </w:r>
          </w:p>
        </w:tc>
        <w:tc>
          <w:tcPr>
            <w:tcW w:w="1995" w:type="dxa"/>
            <w:tcBorders>
              <w:top w:val="single" w:color="auto" w:sz="4" w:space="0"/>
              <w:left w:val="single" w:color="auto" w:sz="4" w:space="0"/>
              <w:bottom w:val="single" w:color="auto" w:sz="4" w:space="0"/>
              <w:right w:val="single" w:color="auto" w:sz="4" w:space="0"/>
            </w:tcBorders>
            <w:vAlign w:val="center"/>
          </w:tcPr>
          <w:p w14:paraId="6AF62FE4">
            <w:pPr>
              <w:shd w:val="clear" w:color="auto" w:fill="auto"/>
              <w:spacing w:before="194" w:line="229" w:lineRule="auto"/>
              <w:jc w:val="center"/>
              <w:rPr>
                <w:rFonts w:hint="eastAsia" w:asciiTheme="majorEastAsia" w:hAnsiTheme="majorEastAsia" w:eastAsiaTheme="majorEastAsia" w:cstheme="majorEastAsia"/>
                <w:snapToGrid w:val="0"/>
                <w:color w:val="auto"/>
                <w:sz w:val="21"/>
                <w:szCs w:val="21"/>
                <w:highlight w:val="none"/>
                <w:lang w:val="en-US" w:eastAsia="zh-CN" w:bidi="ar-SA"/>
              </w:rPr>
            </w:pPr>
            <w:r>
              <w:rPr>
                <w:rFonts w:hint="eastAsia" w:asciiTheme="majorEastAsia" w:hAnsiTheme="majorEastAsia" w:eastAsiaTheme="majorEastAsia" w:cstheme="majorEastAsia"/>
                <w:snapToGrid w:val="0"/>
                <w:color w:val="auto"/>
                <w:sz w:val="21"/>
                <w:szCs w:val="21"/>
                <w:highlight w:val="none"/>
                <w:lang w:val="en-US" w:eastAsia="zh-CN" w:bidi="ar-SA"/>
              </w:rPr>
              <w:t>监理单位</w:t>
            </w:r>
          </w:p>
        </w:tc>
        <w:tc>
          <w:tcPr>
            <w:tcW w:w="6534" w:type="dxa"/>
            <w:tcBorders>
              <w:top w:val="single" w:color="auto" w:sz="4" w:space="0"/>
              <w:left w:val="single" w:color="auto" w:sz="4" w:space="0"/>
              <w:bottom w:val="single" w:color="auto" w:sz="4" w:space="0"/>
              <w:right w:val="single" w:color="auto" w:sz="4" w:space="0"/>
            </w:tcBorders>
            <w:vAlign w:val="center"/>
          </w:tcPr>
          <w:p w14:paraId="4733741A">
            <w:pPr>
              <w:shd w:val="clear" w:color="auto" w:fill="auto"/>
              <w:spacing w:before="179" w:line="240" w:lineRule="auto"/>
              <w:ind w:left="33" w:leftChars="0" w:firstLine="200" w:firstLineChars="100"/>
              <w:rPr>
                <w:rFonts w:hint="eastAsia" w:asciiTheme="majorEastAsia" w:hAnsiTheme="majorEastAsia" w:eastAsiaTheme="majorEastAsia" w:cstheme="majorEastAsia"/>
                <w:bCs/>
                <w:snapToGrid w:val="0"/>
                <w:color w:val="auto"/>
                <w:kern w:val="0"/>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rPr>
              <w:t>已确定监理单位</w:t>
            </w:r>
            <w:r>
              <w:rPr>
                <w:rFonts w:hint="eastAsia" w:asciiTheme="majorEastAsia" w:hAnsiTheme="majorEastAsia" w:eastAsiaTheme="majorEastAsia" w:cstheme="majorEastAsia"/>
                <w:color w:val="auto"/>
                <w:spacing w:val="-5"/>
                <w:sz w:val="21"/>
                <w:szCs w:val="21"/>
                <w:highlight w:val="none"/>
                <w:lang w:val="en-US" w:eastAsia="zh-CN"/>
              </w:rPr>
              <w:t xml:space="preserve">   </w:t>
            </w:r>
            <w:r>
              <w:rPr>
                <w:rFonts w:hint="eastAsia" w:asciiTheme="majorEastAsia" w:hAnsiTheme="majorEastAsia" w:eastAsiaTheme="majorEastAsia" w:cstheme="majorEastAsia"/>
                <w:color w:val="auto"/>
                <w:spacing w:val="-5"/>
                <w:sz w:val="21"/>
                <w:szCs w:val="21"/>
                <w:highlight w:val="none"/>
                <w:lang w:eastAsia="zh-CN"/>
              </w:rPr>
              <w:t>☑未</w:t>
            </w:r>
            <w:r>
              <w:rPr>
                <w:rFonts w:hint="eastAsia" w:asciiTheme="majorEastAsia" w:hAnsiTheme="majorEastAsia" w:eastAsiaTheme="majorEastAsia" w:cstheme="majorEastAsia"/>
                <w:color w:val="auto"/>
                <w:spacing w:val="-5"/>
                <w:sz w:val="21"/>
                <w:szCs w:val="21"/>
                <w:highlight w:val="none"/>
              </w:rPr>
              <w:t>确定监理单位</w:t>
            </w:r>
          </w:p>
        </w:tc>
      </w:tr>
      <w:tr w14:paraId="77646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02" w:hRule="atLeast"/>
        </w:trPr>
        <w:tc>
          <w:tcPr>
            <w:tcW w:w="658" w:type="dxa"/>
            <w:tcBorders>
              <w:top w:val="single" w:color="auto" w:sz="4" w:space="0"/>
              <w:left w:val="single" w:color="auto" w:sz="4" w:space="0"/>
              <w:bottom w:val="single" w:color="auto" w:sz="4" w:space="0"/>
              <w:right w:val="single" w:color="auto" w:sz="4" w:space="0"/>
            </w:tcBorders>
            <w:vAlign w:val="center"/>
          </w:tcPr>
          <w:p w14:paraId="48CF208D">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12</w:t>
            </w:r>
          </w:p>
        </w:tc>
        <w:tc>
          <w:tcPr>
            <w:tcW w:w="1995" w:type="dxa"/>
            <w:tcBorders>
              <w:top w:val="single" w:color="auto" w:sz="4" w:space="0"/>
              <w:left w:val="single" w:color="auto" w:sz="4" w:space="0"/>
              <w:bottom w:val="single" w:color="auto" w:sz="4" w:space="0"/>
              <w:right w:val="single" w:color="auto" w:sz="4" w:space="0"/>
            </w:tcBorders>
            <w:vAlign w:val="center"/>
          </w:tcPr>
          <w:p w14:paraId="17B05A4D">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建设内容</w:t>
            </w:r>
          </w:p>
          <w:p w14:paraId="066D8031">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和规模</w:t>
            </w:r>
          </w:p>
        </w:tc>
        <w:tc>
          <w:tcPr>
            <w:tcW w:w="6534" w:type="dxa"/>
            <w:tcBorders>
              <w:top w:val="single" w:color="auto" w:sz="4" w:space="0"/>
              <w:left w:val="single" w:color="auto" w:sz="4" w:space="0"/>
              <w:bottom w:val="single" w:color="auto" w:sz="4" w:space="0"/>
              <w:right w:val="single" w:color="auto" w:sz="4" w:space="0"/>
            </w:tcBorders>
            <w:vAlign w:val="center"/>
          </w:tcPr>
          <w:p w14:paraId="609C4B8A">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□建设规模：</w:t>
            </w:r>
            <w:r>
              <w:rPr>
                <w:rFonts w:hint="eastAsia" w:asciiTheme="majorEastAsia" w:hAnsiTheme="majorEastAsia" w:eastAsiaTheme="majorEastAsia" w:cstheme="majorEastAsia"/>
                <w:snapToGrid w:val="0"/>
                <w:color w:val="auto"/>
                <w:kern w:val="0"/>
                <w:sz w:val="21"/>
                <w:szCs w:val="21"/>
                <w:highlight w:val="none"/>
                <w:lang w:val="en-US" w:eastAsia="zh-CN"/>
              </w:rPr>
              <w:t>/</w:t>
            </w:r>
          </w:p>
          <w:p w14:paraId="34589F7D">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☑建设内容：</w:t>
            </w:r>
            <w:r>
              <w:rPr>
                <w:rFonts w:hint="eastAsia" w:asciiTheme="majorEastAsia" w:hAnsiTheme="majorEastAsia" w:eastAsiaTheme="majorEastAsia" w:cstheme="majorEastAsia"/>
                <w:snapToGrid w:val="0"/>
                <w:color w:val="auto"/>
                <w:kern w:val="0"/>
                <w:sz w:val="21"/>
                <w:szCs w:val="21"/>
                <w:highlight w:val="none"/>
                <w:lang w:val="en-US" w:eastAsia="zh-CN"/>
              </w:rPr>
              <w:t>土方平整工程及防护工程、临时排水工程等。</w:t>
            </w:r>
          </w:p>
        </w:tc>
      </w:tr>
      <w:tr w14:paraId="465EA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86" w:hRule="exact"/>
        </w:trPr>
        <w:tc>
          <w:tcPr>
            <w:tcW w:w="658" w:type="dxa"/>
            <w:tcBorders>
              <w:top w:val="single" w:color="auto" w:sz="4" w:space="0"/>
              <w:left w:val="single" w:color="auto" w:sz="4" w:space="0"/>
              <w:bottom w:val="single" w:color="auto" w:sz="4" w:space="0"/>
              <w:right w:val="single" w:color="auto" w:sz="4" w:space="0"/>
            </w:tcBorders>
            <w:vAlign w:val="center"/>
          </w:tcPr>
          <w:p w14:paraId="36F26420">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1</w:t>
            </w:r>
            <w:r>
              <w:rPr>
                <w:rFonts w:hint="eastAsia" w:asciiTheme="majorEastAsia" w:hAnsiTheme="majorEastAsia" w:eastAsiaTheme="majorEastAsia" w:cstheme="majorEastAsia"/>
                <w:snapToGrid w:val="0"/>
                <w:color w:val="auto"/>
                <w:kern w:val="0"/>
                <w:sz w:val="21"/>
                <w:szCs w:val="21"/>
                <w:highlight w:val="none"/>
                <w:lang w:val="en-US" w:eastAsia="zh-CN"/>
              </w:rPr>
              <w:t>3</w:t>
            </w:r>
          </w:p>
        </w:tc>
        <w:tc>
          <w:tcPr>
            <w:tcW w:w="1995" w:type="dxa"/>
            <w:tcBorders>
              <w:top w:val="single" w:color="auto" w:sz="4" w:space="0"/>
              <w:left w:val="single" w:color="auto" w:sz="4" w:space="0"/>
              <w:bottom w:val="single" w:color="auto" w:sz="4" w:space="0"/>
              <w:right w:val="single" w:color="auto" w:sz="4" w:space="0"/>
            </w:tcBorders>
            <w:vAlign w:val="center"/>
          </w:tcPr>
          <w:p w14:paraId="0FEC1083">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项目</w:t>
            </w:r>
            <w:r>
              <w:rPr>
                <w:rFonts w:hint="eastAsia" w:asciiTheme="majorEastAsia" w:hAnsiTheme="majorEastAsia" w:eastAsiaTheme="majorEastAsia" w:cstheme="majorEastAsia"/>
                <w:color w:val="auto"/>
                <w:kern w:val="0"/>
                <w:sz w:val="21"/>
                <w:szCs w:val="21"/>
                <w:highlight w:val="none"/>
                <w:u w:val="none"/>
                <w:lang w:val="en-US" w:eastAsia="zh-CN"/>
              </w:rPr>
              <w:t>概算</w:t>
            </w:r>
            <w:r>
              <w:rPr>
                <w:rFonts w:hint="eastAsia" w:asciiTheme="majorEastAsia" w:hAnsiTheme="majorEastAsia" w:eastAsiaTheme="majorEastAsia" w:cstheme="majorEastAsia"/>
                <w:snapToGrid w:val="0"/>
                <w:color w:val="auto"/>
                <w:kern w:val="0"/>
                <w:sz w:val="21"/>
                <w:szCs w:val="21"/>
                <w:highlight w:val="none"/>
                <w:u w:val="none"/>
              </w:rPr>
              <w:t>投</w:t>
            </w:r>
            <w:r>
              <w:rPr>
                <w:rFonts w:hint="eastAsia" w:asciiTheme="majorEastAsia" w:hAnsiTheme="majorEastAsia" w:eastAsiaTheme="majorEastAsia" w:cstheme="majorEastAsia"/>
                <w:snapToGrid w:val="0"/>
                <w:color w:val="auto"/>
                <w:kern w:val="0"/>
                <w:sz w:val="21"/>
                <w:szCs w:val="21"/>
                <w:highlight w:val="none"/>
              </w:rPr>
              <w:t>资额</w:t>
            </w:r>
          </w:p>
        </w:tc>
        <w:tc>
          <w:tcPr>
            <w:tcW w:w="6534" w:type="dxa"/>
            <w:tcBorders>
              <w:top w:val="single" w:color="auto" w:sz="4" w:space="0"/>
              <w:left w:val="single" w:color="auto" w:sz="4" w:space="0"/>
              <w:bottom w:val="single" w:color="auto" w:sz="4" w:space="0"/>
              <w:right w:val="single" w:color="auto" w:sz="4" w:space="0"/>
            </w:tcBorders>
            <w:vAlign w:val="center"/>
          </w:tcPr>
          <w:p w14:paraId="349E9F4B">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bCs/>
                <w:snapToGrid w:val="0"/>
                <w:color w:val="auto"/>
                <w:kern w:val="0"/>
                <w:sz w:val="21"/>
                <w:szCs w:val="21"/>
                <w:highlight w:val="none"/>
                <w:lang w:eastAsia="zh-CN"/>
              </w:rPr>
            </w:pPr>
            <w:r>
              <w:rPr>
                <w:rFonts w:hint="eastAsia" w:asciiTheme="majorEastAsia" w:hAnsiTheme="majorEastAsia" w:eastAsiaTheme="majorEastAsia" w:cstheme="majorEastAsia"/>
                <w:color w:val="auto"/>
                <w:kern w:val="2"/>
                <w:sz w:val="21"/>
                <w:szCs w:val="21"/>
                <w:highlight w:val="none"/>
                <w:lang w:val="en-US" w:eastAsia="zh-CN" w:bidi="ar-SA"/>
              </w:rPr>
              <w:t>本次招标为土方工程监理招标，建安费1220万元，监理费为160000.00元。</w:t>
            </w:r>
          </w:p>
        </w:tc>
      </w:tr>
      <w:tr w14:paraId="79AF7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exact"/>
        </w:trPr>
        <w:tc>
          <w:tcPr>
            <w:tcW w:w="658" w:type="dxa"/>
            <w:tcBorders>
              <w:top w:val="single" w:color="auto" w:sz="4" w:space="0"/>
              <w:left w:val="single" w:color="auto" w:sz="4" w:space="0"/>
              <w:bottom w:val="single" w:color="auto" w:sz="4" w:space="0"/>
              <w:right w:val="single" w:color="auto" w:sz="4" w:space="0"/>
            </w:tcBorders>
            <w:vAlign w:val="center"/>
          </w:tcPr>
          <w:p w14:paraId="44E53267">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1</w:t>
            </w:r>
            <w:r>
              <w:rPr>
                <w:rFonts w:hint="eastAsia" w:asciiTheme="majorEastAsia" w:hAnsiTheme="majorEastAsia" w:eastAsiaTheme="majorEastAsia" w:cstheme="majorEastAsia"/>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018C81EB">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招标范围</w:t>
            </w:r>
          </w:p>
        </w:tc>
        <w:tc>
          <w:tcPr>
            <w:tcW w:w="6534" w:type="dxa"/>
            <w:tcBorders>
              <w:top w:val="single" w:color="auto" w:sz="4" w:space="0"/>
              <w:left w:val="single" w:color="auto" w:sz="4" w:space="0"/>
              <w:bottom w:val="single" w:color="auto" w:sz="4" w:space="0"/>
              <w:right w:val="single" w:color="auto" w:sz="4" w:space="0"/>
            </w:tcBorders>
            <w:vAlign w:val="center"/>
          </w:tcPr>
          <w:p w14:paraId="5C5863A1">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snapToGrid w:val="0"/>
                <w:color w:val="auto"/>
                <w:kern w:val="0"/>
                <w:sz w:val="21"/>
                <w:szCs w:val="21"/>
                <w:highlight w:val="none"/>
                <w:lang w:eastAsia="zh-CN"/>
              </w:rPr>
              <w:t>项目建设施工阶段监理（含施工准备阶段、施工阶段、工程竣工结算阶段和保修阶段监理）</w:t>
            </w:r>
            <w:r>
              <w:rPr>
                <w:rFonts w:hint="eastAsia" w:asciiTheme="majorEastAsia" w:hAnsiTheme="majorEastAsia" w:eastAsiaTheme="majorEastAsia" w:cstheme="majorEastAsia"/>
                <w:bCs/>
                <w:snapToGrid w:val="0"/>
                <w:color w:val="auto"/>
                <w:kern w:val="0"/>
                <w:sz w:val="21"/>
                <w:szCs w:val="21"/>
                <w:highlight w:val="none"/>
              </w:rPr>
              <w:t>。</w:t>
            </w:r>
          </w:p>
        </w:tc>
      </w:tr>
      <w:tr w14:paraId="7AB4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58" w:type="dxa"/>
            <w:tcBorders>
              <w:top w:val="single" w:color="auto" w:sz="4" w:space="0"/>
              <w:left w:val="single" w:color="auto" w:sz="4" w:space="0"/>
              <w:bottom w:val="single" w:color="auto" w:sz="4" w:space="0"/>
              <w:right w:val="single" w:color="auto" w:sz="4" w:space="0"/>
            </w:tcBorders>
            <w:vAlign w:val="center"/>
          </w:tcPr>
          <w:p w14:paraId="48F28A15">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1</w:t>
            </w:r>
            <w:r>
              <w:rPr>
                <w:rFonts w:hint="eastAsia" w:asciiTheme="majorEastAsia" w:hAnsiTheme="majorEastAsia" w:eastAsiaTheme="majorEastAsia" w:cstheme="majorEastAsia"/>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4AA480D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标段划分</w:t>
            </w:r>
          </w:p>
        </w:tc>
        <w:tc>
          <w:tcPr>
            <w:tcW w:w="6534" w:type="dxa"/>
            <w:tcBorders>
              <w:top w:val="single" w:color="auto" w:sz="4" w:space="0"/>
              <w:left w:val="single" w:color="auto" w:sz="4" w:space="0"/>
              <w:bottom w:val="single" w:color="auto" w:sz="4" w:space="0"/>
              <w:right w:val="single" w:color="auto" w:sz="4" w:space="0"/>
            </w:tcBorders>
            <w:vAlign w:val="center"/>
          </w:tcPr>
          <w:p w14:paraId="31F97427">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本招标项目不划分标段。</w:t>
            </w:r>
          </w:p>
        </w:tc>
      </w:tr>
      <w:tr w14:paraId="0AE7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vAlign w:val="center"/>
          </w:tcPr>
          <w:p w14:paraId="03360F4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16</w:t>
            </w:r>
          </w:p>
        </w:tc>
        <w:tc>
          <w:tcPr>
            <w:tcW w:w="1995" w:type="dxa"/>
            <w:tcBorders>
              <w:top w:val="single" w:color="auto" w:sz="4" w:space="0"/>
              <w:left w:val="single" w:color="auto" w:sz="4" w:space="0"/>
              <w:bottom w:val="single" w:color="auto" w:sz="4" w:space="0"/>
              <w:right w:val="single" w:color="auto" w:sz="4" w:space="0"/>
            </w:tcBorders>
            <w:vAlign w:val="center"/>
          </w:tcPr>
          <w:p w14:paraId="4A9C1BE7">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工期</w:t>
            </w:r>
          </w:p>
        </w:tc>
        <w:tc>
          <w:tcPr>
            <w:tcW w:w="6534" w:type="dxa"/>
            <w:tcBorders>
              <w:top w:val="single" w:color="auto" w:sz="4" w:space="0"/>
              <w:left w:val="single" w:color="auto" w:sz="4" w:space="0"/>
              <w:bottom w:val="single" w:color="auto" w:sz="4" w:space="0"/>
              <w:right w:val="single" w:color="auto" w:sz="4" w:space="0"/>
            </w:tcBorders>
            <w:vAlign w:val="center"/>
          </w:tcPr>
          <w:p w14:paraId="45431BEF">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本招标项目施工工期为 180 日历天。具体如下：</w:t>
            </w:r>
          </w:p>
          <w:p w14:paraId="66B33727">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☑总工期： 180天（日历天）。 </w:t>
            </w:r>
          </w:p>
          <w:p w14:paraId="174E1CF5">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□计划开工日期：</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 xml:space="preserve">年 </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 xml:space="preserve">月 </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 xml:space="preserve">日（具体开工日期以合同为准） </w:t>
            </w:r>
          </w:p>
          <w:p w14:paraId="6375823A">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□计划竣工日期：</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 xml:space="preserve">年 </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 xml:space="preserve">月 </w:t>
            </w:r>
            <w:r>
              <w:rPr>
                <w:rFonts w:hint="eastAsia" w:asciiTheme="majorEastAsia" w:hAnsiTheme="majorEastAsia" w:eastAsiaTheme="majorEastAsia" w:cstheme="majorEastAsia"/>
                <w:color w:val="auto"/>
                <w:sz w:val="21"/>
                <w:szCs w:val="21"/>
                <w:highlight w:val="none"/>
                <w:u w:val="single"/>
                <w:lang w:val="en-US" w:eastAsia="zh-CN"/>
              </w:rPr>
              <w:t>/</w:t>
            </w:r>
            <w:r>
              <w:rPr>
                <w:rFonts w:hint="eastAsia" w:asciiTheme="majorEastAsia" w:hAnsiTheme="majorEastAsia" w:eastAsiaTheme="majorEastAsia" w:cstheme="majorEastAsia"/>
                <w:color w:val="auto"/>
                <w:sz w:val="21"/>
                <w:szCs w:val="21"/>
                <w:highlight w:val="none"/>
                <w:lang w:val="en-US" w:eastAsia="zh-CN"/>
              </w:rPr>
              <w:t>日</w:t>
            </w:r>
          </w:p>
          <w:p w14:paraId="2C285099">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snapToGrid w:val="0"/>
                <w:color w:val="auto"/>
                <w:kern w:val="0"/>
                <w:sz w:val="21"/>
                <w:szCs w:val="21"/>
                <w:highlight w:val="none"/>
                <w:lang w:val="en-US"/>
              </w:rPr>
            </w:pPr>
            <w:r>
              <w:rPr>
                <w:rFonts w:hint="eastAsia" w:asciiTheme="majorEastAsia" w:hAnsiTheme="majorEastAsia" w:eastAsiaTheme="majorEastAsia" w:cstheme="majorEastAsia"/>
                <w:color w:val="auto"/>
                <w:sz w:val="21"/>
                <w:szCs w:val="21"/>
                <w:highlight w:val="none"/>
                <w:lang w:val="en-US" w:eastAsia="zh-CN"/>
              </w:rPr>
              <w:t>□除上述总工期外，发包人还要求以下阶段工期：</w:t>
            </w:r>
            <w:r>
              <w:rPr>
                <w:rFonts w:hint="eastAsia" w:asciiTheme="majorEastAsia" w:hAnsiTheme="majorEastAsia" w:eastAsiaTheme="majorEastAsia" w:cstheme="majorEastAsia"/>
                <w:color w:val="auto"/>
                <w:sz w:val="21"/>
                <w:szCs w:val="21"/>
                <w:highlight w:val="none"/>
                <w:u w:val="single"/>
                <w:lang w:val="en-US" w:eastAsia="zh-CN"/>
              </w:rPr>
              <w:t>/</w:t>
            </w:r>
          </w:p>
        </w:tc>
      </w:tr>
      <w:tr w14:paraId="01ADF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59" w:hRule="exact"/>
        </w:trPr>
        <w:tc>
          <w:tcPr>
            <w:tcW w:w="658" w:type="dxa"/>
            <w:tcBorders>
              <w:top w:val="single" w:color="auto" w:sz="4" w:space="0"/>
              <w:left w:val="single" w:color="auto" w:sz="4" w:space="0"/>
              <w:bottom w:val="single" w:color="auto" w:sz="4" w:space="0"/>
              <w:right w:val="single" w:color="auto" w:sz="4" w:space="0"/>
            </w:tcBorders>
            <w:vAlign w:val="center"/>
          </w:tcPr>
          <w:p w14:paraId="544A216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17</w:t>
            </w:r>
          </w:p>
        </w:tc>
        <w:tc>
          <w:tcPr>
            <w:tcW w:w="1995" w:type="dxa"/>
            <w:tcBorders>
              <w:top w:val="single" w:color="auto" w:sz="4" w:space="0"/>
              <w:left w:val="single" w:color="auto" w:sz="4" w:space="0"/>
              <w:bottom w:val="single" w:color="auto" w:sz="4" w:space="0"/>
              <w:right w:val="single" w:color="auto" w:sz="4" w:space="0"/>
            </w:tcBorders>
            <w:vAlign w:val="center"/>
          </w:tcPr>
          <w:p w14:paraId="77BC9E04">
            <w:pPr>
              <w:shd w:val="clear" w:color="auto" w:fill="auto"/>
              <w:spacing w:before="65" w:line="229" w:lineRule="auto"/>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pacing w:val="7"/>
                <w:sz w:val="21"/>
                <w:szCs w:val="21"/>
                <w:highlight w:val="none"/>
              </w:rPr>
              <w:t>质量标准</w:t>
            </w:r>
          </w:p>
        </w:tc>
        <w:tc>
          <w:tcPr>
            <w:tcW w:w="6534" w:type="dxa"/>
            <w:tcBorders>
              <w:top w:val="single" w:color="auto" w:sz="4" w:space="0"/>
              <w:left w:val="single" w:color="auto" w:sz="4" w:space="0"/>
              <w:bottom w:val="single" w:color="auto" w:sz="4" w:space="0"/>
              <w:right w:val="single" w:color="auto" w:sz="4" w:space="0"/>
            </w:tcBorders>
          </w:tcPr>
          <w:p w14:paraId="21B7C68F">
            <w:pPr>
              <w:keepNext w:val="0"/>
              <w:keepLines w:val="0"/>
              <w:pageBreakBefore w:val="0"/>
              <w:widowControl/>
              <w:shd w:val="clear" w:color="auto" w:fill="auto"/>
              <w:kinsoku w:val="0"/>
              <w:wordWrap/>
              <w:overflowPunct/>
              <w:topLinePunct w:val="0"/>
              <w:autoSpaceDE w:val="0"/>
              <w:autoSpaceDN w:val="0"/>
              <w:bidi w:val="0"/>
              <w:adjustRightInd w:val="0"/>
              <w:snapToGrid w:val="0"/>
              <w:spacing w:before="116"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rPr>
              <w:t>质量目标：</w:t>
            </w:r>
            <w:r>
              <w:rPr>
                <w:rFonts w:hint="eastAsia" w:asciiTheme="majorEastAsia" w:hAnsiTheme="majorEastAsia" w:eastAsiaTheme="majorEastAsia" w:cstheme="majorEastAsia"/>
                <w:color w:val="auto"/>
                <w:spacing w:val="-4"/>
                <w:sz w:val="21"/>
                <w:szCs w:val="21"/>
                <w:highlight w:val="none"/>
                <w:u w:val="single"/>
              </w:rPr>
              <w:t>合格</w:t>
            </w:r>
          </w:p>
          <w:p w14:paraId="3822AC41">
            <w:pPr>
              <w:pStyle w:val="7"/>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4"/>
                <w:sz w:val="21"/>
                <w:szCs w:val="21"/>
                <w:highlight w:val="none"/>
                <w:lang w:eastAsia="zh-CN"/>
              </w:rPr>
            </w:pPr>
            <w:r>
              <w:rPr>
                <w:rFonts w:hint="eastAsia" w:asciiTheme="majorEastAsia" w:hAnsiTheme="majorEastAsia" w:eastAsiaTheme="majorEastAsia" w:cstheme="majorEastAsia"/>
                <w:color w:val="auto"/>
                <w:spacing w:val="-4"/>
                <w:sz w:val="21"/>
                <w:szCs w:val="21"/>
                <w:highlight w:val="none"/>
                <w:lang w:eastAsia="zh-CN"/>
              </w:rPr>
              <w:t>□</w:t>
            </w:r>
            <w:r>
              <w:rPr>
                <w:rFonts w:hint="eastAsia" w:asciiTheme="majorEastAsia" w:hAnsiTheme="majorEastAsia" w:eastAsiaTheme="majorEastAsia" w:cstheme="majorEastAsia"/>
                <w:color w:val="auto"/>
                <w:spacing w:val="-4"/>
                <w:sz w:val="21"/>
                <w:szCs w:val="21"/>
                <w:highlight w:val="none"/>
              </w:rPr>
              <w:t>质量标准：</w:t>
            </w:r>
            <w:r>
              <w:rPr>
                <w:rFonts w:hint="eastAsia" w:asciiTheme="majorEastAsia" w:hAnsiTheme="majorEastAsia" w:eastAsiaTheme="majorEastAsia" w:cstheme="majorEastAsia"/>
                <w:color w:val="auto"/>
                <w:spacing w:val="-4"/>
                <w:sz w:val="21"/>
                <w:szCs w:val="21"/>
                <w:highlight w:val="none"/>
                <w:lang w:eastAsia="zh-CN"/>
              </w:rPr>
              <w:t>达到《建筑工程施工质量验收统一标准》(GB50300-2013)和《建筑与市政工程施工质量控制通用规范》（GB55032-2022）合格。</w:t>
            </w:r>
          </w:p>
          <w:p w14:paraId="45724723">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jc w:val="left"/>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□优质工程要求：</w:t>
            </w:r>
            <w:r>
              <w:rPr>
                <w:rFonts w:hint="eastAsia" w:asciiTheme="majorEastAsia" w:hAnsiTheme="majorEastAsia" w:eastAsiaTheme="majorEastAsia" w:cstheme="majorEastAsia"/>
                <w:color w:val="auto"/>
                <w:sz w:val="21"/>
                <w:szCs w:val="21"/>
                <w:highlight w:val="none"/>
                <w:u w:val="single"/>
              </w:rPr>
              <w:t>无/市优/省优/.....</w:t>
            </w:r>
          </w:p>
          <w:p w14:paraId="08AB880C">
            <w:pPr>
              <w:pStyle w:val="7"/>
              <w:shd w:val="clear" w:color="auto" w:fill="auto"/>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工程优质费：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无</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□有：</w:t>
            </w:r>
            <w:r>
              <w:rPr>
                <w:rFonts w:hint="eastAsia" w:asciiTheme="majorEastAsia" w:hAnsiTheme="majorEastAsia" w:eastAsiaTheme="majorEastAsia" w:cstheme="majorEastAsia"/>
                <w:color w:val="auto"/>
                <w:sz w:val="21"/>
                <w:szCs w:val="21"/>
                <w:highlight w:val="none"/>
                <w:u w:val="single"/>
                <w:lang w:val="en-US" w:eastAsia="zh-CN"/>
              </w:rPr>
              <w:t>/</w:t>
            </w:r>
          </w:p>
        </w:tc>
      </w:tr>
      <w:tr w14:paraId="6090F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0" w:hRule="exact"/>
        </w:trPr>
        <w:tc>
          <w:tcPr>
            <w:tcW w:w="658" w:type="dxa"/>
            <w:tcBorders>
              <w:top w:val="single" w:color="auto" w:sz="4" w:space="0"/>
              <w:left w:val="single" w:color="auto" w:sz="4" w:space="0"/>
              <w:bottom w:val="single" w:color="auto" w:sz="4" w:space="0"/>
              <w:right w:val="single" w:color="auto" w:sz="4" w:space="0"/>
            </w:tcBorders>
            <w:vAlign w:val="center"/>
          </w:tcPr>
          <w:p w14:paraId="5B04596F">
            <w:pPr>
              <w:shd w:val="clear" w:color="auto" w:fill="auto"/>
              <w:spacing w:before="19"/>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color w:val="auto"/>
                <w:spacing w:val="-8"/>
                <w:sz w:val="21"/>
                <w:szCs w:val="21"/>
                <w:highlight w:val="none"/>
                <w:lang w:val="en-US" w:eastAsia="zh-CN"/>
              </w:rPr>
              <w:t>18</w:t>
            </w:r>
          </w:p>
        </w:tc>
        <w:tc>
          <w:tcPr>
            <w:tcW w:w="1995" w:type="dxa"/>
            <w:tcBorders>
              <w:top w:val="single" w:color="auto" w:sz="4" w:space="0"/>
              <w:left w:val="single" w:color="auto" w:sz="4" w:space="0"/>
              <w:bottom w:val="single" w:color="auto" w:sz="4" w:space="0"/>
              <w:right w:val="single" w:color="auto" w:sz="4" w:space="0"/>
            </w:tcBorders>
            <w:vAlign w:val="center"/>
          </w:tcPr>
          <w:p w14:paraId="1BA61DFC">
            <w:pPr>
              <w:shd w:val="clear" w:color="auto" w:fill="auto"/>
              <w:spacing w:before="78" w:line="264" w:lineRule="auto"/>
              <w:ind w:left="143" w:leftChars="0" w:right="140" w:rightChars="0"/>
              <w:jc w:val="center"/>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2"/>
                <w:sz w:val="21"/>
                <w:szCs w:val="21"/>
                <w:highlight w:val="none"/>
              </w:rPr>
              <w:t>房屋建筑工程绿色建筑标准</w:t>
            </w:r>
          </w:p>
        </w:tc>
        <w:tc>
          <w:tcPr>
            <w:tcW w:w="6534" w:type="dxa"/>
            <w:tcBorders>
              <w:top w:val="single" w:color="auto" w:sz="4" w:space="0"/>
              <w:left w:val="single" w:color="auto" w:sz="4" w:space="0"/>
              <w:bottom w:val="single" w:color="auto" w:sz="4" w:space="0"/>
              <w:right w:val="single" w:color="auto" w:sz="4" w:space="0"/>
            </w:tcBorders>
          </w:tcPr>
          <w:p w14:paraId="4F621865">
            <w:pPr>
              <w:shd w:val="clear" w:color="auto" w:fill="auto"/>
              <w:spacing w:before="5" w:line="263" w:lineRule="auto"/>
              <w:ind w:left="7" w:right="4" w:firstLine="481"/>
              <w:jc w:val="both"/>
              <w:rPr>
                <w:rFonts w:hint="eastAsia" w:asciiTheme="majorEastAsia" w:hAnsiTheme="majorEastAsia" w:eastAsiaTheme="majorEastAsia" w:cstheme="majorEastAsia"/>
                <w:color w:val="auto"/>
                <w:spacing w:val="1"/>
                <w:sz w:val="21"/>
                <w:szCs w:val="21"/>
                <w:highlight w:val="none"/>
              </w:rPr>
            </w:pPr>
          </w:p>
          <w:p w14:paraId="072D9039">
            <w:pPr>
              <w:shd w:val="clear" w:color="auto" w:fill="auto"/>
              <w:spacing w:before="5" w:line="263" w:lineRule="auto"/>
              <w:ind w:right="4" w:rightChars="0" w:firstLine="212" w:firstLineChars="1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本招标项目</w:t>
            </w:r>
            <w:r>
              <w:rPr>
                <w:rFonts w:hint="eastAsia" w:asciiTheme="majorEastAsia" w:hAnsiTheme="majorEastAsia" w:eastAsiaTheme="majorEastAsia" w:cstheme="majorEastAsia"/>
                <w:color w:val="auto"/>
                <w:spacing w:val="1"/>
                <w:sz w:val="21"/>
                <w:szCs w:val="21"/>
                <w:highlight w:val="none"/>
                <w:u w:val="single"/>
                <w:lang w:eastAsia="zh-CN"/>
              </w:rPr>
              <w:t>不</w:t>
            </w:r>
            <w:r>
              <w:rPr>
                <w:rFonts w:hint="eastAsia" w:asciiTheme="majorEastAsia" w:hAnsiTheme="majorEastAsia" w:eastAsiaTheme="majorEastAsia" w:cstheme="majorEastAsia"/>
                <w:color w:val="auto"/>
                <w:spacing w:val="1"/>
                <w:sz w:val="21"/>
                <w:szCs w:val="21"/>
                <w:highlight w:val="none"/>
              </w:rPr>
              <w:t>纳入绿色建设实施范围</w:t>
            </w:r>
            <w:r>
              <w:rPr>
                <w:rFonts w:hint="eastAsia" w:asciiTheme="majorEastAsia" w:hAnsiTheme="majorEastAsia" w:eastAsiaTheme="majorEastAsia" w:cstheme="majorEastAsia"/>
                <w:color w:val="auto"/>
                <w:spacing w:val="1"/>
                <w:sz w:val="21"/>
                <w:szCs w:val="21"/>
                <w:highlight w:val="none"/>
                <w:lang w:eastAsia="zh-CN"/>
              </w:rPr>
              <w:t>。</w:t>
            </w:r>
          </w:p>
        </w:tc>
      </w:tr>
      <w:tr w14:paraId="67CF1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exact"/>
        </w:trPr>
        <w:tc>
          <w:tcPr>
            <w:tcW w:w="658" w:type="dxa"/>
            <w:tcBorders>
              <w:top w:val="single" w:color="auto" w:sz="4" w:space="0"/>
              <w:left w:val="single" w:color="auto" w:sz="4" w:space="0"/>
              <w:bottom w:val="single" w:color="auto" w:sz="4" w:space="0"/>
              <w:right w:val="single" w:color="auto" w:sz="4" w:space="0"/>
            </w:tcBorders>
            <w:vAlign w:val="center"/>
          </w:tcPr>
          <w:p w14:paraId="4F8FB85E">
            <w:pPr>
              <w:shd w:val="clear" w:color="auto" w:fill="auto"/>
              <w:spacing w:before="58" w:line="195" w:lineRule="auto"/>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color w:val="auto"/>
                <w:spacing w:val="-3"/>
                <w:sz w:val="21"/>
                <w:szCs w:val="21"/>
                <w:highlight w:val="none"/>
              </w:rPr>
              <w:t>1</w:t>
            </w:r>
            <w:r>
              <w:rPr>
                <w:rFonts w:hint="eastAsia" w:asciiTheme="majorEastAsia" w:hAnsiTheme="majorEastAsia" w:eastAsiaTheme="majorEastAsia" w:cstheme="majorEastAsia"/>
                <w:color w:val="auto"/>
                <w:spacing w:val="-3"/>
                <w:sz w:val="21"/>
                <w:szCs w:val="21"/>
                <w:highlight w:val="none"/>
                <w:lang w:val="en-US" w:eastAsia="zh-CN"/>
              </w:rPr>
              <w:t>8</w:t>
            </w:r>
            <w:r>
              <w:rPr>
                <w:rFonts w:hint="eastAsia" w:asciiTheme="majorEastAsia" w:hAnsiTheme="majorEastAsia" w:eastAsiaTheme="majorEastAsia" w:cstheme="majorEastAsia"/>
                <w:color w:val="auto"/>
                <w:spacing w:val="-3"/>
                <w:sz w:val="21"/>
                <w:szCs w:val="21"/>
                <w:highlight w:val="none"/>
              </w:rPr>
              <w:t>.</w:t>
            </w:r>
            <w:r>
              <w:rPr>
                <w:rFonts w:hint="eastAsia" w:asciiTheme="majorEastAsia" w:hAnsiTheme="majorEastAsia" w:eastAsiaTheme="majorEastAsia" w:cstheme="majorEastAsia"/>
                <w:color w:val="auto"/>
                <w:spacing w:val="-26"/>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460DB10D">
            <w:pPr>
              <w:shd w:val="clear" w:color="auto" w:fill="auto"/>
              <w:spacing w:before="78" w:line="264" w:lineRule="auto"/>
              <w:ind w:left="143" w:leftChars="0" w:right="140" w:rightChars="0"/>
              <w:jc w:val="center"/>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2"/>
                <w:sz w:val="21"/>
                <w:szCs w:val="21"/>
                <w:highlight w:val="none"/>
              </w:rPr>
              <w:t>装配式建筑标准</w:t>
            </w:r>
          </w:p>
        </w:tc>
        <w:tc>
          <w:tcPr>
            <w:tcW w:w="6534" w:type="dxa"/>
            <w:tcBorders>
              <w:top w:val="single" w:color="auto" w:sz="4" w:space="0"/>
              <w:left w:val="single" w:color="auto" w:sz="4" w:space="0"/>
              <w:bottom w:val="single" w:color="auto" w:sz="4" w:space="0"/>
              <w:right w:val="single" w:color="auto" w:sz="4" w:space="0"/>
            </w:tcBorders>
          </w:tcPr>
          <w:p w14:paraId="4B7989CB">
            <w:pPr>
              <w:shd w:val="clear" w:color="auto" w:fill="auto"/>
              <w:spacing w:before="78" w:line="264" w:lineRule="auto"/>
              <w:ind w:left="143" w:leftChars="0" w:right="140" w:right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本招标项目</w:t>
            </w:r>
            <w:r>
              <w:rPr>
                <w:rFonts w:hint="eastAsia" w:asciiTheme="majorEastAsia" w:hAnsiTheme="majorEastAsia" w:eastAsiaTheme="majorEastAsia" w:cstheme="majorEastAsia"/>
                <w:color w:val="auto"/>
                <w:spacing w:val="-2"/>
                <w:sz w:val="21"/>
                <w:szCs w:val="21"/>
                <w:highlight w:val="none"/>
                <w:lang w:eastAsia="zh-CN"/>
              </w:rPr>
              <w:t>不</w:t>
            </w:r>
            <w:r>
              <w:rPr>
                <w:rFonts w:hint="eastAsia" w:asciiTheme="majorEastAsia" w:hAnsiTheme="majorEastAsia" w:eastAsiaTheme="majorEastAsia" w:cstheme="majorEastAsia"/>
                <w:color w:val="auto"/>
                <w:spacing w:val="-2"/>
                <w:sz w:val="21"/>
                <w:szCs w:val="21"/>
                <w:highlight w:val="none"/>
              </w:rPr>
              <w:t>纳入装配式建造建设实施范围</w:t>
            </w:r>
            <w:r>
              <w:rPr>
                <w:rFonts w:hint="eastAsia" w:asciiTheme="majorEastAsia" w:hAnsiTheme="majorEastAsia" w:eastAsiaTheme="majorEastAsia" w:cstheme="majorEastAsia"/>
                <w:color w:val="auto"/>
                <w:spacing w:val="-2"/>
                <w:sz w:val="21"/>
                <w:szCs w:val="21"/>
                <w:highlight w:val="none"/>
                <w:lang w:eastAsia="zh-CN"/>
              </w:rPr>
              <w:t>。</w:t>
            </w:r>
          </w:p>
        </w:tc>
      </w:tr>
      <w:tr w14:paraId="20F7C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658" w:type="dxa"/>
            <w:tcBorders>
              <w:top w:val="single" w:color="auto" w:sz="4" w:space="0"/>
              <w:left w:val="single" w:color="auto" w:sz="4" w:space="0"/>
              <w:bottom w:val="single" w:color="auto" w:sz="4" w:space="0"/>
              <w:right w:val="single" w:color="auto" w:sz="4" w:space="0"/>
            </w:tcBorders>
            <w:vAlign w:val="center"/>
          </w:tcPr>
          <w:p w14:paraId="156DCEC7">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19</w:t>
            </w:r>
          </w:p>
        </w:tc>
        <w:tc>
          <w:tcPr>
            <w:tcW w:w="1995" w:type="dxa"/>
            <w:tcBorders>
              <w:top w:val="single" w:color="auto" w:sz="4" w:space="0"/>
              <w:left w:val="single" w:color="auto" w:sz="4" w:space="0"/>
              <w:bottom w:val="single" w:color="auto" w:sz="4" w:space="0"/>
              <w:right w:val="single" w:color="auto" w:sz="4" w:space="0"/>
            </w:tcBorders>
            <w:vAlign w:val="center"/>
          </w:tcPr>
          <w:p w14:paraId="7A8B7D39">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投标人资格</w:t>
            </w:r>
          </w:p>
          <w:p w14:paraId="68271BCA">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要求</w:t>
            </w:r>
          </w:p>
        </w:tc>
        <w:tc>
          <w:tcPr>
            <w:tcW w:w="6534" w:type="dxa"/>
            <w:tcBorders>
              <w:top w:val="single" w:color="auto" w:sz="4" w:space="0"/>
              <w:left w:val="single" w:color="auto" w:sz="4" w:space="0"/>
              <w:bottom w:val="single" w:color="auto" w:sz="4" w:space="0"/>
              <w:right w:val="single" w:color="auto" w:sz="4" w:space="0"/>
            </w:tcBorders>
            <w:vAlign w:val="center"/>
          </w:tcPr>
          <w:p w14:paraId="19D0223B">
            <w:pPr>
              <w:shd w:val="clear" w:color="auto" w:fill="auto"/>
              <w:wordWrap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1．本次招标</w:t>
            </w:r>
            <w:r>
              <w:rPr>
                <w:rFonts w:hint="eastAsia" w:asciiTheme="majorEastAsia" w:hAnsiTheme="majorEastAsia" w:eastAsiaTheme="majorEastAsia" w:cstheme="majorEastAsia"/>
                <w:snapToGrid w:val="0"/>
                <w:color w:val="auto"/>
                <w:kern w:val="0"/>
                <w:sz w:val="21"/>
                <w:szCs w:val="21"/>
                <w:highlight w:val="none"/>
                <w:u w:val="single"/>
              </w:rPr>
              <w:t>不接受</w:t>
            </w:r>
            <w:r>
              <w:rPr>
                <w:rFonts w:hint="eastAsia" w:asciiTheme="majorEastAsia" w:hAnsiTheme="majorEastAsia" w:eastAsiaTheme="majorEastAsia" w:cstheme="majorEastAsia"/>
                <w:snapToGrid w:val="0"/>
                <w:color w:val="auto"/>
                <w:kern w:val="0"/>
                <w:sz w:val="21"/>
                <w:szCs w:val="21"/>
                <w:highlight w:val="none"/>
              </w:rPr>
              <w:t>联合体投标。</w:t>
            </w:r>
          </w:p>
          <w:p w14:paraId="35F2BA1F">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2．资质要求</w:t>
            </w:r>
          </w:p>
          <w:p w14:paraId="6C31E1BA">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2.1 投标人须具备独立法人资格，按国家法律经营。</w:t>
            </w:r>
          </w:p>
          <w:p w14:paraId="5CA535AF">
            <w:pPr>
              <w:pStyle w:val="6"/>
              <w:shd w:val="clear" w:color="auto" w:fill="auto"/>
              <w:spacing w:before="0" w:after="0" w:line="360" w:lineRule="auto"/>
              <w:ind w:firstLine="420" w:firstLineChars="200"/>
              <w:rPr>
                <w:rFonts w:hint="eastAsia" w:asciiTheme="majorEastAsia" w:hAnsiTheme="majorEastAsia" w:eastAsiaTheme="majorEastAsia" w:cstheme="majorEastAsia"/>
                <w:color w:val="auto"/>
                <w:sz w:val="21"/>
                <w:szCs w:val="21"/>
                <w:highlight w:val="none"/>
                <w:u w:val="single"/>
                <w:lang w:eastAsia="zh-CN"/>
              </w:rPr>
            </w:pPr>
            <w:r>
              <w:rPr>
                <w:rFonts w:hint="eastAsia" w:asciiTheme="majorEastAsia" w:hAnsiTheme="majorEastAsia" w:eastAsiaTheme="majorEastAsia" w:cstheme="majorEastAsia"/>
                <w:color w:val="auto"/>
                <w:sz w:val="21"/>
                <w:szCs w:val="21"/>
                <w:highlight w:val="none"/>
              </w:rPr>
              <w:t>2.2</w:t>
            </w:r>
            <w:r>
              <w:rPr>
                <w:rFonts w:hint="eastAsia" w:asciiTheme="majorEastAsia" w:hAnsiTheme="majorEastAsia" w:eastAsiaTheme="majorEastAsia" w:cstheme="majorEastAsia"/>
                <w:snapToGrid w:val="0"/>
                <w:color w:val="auto"/>
                <w:kern w:val="0"/>
                <w:sz w:val="21"/>
                <w:szCs w:val="21"/>
                <w:highlight w:val="none"/>
              </w:rPr>
              <w:t xml:space="preserve"> 投标人须具备以下资</w:t>
            </w:r>
            <w:r>
              <w:rPr>
                <w:rFonts w:hint="eastAsia" w:asciiTheme="majorEastAsia" w:hAnsiTheme="majorEastAsia" w:eastAsiaTheme="majorEastAsia" w:cstheme="majorEastAsia"/>
                <w:color w:val="auto"/>
                <w:sz w:val="21"/>
                <w:szCs w:val="21"/>
                <w:highlight w:val="none"/>
              </w:rPr>
              <w:t>质</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u w:val="single"/>
                <w:lang w:eastAsia="zh-CN"/>
              </w:rPr>
              <w:t>工程监理综合资质或市政公用工程专业监理乙级以上（含乙级）资质。</w:t>
            </w:r>
          </w:p>
          <w:p w14:paraId="30BF8DB8">
            <w:pPr>
              <w:shd w:val="clear" w:color="auto" w:fill="auto"/>
              <w:wordWrap w:val="0"/>
              <w:adjustRightInd w:val="0"/>
              <w:snapToGrid w:val="0"/>
              <w:spacing w:line="360" w:lineRule="auto"/>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bidi="ar-SA"/>
              </w:rPr>
              <w:t>2.3根据有关文件精神，投标人的企业相关证书到期的，均按该证书的发证机构相关行业主管部门最新文件执行（如自动顺延或推迟办理延期业务的通知），</w:t>
            </w:r>
            <w:r>
              <w:rPr>
                <w:rFonts w:hint="eastAsia" w:asciiTheme="majorEastAsia" w:hAnsiTheme="majorEastAsia" w:eastAsiaTheme="majorEastAsia" w:cstheme="majorEastAsia"/>
                <w:b/>
                <w:bCs/>
                <w:color w:val="auto"/>
                <w:kern w:val="2"/>
                <w:sz w:val="21"/>
                <w:szCs w:val="21"/>
                <w:highlight w:val="none"/>
                <w:lang w:val="en-US" w:eastAsia="zh-CN" w:bidi="ar-SA"/>
              </w:rPr>
              <w:t>投标人必须将相关文件附在该证书后面中，证明在开标日继续有效</w:t>
            </w:r>
            <w:r>
              <w:rPr>
                <w:rFonts w:hint="eastAsia" w:asciiTheme="majorEastAsia" w:hAnsiTheme="majorEastAsia" w:eastAsiaTheme="majorEastAsia" w:cstheme="majorEastAsia"/>
                <w:color w:val="auto"/>
                <w:kern w:val="2"/>
                <w:sz w:val="21"/>
                <w:szCs w:val="21"/>
                <w:highlight w:val="none"/>
                <w:lang w:val="en-US" w:eastAsia="zh-CN" w:bidi="ar-SA"/>
              </w:rPr>
              <w:t>。</w:t>
            </w:r>
          </w:p>
          <w:p w14:paraId="54E76EDE">
            <w:pPr>
              <w:pStyle w:val="6"/>
              <w:shd w:val="clear" w:color="auto" w:fill="auto"/>
              <w:spacing w:before="0" w:after="0" w:line="360" w:lineRule="auto"/>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3．相关人员要求</w:t>
            </w:r>
          </w:p>
          <w:p w14:paraId="4E8EA713">
            <w:pPr>
              <w:pStyle w:val="6"/>
              <w:shd w:val="clear" w:color="auto" w:fill="auto"/>
              <w:spacing w:before="0" w:after="0" w:line="360" w:lineRule="auto"/>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 xml:space="preserve">3.1 </w:t>
            </w:r>
            <w:r>
              <w:rPr>
                <w:rFonts w:hint="eastAsia" w:asciiTheme="majorEastAsia" w:hAnsiTheme="majorEastAsia" w:eastAsiaTheme="majorEastAsia" w:cstheme="majorEastAsia"/>
                <w:color w:val="auto"/>
                <w:sz w:val="21"/>
                <w:szCs w:val="21"/>
                <w:highlight w:val="none"/>
                <w:lang w:eastAsia="zh-CN"/>
              </w:rPr>
              <w:t>拟委派的总监理工程师为</w:t>
            </w:r>
            <w:r>
              <w:rPr>
                <w:rFonts w:hint="eastAsia" w:asciiTheme="majorEastAsia" w:hAnsiTheme="majorEastAsia" w:eastAsiaTheme="majorEastAsia" w:cstheme="majorEastAsia"/>
                <w:color w:val="auto"/>
                <w:sz w:val="21"/>
                <w:szCs w:val="21"/>
                <w:highlight w:val="none"/>
                <w:u w:val="single"/>
                <w:lang w:eastAsia="zh-CN"/>
              </w:rPr>
              <w:t>市政公用工程</w:t>
            </w:r>
            <w:r>
              <w:rPr>
                <w:rFonts w:hint="eastAsia" w:asciiTheme="majorEastAsia" w:hAnsiTheme="majorEastAsia" w:eastAsiaTheme="majorEastAsia" w:cstheme="majorEastAsia"/>
                <w:color w:val="auto"/>
                <w:sz w:val="21"/>
                <w:szCs w:val="21"/>
                <w:highlight w:val="none"/>
                <w:lang w:eastAsia="zh-CN"/>
              </w:rPr>
              <w:t>专业注册监理工程师</w:t>
            </w:r>
            <w:r>
              <w:rPr>
                <w:rFonts w:hint="eastAsia" w:asciiTheme="majorEastAsia" w:hAnsiTheme="majorEastAsia" w:eastAsiaTheme="majorEastAsia" w:cstheme="majorEastAsia"/>
                <w:snapToGrid w:val="0"/>
                <w:color w:val="auto"/>
                <w:kern w:val="0"/>
                <w:sz w:val="21"/>
                <w:szCs w:val="21"/>
                <w:highlight w:val="none"/>
              </w:rPr>
              <w:t>，应持有国家住建部印发的有效注册证书，其担任总监理工程师职务的其他在施（包括已中标未开工、已开工未竣工）建设工程项目不得超过</w:t>
            </w:r>
            <w:r>
              <w:rPr>
                <w:rFonts w:hint="eastAsia" w:asciiTheme="majorEastAsia" w:hAnsiTheme="majorEastAsia" w:eastAsiaTheme="majorEastAsia" w:cstheme="majorEastAsia"/>
                <w:snapToGrid w:val="0"/>
                <w:color w:val="auto"/>
                <w:kern w:val="0"/>
                <w:sz w:val="21"/>
                <w:szCs w:val="21"/>
                <w:highlight w:val="none"/>
                <w:u w:val="single"/>
                <w:lang w:val="en-US" w:eastAsia="zh-CN"/>
              </w:rPr>
              <w:t>2</w:t>
            </w:r>
            <w:r>
              <w:rPr>
                <w:rFonts w:hint="eastAsia" w:asciiTheme="majorEastAsia" w:hAnsiTheme="majorEastAsia" w:eastAsiaTheme="majorEastAsia" w:cstheme="majorEastAsia"/>
                <w:snapToGrid w:val="0"/>
                <w:color w:val="auto"/>
                <w:kern w:val="0"/>
                <w:sz w:val="21"/>
                <w:szCs w:val="21"/>
                <w:highlight w:val="none"/>
              </w:rPr>
              <w:t>个。</w:t>
            </w:r>
          </w:p>
          <w:p w14:paraId="6A7E1304">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拟派总监理工程师现阶段有担任其他在施建设工程项目总监理工程师职务的，须得到任职项目建设单位书面同意后方可担任本招标项目总监理工程师。</w:t>
            </w:r>
          </w:p>
          <w:p w14:paraId="073EDE41">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3.2 投标人与其拟委派的往本项目监理机构的所有人员之间必须具备合法、唯一的劳动聘用关系。拟委派的人员中具备注册执业资格的，其注册单位须与投标人保持一致。</w:t>
            </w:r>
          </w:p>
          <w:p w14:paraId="6E9AE903">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4．禁止投标条款</w:t>
            </w:r>
          </w:p>
          <w:p w14:paraId="240E094F">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4.1 投标人不得存在下列情形之一：</w:t>
            </w:r>
          </w:p>
          <w:p w14:paraId="7EFB96DE">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（1）为招标人不具有独立法人资格的附属机构（单位）；</w:t>
            </w:r>
          </w:p>
          <w:p w14:paraId="4264B8E1">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（2）与招标人存在利害关系且可能影响招标公正性；</w:t>
            </w:r>
          </w:p>
          <w:p w14:paraId="5B7866C6">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（3）与本招标项目的其他投标人为同一个单位负责人；</w:t>
            </w:r>
          </w:p>
          <w:p w14:paraId="1D114C93">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（4）与本招标项目的其他投标人存在控股、管理关系；</w:t>
            </w:r>
          </w:p>
          <w:p w14:paraId="2AC2222B">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（5）为本招标项目的代建人；</w:t>
            </w:r>
          </w:p>
          <w:p w14:paraId="7EF6CD16">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（6）为本招标项目的招标代理机构；</w:t>
            </w:r>
          </w:p>
          <w:p w14:paraId="67B6F09F">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（7）与本招标项目的代建人或招标代理机构同为一个法定代表人；</w:t>
            </w:r>
          </w:p>
          <w:p w14:paraId="763B25FF">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（8）与本招标项目的代建人或招标代理机构存在控股或参股关系；</w:t>
            </w:r>
          </w:p>
          <w:p w14:paraId="3855C80C">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（9）与本招标项目的施工承包人以及建筑材料、建筑构配件和设备供应商有隶属关系或者其他利害关系；</w:t>
            </w:r>
          </w:p>
          <w:p w14:paraId="458F0FBD">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（10）被依法暂停或者取消投标资格；</w:t>
            </w:r>
          </w:p>
          <w:p w14:paraId="5B9DD366">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（11）被责令停产停业、暂扣或者吊销许可证、暂扣或者吊销执照；</w:t>
            </w:r>
          </w:p>
          <w:p w14:paraId="1E5331FF">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（12）进入清算程序，或被宣告破产，或其他丧失履约能力的情形；</w:t>
            </w:r>
          </w:p>
          <w:p w14:paraId="003686EC">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（13）在最近三年内发生重大监理质量或安全问题（以相关行业主管部门的行政处罚决定或司法机关出具的有关法律文书为准）；</w:t>
            </w:r>
          </w:p>
          <w:p w14:paraId="6EAAB621">
            <w:pPr>
              <w:shd w:val="clear" w:color="auto" w:fill="auto"/>
              <w:wordWrap w:val="0"/>
              <w:adjustRightInd w:val="0"/>
              <w:snapToGrid w:val="0"/>
              <w:spacing w:line="360" w:lineRule="auto"/>
              <w:ind w:firstLine="420" w:firstLineChars="200"/>
              <w:jc w:val="left"/>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（14）</w:t>
            </w:r>
            <w:r>
              <w:rPr>
                <w:rFonts w:hint="eastAsia" w:asciiTheme="majorEastAsia" w:hAnsiTheme="majorEastAsia" w:eastAsiaTheme="majorEastAsia" w:cstheme="majorEastAsia"/>
                <w:snapToGrid w:val="0"/>
                <w:color w:val="auto"/>
                <w:kern w:val="0"/>
                <w:sz w:val="21"/>
                <w:szCs w:val="21"/>
                <w:highlight w:val="none"/>
                <w:lang w:eastAsia="zh-CN"/>
              </w:rPr>
              <w:t>被“信用中国”网站（https://www.creditchina.gov.cn）发布的《法人和非法人组织公共信用信息报告》列为严重失信主体名单的。</w:t>
            </w:r>
          </w:p>
          <w:p w14:paraId="27C18058">
            <w:pPr>
              <w:shd w:val="clear" w:color="auto" w:fill="auto"/>
              <w:wordWrap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4.2 招标人拒绝以下名单中的单位参加本次投标：</w:t>
            </w:r>
          </w:p>
          <w:tbl>
            <w:tblPr>
              <w:tblStyle w:val="24"/>
              <w:tblpPr w:leftFromText="180" w:rightFromText="180" w:vertAnchor="text" w:horzAnchor="margin" w:tblpXSpec="center" w:tblpY="10"/>
              <w:tblOverlap w:val="neve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83"/>
              <w:gridCol w:w="3534"/>
              <w:gridCol w:w="2262"/>
            </w:tblGrid>
            <w:tr w14:paraId="51AB6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129756A">
                  <w:pPr>
                    <w:pStyle w:val="43"/>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序号</w:t>
                  </w:r>
                </w:p>
              </w:tc>
              <w:tc>
                <w:tcPr>
                  <w:tcW w:w="3534" w:type="dxa"/>
                  <w:tcBorders>
                    <w:top w:val="outset" w:color="auto" w:sz="6" w:space="0"/>
                    <w:left w:val="outset" w:color="auto" w:sz="6" w:space="0"/>
                    <w:bottom w:val="outset" w:color="auto" w:sz="6" w:space="0"/>
                    <w:right w:val="outset" w:color="auto" w:sz="6" w:space="0"/>
                  </w:tcBorders>
                  <w:vAlign w:val="center"/>
                </w:tcPr>
                <w:p w14:paraId="03A25F85">
                  <w:pPr>
                    <w:pStyle w:val="43"/>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单位名称</w:t>
                  </w:r>
                </w:p>
              </w:tc>
              <w:tc>
                <w:tcPr>
                  <w:tcW w:w="2262" w:type="dxa"/>
                  <w:tcBorders>
                    <w:top w:val="outset" w:color="auto" w:sz="6" w:space="0"/>
                    <w:left w:val="outset" w:color="auto" w:sz="6" w:space="0"/>
                    <w:bottom w:val="outset" w:color="auto" w:sz="6" w:space="0"/>
                    <w:right w:val="outset" w:color="auto" w:sz="6" w:space="0"/>
                  </w:tcBorders>
                  <w:vAlign w:val="center"/>
                </w:tcPr>
                <w:p w14:paraId="49191322">
                  <w:pPr>
                    <w:pStyle w:val="43"/>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拒绝原因</w:t>
                  </w:r>
                </w:p>
              </w:tc>
            </w:tr>
            <w:tr w14:paraId="7E95E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741F611F">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1</w:t>
                  </w:r>
                </w:p>
              </w:tc>
              <w:tc>
                <w:tcPr>
                  <w:tcW w:w="3534" w:type="dxa"/>
                  <w:tcBorders>
                    <w:top w:val="outset" w:color="auto" w:sz="6" w:space="0"/>
                    <w:left w:val="outset" w:color="auto" w:sz="6" w:space="0"/>
                    <w:bottom w:val="outset" w:color="auto" w:sz="6" w:space="0"/>
                    <w:right w:val="outset" w:color="auto" w:sz="6" w:space="0"/>
                  </w:tcBorders>
                  <w:vAlign w:val="center"/>
                </w:tcPr>
                <w:p w14:paraId="0F46052C">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东莞（韶关）浈江产业转移工业园管理委员会</w:t>
                  </w:r>
                </w:p>
              </w:tc>
              <w:tc>
                <w:tcPr>
                  <w:tcW w:w="2262" w:type="dxa"/>
                  <w:tcBorders>
                    <w:top w:val="outset" w:color="auto" w:sz="6" w:space="0"/>
                    <w:left w:val="outset" w:color="auto" w:sz="6" w:space="0"/>
                    <w:bottom w:val="outset" w:color="auto" w:sz="6" w:space="0"/>
                    <w:right w:val="outset" w:color="auto" w:sz="6" w:space="0"/>
                  </w:tcBorders>
                  <w:vAlign w:val="center"/>
                </w:tcPr>
                <w:p w14:paraId="2191C86E">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为本招标项目的招标人</w:t>
                  </w:r>
                </w:p>
              </w:tc>
            </w:tr>
            <w:tr w14:paraId="5A641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0"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9B76FB7">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w:t>
                  </w:r>
                </w:p>
              </w:tc>
              <w:tc>
                <w:tcPr>
                  <w:tcW w:w="3534" w:type="dxa"/>
                  <w:tcBorders>
                    <w:top w:val="outset" w:color="auto" w:sz="6" w:space="0"/>
                    <w:left w:val="outset" w:color="auto" w:sz="6" w:space="0"/>
                    <w:bottom w:val="outset" w:color="auto" w:sz="6" w:space="0"/>
                    <w:right w:val="outset" w:color="auto" w:sz="6" w:space="0"/>
                  </w:tcBorders>
                  <w:vAlign w:val="center"/>
                </w:tcPr>
                <w:p w14:paraId="16F2A539">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广东合正项目管理有限公司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289E2ADB">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为本招标项目的招标代理机构</w:t>
                  </w:r>
                </w:p>
              </w:tc>
            </w:tr>
            <w:tr w14:paraId="381F6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5"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453218D6">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w:t>
                  </w:r>
                </w:p>
              </w:tc>
              <w:tc>
                <w:tcPr>
                  <w:tcW w:w="3534" w:type="dxa"/>
                  <w:tcBorders>
                    <w:top w:val="outset" w:color="auto" w:sz="6" w:space="0"/>
                    <w:left w:val="outset" w:color="auto" w:sz="6" w:space="0"/>
                    <w:bottom w:val="outset" w:color="auto" w:sz="6" w:space="0"/>
                    <w:right w:val="outset" w:color="auto" w:sz="6" w:space="0"/>
                  </w:tcBorders>
                  <w:vAlign w:val="center"/>
                </w:tcPr>
                <w:p w14:paraId="4DCC8BD5">
                  <w:pPr>
                    <w:pageBreakBefore w:val="0"/>
                    <w:shd w:val="clear" w:color="auto" w:fill="auto"/>
                    <w:kinsoku/>
                    <w:wordWrap/>
                    <w:overflowPunct/>
                    <w:bidi w:val="0"/>
                    <w:adjustRightInd/>
                    <w:snapToGrid/>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lang w:eastAsia="zh-CN"/>
                    </w:rPr>
                    <w:t>韶关市恒邦地质工程有限公司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1F45585C">
                  <w:pPr>
                    <w:pageBreakBefore w:val="0"/>
                    <w:shd w:val="clear" w:color="auto" w:fill="auto"/>
                    <w:kinsoku/>
                    <w:wordWrap/>
                    <w:overflowPunct/>
                    <w:bidi w:val="0"/>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为本项目的勘察单位</w:t>
                  </w:r>
                </w:p>
              </w:tc>
            </w:tr>
            <w:tr w14:paraId="38B4B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622B0952">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4</w:t>
                  </w:r>
                </w:p>
              </w:tc>
              <w:tc>
                <w:tcPr>
                  <w:tcW w:w="3534" w:type="dxa"/>
                  <w:tcBorders>
                    <w:top w:val="outset" w:color="auto" w:sz="6" w:space="0"/>
                    <w:left w:val="outset" w:color="auto" w:sz="6" w:space="0"/>
                    <w:bottom w:val="outset" w:color="auto" w:sz="6" w:space="0"/>
                    <w:right w:val="outset" w:color="auto" w:sz="6" w:space="0"/>
                  </w:tcBorders>
                  <w:vAlign w:val="center"/>
                </w:tcPr>
                <w:p w14:paraId="59AD73DA">
                  <w:pPr>
                    <w:pageBreakBefore w:val="0"/>
                    <w:shd w:val="clear" w:color="auto" w:fill="auto"/>
                    <w:kinsoku/>
                    <w:wordWrap/>
                    <w:overflowPunct/>
                    <w:bidi w:val="0"/>
                    <w:adjustRightInd/>
                    <w:snapToGrid/>
                    <w:spacing w:line="360" w:lineRule="auto"/>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韶关市规划市政设计研究院有限公司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385BF0D7">
                  <w:pPr>
                    <w:pageBreakBefore w:val="0"/>
                    <w:shd w:val="clear" w:color="auto" w:fill="auto"/>
                    <w:kinsoku/>
                    <w:wordWrap/>
                    <w:overflowPunct/>
                    <w:bidi w:val="0"/>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为本项目的设计单位</w:t>
                  </w:r>
                </w:p>
              </w:tc>
            </w:tr>
            <w:tr w14:paraId="32A3A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8"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0BF5C499">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5</w:t>
                  </w:r>
                </w:p>
              </w:tc>
              <w:tc>
                <w:tcPr>
                  <w:tcW w:w="3534" w:type="dxa"/>
                  <w:tcBorders>
                    <w:top w:val="outset" w:color="auto" w:sz="6" w:space="0"/>
                    <w:left w:val="outset" w:color="auto" w:sz="6" w:space="0"/>
                    <w:bottom w:val="outset" w:color="auto" w:sz="6" w:space="0"/>
                    <w:right w:val="outset" w:color="auto" w:sz="6" w:space="0"/>
                  </w:tcBorders>
                  <w:vAlign w:val="center"/>
                </w:tcPr>
                <w:p w14:paraId="0B8C652E">
                  <w:pPr>
                    <w:pageBreakBefore w:val="0"/>
                    <w:shd w:val="clear" w:color="auto" w:fill="auto"/>
                    <w:kinsoku/>
                    <w:wordWrap/>
                    <w:overflowPunct/>
                    <w:bidi w:val="0"/>
                    <w:adjustRightInd/>
                    <w:snapToGrid/>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iCs w:val="0"/>
                      <w:snapToGrid w:val="0"/>
                      <w:color w:val="auto"/>
                      <w:kern w:val="0"/>
                      <w:sz w:val="21"/>
                      <w:szCs w:val="21"/>
                      <w:highlight w:val="none"/>
                      <w:lang w:eastAsia="zh-CN"/>
                    </w:rPr>
                    <w:t>中策恒睿建设有限公司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4883792B">
                  <w:pPr>
                    <w:pageBreakBefore w:val="0"/>
                    <w:shd w:val="clear" w:color="auto" w:fill="auto"/>
                    <w:kinsoku/>
                    <w:wordWrap/>
                    <w:overflowPunct/>
                    <w:bidi w:val="0"/>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为本项目的造价咨询单位</w:t>
                  </w:r>
                </w:p>
              </w:tc>
            </w:tr>
            <w:tr w14:paraId="3DD49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8"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109FAE3D">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6</w:t>
                  </w:r>
                </w:p>
              </w:tc>
              <w:tc>
                <w:tcPr>
                  <w:tcW w:w="3534" w:type="dxa"/>
                  <w:tcBorders>
                    <w:top w:val="outset" w:color="auto" w:sz="6" w:space="0"/>
                    <w:left w:val="outset" w:color="auto" w:sz="6" w:space="0"/>
                    <w:bottom w:val="outset" w:color="auto" w:sz="6" w:space="0"/>
                    <w:right w:val="outset" w:color="auto" w:sz="6" w:space="0"/>
                  </w:tcBorders>
                  <w:vAlign w:val="center"/>
                </w:tcPr>
                <w:p w14:paraId="726B78FB">
                  <w:pPr>
                    <w:pageBreakBefore w:val="0"/>
                    <w:shd w:val="clear" w:color="auto" w:fill="auto"/>
                    <w:kinsoku/>
                    <w:wordWrap/>
                    <w:overflowPunct/>
                    <w:bidi w:val="0"/>
                    <w:adjustRightInd/>
                    <w:snapToGrid/>
                    <w:spacing w:line="360" w:lineRule="auto"/>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iCs w:val="0"/>
                      <w:snapToGrid w:val="0"/>
                      <w:color w:val="auto"/>
                      <w:kern w:val="0"/>
                      <w:sz w:val="21"/>
                      <w:szCs w:val="21"/>
                      <w:highlight w:val="none"/>
                      <w:lang w:val="en-US" w:eastAsia="zh-CN"/>
                    </w:rPr>
                    <w:t>广东建同工程技术咨询有限公司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5ACEEFF1">
                  <w:pPr>
                    <w:pageBreakBefore w:val="0"/>
                    <w:shd w:val="clear" w:color="auto" w:fill="auto"/>
                    <w:kinsoku/>
                    <w:wordWrap/>
                    <w:overflowPunct/>
                    <w:bidi w:val="0"/>
                    <w:spacing w:line="360" w:lineRule="auto"/>
                    <w:jc w:val="center"/>
                    <w:rPr>
                      <w:rFonts w:hint="eastAsia" w:asciiTheme="majorEastAsia" w:hAnsiTheme="majorEastAsia" w:eastAsiaTheme="majorEastAsia" w:cstheme="majorEastAsia"/>
                      <w:snapToGrid w:val="0"/>
                      <w:color w:val="auto"/>
                      <w:kern w:val="0"/>
                      <w:sz w:val="21"/>
                      <w:szCs w:val="21"/>
                      <w:highlight w:val="none"/>
                      <w:lang w:val="en-US"/>
                    </w:rPr>
                  </w:pPr>
                  <w:r>
                    <w:rPr>
                      <w:rFonts w:hint="eastAsia" w:asciiTheme="majorEastAsia" w:hAnsiTheme="majorEastAsia" w:eastAsiaTheme="majorEastAsia" w:cstheme="majorEastAsia"/>
                      <w:snapToGrid w:val="0"/>
                      <w:color w:val="auto"/>
                      <w:kern w:val="0"/>
                      <w:sz w:val="21"/>
                      <w:szCs w:val="21"/>
                      <w:highlight w:val="none"/>
                      <w:lang w:eastAsia="zh-CN"/>
                    </w:rPr>
                    <w:t>为本项目的施工图审查单位</w:t>
                  </w:r>
                </w:p>
              </w:tc>
            </w:tr>
            <w:tr w14:paraId="154594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2" w:hRule="atLeast"/>
                <w:jc w:val="center"/>
              </w:trPr>
              <w:tc>
                <w:tcPr>
                  <w:tcW w:w="483" w:type="dxa"/>
                  <w:tcBorders>
                    <w:top w:val="outset" w:color="auto" w:sz="6" w:space="0"/>
                    <w:left w:val="outset" w:color="auto" w:sz="6" w:space="0"/>
                    <w:bottom w:val="outset" w:color="auto" w:sz="6" w:space="0"/>
                    <w:right w:val="outset" w:color="auto" w:sz="6" w:space="0"/>
                  </w:tcBorders>
                  <w:vAlign w:val="center"/>
                </w:tcPr>
                <w:p w14:paraId="27EA82D4">
                  <w:pPr>
                    <w:pStyle w:val="43"/>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7</w:t>
                  </w:r>
                </w:p>
              </w:tc>
              <w:tc>
                <w:tcPr>
                  <w:tcW w:w="3534" w:type="dxa"/>
                  <w:tcBorders>
                    <w:top w:val="outset" w:color="auto" w:sz="6" w:space="0"/>
                    <w:left w:val="outset" w:color="auto" w:sz="6" w:space="0"/>
                    <w:bottom w:val="outset" w:color="auto" w:sz="6" w:space="0"/>
                    <w:right w:val="outset" w:color="auto" w:sz="6" w:space="0"/>
                  </w:tcBorders>
                  <w:vAlign w:val="center"/>
                </w:tcPr>
                <w:p w14:paraId="6F281AF5">
                  <w:pPr>
                    <w:pageBreakBefore w:val="0"/>
                    <w:shd w:val="clear" w:color="auto" w:fill="auto"/>
                    <w:kinsoku/>
                    <w:wordWrap/>
                    <w:overflowPunct/>
                    <w:bidi w:val="0"/>
                    <w:adjustRightInd/>
                    <w:snapToGrid/>
                    <w:spacing w:line="360" w:lineRule="auto"/>
                    <w:jc w:val="center"/>
                    <w:rPr>
                      <w:rFonts w:hint="eastAsia" w:asciiTheme="majorEastAsia" w:hAnsiTheme="majorEastAsia" w:eastAsiaTheme="majorEastAsia" w:cstheme="majorEastAsia"/>
                      <w:iCs w:val="0"/>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eastAsia="zh-CN"/>
                    </w:rPr>
                    <w:t>广东合正项目管理有限公司</w:t>
                  </w:r>
                </w:p>
              </w:tc>
              <w:tc>
                <w:tcPr>
                  <w:tcW w:w="2262" w:type="dxa"/>
                  <w:tcBorders>
                    <w:top w:val="outset" w:color="auto" w:sz="6" w:space="0"/>
                    <w:left w:val="outset" w:color="auto" w:sz="6" w:space="0"/>
                    <w:bottom w:val="outset" w:color="auto" w:sz="6" w:space="0"/>
                    <w:right w:val="outset" w:color="auto" w:sz="6" w:space="0"/>
                  </w:tcBorders>
                  <w:vAlign w:val="center"/>
                </w:tcPr>
                <w:p w14:paraId="29B358F3">
                  <w:pPr>
                    <w:pageBreakBefore w:val="0"/>
                    <w:shd w:val="clear" w:color="auto" w:fill="auto"/>
                    <w:kinsoku/>
                    <w:wordWrap/>
                    <w:overflowPunct/>
                    <w:bidi w:val="0"/>
                    <w:spacing w:line="360" w:lineRule="auto"/>
                    <w:jc w:val="center"/>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为本项目的可行性研究报告编制单位</w:t>
                  </w:r>
                </w:p>
              </w:tc>
            </w:tr>
          </w:tbl>
          <w:p w14:paraId="1A6244D2">
            <w:pPr>
              <w:shd w:val="clear" w:color="auto" w:fill="auto"/>
              <w:wordWrap w:val="0"/>
              <w:adjustRightInd w:val="0"/>
              <w:snapToGrid w:val="0"/>
              <w:spacing w:line="400" w:lineRule="exact"/>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5．其他要求</w:t>
            </w:r>
          </w:p>
          <w:p w14:paraId="5CAC1602">
            <w:pPr>
              <w:shd w:val="clear" w:color="auto" w:fill="auto"/>
              <w:wordWrap w:val="0"/>
              <w:adjustRightInd w:val="0"/>
              <w:snapToGrid w:val="0"/>
              <w:spacing w:line="400" w:lineRule="exact"/>
              <w:ind w:firstLine="420" w:firstLineChars="200"/>
              <w:jc w:val="left"/>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0959E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60" w:hRule="atLeast"/>
        </w:trPr>
        <w:tc>
          <w:tcPr>
            <w:tcW w:w="658" w:type="dxa"/>
            <w:tcBorders>
              <w:top w:val="single" w:color="auto" w:sz="4" w:space="0"/>
              <w:left w:val="single" w:color="auto" w:sz="4" w:space="0"/>
              <w:bottom w:val="single" w:color="auto" w:sz="4" w:space="0"/>
              <w:right w:val="single" w:color="auto" w:sz="4" w:space="0"/>
            </w:tcBorders>
            <w:vAlign w:val="center"/>
          </w:tcPr>
          <w:p w14:paraId="64FD4070">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20</w:t>
            </w:r>
          </w:p>
        </w:tc>
        <w:tc>
          <w:tcPr>
            <w:tcW w:w="1995" w:type="dxa"/>
            <w:tcBorders>
              <w:top w:val="single" w:color="auto" w:sz="4" w:space="0"/>
              <w:left w:val="single" w:color="auto" w:sz="4" w:space="0"/>
              <w:bottom w:val="single" w:color="auto" w:sz="4" w:space="0"/>
              <w:right w:val="single" w:color="auto" w:sz="4" w:space="0"/>
            </w:tcBorders>
            <w:vAlign w:val="center"/>
          </w:tcPr>
          <w:p w14:paraId="7B04D1B4">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服务期限</w:t>
            </w:r>
          </w:p>
        </w:tc>
        <w:tc>
          <w:tcPr>
            <w:tcW w:w="6534" w:type="dxa"/>
            <w:tcBorders>
              <w:top w:val="single" w:color="auto" w:sz="4" w:space="0"/>
              <w:left w:val="single" w:color="auto" w:sz="4" w:space="0"/>
              <w:bottom w:val="single" w:color="auto" w:sz="4" w:space="0"/>
              <w:right w:val="single" w:color="auto" w:sz="4" w:space="0"/>
            </w:tcBorders>
            <w:vAlign w:val="center"/>
          </w:tcPr>
          <w:p w14:paraId="4045270B">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bCs/>
                <w:color w:val="auto"/>
                <w:sz w:val="21"/>
                <w:szCs w:val="21"/>
                <w:highlight w:val="none"/>
              </w:rPr>
              <w:t>监理服务期从监理合同签订之日起计，至本工程缺陷责任</w:t>
            </w:r>
            <w:r>
              <w:rPr>
                <w:rFonts w:hint="eastAsia" w:asciiTheme="majorEastAsia" w:hAnsiTheme="majorEastAsia" w:eastAsiaTheme="majorEastAsia" w:cstheme="majorEastAsia"/>
                <w:bCs/>
                <w:snapToGrid w:val="0"/>
                <w:color w:val="auto"/>
                <w:kern w:val="0"/>
                <w:sz w:val="21"/>
                <w:szCs w:val="21"/>
                <w:highlight w:val="none"/>
              </w:rPr>
              <w:t>保修</w:t>
            </w:r>
            <w:r>
              <w:rPr>
                <w:rFonts w:hint="eastAsia" w:asciiTheme="majorEastAsia" w:hAnsiTheme="majorEastAsia" w:eastAsiaTheme="majorEastAsia" w:cstheme="majorEastAsia"/>
                <w:bCs/>
                <w:color w:val="auto"/>
                <w:sz w:val="21"/>
                <w:szCs w:val="21"/>
                <w:highlight w:val="none"/>
              </w:rPr>
              <w:t>期结束且本工程结算金额经政府主管部门审定且双方的责任义务履行完毕时止。</w:t>
            </w:r>
            <w:r>
              <w:rPr>
                <w:rFonts w:hint="eastAsia" w:asciiTheme="majorEastAsia" w:hAnsiTheme="majorEastAsia" w:eastAsiaTheme="majorEastAsia" w:cstheme="majorEastAsia"/>
                <w:bCs/>
                <w:snapToGrid w:val="0"/>
                <w:color w:val="auto"/>
                <w:kern w:val="0"/>
                <w:sz w:val="21"/>
                <w:szCs w:val="21"/>
                <w:highlight w:val="none"/>
              </w:rPr>
              <w:t xml:space="preserve"> </w:t>
            </w:r>
          </w:p>
        </w:tc>
      </w:tr>
      <w:tr w14:paraId="5605D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58" w:type="dxa"/>
            <w:tcBorders>
              <w:top w:val="single" w:color="auto" w:sz="4" w:space="0"/>
              <w:left w:val="single" w:color="auto" w:sz="4" w:space="0"/>
              <w:bottom w:val="single" w:color="auto" w:sz="4" w:space="0"/>
              <w:right w:val="single" w:color="auto" w:sz="4" w:space="0"/>
            </w:tcBorders>
            <w:vAlign w:val="center"/>
          </w:tcPr>
          <w:p w14:paraId="63BDBBFA">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21</w:t>
            </w:r>
          </w:p>
        </w:tc>
        <w:tc>
          <w:tcPr>
            <w:tcW w:w="1995" w:type="dxa"/>
            <w:tcBorders>
              <w:top w:val="single" w:color="auto" w:sz="4" w:space="0"/>
              <w:left w:val="single" w:color="auto" w:sz="4" w:space="0"/>
              <w:bottom w:val="single" w:color="auto" w:sz="4" w:space="0"/>
              <w:right w:val="single" w:color="auto" w:sz="4" w:space="0"/>
            </w:tcBorders>
            <w:vAlign w:val="center"/>
          </w:tcPr>
          <w:p w14:paraId="0503EF37">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服务标准</w:t>
            </w:r>
          </w:p>
        </w:tc>
        <w:tc>
          <w:tcPr>
            <w:tcW w:w="6534" w:type="dxa"/>
            <w:tcBorders>
              <w:top w:val="single" w:color="auto" w:sz="4" w:space="0"/>
              <w:left w:val="single" w:color="auto" w:sz="4" w:space="0"/>
              <w:bottom w:val="single" w:color="auto" w:sz="4" w:space="0"/>
              <w:right w:val="single" w:color="auto" w:sz="4" w:space="0"/>
            </w:tcBorders>
            <w:vAlign w:val="center"/>
          </w:tcPr>
          <w:p w14:paraId="28D4A897">
            <w:pPr>
              <w:shd w:val="clear" w:color="auto" w:fill="auto"/>
              <w:wordWrap w:val="0"/>
              <w:adjustRightInd w:val="0"/>
              <w:snapToGrid w:val="0"/>
              <w:spacing w:line="400" w:lineRule="exact"/>
              <w:ind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工程质量必须达到</w:t>
            </w:r>
            <w:r>
              <w:rPr>
                <w:rFonts w:hint="eastAsia" w:asciiTheme="majorEastAsia" w:hAnsiTheme="majorEastAsia" w:eastAsiaTheme="majorEastAsia" w:cstheme="majorEastAsia"/>
                <w:snapToGrid w:val="0"/>
                <w:color w:val="auto"/>
                <w:kern w:val="0"/>
                <w:sz w:val="21"/>
                <w:szCs w:val="21"/>
                <w:highlight w:val="none"/>
                <w:u w:val="single"/>
              </w:rPr>
              <w:t>合格</w:t>
            </w:r>
            <w:r>
              <w:rPr>
                <w:rFonts w:hint="eastAsia" w:asciiTheme="majorEastAsia" w:hAnsiTheme="majorEastAsia" w:eastAsiaTheme="majorEastAsia" w:cstheme="majorEastAsia"/>
                <w:snapToGrid w:val="0"/>
                <w:color w:val="auto"/>
                <w:kern w:val="0"/>
                <w:sz w:val="21"/>
                <w:szCs w:val="21"/>
                <w:highlight w:val="none"/>
              </w:rPr>
              <w:t>标准。</w:t>
            </w:r>
          </w:p>
        </w:tc>
      </w:tr>
      <w:tr w14:paraId="0D89E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09511B3C">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22</w:t>
            </w:r>
          </w:p>
        </w:tc>
        <w:tc>
          <w:tcPr>
            <w:tcW w:w="1995" w:type="dxa"/>
            <w:tcBorders>
              <w:top w:val="single" w:color="auto" w:sz="4" w:space="0"/>
              <w:left w:val="single" w:color="auto" w:sz="4" w:space="0"/>
              <w:bottom w:val="single" w:color="auto" w:sz="4" w:space="0"/>
              <w:right w:val="single" w:color="auto" w:sz="4" w:space="0"/>
            </w:tcBorders>
            <w:vAlign w:val="center"/>
          </w:tcPr>
          <w:p w14:paraId="73594B7B">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最高投标限价</w:t>
            </w:r>
          </w:p>
        </w:tc>
        <w:tc>
          <w:tcPr>
            <w:tcW w:w="6534" w:type="dxa"/>
            <w:tcBorders>
              <w:top w:val="single" w:color="auto" w:sz="4" w:space="0"/>
              <w:left w:val="single" w:color="auto" w:sz="4" w:space="0"/>
              <w:bottom w:val="single" w:color="auto" w:sz="4" w:space="0"/>
              <w:right w:val="single" w:color="auto" w:sz="4" w:space="0"/>
            </w:tcBorders>
            <w:vAlign w:val="center"/>
          </w:tcPr>
          <w:p w14:paraId="7FAFD2D8">
            <w:pPr>
              <w:shd w:val="clear" w:color="auto" w:fill="auto"/>
              <w:wordWrap w:val="0"/>
              <w:adjustRightInd w:val="0"/>
              <w:snapToGrid w:val="0"/>
              <w:spacing w:line="400" w:lineRule="exact"/>
              <w:ind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见本招标文件</w:t>
            </w:r>
            <w:r>
              <w:rPr>
                <w:rFonts w:hint="eastAsia" w:asciiTheme="majorEastAsia" w:hAnsiTheme="majorEastAsia" w:eastAsiaTheme="majorEastAsia" w:cstheme="majorEastAsia"/>
                <w:snapToGrid w:val="0"/>
                <w:color w:val="auto"/>
                <w:kern w:val="0"/>
                <w:sz w:val="21"/>
                <w:szCs w:val="21"/>
                <w:highlight w:val="none"/>
                <w:lang w:val="en-US" w:eastAsia="zh-CN"/>
              </w:rPr>
              <w:t>本</w:t>
            </w:r>
            <w:r>
              <w:rPr>
                <w:rFonts w:hint="eastAsia" w:asciiTheme="majorEastAsia" w:hAnsiTheme="majorEastAsia" w:eastAsiaTheme="majorEastAsia" w:cstheme="majorEastAsia"/>
                <w:snapToGrid w:val="0"/>
                <w:color w:val="auto"/>
                <w:kern w:val="0"/>
                <w:sz w:val="21"/>
                <w:szCs w:val="21"/>
                <w:highlight w:val="none"/>
              </w:rPr>
              <w:t>章</w:t>
            </w:r>
            <w:r>
              <w:rPr>
                <w:rFonts w:hint="eastAsia" w:asciiTheme="majorEastAsia" w:hAnsiTheme="majorEastAsia" w:eastAsiaTheme="majorEastAsia" w:cstheme="majorEastAsia"/>
                <w:snapToGrid w:val="0"/>
                <w:color w:val="auto"/>
                <w:kern w:val="0"/>
                <w:sz w:val="21"/>
                <w:szCs w:val="21"/>
                <w:highlight w:val="none"/>
                <w:lang w:val="en-US" w:eastAsia="zh-CN"/>
              </w:rPr>
              <w:t>第三节</w:t>
            </w:r>
            <w:r>
              <w:rPr>
                <w:rFonts w:hint="eastAsia" w:asciiTheme="majorEastAsia" w:hAnsiTheme="majorEastAsia" w:eastAsiaTheme="majorEastAsia" w:cstheme="majorEastAsia"/>
                <w:snapToGrid w:val="0"/>
                <w:color w:val="auto"/>
                <w:kern w:val="0"/>
                <w:sz w:val="21"/>
                <w:szCs w:val="21"/>
                <w:highlight w:val="none"/>
              </w:rPr>
              <w:t xml:space="preserve"> “8.最高投标限价”</w:t>
            </w:r>
          </w:p>
        </w:tc>
      </w:tr>
      <w:tr w14:paraId="23F8E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2B52AB8B">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23</w:t>
            </w:r>
          </w:p>
        </w:tc>
        <w:tc>
          <w:tcPr>
            <w:tcW w:w="1995" w:type="dxa"/>
            <w:tcBorders>
              <w:top w:val="single" w:color="auto" w:sz="4" w:space="0"/>
              <w:left w:val="single" w:color="auto" w:sz="4" w:space="0"/>
              <w:bottom w:val="single" w:color="auto" w:sz="4" w:space="0"/>
              <w:right w:val="single" w:color="auto" w:sz="4" w:space="0"/>
            </w:tcBorders>
            <w:vAlign w:val="center"/>
          </w:tcPr>
          <w:p w14:paraId="3E99B517">
            <w:pPr>
              <w:shd w:val="clear" w:color="auto" w:fill="auto"/>
              <w:spacing w:before="242" w:line="221" w:lineRule="auto"/>
              <w:jc w:val="center"/>
              <w:rPr>
                <w:rFonts w:hint="eastAsia" w:asciiTheme="majorEastAsia" w:hAnsiTheme="majorEastAsia" w:eastAsiaTheme="majorEastAsia" w:cstheme="majorEastAsia"/>
                <w:color w:val="auto"/>
                <w:spacing w:val="-3"/>
                <w:sz w:val="21"/>
                <w:szCs w:val="21"/>
                <w:highlight w:val="none"/>
              </w:rPr>
            </w:pPr>
            <w:r>
              <w:rPr>
                <w:rFonts w:hint="eastAsia" w:asciiTheme="majorEastAsia" w:hAnsiTheme="majorEastAsia" w:eastAsiaTheme="majorEastAsia" w:cstheme="majorEastAsia"/>
                <w:color w:val="auto"/>
                <w:spacing w:val="-4"/>
                <w:sz w:val="21"/>
                <w:szCs w:val="21"/>
                <w:highlight w:val="none"/>
              </w:rPr>
              <w:t>投标费用</w:t>
            </w:r>
          </w:p>
        </w:tc>
        <w:tc>
          <w:tcPr>
            <w:tcW w:w="6534" w:type="dxa"/>
            <w:tcBorders>
              <w:top w:val="single" w:color="auto" w:sz="4" w:space="0"/>
              <w:left w:val="single" w:color="auto" w:sz="4" w:space="0"/>
              <w:bottom w:val="single" w:color="auto" w:sz="4" w:space="0"/>
              <w:right w:val="single" w:color="auto" w:sz="4" w:space="0"/>
            </w:tcBorders>
          </w:tcPr>
          <w:p w14:paraId="27B84900">
            <w:pPr>
              <w:shd w:val="clear" w:color="auto" w:fill="auto"/>
              <w:spacing w:before="218" w:line="220" w:lineRule="auto"/>
              <w:ind w:left="492" w:leftChars="0"/>
              <w:rPr>
                <w:rFonts w:hint="eastAsia" w:asciiTheme="majorEastAsia" w:hAnsiTheme="majorEastAsia" w:eastAsiaTheme="majorEastAsia" w:cstheme="majorEastAsia"/>
                <w:color w:val="auto"/>
                <w:spacing w:val="-10"/>
                <w:sz w:val="21"/>
                <w:szCs w:val="21"/>
                <w:highlight w:val="none"/>
                <w:lang w:eastAsia="zh-CN"/>
              </w:rPr>
            </w:pPr>
            <w:r>
              <w:rPr>
                <w:rFonts w:hint="eastAsia" w:asciiTheme="majorEastAsia" w:hAnsiTheme="majorEastAsia" w:eastAsiaTheme="majorEastAsia" w:cstheme="majorEastAsia"/>
                <w:color w:val="auto"/>
                <w:spacing w:val="-1"/>
                <w:sz w:val="21"/>
                <w:szCs w:val="21"/>
                <w:highlight w:val="none"/>
              </w:rPr>
              <w:t>投标人自行承担编制与递交投标文件的一切费用。</w:t>
            </w:r>
          </w:p>
        </w:tc>
      </w:tr>
      <w:tr w14:paraId="2DDC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vAlign w:val="center"/>
          </w:tcPr>
          <w:p w14:paraId="7D921AF7">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24</w:t>
            </w:r>
          </w:p>
        </w:tc>
        <w:tc>
          <w:tcPr>
            <w:tcW w:w="1995" w:type="dxa"/>
            <w:tcBorders>
              <w:top w:val="single" w:color="auto" w:sz="4" w:space="0"/>
              <w:left w:val="single" w:color="auto" w:sz="4" w:space="0"/>
              <w:bottom w:val="single" w:color="auto" w:sz="4" w:space="0"/>
              <w:right w:val="single" w:color="auto" w:sz="4" w:space="0"/>
            </w:tcBorders>
            <w:vAlign w:val="center"/>
          </w:tcPr>
          <w:p w14:paraId="7F7CCFC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投标保证</w:t>
            </w:r>
          </w:p>
        </w:tc>
        <w:tc>
          <w:tcPr>
            <w:tcW w:w="6534" w:type="dxa"/>
            <w:tcBorders>
              <w:top w:val="single" w:color="auto" w:sz="4" w:space="0"/>
              <w:left w:val="single" w:color="auto" w:sz="4" w:space="0"/>
              <w:bottom w:val="single" w:color="auto" w:sz="4" w:space="0"/>
              <w:right w:val="single" w:color="auto" w:sz="4" w:space="0"/>
            </w:tcBorders>
            <w:vAlign w:val="center"/>
          </w:tcPr>
          <w:p w14:paraId="67CBC1F0">
            <w:pPr>
              <w:shd w:val="clear" w:color="auto" w:fill="auto"/>
              <w:wordWrap w:val="0"/>
              <w:adjustRightInd w:val="0"/>
              <w:snapToGrid w:val="0"/>
              <w:spacing w:line="400" w:lineRule="exac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 xml:space="preserve">    1．投标人须缴纳金额为人民币</w:t>
            </w:r>
            <w:r>
              <w:rPr>
                <w:rFonts w:hint="eastAsia" w:asciiTheme="majorEastAsia" w:hAnsiTheme="majorEastAsia" w:eastAsiaTheme="majorEastAsia" w:cstheme="majorEastAsia"/>
                <w:snapToGrid w:val="0"/>
                <w:color w:val="auto"/>
                <w:kern w:val="0"/>
                <w:sz w:val="21"/>
                <w:szCs w:val="21"/>
                <w:highlight w:val="none"/>
                <w:lang w:val="en-US" w:eastAsia="zh-CN"/>
              </w:rPr>
              <w:t>叁仟元整</w:t>
            </w:r>
            <w:r>
              <w:rPr>
                <w:rFonts w:hint="eastAsia" w:asciiTheme="majorEastAsia" w:hAnsiTheme="majorEastAsia" w:eastAsiaTheme="majorEastAsia" w:cstheme="majorEastAsia"/>
                <w:snapToGrid w:val="0"/>
                <w:color w:val="auto"/>
                <w:kern w:val="0"/>
                <w:sz w:val="21"/>
                <w:szCs w:val="21"/>
                <w:highlight w:val="none"/>
                <w:lang w:eastAsia="zh-CN"/>
              </w:rPr>
              <w:t>（￥</w:t>
            </w:r>
            <w:r>
              <w:rPr>
                <w:rFonts w:hint="eastAsia" w:asciiTheme="majorEastAsia" w:hAnsiTheme="majorEastAsia" w:eastAsiaTheme="majorEastAsia" w:cstheme="majorEastAsia"/>
                <w:snapToGrid w:val="0"/>
                <w:color w:val="auto"/>
                <w:kern w:val="0"/>
                <w:sz w:val="21"/>
                <w:szCs w:val="21"/>
                <w:highlight w:val="none"/>
                <w:u w:val="single"/>
                <w:lang w:val="en-US" w:eastAsia="zh-CN"/>
              </w:rPr>
              <w:t>3000.00</w:t>
            </w:r>
            <w:r>
              <w:rPr>
                <w:rFonts w:hint="eastAsia" w:asciiTheme="majorEastAsia" w:hAnsiTheme="majorEastAsia" w:eastAsiaTheme="majorEastAsia" w:cstheme="majorEastAsia"/>
                <w:snapToGrid w:val="0"/>
                <w:color w:val="auto"/>
                <w:kern w:val="0"/>
                <w:sz w:val="21"/>
                <w:szCs w:val="21"/>
                <w:highlight w:val="none"/>
                <w:u w:val="none"/>
              </w:rPr>
              <w:t>元</w:t>
            </w:r>
            <w:r>
              <w:rPr>
                <w:rFonts w:hint="eastAsia" w:asciiTheme="majorEastAsia" w:hAnsiTheme="majorEastAsia" w:eastAsiaTheme="majorEastAsia" w:cstheme="majorEastAsia"/>
                <w:snapToGrid w:val="0"/>
                <w:color w:val="auto"/>
                <w:kern w:val="0"/>
                <w:sz w:val="21"/>
                <w:szCs w:val="21"/>
                <w:highlight w:val="none"/>
                <w:lang w:eastAsia="zh-CN"/>
              </w:rPr>
              <w:t>）</w:t>
            </w:r>
            <w:r>
              <w:rPr>
                <w:rFonts w:hint="eastAsia" w:asciiTheme="majorEastAsia" w:hAnsiTheme="majorEastAsia" w:eastAsiaTheme="majorEastAsia" w:cstheme="majorEastAsia"/>
                <w:snapToGrid w:val="0"/>
                <w:color w:val="auto"/>
                <w:kern w:val="0"/>
                <w:sz w:val="21"/>
                <w:szCs w:val="21"/>
                <w:highlight w:val="none"/>
              </w:rPr>
              <w:t>的投标保证。</w:t>
            </w:r>
          </w:p>
          <w:p w14:paraId="1EEE84F2">
            <w:pPr>
              <w:shd w:val="clear" w:color="auto" w:fill="auto"/>
              <w:wordWrap w:val="0"/>
              <w:adjustRightInd w:val="0"/>
              <w:snapToGrid w:val="0"/>
              <w:spacing w:line="400" w:lineRule="exact"/>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2．投标保证的形式包括投标保证金、投标保证担保、投标保证保险三种，由投标人自主选择。</w:t>
            </w:r>
          </w:p>
          <w:p w14:paraId="61D2AEFE">
            <w:pPr>
              <w:shd w:val="clear" w:color="auto" w:fill="auto"/>
              <w:wordWrap w:val="0"/>
              <w:adjustRightInd w:val="0"/>
              <w:snapToGrid w:val="0"/>
              <w:spacing w:line="400" w:lineRule="exact"/>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（1）采用投标保证金的，投标人在建设工程交易</w:t>
            </w:r>
            <w:r>
              <w:rPr>
                <w:rFonts w:hint="eastAsia" w:asciiTheme="majorEastAsia" w:hAnsiTheme="majorEastAsia" w:eastAsiaTheme="majorEastAsia" w:cstheme="majorEastAsia"/>
                <w:i w:val="0"/>
                <w:iCs w:val="0"/>
                <w:caps w:val="0"/>
                <w:color w:val="auto"/>
                <w:spacing w:val="0"/>
                <w:sz w:val="21"/>
                <w:szCs w:val="21"/>
                <w:highlight w:val="none"/>
                <w:shd w:val="clear" w:color="auto" w:fill="FFFFFF"/>
              </w:rPr>
              <w:t>获取招标文件完毕后</w:t>
            </w:r>
            <w:r>
              <w:rPr>
                <w:rFonts w:hint="eastAsia" w:asciiTheme="majorEastAsia" w:hAnsiTheme="majorEastAsia" w:eastAsiaTheme="majorEastAsia" w:cstheme="majorEastAsia"/>
                <w:snapToGrid w:val="0"/>
                <w:color w:val="auto"/>
                <w:kern w:val="0"/>
                <w:sz w:val="21"/>
                <w:szCs w:val="21"/>
                <w:highlight w:val="none"/>
              </w:rPr>
              <w:t>，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3C50204C">
            <w:pPr>
              <w:shd w:val="clear" w:color="auto" w:fill="auto"/>
              <w:wordWrap w:val="0"/>
              <w:adjustRightInd w:val="0"/>
              <w:snapToGrid w:val="0"/>
              <w:spacing w:line="400" w:lineRule="exact"/>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4519E762">
            <w:pPr>
              <w:shd w:val="clear" w:color="auto" w:fill="auto"/>
              <w:wordWrap w:val="0"/>
              <w:adjustRightInd w:val="0"/>
              <w:snapToGrid w:val="0"/>
              <w:spacing w:line="400" w:lineRule="exact"/>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（3）</w:t>
            </w:r>
            <w:r>
              <w:rPr>
                <w:rFonts w:hint="eastAsia" w:asciiTheme="majorEastAsia" w:hAnsiTheme="majorEastAsia" w:eastAsiaTheme="majorEastAsia" w:cstheme="majorEastAsia"/>
                <w:color w:val="auto"/>
                <w:sz w:val="21"/>
                <w:szCs w:val="21"/>
                <w:highlight w:val="none"/>
              </w:rPr>
              <w:t>采用投标保证保险的，投标人须在投标保证保险投保截止时间（见本章</w:t>
            </w:r>
            <w:r>
              <w:rPr>
                <w:rFonts w:hint="eastAsia" w:asciiTheme="majorEastAsia" w:hAnsiTheme="majorEastAsia" w:eastAsiaTheme="majorEastAsia" w:cstheme="majorEastAsia"/>
                <w:snapToGrid w:val="0"/>
                <w:color w:val="auto"/>
                <w:kern w:val="0"/>
                <w:sz w:val="21"/>
                <w:szCs w:val="21"/>
                <w:highlight w:val="none"/>
              </w:rPr>
              <w:t>第二节</w:t>
            </w:r>
            <w:r>
              <w:rPr>
                <w:rFonts w:hint="eastAsia" w:asciiTheme="majorEastAsia" w:hAnsiTheme="majorEastAsia" w:eastAsiaTheme="majorEastAsia" w:cstheme="majorEastAsia"/>
                <w:color w:val="auto"/>
                <w:sz w:val="21"/>
                <w:szCs w:val="21"/>
                <w:highlight w:val="none"/>
              </w:rPr>
              <w:t>“重要事项时间地点一览表”）前，使用建设工程交易系统完成网上投保。投标人可在系统选择保险机构、录入投保信息、支付保费、</w:t>
            </w:r>
            <w:r>
              <w:rPr>
                <w:rFonts w:hint="eastAsia" w:asciiTheme="majorEastAsia" w:hAnsiTheme="majorEastAsia" w:eastAsiaTheme="majorEastAsia" w:cstheme="majorEastAsia"/>
                <w:color w:val="auto"/>
                <w:sz w:val="21"/>
                <w:szCs w:val="21"/>
                <w:highlight w:val="none"/>
                <w:lang w:val="en-US" w:eastAsia="zh-CN"/>
              </w:rPr>
              <w:t>下载</w:t>
            </w:r>
            <w:r>
              <w:rPr>
                <w:rFonts w:hint="eastAsia" w:asciiTheme="majorEastAsia" w:hAnsiTheme="majorEastAsia" w:eastAsiaTheme="majorEastAsia" w:cstheme="majorEastAsia"/>
                <w:color w:val="auto"/>
                <w:sz w:val="21"/>
                <w:szCs w:val="21"/>
                <w:highlight w:val="none"/>
              </w:rPr>
              <w:t>电子保单，电子保单的有效期不得短于投标有效期。投标人可登录</w:t>
            </w:r>
            <w:r>
              <w:rPr>
                <w:rFonts w:hint="eastAsia" w:asciiTheme="majorEastAsia" w:hAnsiTheme="majorEastAsia" w:eastAsiaTheme="majorEastAsia" w:cstheme="majorEastAsia"/>
                <w:color w:val="auto"/>
                <w:sz w:val="21"/>
                <w:szCs w:val="21"/>
                <w:highlight w:val="none"/>
                <w:lang w:eastAsia="zh-CN"/>
              </w:rPr>
              <w:t>全国公共资源交易平台（广东省·韶关市）（https://ygp.gdzwfw.gov.cn/ggzy-portal/#/440200/index）</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在【服务指南】栏目中下载《</w:t>
            </w:r>
            <w:r>
              <w:rPr>
                <w:rFonts w:hint="eastAsia" w:asciiTheme="majorEastAsia" w:hAnsiTheme="majorEastAsia" w:eastAsiaTheme="majorEastAsia" w:cstheme="majorEastAsia"/>
                <w:color w:val="auto"/>
                <w:kern w:val="0"/>
                <w:sz w:val="21"/>
                <w:szCs w:val="21"/>
                <w:highlight w:val="none"/>
              </w:rPr>
              <w:t>建设工程网上交易系统保险保证金缴纳操作指南</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，了解网上投保具体操作流程。逾期投保的，其投标无效。</w:t>
            </w:r>
          </w:p>
          <w:p w14:paraId="4D871085">
            <w:pPr>
              <w:shd w:val="clear" w:color="auto" w:fill="auto"/>
              <w:wordWrap w:val="0"/>
              <w:adjustRightInd w:val="0"/>
              <w:snapToGrid w:val="0"/>
              <w:spacing w:line="400" w:lineRule="exact"/>
              <w:ind w:firstLine="420" w:firstLineChars="2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8179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7B371E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25</w:t>
            </w:r>
          </w:p>
        </w:tc>
        <w:tc>
          <w:tcPr>
            <w:tcW w:w="1995" w:type="dxa"/>
            <w:tcBorders>
              <w:top w:val="single" w:color="auto" w:sz="4" w:space="0"/>
              <w:left w:val="single" w:color="auto" w:sz="4" w:space="0"/>
              <w:bottom w:val="single" w:color="auto" w:sz="4" w:space="0"/>
              <w:right w:val="single" w:color="auto" w:sz="4" w:space="0"/>
            </w:tcBorders>
            <w:vAlign w:val="center"/>
          </w:tcPr>
          <w:p w14:paraId="2DABBA54">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投标有效期</w:t>
            </w:r>
          </w:p>
        </w:tc>
        <w:tc>
          <w:tcPr>
            <w:tcW w:w="6534" w:type="dxa"/>
            <w:tcBorders>
              <w:top w:val="single" w:color="auto" w:sz="4" w:space="0"/>
              <w:left w:val="single" w:color="auto" w:sz="4" w:space="0"/>
              <w:bottom w:val="single" w:color="auto" w:sz="4" w:space="0"/>
              <w:right w:val="single" w:color="auto" w:sz="4" w:space="0"/>
            </w:tcBorders>
            <w:vAlign w:val="center"/>
          </w:tcPr>
          <w:p w14:paraId="33A1D973">
            <w:pPr>
              <w:shd w:val="clear" w:color="auto" w:fill="auto"/>
              <w:wordWrap w:val="0"/>
              <w:adjustRightInd w:val="0"/>
              <w:snapToGrid w:val="0"/>
              <w:spacing w:line="400" w:lineRule="exact"/>
              <w:ind w:left="0" w:leftChars="0"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本次招标的投标有效期为90个日历天。</w:t>
            </w:r>
          </w:p>
        </w:tc>
      </w:tr>
      <w:tr w14:paraId="143C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trPr>
        <w:tc>
          <w:tcPr>
            <w:tcW w:w="658" w:type="dxa"/>
            <w:tcBorders>
              <w:top w:val="single" w:color="auto" w:sz="4" w:space="0"/>
              <w:left w:val="single" w:color="auto" w:sz="4" w:space="0"/>
              <w:bottom w:val="single" w:color="auto" w:sz="4" w:space="0"/>
              <w:right w:val="single" w:color="auto" w:sz="4" w:space="0"/>
            </w:tcBorders>
            <w:vAlign w:val="center"/>
          </w:tcPr>
          <w:p w14:paraId="21165F5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26</w:t>
            </w:r>
          </w:p>
        </w:tc>
        <w:tc>
          <w:tcPr>
            <w:tcW w:w="1995" w:type="dxa"/>
            <w:tcBorders>
              <w:top w:val="single" w:color="auto" w:sz="4" w:space="0"/>
              <w:left w:val="single" w:color="auto" w:sz="4" w:space="0"/>
              <w:bottom w:val="single" w:color="auto" w:sz="4" w:space="0"/>
              <w:right w:val="single" w:color="auto" w:sz="4" w:space="0"/>
            </w:tcBorders>
            <w:vAlign w:val="center"/>
          </w:tcPr>
          <w:p w14:paraId="148F5AA5">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投标文件</w:t>
            </w:r>
          </w:p>
          <w:p w14:paraId="62550F4A">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组成</w:t>
            </w:r>
          </w:p>
        </w:tc>
        <w:tc>
          <w:tcPr>
            <w:tcW w:w="6534" w:type="dxa"/>
            <w:tcBorders>
              <w:top w:val="single" w:color="auto" w:sz="4" w:space="0"/>
              <w:left w:val="single" w:color="auto" w:sz="4" w:space="0"/>
              <w:bottom w:val="single" w:color="auto" w:sz="4" w:space="0"/>
              <w:right w:val="single" w:color="auto" w:sz="4" w:space="0"/>
            </w:tcBorders>
            <w:vAlign w:val="center"/>
          </w:tcPr>
          <w:p w14:paraId="196A875C">
            <w:pPr>
              <w:shd w:val="clear" w:color="auto" w:fill="auto"/>
              <w:wordWrap w:val="0"/>
              <w:adjustRightInd w:val="0"/>
              <w:snapToGrid w:val="0"/>
              <w:spacing w:line="400" w:lineRule="exact"/>
              <w:ind w:left="0" w:leftChars="0"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投标文件包括商务标书、监理大纲两个分册。</w:t>
            </w:r>
          </w:p>
        </w:tc>
      </w:tr>
      <w:tr w14:paraId="2C1A7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12129658">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27</w:t>
            </w:r>
          </w:p>
        </w:tc>
        <w:tc>
          <w:tcPr>
            <w:tcW w:w="1995" w:type="dxa"/>
            <w:tcBorders>
              <w:top w:val="single" w:color="auto" w:sz="4" w:space="0"/>
              <w:left w:val="single" w:color="auto" w:sz="4" w:space="0"/>
              <w:bottom w:val="single" w:color="auto" w:sz="4" w:space="0"/>
              <w:right w:val="single" w:color="auto" w:sz="4" w:space="0"/>
            </w:tcBorders>
            <w:vAlign w:val="center"/>
          </w:tcPr>
          <w:p w14:paraId="06DC167A">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评标方法</w:t>
            </w:r>
          </w:p>
        </w:tc>
        <w:tc>
          <w:tcPr>
            <w:tcW w:w="6534" w:type="dxa"/>
            <w:tcBorders>
              <w:top w:val="single" w:color="auto" w:sz="4" w:space="0"/>
              <w:left w:val="single" w:color="auto" w:sz="4" w:space="0"/>
              <w:bottom w:val="single" w:color="auto" w:sz="4" w:space="0"/>
              <w:right w:val="single" w:color="auto" w:sz="4" w:space="0"/>
            </w:tcBorders>
            <w:vAlign w:val="center"/>
          </w:tcPr>
          <w:p w14:paraId="1D04185A">
            <w:pPr>
              <w:shd w:val="clear" w:color="auto" w:fill="auto"/>
              <w:wordWrap w:val="0"/>
              <w:adjustRightInd w:val="0"/>
              <w:snapToGrid w:val="0"/>
              <w:spacing w:line="400" w:lineRule="exact"/>
              <w:ind w:left="0" w:leftChars="0"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综合评估法</w:t>
            </w:r>
          </w:p>
        </w:tc>
      </w:tr>
      <w:tr w14:paraId="56DC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58" w:type="dxa"/>
            <w:tcBorders>
              <w:top w:val="single" w:color="auto" w:sz="4" w:space="0"/>
              <w:left w:val="single" w:color="auto" w:sz="4" w:space="0"/>
              <w:bottom w:val="single" w:color="auto" w:sz="4" w:space="0"/>
              <w:right w:val="single" w:color="auto" w:sz="4" w:space="0"/>
            </w:tcBorders>
            <w:vAlign w:val="center"/>
          </w:tcPr>
          <w:p w14:paraId="6DFD148B">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28</w:t>
            </w:r>
          </w:p>
        </w:tc>
        <w:tc>
          <w:tcPr>
            <w:tcW w:w="1995" w:type="dxa"/>
            <w:tcBorders>
              <w:top w:val="single" w:color="auto" w:sz="4" w:space="0"/>
              <w:left w:val="single" w:color="auto" w:sz="4" w:space="0"/>
              <w:bottom w:val="single" w:color="auto" w:sz="4" w:space="0"/>
              <w:right w:val="single" w:color="auto" w:sz="4" w:space="0"/>
            </w:tcBorders>
            <w:vAlign w:val="center"/>
          </w:tcPr>
          <w:p w14:paraId="287405B8">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监理大纲</w:t>
            </w:r>
          </w:p>
          <w:p w14:paraId="18BD70AA">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评审方式</w:t>
            </w:r>
          </w:p>
        </w:tc>
        <w:tc>
          <w:tcPr>
            <w:tcW w:w="6534" w:type="dxa"/>
            <w:tcBorders>
              <w:top w:val="single" w:color="auto" w:sz="4" w:space="0"/>
              <w:left w:val="single" w:color="auto" w:sz="4" w:space="0"/>
              <w:bottom w:val="single" w:color="auto" w:sz="4" w:space="0"/>
              <w:right w:val="single" w:color="auto" w:sz="4" w:space="0"/>
            </w:tcBorders>
            <w:vAlign w:val="center"/>
          </w:tcPr>
          <w:p w14:paraId="5FBC4535">
            <w:pPr>
              <w:shd w:val="clear" w:color="auto" w:fill="auto"/>
              <w:wordWrap w:val="0"/>
              <w:adjustRightInd w:val="0"/>
              <w:snapToGrid w:val="0"/>
              <w:spacing w:line="400" w:lineRule="exact"/>
              <w:ind w:left="0" w:leftChars="0"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本次招标监理大纲不采用“暗标”方式进行评审。</w:t>
            </w:r>
          </w:p>
        </w:tc>
      </w:tr>
      <w:tr w14:paraId="2E196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111C2E7F">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29</w:t>
            </w:r>
          </w:p>
        </w:tc>
        <w:tc>
          <w:tcPr>
            <w:tcW w:w="1995" w:type="dxa"/>
            <w:tcBorders>
              <w:top w:val="single" w:color="auto" w:sz="4" w:space="0"/>
              <w:left w:val="single" w:color="auto" w:sz="4" w:space="0"/>
              <w:bottom w:val="single" w:color="auto" w:sz="4" w:space="0"/>
              <w:right w:val="single" w:color="auto" w:sz="4" w:space="0"/>
            </w:tcBorders>
            <w:vAlign w:val="center"/>
          </w:tcPr>
          <w:p w14:paraId="55BD9FF0">
            <w:pPr>
              <w:shd w:val="clear" w:color="auto" w:fill="auto"/>
              <w:wordWrap w:val="0"/>
              <w:adjustRightInd w:val="0"/>
              <w:snapToGrid w:val="0"/>
              <w:spacing w:line="36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招标代理服务费</w:t>
            </w:r>
            <w:r>
              <w:rPr>
                <w:rFonts w:hint="eastAsia" w:asciiTheme="majorEastAsia" w:hAnsiTheme="majorEastAsia" w:eastAsiaTheme="majorEastAsia" w:cstheme="majorEastAsia"/>
                <w:snapToGrid w:val="0"/>
                <w:color w:val="auto"/>
                <w:kern w:val="0"/>
                <w:sz w:val="21"/>
                <w:szCs w:val="21"/>
                <w:highlight w:val="none"/>
                <w:lang w:val="en-US" w:eastAsia="zh-CN"/>
              </w:rPr>
              <w:t>及评标专家费</w:t>
            </w:r>
          </w:p>
          <w:p w14:paraId="35E8CAA7">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p>
        </w:tc>
        <w:tc>
          <w:tcPr>
            <w:tcW w:w="6534" w:type="dxa"/>
            <w:tcBorders>
              <w:top w:val="single" w:color="auto" w:sz="4" w:space="0"/>
              <w:left w:val="single" w:color="auto" w:sz="4" w:space="0"/>
              <w:bottom w:val="single" w:color="auto" w:sz="4" w:space="0"/>
              <w:right w:val="single" w:color="auto" w:sz="4" w:space="0"/>
            </w:tcBorders>
            <w:vAlign w:val="center"/>
          </w:tcPr>
          <w:p w14:paraId="2DDEB929">
            <w:pPr>
              <w:shd w:val="clear" w:color="auto" w:fill="auto"/>
              <w:wordWrap w:val="0"/>
              <w:adjustRightInd w:val="0"/>
              <w:snapToGrid w:val="0"/>
              <w:spacing w:line="360" w:lineRule="auto"/>
              <w:ind w:firstLine="420" w:firstLineChars="200"/>
              <w:rPr>
                <w:rFonts w:hint="eastAsia" w:asciiTheme="majorEastAsia" w:hAnsiTheme="majorEastAsia" w:eastAsiaTheme="majorEastAsia" w:cstheme="majorEastAsia"/>
                <w:snapToGrid w:val="0"/>
                <w:color w:val="auto"/>
                <w:kern w:val="0"/>
                <w:sz w:val="21"/>
                <w:szCs w:val="21"/>
                <w:highlight w:val="none"/>
                <w:lang w:val="en-US" w:eastAsia="zh-CN" w:bidi="ar-SA"/>
              </w:rPr>
            </w:pPr>
            <w:r>
              <w:rPr>
                <w:rFonts w:hint="eastAsia" w:asciiTheme="majorEastAsia" w:hAnsiTheme="majorEastAsia" w:eastAsiaTheme="majorEastAsia" w:cstheme="majorEastAsia"/>
                <w:snapToGrid w:val="0"/>
                <w:color w:val="auto"/>
                <w:kern w:val="0"/>
                <w:sz w:val="21"/>
                <w:szCs w:val="21"/>
                <w:highlight w:val="none"/>
              </w:rPr>
              <w:t>招标代理服务费参照《关于印发&lt;招标代理服务收费管理暂行办法&gt;的通知》（计价格[2002]1980号）以中标金额为基数计取。本工程的招标代理服务费</w:t>
            </w:r>
            <w:r>
              <w:rPr>
                <w:rFonts w:hint="eastAsia" w:asciiTheme="majorEastAsia" w:hAnsiTheme="majorEastAsia" w:eastAsiaTheme="majorEastAsia" w:cstheme="majorEastAsia"/>
                <w:snapToGrid w:val="0"/>
                <w:color w:val="auto"/>
                <w:kern w:val="0"/>
                <w:sz w:val="21"/>
                <w:szCs w:val="21"/>
                <w:highlight w:val="none"/>
                <w:lang w:val="en-US" w:eastAsia="zh-CN"/>
              </w:rPr>
              <w:t>及评标专家费</w:t>
            </w:r>
            <w:r>
              <w:rPr>
                <w:rFonts w:hint="eastAsia" w:asciiTheme="majorEastAsia" w:hAnsiTheme="majorEastAsia" w:eastAsiaTheme="majorEastAsia" w:cstheme="majorEastAsia"/>
                <w:snapToGrid w:val="0"/>
                <w:color w:val="auto"/>
                <w:kern w:val="0"/>
                <w:sz w:val="21"/>
                <w:szCs w:val="21"/>
                <w:highlight w:val="none"/>
              </w:rPr>
              <w:t>由中标人支付，该费用不再另行报价，由投标人在投标报价时综合考虑在内。中标人在领取中标通知书前须向招标代理机构一次性支付招标代理服务费</w:t>
            </w:r>
            <w:r>
              <w:rPr>
                <w:rFonts w:hint="eastAsia" w:asciiTheme="majorEastAsia" w:hAnsiTheme="majorEastAsia" w:eastAsiaTheme="majorEastAsia" w:cstheme="majorEastAsia"/>
                <w:snapToGrid w:val="0"/>
                <w:color w:val="auto"/>
                <w:kern w:val="0"/>
                <w:sz w:val="21"/>
                <w:szCs w:val="21"/>
                <w:highlight w:val="none"/>
                <w:lang w:val="en-US" w:eastAsia="zh-CN"/>
              </w:rPr>
              <w:t>及评标专家费</w:t>
            </w:r>
            <w:r>
              <w:rPr>
                <w:rFonts w:hint="eastAsia" w:asciiTheme="majorEastAsia" w:hAnsiTheme="majorEastAsia" w:eastAsiaTheme="majorEastAsia" w:cstheme="majorEastAsia"/>
                <w:snapToGrid w:val="0"/>
                <w:color w:val="auto"/>
                <w:kern w:val="0"/>
                <w:sz w:val="21"/>
                <w:szCs w:val="21"/>
                <w:highlight w:val="none"/>
              </w:rPr>
              <w:t>。</w:t>
            </w:r>
          </w:p>
        </w:tc>
      </w:tr>
      <w:tr w14:paraId="5C66E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3908017E">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30</w:t>
            </w:r>
          </w:p>
        </w:tc>
        <w:tc>
          <w:tcPr>
            <w:tcW w:w="1995" w:type="dxa"/>
            <w:tcBorders>
              <w:top w:val="single" w:color="auto" w:sz="4" w:space="0"/>
              <w:left w:val="single" w:color="auto" w:sz="4" w:space="0"/>
              <w:bottom w:val="single" w:color="auto" w:sz="4" w:space="0"/>
              <w:right w:val="single" w:color="auto" w:sz="4" w:space="0"/>
            </w:tcBorders>
            <w:vAlign w:val="center"/>
          </w:tcPr>
          <w:p w14:paraId="133DF0F5">
            <w:pPr>
              <w:shd w:val="clear" w:color="auto" w:fill="auto"/>
              <w:spacing w:before="78" w:line="220" w:lineRule="auto"/>
              <w:ind w:left="24" w:leftChars="0"/>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color w:val="auto"/>
                <w:spacing w:val="-2"/>
                <w:sz w:val="21"/>
                <w:szCs w:val="21"/>
                <w:highlight w:val="none"/>
              </w:rPr>
              <w:t>招标文件要求提</w:t>
            </w:r>
            <w:r>
              <w:rPr>
                <w:rFonts w:hint="eastAsia" w:asciiTheme="majorEastAsia" w:hAnsiTheme="majorEastAsia" w:eastAsiaTheme="majorEastAsia" w:cstheme="majorEastAsia"/>
                <w:color w:val="auto"/>
                <w:spacing w:val="-3"/>
                <w:sz w:val="21"/>
                <w:szCs w:val="21"/>
                <w:highlight w:val="none"/>
              </w:rPr>
              <w:t>交的用于评审的</w:t>
            </w:r>
            <w:r>
              <w:rPr>
                <w:rFonts w:hint="eastAsia" w:asciiTheme="majorEastAsia" w:hAnsiTheme="majorEastAsia" w:eastAsiaTheme="majorEastAsia" w:cstheme="majorEastAsia"/>
                <w:color w:val="auto"/>
                <w:spacing w:val="-1"/>
                <w:sz w:val="21"/>
                <w:szCs w:val="21"/>
                <w:highlight w:val="none"/>
              </w:rPr>
              <w:t>证书、证件、证</w:t>
            </w:r>
            <w:r>
              <w:rPr>
                <w:rFonts w:hint="eastAsia" w:asciiTheme="majorEastAsia" w:hAnsiTheme="majorEastAsia" w:eastAsiaTheme="majorEastAsia" w:cstheme="majorEastAsia"/>
                <w:color w:val="auto"/>
                <w:spacing w:val="-11"/>
                <w:sz w:val="21"/>
                <w:szCs w:val="21"/>
                <w:highlight w:val="none"/>
              </w:rPr>
              <w:t>明原件</w:t>
            </w:r>
            <w:r>
              <w:rPr>
                <w:rFonts w:hint="eastAsia" w:asciiTheme="majorEastAsia" w:hAnsiTheme="majorEastAsia" w:eastAsiaTheme="majorEastAsia" w:cstheme="majorEastAsia"/>
                <w:color w:val="auto"/>
                <w:spacing w:val="-11"/>
                <w:sz w:val="21"/>
                <w:szCs w:val="21"/>
                <w:highlight w:val="none"/>
                <w:lang w:val="en-US" w:eastAsia="zh-CN"/>
              </w:rPr>
              <w:t>(如有)</w:t>
            </w:r>
          </w:p>
        </w:tc>
        <w:tc>
          <w:tcPr>
            <w:tcW w:w="6534" w:type="dxa"/>
            <w:tcBorders>
              <w:top w:val="single" w:color="auto" w:sz="4" w:space="0"/>
              <w:left w:val="single" w:color="auto" w:sz="4" w:space="0"/>
              <w:bottom w:val="single" w:color="auto" w:sz="4" w:space="0"/>
              <w:right w:val="single" w:color="auto" w:sz="4" w:space="0"/>
            </w:tcBorders>
          </w:tcPr>
          <w:p w14:paraId="6379A211">
            <w:pPr>
              <w:shd w:val="clear" w:color="auto" w:fill="auto"/>
              <w:spacing w:before="114" w:line="296" w:lineRule="auto"/>
              <w:ind w:firstLine="188" w:firstLineChars="100"/>
              <w:jc w:val="both"/>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color w:val="auto"/>
                <w:spacing w:val="-11"/>
                <w:sz w:val="21"/>
                <w:szCs w:val="21"/>
                <w:highlight w:val="none"/>
              </w:rPr>
              <w:t>投标人在提交用于评审的证书、证件、证明原件的，投标人应自</w:t>
            </w:r>
            <w:r>
              <w:rPr>
                <w:rFonts w:hint="eastAsia" w:asciiTheme="majorEastAsia" w:hAnsiTheme="majorEastAsia" w:eastAsiaTheme="majorEastAsia" w:cstheme="majorEastAsia"/>
                <w:color w:val="auto"/>
                <w:spacing w:val="4"/>
                <w:sz w:val="21"/>
                <w:szCs w:val="21"/>
                <w:highlight w:val="none"/>
              </w:rPr>
              <w:t xml:space="preserve">   </w:t>
            </w:r>
            <w:r>
              <w:rPr>
                <w:rFonts w:hint="eastAsia" w:asciiTheme="majorEastAsia" w:hAnsiTheme="majorEastAsia" w:eastAsiaTheme="majorEastAsia" w:cstheme="majorEastAsia"/>
                <w:color w:val="auto"/>
                <w:spacing w:val="-11"/>
                <w:sz w:val="21"/>
                <w:szCs w:val="21"/>
                <w:highlight w:val="none"/>
              </w:rPr>
              <w:t>行将所需原件密封于文件袋（箱）中，并自行准</w:t>
            </w:r>
            <w:r>
              <w:rPr>
                <w:rFonts w:hint="eastAsia" w:asciiTheme="majorEastAsia" w:hAnsiTheme="majorEastAsia" w:eastAsiaTheme="majorEastAsia" w:cstheme="majorEastAsia"/>
                <w:color w:val="auto"/>
                <w:spacing w:val="-12"/>
                <w:sz w:val="21"/>
                <w:szCs w:val="21"/>
                <w:highlight w:val="none"/>
              </w:rPr>
              <w:t>备两张“原件一览表</w:t>
            </w:r>
            <w:r>
              <w:rPr>
                <w:rFonts w:hint="eastAsia" w:asciiTheme="majorEastAsia" w:hAnsiTheme="majorEastAsia" w:eastAsiaTheme="majorEastAsia" w:cstheme="majorEastAsia"/>
                <w:color w:val="auto"/>
                <w:spacing w:val="-90"/>
                <w:sz w:val="21"/>
                <w:szCs w:val="21"/>
                <w:highlight w:val="none"/>
              </w:rPr>
              <w:t xml:space="preserve"> </w:t>
            </w:r>
            <w:r>
              <w:rPr>
                <w:rFonts w:hint="eastAsia" w:asciiTheme="majorEastAsia" w:hAnsiTheme="majorEastAsia" w:eastAsiaTheme="majorEastAsia" w:cstheme="majorEastAsia"/>
                <w:color w:val="auto"/>
                <w:spacing w:val="-12"/>
                <w:sz w:val="21"/>
                <w:szCs w:val="21"/>
                <w:highlight w:val="none"/>
              </w:rPr>
              <w:t>”</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10"/>
                <w:sz w:val="21"/>
                <w:szCs w:val="21"/>
                <w:highlight w:val="none"/>
              </w:rPr>
              <w:t>(详见格式</w:t>
            </w:r>
            <w:r>
              <w:rPr>
                <w:rFonts w:hint="eastAsia" w:asciiTheme="majorEastAsia" w:hAnsiTheme="majorEastAsia" w:eastAsiaTheme="majorEastAsia" w:cstheme="majorEastAsia"/>
                <w:color w:val="auto"/>
                <w:spacing w:val="-10"/>
                <w:sz w:val="21"/>
                <w:szCs w:val="21"/>
                <w:highlight w:val="none"/>
                <w:shd w:val="clear" w:color="auto" w:fill="FFFFFF"/>
              </w:rPr>
              <w:t>十</w:t>
            </w:r>
            <w:r>
              <w:rPr>
                <w:rFonts w:hint="eastAsia" w:asciiTheme="majorEastAsia" w:hAnsiTheme="majorEastAsia" w:eastAsiaTheme="majorEastAsia" w:cstheme="majorEastAsia"/>
                <w:color w:val="auto"/>
                <w:spacing w:val="-10"/>
                <w:sz w:val="21"/>
                <w:szCs w:val="21"/>
                <w:highlight w:val="none"/>
                <w:shd w:val="clear" w:color="auto" w:fill="FFFFFF"/>
                <w:lang w:eastAsia="zh-CN"/>
              </w:rPr>
              <w:t>五</w:t>
            </w:r>
            <w:r>
              <w:rPr>
                <w:rFonts w:hint="eastAsia" w:asciiTheme="majorEastAsia" w:hAnsiTheme="majorEastAsia" w:eastAsiaTheme="majorEastAsia" w:cstheme="majorEastAsia"/>
                <w:color w:val="auto"/>
                <w:spacing w:val="-10"/>
                <w:sz w:val="21"/>
                <w:szCs w:val="21"/>
                <w:highlight w:val="none"/>
                <w:shd w:val="clear" w:color="auto" w:fill="FFFFFF"/>
              </w:rPr>
              <w:t>，</w:t>
            </w:r>
            <w:r>
              <w:rPr>
                <w:rFonts w:hint="eastAsia" w:asciiTheme="majorEastAsia" w:hAnsiTheme="majorEastAsia" w:eastAsiaTheme="majorEastAsia" w:cstheme="majorEastAsia"/>
                <w:color w:val="auto"/>
                <w:spacing w:val="-10"/>
                <w:sz w:val="21"/>
                <w:szCs w:val="21"/>
                <w:highlight w:val="none"/>
              </w:rPr>
              <w:t>投标人须自行填写，表格可扩展)，一张贴于文件袋（箱</w:t>
            </w:r>
            <w:r>
              <w:rPr>
                <w:rFonts w:hint="eastAsia" w:asciiTheme="majorEastAsia" w:hAnsiTheme="majorEastAsia" w:eastAsiaTheme="majorEastAsia" w:cstheme="majorEastAsia"/>
                <w:color w:val="auto"/>
                <w:spacing w:val="-14"/>
                <w:sz w:val="21"/>
                <w:szCs w:val="21"/>
                <w:highlight w:val="none"/>
              </w:rPr>
              <w:t>），</w:t>
            </w:r>
            <w:r>
              <w:rPr>
                <w:rFonts w:hint="eastAsia" w:asciiTheme="majorEastAsia" w:hAnsiTheme="majorEastAsia" w:eastAsiaTheme="majorEastAsia" w:cstheme="majorEastAsia"/>
                <w:color w:val="auto"/>
                <w:spacing w:val="-10"/>
                <w:sz w:val="21"/>
                <w:szCs w:val="21"/>
                <w:highlight w:val="none"/>
              </w:rPr>
              <w:t>一份在递交文件袋（箱）时由招标代理机构、投标人签字后交招标代理机构。招标代理机构仅代签收，不对文</w:t>
            </w:r>
            <w:r>
              <w:rPr>
                <w:rFonts w:hint="eastAsia" w:asciiTheme="majorEastAsia" w:hAnsiTheme="majorEastAsia" w:eastAsiaTheme="majorEastAsia" w:cstheme="majorEastAsia"/>
                <w:color w:val="auto"/>
                <w:spacing w:val="-11"/>
                <w:sz w:val="21"/>
                <w:szCs w:val="21"/>
                <w:highlight w:val="none"/>
              </w:rPr>
              <w:t>件袋（箱）中资料</w:t>
            </w:r>
            <w:r>
              <w:rPr>
                <w:rFonts w:hint="eastAsia" w:asciiTheme="majorEastAsia" w:hAnsiTheme="majorEastAsia" w:eastAsiaTheme="majorEastAsia" w:cstheme="majorEastAsia"/>
                <w:color w:val="auto"/>
                <w:spacing w:val="-10"/>
                <w:sz w:val="21"/>
                <w:szCs w:val="21"/>
                <w:highlight w:val="none"/>
              </w:rPr>
              <w:t>的数量、内容及真实性负责。评标结束后，招标代</w:t>
            </w:r>
            <w:r>
              <w:rPr>
                <w:rFonts w:hint="eastAsia" w:asciiTheme="majorEastAsia" w:hAnsiTheme="majorEastAsia" w:eastAsiaTheme="majorEastAsia" w:cstheme="majorEastAsia"/>
                <w:color w:val="auto"/>
                <w:spacing w:val="-11"/>
                <w:sz w:val="21"/>
                <w:szCs w:val="21"/>
                <w:highlight w:val="none"/>
              </w:rPr>
              <w:t>理机构将退回投标</w:t>
            </w:r>
            <w:r>
              <w:rPr>
                <w:rFonts w:hint="eastAsia" w:asciiTheme="majorEastAsia" w:hAnsiTheme="majorEastAsia" w:eastAsiaTheme="majorEastAsia" w:cstheme="majorEastAsia"/>
                <w:color w:val="auto"/>
                <w:spacing w:val="-10"/>
                <w:sz w:val="21"/>
                <w:szCs w:val="21"/>
                <w:highlight w:val="none"/>
              </w:rPr>
              <w:t>人的原件。若投标人未按要求提交相应证明材料原</w:t>
            </w:r>
            <w:r>
              <w:rPr>
                <w:rFonts w:hint="eastAsia" w:asciiTheme="majorEastAsia" w:hAnsiTheme="majorEastAsia" w:eastAsiaTheme="majorEastAsia" w:cstheme="majorEastAsia"/>
                <w:color w:val="auto"/>
                <w:spacing w:val="-11"/>
                <w:sz w:val="21"/>
                <w:szCs w:val="21"/>
                <w:highlight w:val="none"/>
              </w:rPr>
              <w:t>件或投标文件中证</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8"/>
                <w:sz w:val="21"/>
                <w:szCs w:val="21"/>
                <w:highlight w:val="none"/>
              </w:rPr>
              <w:t>明材料的复印件与原件不一致，评审时相应证明材料不予认可。</w:t>
            </w:r>
          </w:p>
        </w:tc>
      </w:tr>
      <w:tr w14:paraId="58F62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18" w:hRule="atLeast"/>
        </w:trPr>
        <w:tc>
          <w:tcPr>
            <w:tcW w:w="658" w:type="dxa"/>
            <w:tcBorders>
              <w:top w:val="single" w:color="auto" w:sz="4" w:space="0"/>
              <w:left w:val="single" w:color="auto" w:sz="4" w:space="0"/>
              <w:bottom w:val="single" w:color="auto" w:sz="4" w:space="0"/>
              <w:right w:val="single" w:color="auto" w:sz="4" w:space="0"/>
            </w:tcBorders>
            <w:vAlign w:val="center"/>
          </w:tcPr>
          <w:p w14:paraId="57998544">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31</w:t>
            </w:r>
          </w:p>
        </w:tc>
        <w:tc>
          <w:tcPr>
            <w:tcW w:w="1995" w:type="dxa"/>
            <w:tcBorders>
              <w:top w:val="single" w:color="auto" w:sz="4" w:space="0"/>
              <w:left w:val="single" w:color="auto" w:sz="4" w:space="0"/>
              <w:bottom w:val="single" w:color="auto" w:sz="4" w:space="0"/>
              <w:right w:val="single" w:color="auto" w:sz="4" w:space="0"/>
            </w:tcBorders>
            <w:vAlign w:val="center"/>
          </w:tcPr>
          <w:p w14:paraId="34C5B7B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评标委员会</w:t>
            </w:r>
          </w:p>
        </w:tc>
        <w:tc>
          <w:tcPr>
            <w:tcW w:w="6534" w:type="dxa"/>
            <w:tcBorders>
              <w:top w:val="single" w:color="auto" w:sz="4" w:space="0"/>
              <w:left w:val="single" w:color="auto" w:sz="4" w:space="0"/>
              <w:bottom w:val="single" w:color="auto" w:sz="4" w:space="0"/>
              <w:right w:val="single" w:color="auto" w:sz="4" w:space="0"/>
            </w:tcBorders>
            <w:vAlign w:val="center"/>
          </w:tcPr>
          <w:p w14:paraId="4578B484">
            <w:pPr>
              <w:shd w:val="clear" w:color="auto" w:fill="auto"/>
              <w:wordWrap w:val="0"/>
              <w:adjustRightInd w:val="0"/>
              <w:snapToGrid w:val="0"/>
              <w:spacing w:line="400" w:lineRule="exact"/>
              <w:ind w:left="0" w:leftChars="0" w:firstLine="210" w:firstLineChars="100"/>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评标委员会由5人组成，其中招标人代表 0人，专家5人。专家从广东省综合评标评审专家库</w:t>
            </w:r>
            <w:r>
              <w:rPr>
                <w:rFonts w:hint="eastAsia" w:asciiTheme="majorEastAsia" w:hAnsiTheme="majorEastAsia" w:eastAsiaTheme="majorEastAsia" w:cstheme="majorEastAsia"/>
                <w:snapToGrid w:val="0"/>
                <w:color w:val="auto"/>
                <w:kern w:val="0"/>
                <w:sz w:val="21"/>
                <w:szCs w:val="21"/>
                <w:highlight w:val="none"/>
                <w:lang w:val="en-US" w:eastAsia="zh-CN"/>
              </w:rPr>
              <w:t>--韶关区域</w:t>
            </w:r>
            <w:r>
              <w:rPr>
                <w:rFonts w:hint="eastAsia" w:asciiTheme="majorEastAsia" w:hAnsiTheme="majorEastAsia" w:eastAsiaTheme="majorEastAsia" w:cstheme="majorEastAsia"/>
                <w:snapToGrid w:val="0"/>
                <w:color w:val="auto"/>
                <w:kern w:val="0"/>
                <w:sz w:val="21"/>
                <w:szCs w:val="21"/>
                <w:highlight w:val="none"/>
              </w:rPr>
              <w:t>中随机抽取，其中技术类专家3人，经济类专家2人。</w:t>
            </w:r>
          </w:p>
        </w:tc>
      </w:tr>
      <w:tr w14:paraId="3A373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0" w:hRule="atLeast"/>
        </w:trPr>
        <w:tc>
          <w:tcPr>
            <w:tcW w:w="658" w:type="dxa"/>
            <w:tcBorders>
              <w:top w:val="single" w:color="auto" w:sz="4" w:space="0"/>
              <w:left w:val="single" w:color="auto" w:sz="4" w:space="0"/>
              <w:bottom w:val="single" w:color="auto" w:sz="4" w:space="0"/>
              <w:right w:val="single" w:color="auto" w:sz="4" w:space="0"/>
            </w:tcBorders>
            <w:vAlign w:val="center"/>
          </w:tcPr>
          <w:p w14:paraId="610146B6">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32</w:t>
            </w:r>
          </w:p>
        </w:tc>
        <w:tc>
          <w:tcPr>
            <w:tcW w:w="1995" w:type="dxa"/>
            <w:tcBorders>
              <w:top w:val="single" w:color="auto" w:sz="4" w:space="0"/>
              <w:left w:val="single" w:color="auto" w:sz="4" w:space="0"/>
              <w:bottom w:val="single" w:color="auto" w:sz="4" w:space="0"/>
              <w:right w:val="single" w:color="auto" w:sz="4" w:space="0"/>
            </w:tcBorders>
            <w:vAlign w:val="center"/>
          </w:tcPr>
          <w:p w14:paraId="53F0DD84">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招标人</w:t>
            </w:r>
          </w:p>
          <w:p w14:paraId="4ADA2A29">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010AA9E7">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lang w:eastAsia="zh-CN"/>
              </w:rPr>
            </w:pPr>
            <w:r>
              <w:rPr>
                <w:rFonts w:hint="eastAsia" w:asciiTheme="majorEastAsia" w:hAnsiTheme="majorEastAsia" w:eastAsiaTheme="majorEastAsia" w:cstheme="majorEastAsia"/>
                <w:snapToGrid w:val="0"/>
                <w:color w:val="auto"/>
                <w:kern w:val="0"/>
                <w:sz w:val="21"/>
                <w:szCs w:val="21"/>
                <w:highlight w:val="none"/>
              </w:rPr>
              <w:t>单位名称：</w:t>
            </w:r>
            <w:r>
              <w:rPr>
                <w:rFonts w:hint="eastAsia" w:asciiTheme="majorEastAsia" w:hAnsiTheme="majorEastAsia" w:eastAsiaTheme="majorEastAsia" w:cstheme="majorEastAsia"/>
                <w:snapToGrid w:val="0"/>
                <w:color w:val="auto"/>
                <w:kern w:val="0"/>
                <w:sz w:val="21"/>
                <w:szCs w:val="21"/>
                <w:highlight w:val="none"/>
                <w:lang w:eastAsia="zh-CN"/>
              </w:rPr>
              <w:t>东莞（韶关）浈江产业转移工业园管理委员会</w:t>
            </w:r>
          </w:p>
          <w:p w14:paraId="39ECD35D">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办公地址：</w:t>
            </w:r>
            <w:r>
              <w:rPr>
                <w:rFonts w:hint="eastAsia" w:asciiTheme="majorEastAsia" w:hAnsiTheme="majorEastAsia" w:eastAsiaTheme="majorEastAsia" w:cstheme="majorEastAsia"/>
                <w:color w:val="auto"/>
                <w:sz w:val="21"/>
                <w:szCs w:val="21"/>
                <w:highlight w:val="none"/>
                <w:lang w:eastAsia="zh-CN"/>
              </w:rPr>
              <w:t>韶关市浈江区产业转移工业园创业路23号管委会大楼2楼208室</w:t>
            </w:r>
          </w:p>
          <w:p w14:paraId="77D2F609">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联系人（部门）：</w:t>
            </w:r>
            <w:r>
              <w:rPr>
                <w:rFonts w:hint="eastAsia" w:asciiTheme="majorEastAsia" w:hAnsiTheme="majorEastAsia" w:eastAsiaTheme="majorEastAsia" w:cstheme="majorEastAsia"/>
                <w:snapToGrid w:val="0"/>
                <w:color w:val="auto"/>
                <w:kern w:val="0"/>
                <w:sz w:val="21"/>
                <w:szCs w:val="21"/>
                <w:highlight w:val="none"/>
                <w:lang w:val="en-US" w:eastAsia="zh-CN"/>
              </w:rPr>
              <w:t>张工</w:t>
            </w:r>
          </w:p>
          <w:p w14:paraId="7A7BE2B6">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b/>
                <w:bCs/>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rPr>
              <w:t>联系电话：</w:t>
            </w:r>
            <w:r>
              <w:rPr>
                <w:rFonts w:hint="eastAsia" w:asciiTheme="majorEastAsia" w:hAnsiTheme="majorEastAsia" w:eastAsiaTheme="majorEastAsia" w:cstheme="majorEastAsia"/>
                <w:b w:val="0"/>
                <w:bCs w:val="0"/>
                <w:snapToGrid w:val="0"/>
                <w:color w:val="auto"/>
                <w:kern w:val="0"/>
                <w:sz w:val="21"/>
                <w:szCs w:val="21"/>
                <w:highlight w:val="none"/>
                <w:lang w:val="en-US" w:eastAsia="zh-CN"/>
              </w:rPr>
              <w:t>0751-8235213</w:t>
            </w:r>
          </w:p>
        </w:tc>
      </w:tr>
      <w:tr w14:paraId="492A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9" w:hRule="atLeast"/>
        </w:trPr>
        <w:tc>
          <w:tcPr>
            <w:tcW w:w="658" w:type="dxa"/>
            <w:tcBorders>
              <w:top w:val="single" w:color="auto" w:sz="4" w:space="0"/>
              <w:left w:val="single" w:color="auto" w:sz="4" w:space="0"/>
              <w:bottom w:val="single" w:color="auto" w:sz="4" w:space="0"/>
              <w:right w:val="single" w:color="auto" w:sz="4" w:space="0"/>
            </w:tcBorders>
            <w:vAlign w:val="center"/>
          </w:tcPr>
          <w:p w14:paraId="3DE5B382">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33</w:t>
            </w:r>
          </w:p>
        </w:tc>
        <w:tc>
          <w:tcPr>
            <w:tcW w:w="1995" w:type="dxa"/>
            <w:tcBorders>
              <w:top w:val="single" w:color="auto" w:sz="4" w:space="0"/>
              <w:left w:val="single" w:color="auto" w:sz="4" w:space="0"/>
              <w:bottom w:val="single" w:color="auto" w:sz="4" w:space="0"/>
              <w:right w:val="single" w:color="auto" w:sz="4" w:space="0"/>
            </w:tcBorders>
            <w:vAlign w:val="center"/>
          </w:tcPr>
          <w:p w14:paraId="30CE674F">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招标代理机构</w:t>
            </w:r>
          </w:p>
          <w:p w14:paraId="32E32631">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7F28212F">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rPr>
              <w:t>单位名称：</w:t>
            </w:r>
            <w:r>
              <w:rPr>
                <w:rFonts w:hint="eastAsia" w:asciiTheme="majorEastAsia" w:hAnsiTheme="majorEastAsia" w:eastAsiaTheme="majorEastAsia" w:cstheme="majorEastAsia"/>
                <w:snapToGrid w:val="0"/>
                <w:color w:val="auto"/>
                <w:kern w:val="0"/>
                <w:sz w:val="21"/>
                <w:szCs w:val="21"/>
                <w:highlight w:val="none"/>
                <w:lang w:val="en-US" w:eastAsia="zh-CN"/>
              </w:rPr>
              <w:t>广东合正项目管理有限公司</w:t>
            </w:r>
          </w:p>
          <w:p w14:paraId="0B84E634">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rPr>
            </w:pPr>
            <w:r>
              <w:rPr>
                <w:rFonts w:hint="eastAsia" w:asciiTheme="majorEastAsia" w:hAnsiTheme="majorEastAsia" w:eastAsiaTheme="majorEastAsia" w:cstheme="majorEastAsia"/>
                <w:snapToGrid w:val="0"/>
                <w:color w:val="auto"/>
                <w:kern w:val="0"/>
                <w:sz w:val="21"/>
                <w:szCs w:val="21"/>
                <w:highlight w:val="none"/>
                <w:lang w:val="en-US"/>
              </w:rPr>
              <w:t>办公地址：韶关市武江区百旺大道42号莞韶双创中心研发办公楼五楼</w:t>
            </w:r>
          </w:p>
          <w:p w14:paraId="258020FA">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rPr>
              <w:t>联系人(部门)：</w:t>
            </w:r>
            <w:r>
              <w:rPr>
                <w:rFonts w:hint="eastAsia" w:asciiTheme="majorEastAsia" w:hAnsiTheme="majorEastAsia" w:eastAsiaTheme="majorEastAsia" w:cstheme="majorEastAsia"/>
                <w:snapToGrid w:val="0"/>
                <w:color w:val="auto"/>
                <w:kern w:val="0"/>
                <w:sz w:val="21"/>
                <w:szCs w:val="21"/>
                <w:highlight w:val="none"/>
                <w:lang w:val="en-US" w:eastAsia="zh-CN"/>
              </w:rPr>
              <w:t>邹工</w:t>
            </w:r>
          </w:p>
          <w:p w14:paraId="32CCB487">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lang w:val="en-US"/>
              </w:rPr>
            </w:pPr>
            <w:r>
              <w:rPr>
                <w:rFonts w:hint="eastAsia" w:asciiTheme="majorEastAsia" w:hAnsiTheme="majorEastAsia" w:eastAsiaTheme="majorEastAsia" w:cstheme="majorEastAsia"/>
                <w:snapToGrid w:val="0"/>
                <w:color w:val="auto"/>
                <w:kern w:val="0"/>
                <w:sz w:val="21"/>
                <w:szCs w:val="21"/>
                <w:highlight w:val="none"/>
                <w:lang w:val="en-US"/>
              </w:rPr>
              <w:t>联系电话：0751-</w:t>
            </w:r>
            <w:r>
              <w:rPr>
                <w:rFonts w:hint="eastAsia" w:asciiTheme="majorEastAsia" w:hAnsiTheme="majorEastAsia" w:eastAsiaTheme="majorEastAsia" w:cstheme="majorEastAsia"/>
                <w:snapToGrid w:val="0"/>
                <w:color w:val="auto"/>
                <w:kern w:val="0"/>
                <w:sz w:val="21"/>
                <w:szCs w:val="21"/>
                <w:highlight w:val="none"/>
                <w:lang w:val="en-US" w:eastAsia="zh-CN"/>
              </w:rPr>
              <w:t>8219991</w:t>
            </w:r>
          </w:p>
        </w:tc>
      </w:tr>
      <w:tr w14:paraId="6BA48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4C0FD44C">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34</w:t>
            </w:r>
          </w:p>
        </w:tc>
        <w:tc>
          <w:tcPr>
            <w:tcW w:w="1995" w:type="dxa"/>
            <w:tcBorders>
              <w:top w:val="single" w:color="auto" w:sz="4" w:space="0"/>
              <w:left w:val="single" w:color="auto" w:sz="4" w:space="0"/>
              <w:bottom w:val="single" w:color="auto" w:sz="4" w:space="0"/>
              <w:right w:val="single" w:color="auto" w:sz="4" w:space="0"/>
            </w:tcBorders>
            <w:vAlign w:val="center"/>
          </w:tcPr>
          <w:p w14:paraId="00E7651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交易场所</w:t>
            </w:r>
          </w:p>
          <w:p w14:paraId="43517496">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21588711">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单位名称： 韶关市公共资源交易中心</w:t>
            </w:r>
          </w:p>
          <w:p w14:paraId="2F8D01A4">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办公地址： 广东省韶关市武江区西联镇</w:t>
            </w:r>
          </w:p>
          <w:p w14:paraId="53BD348E">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联系人（部门）：工程交易部</w:t>
            </w:r>
          </w:p>
          <w:p w14:paraId="7E9DC800">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联系电话：0751</w:t>
            </w:r>
            <w:r>
              <w:rPr>
                <w:rFonts w:hint="eastAsia" w:asciiTheme="majorEastAsia" w:hAnsiTheme="majorEastAsia" w:eastAsiaTheme="majorEastAsia" w:cstheme="majorEastAsia"/>
                <w:snapToGrid w:val="0"/>
                <w:color w:val="auto"/>
                <w:kern w:val="0"/>
                <w:sz w:val="21"/>
                <w:szCs w:val="21"/>
                <w:highlight w:val="none"/>
                <w:u w:val="none"/>
                <w:lang w:val="en-US" w:eastAsia="zh-CN" w:bidi="ar-SA"/>
              </w:rPr>
              <w:t>-</w:t>
            </w:r>
            <w:r>
              <w:rPr>
                <w:rFonts w:hint="eastAsia" w:asciiTheme="majorEastAsia" w:hAnsiTheme="majorEastAsia" w:eastAsiaTheme="majorEastAsia" w:cstheme="majorEastAsia"/>
                <w:snapToGrid w:val="0"/>
                <w:color w:val="auto"/>
                <w:kern w:val="0"/>
                <w:sz w:val="21"/>
                <w:szCs w:val="21"/>
                <w:highlight w:val="none"/>
              </w:rPr>
              <w:t>8633071、8633211</w:t>
            </w:r>
          </w:p>
        </w:tc>
      </w:tr>
      <w:tr w14:paraId="1B18A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33F947EC">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35</w:t>
            </w:r>
          </w:p>
        </w:tc>
        <w:tc>
          <w:tcPr>
            <w:tcW w:w="1995" w:type="dxa"/>
            <w:tcBorders>
              <w:top w:val="single" w:color="auto" w:sz="4" w:space="0"/>
              <w:left w:val="single" w:color="auto" w:sz="4" w:space="0"/>
              <w:bottom w:val="single" w:color="auto" w:sz="4" w:space="0"/>
              <w:right w:val="single" w:color="auto" w:sz="4" w:space="0"/>
            </w:tcBorders>
            <w:vAlign w:val="center"/>
          </w:tcPr>
          <w:p w14:paraId="0E55E04F">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行政监督部门</w:t>
            </w:r>
          </w:p>
          <w:p w14:paraId="34689672">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6397A5F4">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u w:val="none"/>
              </w:rPr>
            </w:pPr>
            <w:r>
              <w:rPr>
                <w:rFonts w:hint="eastAsia" w:asciiTheme="majorEastAsia" w:hAnsiTheme="majorEastAsia" w:eastAsiaTheme="majorEastAsia" w:cstheme="majorEastAsia"/>
                <w:snapToGrid w:val="0"/>
                <w:color w:val="auto"/>
                <w:kern w:val="0"/>
                <w:sz w:val="21"/>
                <w:szCs w:val="21"/>
                <w:highlight w:val="none"/>
                <w:u w:val="none"/>
              </w:rPr>
              <w:t>单位名称：韶关市住房和城乡建设管理局</w:t>
            </w:r>
          </w:p>
          <w:p w14:paraId="7C3F46B5">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u w:val="none"/>
              </w:rPr>
            </w:pPr>
            <w:r>
              <w:rPr>
                <w:rFonts w:hint="eastAsia" w:asciiTheme="majorEastAsia" w:hAnsiTheme="majorEastAsia" w:eastAsiaTheme="majorEastAsia" w:cstheme="majorEastAsia"/>
                <w:snapToGrid w:val="0"/>
                <w:color w:val="auto"/>
                <w:kern w:val="0"/>
                <w:sz w:val="21"/>
                <w:szCs w:val="21"/>
                <w:highlight w:val="none"/>
                <w:u w:val="none"/>
              </w:rPr>
              <w:t>办公地址：广东省韶关市武江区芙蓉东路5号</w:t>
            </w:r>
          </w:p>
          <w:p w14:paraId="13B6EC76">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u w:val="none"/>
              </w:rPr>
            </w:pPr>
            <w:r>
              <w:rPr>
                <w:rFonts w:hint="eastAsia" w:asciiTheme="majorEastAsia" w:hAnsiTheme="majorEastAsia" w:eastAsiaTheme="majorEastAsia" w:cstheme="majorEastAsia"/>
                <w:snapToGrid w:val="0"/>
                <w:color w:val="auto"/>
                <w:kern w:val="0"/>
                <w:sz w:val="21"/>
                <w:szCs w:val="21"/>
                <w:highlight w:val="none"/>
                <w:u w:val="none"/>
              </w:rPr>
              <w:t>联系人（部门）：建筑业市场管理科</w:t>
            </w:r>
          </w:p>
          <w:p w14:paraId="47358CD2">
            <w:pPr>
              <w:shd w:val="clear" w:color="auto" w:fill="auto"/>
              <w:wordWrap w:val="0"/>
              <w:adjustRightInd w:val="0"/>
              <w:snapToGrid w:val="0"/>
              <w:spacing w:line="400" w:lineRule="exact"/>
              <w:ind w:left="0" w:leftChars="0" w:firstLine="210" w:firstLineChars="1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u w:val="none"/>
              </w:rPr>
              <w:t>联系电话：0751-8892601</w:t>
            </w:r>
          </w:p>
        </w:tc>
      </w:tr>
      <w:bookmarkEnd w:id="28"/>
      <w:tr w14:paraId="03A7A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trPr>
        <w:tc>
          <w:tcPr>
            <w:tcW w:w="658" w:type="dxa"/>
            <w:tcBorders>
              <w:top w:val="single" w:color="auto" w:sz="4" w:space="0"/>
              <w:left w:val="single" w:color="auto" w:sz="4" w:space="0"/>
              <w:bottom w:val="single" w:color="auto" w:sz="4" w:space="0"/>
              <w:right w:val="single" w:color="auto" w:sz="4" w:space="0"/>
            </w:tcBorders>
            <w:vAlign w:val="center"/>
          </w:tcPr>
          <w:p w14:paraId="054C98FF">
            <w:pPr>
              <w:shd w:val="clear" w:color="auto" w:fill="auto"/>
              <w:wordWrap w:val="0"/>
              <w:adjustRightInd w:val="0"/>
              <w:snapToGrid w:val="0"/>
              <w:spacing w:line="400" w:lineRule="exact"/>
              <w:jc w:val="center"/>
              <w:rPr>
                <w:rFonts w:hint="eastAsia" w:asciiTheme="majorEastAsia" w:hAnsiTheme="majorEastAsia" w:eastAsiaTheme="majorEastAsia" w:cstheme="majorEastAsia"/>
                <w:snapToGrid w:val="0"/>
                <w:color w:val="auto"/>
                <w:kern w:val="0"/>
                <w:sz w:val="21"/>
                <w:szCs w:val="21"/>
                <w:highlight w:val="none"/>
                <w:lang w:val="en-US" w:eastAsia="zh-CN"/>
              </w:rPr>
            </w:pPr>
            <w:r>
              <w:rPr>
                <w:rFonts w:hint="eastAsia" w:asciiTheme="majorEastAsia" w:hAnsiTheme="majorEastAsia" w:eastAsiaTheme="majorEastAsia" w:cstheme="majorEastAsia"/>
                <w:snapToGrid w:val="0"/>
                <w:color w:val="auto"/>
                <w:kern w:val="0"/>
                <w:sz w:val="21"/>
                <w:szCs w:val="21"/>
                <w:highlight w:val="none"/>
                <w:lang w:val="en-US" w:eastAsia="zh-CN"/>
              </w:rPr>
              <w:t>36</w:t>
            </w:r>
          </w:p>
        </w:tc>
        <w:tc>
          <w:tcPr>
            <w:tcW w:w="1995" w:type="dxa"/>
            <w:tcBorders>
              <w:top w:val="single" w:color="auto" w:sz="4" w:space="0"/>
              <w:left w:val="single" w:color="auto" w:sz="4" w:space="0"/>
              <w:bottom w:val="single" w:color="auto" w:sz="4" w:space="0"/>
              <w:right w:val="single" w:color="auto" w:sz="4" w:space="0"/>
            </w:tcBorders>
            <w:vAlign w:val="center"/>
          </w:tcPr>
          <w:p w14:paraId="5BA9377A">
            <w:pPr>
              <w:shd w:val="clear" w:color="auto" w:fill="auto"/>
              <w:wordWrap w:val="0"/>
              <w:adjustRightInd w:val="0"/>
              <w:snapToGrid w:val="0"/>
              <w:spacing w:line="360" w:lineRule="exact"/>
              <w:jc w:val="center"/>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术语</w:t>
            </w:r>
          </w:p>
        </w:tc>
        <w:tc>
          <w:tcPr>
            <w:tcW w:w="6534" w:type="dxa"/>
            <w:tcBorders>
              <w:top w:val="single" w:color="auto" w:sz="4" w:space="0"/>
              <w:left w:val="single" w:color="auto" w:sz="4" w:space="0"/>
              <w:bottom w:val="single" w:color="auto" w:sz="4" w:space="0"/>
              <w:right w:val="single" w:color="auto" w:sz="4" w:space="0"/>
            </w:tcBorders>
            <w:vAlign w:val="center"/>
          </w:tcPr>
          <w:p w14:paraId="668D83FC">
            <w:pPr>
              <w:shd w:val="clear" w:color="auto" w:fill="auto"/>
              <w:wordWrap w:val="0"/>
              <w:adjustRightInd w:val="0"/>
              <w:snapToGrid w:val="0"/>
              <w:spacing w:line="400" w:lineRule="exact"/>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8DE6A95">
            <w:pPr>
              <w:shd w:val="clear" w:color="auto" w:fill="auto"/>
              <w:wordWrap w:val="0"/>
              <w:adjustRightInd w:val="0"/>
              <w:snapToGrid w:val="0"/>
              <w:spacing w:line="400" w:lineRule="exact"/>
              <w:ind w:firstLine="420" w:firstLineChars="200"/>
              <w:jc w:val="left"/>
              <w:rPr>
                <w:rFonts w:hint="eastAsia" w:asciiTheme="majorEastAsia" w:hAnsiTheme="majorEastAsia" w:eastAsiaTheme="majorEastAsia" w:cstheme="majorEastAsia"/>
                <w:snapToGrid w:val="0"/>
                <w:color w:val="auto"/>
                <w:kern w:val="0"/>
                <w:sz w:val="21"/>
                <w:szCs w:val="21"/>
                <w:highlight w:val="none"/>
              </w:rPr>
            </w:pPr>
            <w:r>
              <w:rPr>
                <w:rFonts w:hint="eastAsia" w:asciiTheme="majorEastAsia" w:hAnsiTheme="majorEastAsia" w:eastAsiaTheme="majorEastAsia" w:cstheme="majorEastAsia"/>
                <w:snapToGrid w:val="0"/>
                <w:color w:val="auto"/>
                <w:kern w:val="0"/>
                <w:sz w:val="21"/>
                <w:szCs w:val="21"/>
                <w:highlight w:val="none"/>
              </w:rPr>
              <w:t>2．“相关服务”是指监理人受委托人的委托，按照合同约定，在勘察、设计、保修等阶段提供的服务活动。</w:t>
            </w:r>
          </w:p>
        </w:tc>
      </w:tr>
    </w:tbl>
    <w:p w14:paraId="7822FEDC">
      <w:pPr>
        <w:pStyle w:val="3"/>
        <w:shd w:val="clear" w:color="auto" w:fill="auto"/>
        <w:wordWrap w:val="0"/>
        <w:autoSpaceDE/>
        <w:autoSpaceDN/>
        <w:snapToGrid w:val="0"/>
        <w:spacing w:before="260" w:after="260" w:line="360" w:lineRule="exact"/>
        <w:jc w:val="both"/>
        <w:rPr>
          <w:rFonts w:hint="eastAsia" w:hAnsi="宋体" w:cs="宋体"/>
          <w:b/>
          <w:snapToGrid w:val="0"/>
          <w:color w:val="auto"/>
          <w:highlight w:val="none"/>
        </w:rPr>
        <w:sectPr>
          <w:footerReference r:id="rId7" w:type="default"/>
          <w:endnotePr>
            <w:numFmt w:val="decimal"/>
          </w:endnotePr>
          <w:pgSz w:w="11906" w:h="16838"/>
          <w:pgMar w:top="1701" w:right="1531" w:bottom="1417" w:left="1531" w:header="850" w:footer="992" w:gutter="0"/>
          <w:pgNumType w:start="1"/>
          <w:cols w:space="720" w:num="1"/>
          <w:rtlGutter w:val="0"/>
          <w:docGrid w:linePitch="327" w:charSpace="0"/>
        </w:sectPr>
      </w:pPr>
    </w:p>
    <w:p w14:paraId="41897224">
      <w:pPr>
        <w:pStyle w:val="3"/>
        <w:shd w:val="clear" w:color="auto" w:fill="auto"/>
        <w:wordWrap w:val="0"/>
        <w:autoSpaceDE/>
        <w:autoSpaceDN/>
        <w:snapToGrid w:val="0"/>
        <w:spacing w:after="260" w:line="440" w:lineRule="exact"/>
        <w:jc w:val="both"/>
        <w:rPr>
          <w:rFonts w:hint="eastAsia" w:hAnsi="宋体" w:cs="宋体"/>
          <w:snapToGrid w:val="0"/>
          <w:color w:val="auto"/>
          <w:highlight w:val="none"/>
        </w:rPr>
      </w:pPr>
      <w:bookmarkStart w:id="29" w:name="_Toc29182"/>
      <w:bookmarkStart w:id="30" w:name="_Toc5405"/>
      <w:bookmarkStart w:id="31" w:name="_Toc16005"/>
      <w:bookmarkStart w:id="32" w:name="_Toc25588"/>
      <w:bookmarkStart w:id="33" w:name="_Toc17242"/>
      <w:bookmarkStart w:id="34" w:name="_Toc2241"/>
      <w:bookmarkStart w:id="35" w:name="_Toc16241"/>
      <w:bookmarkStart w:id="36" w:name="_Toc26113"/>
      <w:bookmarkStart w:id="37" w:name="_Toc712"/>
      <w:bookmarkStart w:id="38" w:name="_Toc28370"/>
      <w:bookmarkStart w:id="39" w:name="_Toc31292"/>
      <w:r>
        <w:rPr>
          <w:rFonts w:hint="eastAsia" w:hAnsi="宋体" w:cs="宋体"/>
          <w:b/>
          <w:snapToGrid w:val="0"/>
          <w:color w:val="auto"/>
          <w:highlight w:val="none"/>
        </w:rPr>
        <w:t>第二节 重要事项时间地点一览表</w:t>
      </w:r>
      <w:bookmarkEnd w:id="29"/>
      <w:bookmarkEnd w:id="30"/>
      <w:bookmarkEnd w:id="31"/>
      <w:bookmarkEnd w:id="32"/>
      <w:bookmarkEnd w:id="33"/>
      <w:bookmarkEnd w:id="34"/>
      <w:bookmarkEnd w:id="35"/>
      <w:bookmarkEnd w:id="36"/>
      <w:bookmarkEnd w:id="37"/>
      <w:bookmarkEnd w:id="38"/>
      <w:bookmarkEnd w:id="39"/>
    </w:p>
    <w:tbl>
      <w:tblPr>
        <w:tblStyle w:val="24"/>
        <w:tblpPr w:leftFromText="180" w:rightFromText="180" w:vertAnchor="text" w:horzAnchor="page" w:tblpX="1295" w:tblpY="8"/>
        <w:tblOverlap w:val="never"/>
        <w:tblW w:w="9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0"/>
        <w:gridCol w:w="1325"/>
        <w:gridCol w:w="7484"/>
      </w:tblGrid>
      <w:tr w14:paraId="0EB19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0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5133288B">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1325" w:type="dxa"/>
            <w:tcBorders>
              <w:top w:val="single" w:color="080000" w:sz="4" w:space="0"/>
              <w:left w:val="single" w:color="080000" w:sz="4" w:space="0"/>
              <w:bottom w:val="single" w:color="080000" w:sz="4" w:space="0"/>
              <w:right w:val="single" w:color="080000" w:sz="4" w:space="0"/>
            </w:tcBorders>
            <w:vAlign w:val="center"/>
          </w:tcPr>
          <w:p w14:paraId="7DA39CD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招标公告</w:t>
            </w:r>
          </w:p>
          <w:p w14:paraId="672A9860">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发布时间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367FBF2E">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10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31</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17</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分</w:t>
            </w:r>
          </w:p>
        </w:tc>
      </w:tr>
      <w:tr w14:paraId="73D4F6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B9B7336">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1325" w:type="dxa"/>
            <w:tcBorders>
              <w:top w:val="single" w:color="080000" w:sz="4" w:space="0"/>
              <w:left w:val="single" w:color="080000" w:sz="4" w:space="0"/>
              <w:bottom w:val="single" w:color="080000" w:sz="4" w:space="0"/>
              <w:right w:val="single" w:color="080000" w:sz="4" w:space="0"/>
            </w:tcBorders>
            <w:vAlign w:val="center"/>
          </w:tcPr>
          <w:p w14:paraId="589066E8">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获取招标文件截止时间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0853D22D">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29F1B9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0581472C">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1325" w:type="dxa"/>
            <w:tcBorders>
              <w:top w:val="single" w:color="080000" w:sz="4" w:space="0"/>
              <w:left w:val="single" w:color="080000" w:sz="4" w:space="0"/>
              <w:bottom w:val="single" w:color="080000" w:sz="4" w:space="0"/>
              <w:right w:val="single" w:color="080000" w:sz="4" w:space="0"/>
            </w:tcBorders>
            <w:vAlign w:val="center"/>
          </w:tcPr>
          <w:p w14:paraId="55943A6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网上提问</w:t>
            </w:r>
          </w:p>
          <w:p w14:paraId="3438FBC8">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3F0D2865">
            <w:pPr>
              <w:wordWrap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11</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00 </w:t>
            </w:r>
            <w:r>
              <w:rPr>
                <w:rFonts w:hint="eastAsia" w:asciiTheme="minorEastAsia" w:hAnsiTheme="minorEastAsia" w:eastAsiaTheme="minorEastAsia" w:cstheme="minorEastAsia"/>
                <w:color w:val="auto"/>
                <w:kern w:val="0"/>
                <w:sz w:val="21"/>
                <w:szCs w:val="21"/>
                <w:highlight w:val="none"/>
              </w:rPr>
              <w:t>分</w:t>
            </w:r>
          </w:p>
        </w:tc>
      </w:tr>
      <w:tr w14:paraId="55643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4DB42DE">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1325" w:type="dxa"/>
            <w:tcBorders>
              <w:top w:val="single" w:color="080000" w:sz="4" w:space="0"/>
              <w:left w:val="single" w:color="080000" w:sz="4" w:space="0"/>
              <w:bottom w:val="single" w:color="080000" w:sz="4" w:space="0"/>
              <w:right w:val="single" w:color="080000" w:sz="4" w:space="0"/>
            </w:tcBorders>
            <w:vAlign w:val="center"/>
          </w:tcPr>
          <w:p w14:paraId="7B9996B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网上答疑</w:t>
            </w:r>
          </w:p>
          <w:p w14:paraId="52F915D6">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0E23F276">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30 </w:t>
            </w:r>
            <w:r>
              <w:rPr>
                <w:rFonts w:hint="eastAsia" w:asciiTheme="minorEastAsia" w:hAnsiTheme="minorEastAsia" w:eastAsiaTheme="minorEastAsia" w:cstheme="minorEastAsia"/>
                <w:color w:val="auto"/>
                <w:kern w:val="0"/>
                <w:sz w:val="21"/>
                <w:szCs w:val="21"/>
                <w:highlight w:val="none"/>
              </w:rPr>
              <w:t>分至</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00</w:t>
            </w:r>
            <w:r>
              <w:rPr>
                <w:rFonts w:hint="eastAsia" w:asciiTheme="minorEastAsia" w:hAnsiTheme="minorEastAsia" w:eastAsiaTheme="minorEastAsia" w:cstheme="minorEastAsia"/>
                <w:color w:val="auto"/>
                <w:kern w:val="0"/>
                <w:sz w:val="21"/>
                <w:szCs w:val="21"/>
                <w:highlight w:val="none"/>
              </w:rPr>
              <w:t>分</w:t>
            </w:r>
          </w:p>
        </w:tc>
      </w:tr>
      <w:tr w14:paraId="33338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0E0658D7">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1325" w:type="dxa"/>
            <w:tcBorders>
              <w:top w:val="single" w:color="080000" w:sz="4" w:space="0"/>
              <w:left w:val="single" w:color="080000" w:sz="4" w:space="0"/>
              <w:bottom w:val="single" w:color="080000" w:sz="4" w:space="0"/>
              <w:right w:val="single" w:color="080000" w:sz="4" w:space="0"/>
            </w:tcBorders>
            <w:vAlign w:val="center"/>
          </w:tcPr>
          <w:p w14:paraId="23CB87A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投标保证缴</w:t>
            </w:r>
          </w:p>
          <w:p w14:paraId="2676CFAF">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纳截止时间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7D4D93E0">
            <w:pPr>
              <w:widowControl/>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投标保证金到账截止时间：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20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p w14:paraId="71D1AB13">
            <w:pPr>
              <w:widowControl/>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投标保证担保上传截止时间：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20</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p w14:paraId="460B6A65">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投标保证保险投保截止时间：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20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23EB5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5"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5358500">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1325" w:type="dxa"/>
            <w:tcBorders>
              <w:top w:val="single" w:color="080000" w:sz="4" w:space="0"/>
              <w:left w:val="single" w:color="080000" w:sz="4" w:space="0"/>
              <w:bottom w:val="single" w:color="080000" w:sz="4" w:space="0"/>
              <w:right w:val="single" w:color="080000" w:sz="4" w:space="0"/>
            </w:tcBorders>
            <w:vAlign w:val="center"/>
          </w:tcPr>
          <w:p w14:paraId="514952A7">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电子投标</w:t>
            </w:r>
          </w:p>
          <w:p w14:paraId="63A6E2F2">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16D11BED">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5EB52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2E7484A2">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c>
          <w:tcPr>
            <w:tcW w:w="1325" w:type="dxa"/>
            <w:tcBorders>
              <w:top w:val="single" w:color="080000" w:sz="4" w:space="0"/>
              <w:left w:val="single" w:color="080000" w:sz="4" w:space="0"/>
              <w:bottom w:val="single" w:color="080000" w:sz="4" w:space="0"/>
              <w:right w:val="single" w:color="080000" w:sz="4" w:space="0"/>
            </w:tcBorders>
            <w:vAlign w:val="center"/>
          </w:tcPr>
          <w:p w14:paraId="1B62669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投标相关资料（如有）</w:t>
            </w:r>
          </w:p>
          <w:p w14:paraId="69B266E3">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递交时间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142A8AE9">
            <w:pPr>
              <w:widowControl/>
              <w:snapToGrid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00</w:t>
            </w:r>
            <w:r>
              <w:rPr>
                <w:rFonts w:hint="eastAsia" w:asciiTheme="minorEastAsia" w:hAnsiTheme="minorEastAsia" w:eastAsiaTheme="minorEastAsia" w:cstheme="minorEastAsia"/>
                <w:color w:val="auto"/>
                <w:kern w:val="0"/>
                <w:sz w:val="21"/>
                <w:szCs w:val="21"/>
                <w:highlight w:val="none"/>
              </w:rPr>
              <w:t>分至</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4E0FA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E571107">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1325" w:type="dxa"/>
            <w:tcBorders>
              <w:top w:val="single" w:color="080000" w:sz="4" w:space="0"/>
              <w:left w:val="single" w:color="080000" w:sz="4" w:space="0"/>
              <w:bottom w:val="single" w:color="080000" w:sz="4" w:space="0"/>
              <w:right w:val="single" w:color="080000" w:sz="4" w:space="0"/>
            </w:tcBorders>
            <w:vAlign w:val="center"/>
          </w:tcPr>
          <w:p w14:paraId="078798F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投标相关资料（如有）</w:t>
            </w:r>
          </w:p>
          <w:p w14:paraId="06ACDAE3">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递交地点</w:t>
            </w:r>
          </w:p>
        </w:tc>
        <w:tc>
          <w:tcPr>
            <w:tcW w:w="7484" w:type="dxa"/>
            <w:tcBorders>
              <w:top w:val="single" w:color="080000" w:sz="4" w:space="0"/>
              <w:left w:val="single" w:color="080000" w:sz="4" w:space="0"/>
              <w:bottom w:val="single" w:color="080000" w:sz="4" w:space="0"/>
              <w:right w:val="single" w:color="080000" w:sz="4" w:space="0"/>
            </w:tcBorders>
            <w:vAlign w:val="center"/>
          </w:tcPr>
          <w:p w14:paraId="614B1045">
            <w:pPr>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递交场所：韶关市公共资源交易中心</w:t>
            </w:r>
          </w:p>
          <w:p w14:paraId="3BC3C7E2">
            <w:pPr>
              <w:wordWrap w:val="0"/>
              <w:adjustRightInd w:val="0"/>
              <w:snapToGrid w:val="0"/>
              <w:spacing w:line="400" w:lineRule="exact"/>
              <w:ind w:firstLine="210" w:firstLineChars="1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地址:广东省韶关市武江区西联镇，具体递交场所以当日现场通知为准。</w:t>
            </w:r>
          </w:p>
        </w:tc>
      </w:tr>
      <w:tr w14:paraId="49C37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7D8FD62">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1325" w:type="dxa"/>
            <w:tcBorders>
              <w:top w:val="single" w:color="080000" w:sz="4" w:space="0"/>
              <w:left w:val="single" w:color="080000" w:sz="4" w:space="0"/>
              <w:bottom w:val="single" w:color="080000" w:sz="4" w:space="0"/>
              <w:right w:val="single" w:color="080000" w:sz="4" w:space="0"/>
            </w:tcBorders>
            <w:vAlign w:val="center"/>
          </w:tcPr>
          <w:p w14:paraId="22139B81">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1D1EAB5A">
            <w:pPr>
              <w:wordWrap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5</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11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9</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77B96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6"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353B6F50">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1325" w:type="dxa"/>
            <w:tcBorders>
              <w:top w:val="single" w:color="080000" w:sz="4" w:space="0"/>
              <w:left w:val="single" w:color="080000" w:sz="4" w:space="0"/>
              <w:bottom w:val="single" w:color="080000" w:sz="4" w:space="0"/>
              <w:right w:val="single" w:color="080000" w:sz="4" w:space="0"/>
            </w:tcBorders>
            <w:vAlign w:val="center"/>
          </w:tcPr>
          <w:p w14:paraId="79848827">
            <w:pPr>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开标地点 </w:t>
            </w:r>
          </w:p>
        </w:tc>
        <w:tc>
          <w:tcPr>
            <w:tcW w:w="7484" w:type="dxa"/>
            <w:tcBorders>
              <w:top w:val="single" w:color="080000" w:sz="4" w:space="0"/>
              <w:left w:val="single" w:color="080000" w:sz="4" w:space="0"/>
              <w:bottom w:val="single" w:color="080000" w:sz="4" w:space="0"/>
              <w:right w:val="single" w:color="080000" w:sz="4" w:space="0"/>
            </w:tcBorders>
            <w:vAlign w:val="center"/>
          </w:tcPr>
          <w:p w14:paraId="20536247">
            <w:pPr>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开标场所：韶关市公共资源交易中心</w:t>
            </w:r>
          </w:p>
          <w:p w14:paraId="3C554DDC">
            <w:pPr>
              <w:wordWrap w:val="0"/>
              <w:adjustRightInd w:val="0"/>
              <w:snapToGrid w:val="0"/>
              <w:spacing w:line="400" w:lineRule="exact"/>
              <w:ind w:firstLine="210" w:firstLineChars="1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地址：广东省韶关市武江区西联镇，具体开标室以当日现场通知为准。</w:t>
            </w:r>
          </w:p>
        </w:tc>
      </w:tr>
      <w:tr w14:paraId="4F3034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3" w:hRule="exact"/>
        </w:trPr>
        <w:tc>
          <w:tcPr>
            <w:tcW w:w="1755" w:type="dxa"/>
            <w:gridSpan w:val="2"/>
            <w:tcBorders>
              <w:top w:val="single" w:color="080000" w:sz="4" w:space="0"/>
              <w:left w:val="single" w:color="080000" w:sz="4" w:space="0"/>
              <w:bottom w:val="single" w:color="080000" w:sz="4" w:space="0"/>
              <w:right w:val="single" w:color="080000" w:sz="4" w:space="0"/>
            </w:tcBorders>
            <w:vAlign w:val="center"/>
          </w:tcPr>
          <w:p w14:paraId="7911F0CF">
            <w:pPr>
              <w:pStyle w:val="43"/>
              <w:wordWrap w:val="0"/>
              <w:adjustRightInd w:val="0"/>
              <w:snapToGrid w:val="0"/>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c>
          <w:tcPr>
            <w:tcW w:w="7484" w:type="dxa"/>
            <w:tcBorders>
              <w:top w:val="single" w:color="080000" w:sz="4" w:space="0"/>
              <w:left w:val="single" w:color="080000" w:sz="4" w:space="0"/>
              <w:bottom w:val="single" w:color="080000" w:sz="4" w:space="0"/>
              <w:right w:val="single" w:color="080000" w:sz="4" w:space="0"/>
            </w:tcBorders>
            <w:vAlign w:val="center"/>
          </w:tcPr>
          <w:p w14:paraId="34AF086C">
            <w:pPr>
              <w:pStyle w:val="43"/>
              <w:wordWrap w:val="0"/>
              <w:adjustRightInd w:val="0"/>
              <w:snapToGrid w:val="0"/>
              <w:spacing w:line="400" w:lineRule="exact"/>
              <w:ind w:firstLine="210" w:firstLineChars="1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6E837D8">
      <w:pPr>
        <w:pStyle w:val="43"/>
        <w:widowControl/>
        <w:shd w:val="clear" w:color="auto" w:fill="auto"/>
        <w:snapToGrid w:val="0"/>
        <w:spacing w:line="360" w:lineRule="auto"/>
        <w:ind w:left="0" w:leftChars="0" w:right="0" w:rightChars="0" w:firstLine="0" w:firstLineChars="0"/>
        <w:rPr>
          <w:rFonts w:ascii="宋体" w:hAnsi="宋体" w:cs="Tahoma"/>
          <w:color w:val="auto"/>
          <w:kern w:val="0"/>
          <w:sz w:val="20"/>
          <w:szCs w:val="20"/>
          <w:highlight w:val="none"/>
        </w:rPr>
      </w:pPr>
      <w:r>
        <w:rPr>
          <w:rFonts w:hint="eastAsia" w:ascii="宋体" w:hAnsi="宋体" w:cs="Tahoma"/>
          <w:color w:val="auto"/>
          <w:kern w:val="0"/>
          <w:sz w:val="20"/>
          <w:szCs w:val="20"/>
          <w:highlight w:val="none"/>
        </w:rPr>
        <w:t>备注：投标人应按有关计划时间安排办理企业CA认证、企业入库等，</w:t>
      </w:r>
      <w:r>
        <w:rPr>
          <w:rFonts w:hint="eastAsia" w:ascii="宋体" w:hAnsi="宋体" w:cs="Tahoma"/>
          <w:color w:val="auto"/>
          <w:kern w:val="0"/>
          <w:sz w:val="20"/>
          <w:szCs w:val="20"/>
          <w:highlight w:val="none"/>
          <w:lang w:val="en-US" w:eastAsia="zh-CN"/>
        </w:rPr>
        <w:t>完成相关手续</w:t>
      </w:r>
      <w:r>
        <w:rPr>
          <w:rFonts w:hint="eastAsia" w:ascii="宋体" w:hAnsi="宋体" w:cs="Tahoma"/>
          <w:color w:val="auto"/>
          <w:kern w:val="0"/>
          <w:sz w:val="20"/>
          <w:szCs w:val="20"/>
          <w:highlight w:val="none"/>
        </w:rPr>
        <w:t>后自行下载招标文件、资料文件及招标答疑书等。若由于投标人自身原因未能及时取得上述资料的，由此发生的任何责任由投标人自负。</w:t>
      </w:r>
    </w:p>
    <w:p w14:paraId="6544E2EB">
      <w:pPr>
        <w:pStyle w:val="2"/>
        <w:shd w:val="clear" w:color="auto" w:fill="auto"/>
        <w:tabs>
          <w:tab w:val="left" w:pos="885"/>
        </w:tabs>
        <w:wordWrap w:val="0"/>
        <w:autoSpaceDE/>
        <w:autoSpaceDN/>
        <w:snapToGrid w:val="0"/>
        <w:spacing w:line="440" w:lineRule="exact"/>
        <w:ind w:left="885" w:hanging="885"/>
        <w:jc w:val="center"/>
        <w:rPr>
          <w:rFonts w:hint="eastAsia" w:hAnsi="宋体" w:cs="宋体"/>
          <w:snapToGrid w:val="0"/>
          <w:color w:val="auto"/>
          <w:sz w:val="24"/>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2253AA6">
      <w:pPr>
        <w:pStyle w:val="3"/>
        <w:shd w:val="clear" w:color="auto" w:fill="auto"/>
        <w:wordWrap w:val="0"/>
        <w:autoSpaceDE/>
        <w:autoSpaceDN/>
        <w:snapToGrid w:val="0"/>
        <w:spacing w:before="260" w:after="260" w:line="440" w:lineRule="exact"/>
        <w:jc w:val="both"/>
        <w:rPr>
          <w:rFonts w:hint="eastAsia" w:hAnsi="宋体" w:cs="宋体"/>
          <w:snapToGrid w:val="0"/>
          <w:color w:val="auto"/>
          <w:kern w:val="0"/>
          <w:szCs w:val="28"/>
          <w:highlight w:val="none"/>
          <w:u w:val="single"/>
        </w:rPr>
      </w:pPr>
      <w:bookmarkStart w:id="40" w:name="_Hlt87793819"/>
      <w:bookmarkEnd w:id="40"/>
      <w:bookmarkStart w:id="41" w:name="_Toc16803"/>
      <w:bookmarkStart w:id="42" w:name="_Toc1048"/>
      <w:bookmarkStart w:id="43" w:name="_Toc17679"/>
      <w:bookmarkStart w:id="44" w:name="_Toc13835"/>
      <w:bookmarkStart w:id="45" w:name="_Toc22644"/>
      <w:bookmarkStart w:id="46" w:name="_Hlt69698754"/>
      <w:bookmarkStart w:id="47" w:name="_Toc21610"/>
      <w:bookmarkStart w:id="48" w:name="_Toc29843"/>
      <w:bookmarkStart w:id="49" w:name="_Toc14119"/>
      <w:bookmarkStart w:id="50" w:name="_Toc32269"/>
      <w:bookmarkStart w:id="51" w:name="_Toc32301"/>
      <w:bookmarkStart w:id="52" w:name="_Toc24601"/>
      <w:bookmarkStart w:id="53" w:name="_Hlt69698705"/>
      <w:bookmarkStart w:id="54" w:name="_Toc54"/>
      <w:r>
        <w:rPr>
          <w:rFonts w:hint="eastAsia" w:ascii="Times New Roman" w:hAnsi="宋体" w:eastAsia="宋体" w:cs="宋体"/>
          <w:b/>
          <w:snapToGrid w:val="0"/>
          <w:color w:val="auto"/>
          <w:highlight w:val="none"/>
        </w:rPr>
        <w:t>第三节 投标人须知</w:t>
      </w:r>
      <w:bookmarkEnd w:id="41"/>
      <w:bookmarkStart w:id="55" w:name="_Hlt69669159"/>
      <w:bookmarkEnd w:id="55"/>
      <w:r>
        <w:rPr>
          <w:rFonts w:hint="eastAsia" w:ascii="Times New Roman" w:hAnsi="宋体" w:eastAsia="宋体" w:cs="宋体"/>
          <w:b/>
          <w:snapToGrid w:val="0"/>
          <w:color w:val="auto"/>
          <w:highlight w:val="none"/>
        </w:rPr>
        <w:t>正文</w:t>
      </w:r>
      <w:bookmarkEnd w:id="42"/>
      <w:bookmarkEnd w:id="43"/>
      <w:bookmarkEnd w:id="44"/>
      <w:bookmarkEnd w:id="45"/>
      <w:bookmarkEnd w:id="46"/>
      <w:bookmarkEnd w:id="47"/>
      <w:bookmarkEnd w:id="48"/>
      <w:bookmarkEnd w:id="49"/>
      <w:bookmarkEnd w:id="50"/>
      <w:bookmarkEnd w:id="51"/>
      <w:bookmarkEnd w:id="52"/>
      <w:bookmarkEnd w:id="53"/>
      <w:bookmarkEnd w:id="54"/>
    </w:p>
    <w:p w14:paraId="5CCE2DB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bookmarkStart w:id="56" w:name="_Toc22150"/>
      <w:bookmarkStart w:id="57" w:name="_Toc14853"/>
      <w:bookmarkStart w:id="58" w:name="_Toc8455"/>
      <w:bookmarkStart w:id="59" w:name="_Toc13092"/>
      <w:bookmarkStart w:id="60" w:name="_Toc28791"/>
      <w:bookmarkStart w:id="61" w:name="_Toc27860"/>
      <w:bookmarkStart w:id="62" w:name="_Toc3349"/>
      <w:bookmarkStart w:id="63" w:name="_Toc8024"/>
      <w:bookmarkStart w:id="64" w:name="_Toc26179"/>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u w:val="single"/>
          <w:lang w:val="en-US" w:eastAsia="zh-CN"/>
        </w:rPr>
        <w:t>浈江产业园（犁市片区）基础设施建设项目</w:t>
      </w:r>
      <w:r>
        <w:rPr>
          <w:rFonts w:hint="eastAsia" w:asciiTheme="minorEastAsia" w:hAnsiTheme="minorEastAsia" w:eastAsiaTheme="minorEastAsia" w:cstheme="minorEastAsia"/>
          <w:bCs/>
          <w:snapToGrid w:val="0"/>
          <w:color w:val="auto"/>
          <w:kern w:val="0"/>
          <w:sz w:val="21"/>
          <w:szCs w:val="21"/>
          <w:highlight w:val="none"/>
          <w:u w:val="none"/>
          <w:lang w:val="en-US" w:eastAsia="zh-CN"/>
        </w:rPr>
        <w:t>业</w:t>
      </w:r>
      <w:r>
        <w:rPr>
          <w:rFonts w:hint="eastAsia" w:asciiTheme="minorEastAsia" w:hAnsiTheme="minorEastAsia" w:eastAsiaTheme="minorEastAsia" w:cstheme="minorEastAsia"/>
          <w:snapToGrid w:val="0"/>
          <w:color w:val="auto"/>
          <w:kern w:val="0"/>
          <w:sz w:val="21"/>
          <w:szCs w:val="21"/>
          <w:highlight w:val="none"/>
        </w:rPr>
        <w:t>经</w:t>
      </w:r>
      <w:r>
        <w:rPr>
          <w:rFonts w:hint="eastAsia" w:asciiTheme="minorEastAsia" w:hAnsiTheme="minorEastAsia" w:eastAsiaTheme="minorEastAsia" w:cstheme="minorEastAsia"/>
          <w:snapToGrid w:val="0"/>
          <w:color w:val="auto"/>
          <w:kern w:val="0"/>
          <w:sz w:val="21"/>
          <w:szCs w:val="21"/>
          <w:highlight w:val="none"/>
          <w:u w:val="single"/>
          <w:lang w:eastAsia="zh-CN"/>
        </w:rPr>
        <w:t>韶关市</w:t>
      </w:r>
      <w:r>
        <w:rPr>
          <w:rFonts w:hint="eastAsia" w:asciiTheme="minorEastAsia" w:hAnsiTheme="minorEastAsia" w:eastAsiaTheme="minorEastAsia" w:cstheme="minorEastAsia"/>
          <w:snapToGrid w:val="0"/>
          <w:color w:val="auto"/>
          <w:kern w:val="0"/>
          <w:sz w:val="21"/>
          <w:szCs w:val="21"/>
          <w:highlight w:val="none"/>
          <w:u w:val="single"/>
          <w:lang w:val="en-US" w:eastAsia="zh-CN"/>
        </w:rPr>
        <w:t>浈</w:t>
      </w:r>
      <w:r>
        <w:rPr>
          <w:rFonts w:hint="eastAsia" w:asciiTheme="minorEastAsia" w:hAnsiTheme="minorEastAsia" w:eastAsiaTheme="minorEastAsia" w:cstheme="minorEastAsia"/>
          <w:snapToGrid w:val="0"/>
          <w:color w:val="auto"/>
          <w:kern w:val="0"/>
          <w:sz w:val="21"/>
          <w:szCs w:val="21"/>
          <w:highlight w:val="none"/>
          <w:u w:val="single"/>
          <w:lang w:eastAsia="zh-CN"/>
        </w:rPr>
        <w:t>江区发展和改革局</w:t>
      </w:r>
      <w:r>
        <w:rPr>
          <w:rFonts w:hint="eastAsia" w:asciiTheme="minorEastAsia" w:hAnsiTheme="minorEastAsia" w:eastAsiaTheme="minorEastAsia" w:cstheme="minorEastAsia"/>
          <w:snapToGrid w:val="0"/>
          <w:color w:val="auto"/>
          <w:kern w:val="0"/>
          <w:sz w:val="21"/>
          <w:szCs w:val="21"/>
          <w:highlight w:val="none"/>
          <w:u w:val="none"/>
        </w:rPr>
        <w:t>以</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color w:val="auto"/>
          <w:kern w:val="0"/>
          <w:sz w:val="21"/>
          <w:szCs w:val="21"/>
          <w:highlight w:val="none"/>
          <w:u w:val="single"/>
          <w:lang w:val="en-US" w:eastAsia="zh-CN"/>
        </w:rPr>
        <w:t>韶关市浈江区发展和改革局关于浈江产业园（犁市片区）基础设施建设项目可行性研究报告的批复</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color w:val="auto"/>
          <w:kern w:val="0"/>
          <w:sz w:val="21"/>
          <w:szCs w:val="21"/>
          <w:highlight w:val="none"/>
          <w:u w:val="single"/>
          <w:lang w:val="en-US" w:eastAsia="zh-CN"/>
        </w:rPr>
        <w:t>韶浈发改投审〔2024〕20号</w:t>
      </w:r>
      <w:r>
        <w:rPr>
          <w:rFonts w:hint="eastAsia" w:asciiTheme="minorEastAsia" w:hAnsiTheme="minorEastAsia" w:eastAsiaTheme="minorEastAsia" w:cstheme="minorEastAsia"/>
          <w:color w:val="auto"/>
          <w:kern w:val="0"/>
          <w:sz w:val="21"/>
          <w:szCs w:val="21"/>
          <w:highlight w:val="none"/>
          <w:u w:val="single"/>
        </w:rPr>
        <w:t>）</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u w:val="single"/>
          <w:lang w:val="en-US" w:eastAsia="zh-CN"/>
        </w:rPr>
        <w:t>《韶关市浈江区发展和改革局关于浈江产业园（犁市片区）基础设施建设项目土方工程、道路及边坡工程、管线工程初步设计概算的批复》韶浈发改投审〔2025〕51号</w:t>
      </w:r>
      <w:r>
        <w:rPr>
          <w:rFonts w:hint="eastAsia" w:asciiTheme="minorEastAsia" w:hAnsiTheme="minorEastAsia" w:eastAsiaTheme="minorEastAsia" w:cstheme="minorEastAsia"/>
          <w:snapToGrid w:val="0"/>
          <w:color w:val="auto"/>
          <w:kern w:val="0"/>
          <w:sz w:val="21"/>
          <w:szCs w:val="21"/>
          <w:highlight w:val="none"/>
        </w:rPr>
        <w:t>批准建设，项目代码为</w:t>
      </w:r>
      <w:r>
        <w:rPr>
          <w:rFonts w:hint="eastAsia" w:asciiTheme="minorEastAsia" w:hAnsiTheme="minorEastAsia" w:eastAsiaTheme="minorEastAsia" w:cstheme="minorEastAsia"/>
          <w:snapToGrid w:val="0"/>
          <w:color w:val="auto"/>
          <w:kern w:val="0"/>
          <w:sz w:val="21"/>
          <w:szCs w:val="21"/>
          <w:highlight w:val="none"/>
          <w:u w:val="single"/>
          <w:lang w:eastAsia="zh-CN"/>
        </w:rPr>
        <w:t>2310-440204-04-01-369836</w:t>
      </w:r>
      <w:r>
        <w:rPr>
          <w:rFonts w:hint="eastAsia" w:asciiTheme="minorEastAsia" w:hAnsiTheme="minorEastAsia" w:eastAsiaTheme="minorEastAsia" w:cstheme="minorEastAsia"/>
          <w:snapToGrid w:val="0"/>
          <w:color w:val="auto"/>
          <w:kern w:val="0"/>
          <w:sz w:val="21"/>
          <w:szCs w:val="21"/>
          <w:highlight w:val="none"/>
        </w:rPr>
        <w:t>。本项目业主为</w:t>
      </w:r>
      <w:r>
        <w:rPr>
          <w:rFonts w:hint="eastAsia" w:asciiTheme="minorEastAsia" w:hAnsiTheme="minorEastAsia" w:eastAsiaTheme="minorEastAsia" w:cstheme="minorEastAsia"/>
          <w:bCs/>
          <w:snapToGrid w:val="0"/>
          <w:color w:val="auto"/>
          <w:kern w:val="0"/>
          <w:sz w:val="21"/>
          <w:szCs w:val="21"/>
          <w:highlight w:val="none"/>
          <w:u w:val="single"/>
          <w:lang w:eastAsia="zh-CN"/>
        </w:rPr>
        <w:t>东莞（韶关）浈江产业转移工业园管理委员会</w:t>
      </w:r>
      <w:r>
        <w:rPr>
          <w:rFonts w:hint="eastAsia" w:asciiTheme="minorEastAsia" w:hAnsiTheme="minorEastAsia" w:eastAsiaTheme="minorEastAsia" w:cstheme="minorEastAsia"/>
          <w:snapToGrid w:val="0"/>
          <w:color w:val="auto"/>
          <w:kern w:val="0"/>
          <w:sz w:val="21"/>
          <w:szCs w:val="21"/>
          <w:highlight w:val="none"/>
        </w:rPr>
        <w:t>，建设资金来自</w:t>
      </w:r>
      <w:r>
        <w:rPr>
          <w:rFonts w:hint="eastAsia" w:asciiTheme="minorEastAsia" w:hAnsiTheme="minorEastAsia" w:eastAsiaTheme="minorEastAsia" w:cstheme="minorEastAsia"/>
          <w:snapToGrid w:val="0"/>
          <w:color w:val="auto"/>
          <w:kern w:val="0"/>
          <w:sz w:val="21"/>
          <w:szCs w:val="21"/>
          <w:highlight w:val="none"/>
          <w:u w:val="single"/>
          <w:lang w:val="en-US" w:eastAsia="zh-CN"/>
        </w:rPr>
        <w:t>本级财政安排解决</w:t>
      </w:r>
      <w:r>
        <w:rPr>
          <w:rFonts w:hint="eastAsia" w:asciiTheme="minorEastAsia" w:hAnsiTheme="minorEastAsia" w:eastAsiaTheme="minorEastAsia" w:cstheme="minorEastAsia"/>
          <w:snapToGrid w:val="0"/>
          <w:color w:val="auto"/>
          <w:kern w:val="0"/>
          <w:sz w:val="21"/>
          <w:szCs w:val="21"/>
          <w:highlight w:val="none"/>
        </w:rPr>
        <w:t>，出资比例</w:t>
      </w:r>
      <w:r>
        <w:rPr>
          <w:rFonts w:hint="eastAsia" w:asciiTheme="minorEastAsia" w:hAnsiTheme="minorEastAsia" w:eastAsiaTheme="minorEastAsia" w:cstheme="minorEastAsia"/>
          <w:snapToGrid w:val="0"/>
          <w:color w:val="auto"/>
          <w:kern w:val="0"/>
          <w:sz w:val="21"/>
          <w:szCs w:val="21"/>
          <w:highlight w:val="none"/>
          <w:u w:val="single"/>
        </w:rPr>
        <w:t>100%</w:t>
      </w:r>
      <w:r>
        <w:rPr>
          <w:rFonts w:hint="eastAsia" w:asciiTheme="minorEastAsia" w:hAnsiTheme="minorEastAsia" w:eastAsiaTheme="minorEastAsia" w:cstheme="minorEastAsia"/>
          <w:snapToGrid w:val="0"/>
          <w:color w:val="auto"/>
          <w:kern w:val="0"/>
          <w:sz w:val="21"/>
          <w:szCs w:val="21"/>
          <w:highlight w:val="none"/>
        </w:rPr>
        <w:t>，招标人为</w:t>
      </w:r>
      <w:r>
        <w:rPr>
          <w:rFonts w:hint="eastAsia" w:asciiTheme="minorEastAsia" w:hAnsiTheme="minorEastAsia" w:eastAsiaTheme="minorEastAsia" w:cstheme="minorEastAsia"/>
          <w:snapToGrid w:val="0"/>
          <w:color w:val="auto"/>
          <w:kern w:val="0"/>
          <w:sz w:val="21"/>
          <w:szCs w:val="21"/>
          <w:highlight w:val="none"/>
          <w:u w:val="single"/>
          <w:lang w:eastAsia="zh-CN"/>
        </w:rPr>
        <w:t>东莞（韶关）浈江产业转移工业园管理委员会</w:t>
      </w:r>
      <w:r>
        <w:rPr>
          <w:rFonts w:hint="eastAsia" w:asciiTheme="minorEastAsia" w:hAnsiTheme="minorEastAsia" w:eastAsiaTheme="minorEastAsia" w:cstheme="minorEastAsia"/>
          <w:snapToGrid w:val="0"/>
          <w:color w:val="auto"/>
          <w:kern w:val="0"/>
          <w:sz w:val="21"/>
          <w:szCs w:val="21"/>
          <w:highlight w:val="none"/>
        </w:rPr>
        <w:t>，招标代理机构为</w:t>
      </w:r>
      <w:r>
        <w:rPr>
          <w:rFonts w:hint="eastAsia" w:asciiTheme="minorEastAsia" w:hAnsiTheme="minorEastAsia" w:eastAsiaTheme="minorEastAsia" w:cstheme="minorEastAsia"/>
          <w:color w:val="auto"/>
          <w:kern w:val="0"/>
          <w:sz w:val="21"/>
          <w:szCs w:val="21"/>
          <w:highlight w:val="none"/>
          <w:u w:val="single"/>
          <w:lang w:eastAsia="zh-CN"/>
        </w:rPr>
        <w:t>广东合正项目管理有限公司</w:t>
      </w:r>
      <w:r>
        <w:rPr>
          <w:rFonts w:hint="eastAsia" w:asciiTheme="minorEastAsia" w:hAnsiTheme="minorEastAsia" w:eastAsiaTheme="minorEastAsia" w:cstheme="minorEastAsia"/>
          <w:snapToGrid w:val="0"/>
          <w:color w:val="auto"/>
          <w:kern w:val="0"/>
          <w:sz w:val="21"/>
          <w:szCs w:val="21"/>
          <w:highlight w:val="none"/>
        </w:rPr>
        <w:t>。项目已具备招标条件，现对</w:t>
      </w:r>
      <w:r>
        <w:rPr>
          <w:rFonts w:hint="eastAsia" w:asciiTheme="minorEastAsia" w:hAnsiTheme="minorEastAsia" w:eastAsiaTheme="minorEastAsia" w:cstheme="minorEastAsia"/>
          <w:snapToGrid w:val="0"/>
          <w:color w:val="auto"/>
          <w:kern w:val="0"/>
          <w:sz w:val="21"/>
          <w:szCs w:val="21"/>
          <w:highlight w:val="none"/>
          <w:u w:val="single"/>
          <w:lang w:eastAsia="zh-CN"/>
        </w:rPr>
        <w:t>（土方工程一期）监理</w:t>
      </w:r>
      <w:r>
        <w:rPr>
          <w:rFonts w:hint="eastAsia" w:asciiTheme="minorEastAsia" w:hAnsiTheme="minorEastAsia" w:eastAsiaTheme="minorEastAsia" w:cstheme="minorEastAsia"/>
          <w:snapToGrid w:val="0"/>
          <w:color w:val="auto"/>
          <w:kern w:val="0"/>
          <w:sz w:val="21"/>
          <w:szCs w:val="21"/>
          <w:highlight w:val="none"/>
        </w:rPr>
        <w:t>进行公开招标</w:t>
      </w:r>
      <w:r>
        <w:rPr>
          <w:rFonts w:hint="eastAsia" w:asciiTheme="minorEastAsia" w:hAnsiTheme="minorEastAsia" w:eastAsiaTheme="minorEastAsia" w:cstheme="minorEastAsia"/>
          <w:color w:val="auto"/>
          <w:kern w:val="0"/>
          <w:sz w:val="21"/>
          <w:szCs w:val="21"/>
          <w:highlight w:val="none"/>
        </w:rPr>
        <w:t>。</w:t>
      </w:r>
    </w:p>
    <w:p w14:paraId="4DD27173">
      <w:pPr>
        <w:pStyle w:val="43"/>
        <w:shd w:val="clear" w:color="auto" w:fill="auto"/>
        <w:wordWrap w:val="0"/>
        <w:adjustRightInd w:val="0"/>
        <w:snapToGrid w:val="0"/>
        <w:spacing w:line="440" w:lineRule="exact"/>
        <w:ind w:firstLine="480"/>
        <w:jc w:val="left"/>
        <w:outlineLvl w:val="2"/>
        <w:rPr>
          <w:rFonts w:hint="eastAsia" w:asciiTheme="minorEastAsia" w:hAnsiTheme="minorEastAsia" w:eastAsiaTheme="minorEastAsia" w:cstheme="minorEastAsia"/>
          <w:b/>
          <w:bCs/>
          <w:snapToGrid w:val="0"/>
          <w:color w:val="auto"/>
          <w:kern w:val="0"/>
          <w:sz w:val="21"/>
          <w:szCs w:val="21"/>
          <w:highlight w:val="none"/>
        </w:rPr>
      </w:pPr>
      <w:bookmarkStart w:id="65" w:name="_Toc26736"/>
      <w:r>
        <w:rPr>
          <w:rFonts w:hint="eastAsia" w:asciiTheme="minorEastAsia" w:hAnsiTheme="minorEastAsia" w:eastAsiaTheme="minorEastAsia" w:cstheme="minorEastAsia"/>
          <w:b/>
          <w:bCs/>
          <w:snapToGrid w:val="0"/>
          <w:color w:val="auto"/>
          <w:kern w:val="0"/>
          <w:sz w:val="21"/>
          <w:szCs w:val="21"/>
          <w:highlight w:val="none"/>
        </w:rPr>
        <w:t>1．项目概况、招标范围和标段划分、投标费用</w:t>
      </w:r>
      <w:bookmarkEnd w:id="56"/>
      <w:bookmarkEnd w:id="57"/>
      <w:bookmarkEnd w:id="58"/>
      <w:bookmarkEnd w:id="59"/>
      <w:bookmarkEnd w:id="60"/>
      <w:bookmarkEnd w:id="61"/>
      <w:bookmarkEnd w:id="62"/>
      <w:bookmarkEnd w:id="63"/>
      <w:bookmarkEnd w:id="64"/>
      <w:bookmarkEnd w:id="65"/>
    </w:p>
    <w:p w14:paraId="43AA0124">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w:t>
      </w:r>
      <w:r>
        <w:rPr>
          <w:rFonts w:hint="eastAsia" w:asciiTheme="minorEastAsia" w:hAnsiTheme="minorEastAsia" w:eastAsiaTheme="minorEastAsia" w:cstheme="minorEastAsia"/>
          <w:snapToGrid w:val="0"/>
          <w:color w:val="auto"/>
          <w:kern w:val="0"/>
          <w:sz w:val="21"/>
          <w:szCs w:val="21"/>
          <w:highlight w:val="none"/>
        </w:rPr>
        <w:t xml:space="preserve"> 项目概况</w:t>
      </w:r>
    </w:p>
    <w:p w14:paraId="5C2F3118">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jc w:val="left"/>
        <w:textAlignment w:val="auto"/>
        <w:rPr>
          <w:rFonts w:hint="eastAsia" w:asciiTheme="minorEastAsia" w:hAnsiTheme="minorEastAsia" w:eastAsiaTheme="minorEastAsia" w:cstheme="minorEastAsia"/>
          <w:snapToGrid w:val="0"/>
          <w:color w:val="auto"/>
          <w:kern w:val="0"/>
          <w:sz w:val="21"/>
          <w:szCs w:val="21"/>
          <w:highlight w:val="none"/>
          <w:u w:val="single"/>
          <w:lang w:eastAsia="zh-CN"/>
        </w:rPr>
      </w:pPr>
      <w:r>
        <w:rPr>
          <w:rFonts w:hint="eastAsia" w:asciiTheme="minorEastAsia" w:hAnsiTheme="minorEastAsia" w:eastAsiaTheme="minorEastAsia" w:cstheme="minorEastAsia"/>
          <w:b/>
          <w:bCs/>
          <w:snapToGrid w:val="0"/>
          <w:color w:val="auto"/>
          <w:kern w:val="0"/>
          <w:sz w:val="21"/>
          <w:szCs w:val="21"/>
          <w:highlight w:val="none"/>
        </w:rPr>
        <w:t>1.1.1</w:t>
      </w:r>
      <w:r>
        <w:rPr>
          <w:rFonts w:hint="eastAsia" w:asciiTheme="minorEastAsia" w:hAnsiTheme="minorEastAsia" w:eastAsiaTheme="minorEastAsia" w:cstheme="minorEastAsia"/>
          <w:snapToGrid w:val="0"/>
          <w:color w:val="auto"/>
          <w:kern w:val="0"/>
          <w:sz w:val="21"/>
          <w:szCs w:val="21"/>
          <w:highlight w:val="none"/>
        </w:rPr>
        <w:t xml:space="preserve"> 建设地点：</w:t>
      </w:r>
      <w:r>
        <w:rPr>
          <w:rFonts w:hint="eastAsia" w:asciiTheme="minorEastAsia" w:hAnsiTheme="minorEastAsia" w:eastAsiaTheme="minorEastAsia" w:cstheme="minorEastAsia"/>
          <w:color w:val="auto"/>
          <w:sz w:val="21"/>
          <w:szCs w:val="21"/>
          <w:highlight w:val="none"/>
          <w:u w:val="single"/>
          <w:lang w:val="en-US" w:eastAsia="zh-CN"/>
        </w:rPr>
        <w:t>韶关市中心城区西北部，犁市镇西部</w:t>
      </w:r>
      <w:r>
        <w:rPr>
          <w:rFonts w:hint="eastAsia" w:asciiTheme="minorEastAsia" w:hAnsiTheme="minorEastAsia" w:eastAsiaTheme="minorEastAsia" w:cstheme="minorEastAsia"/>
          <w:snapToGrid w:val="0"/>
          <w:color w:val="auto"/>
          <w:kern w:val="0"/>
          <w:sz w:val="21"/>
          <w:szCs w:val="21"/>
          <w:highlight w:val="none"/>
          <w:u w:val="none"/>
          <w:lang w:val="en-US" w:eastAsia="zh-CN"/>
        </w:rPr>
        <w:t>。</w:t>
      </w:r>
    </w:p>
    <w:p w14:paraId="601008EB">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22" w:firstLineChars="200"/>
        <w:jc w:val="both"/>
        <w:textAlignment w:val="auto"/>
        <w:rPr>
          <w:rFonts w:hint="eastAsia" w:asciiTheme="minorEastAsia" w:hAnsiTheme="minorEastAsia" w:eastAsiaTheme="minorEastAsia" w:cstheme="minorEastAsia"/>
          <w:snapToGrid w:val="0"/>
          <w:color w:val="auto"/>
          <w:kern w:val="0"/>
          <w:sz w:val="21"/>
          <w:szCs w:val="21"/>
          <w:highlight w:val="none"/>
          <w:u w:val="single"/>
          <w:lang w:val="en-US" w:eastAsia="zh-CN"/>
        </w:rPr>
      </w:pPr>
      <w:r>
        <w:rPr>
          <w:rFonts w:hint="eastAsia" w:asciiTheme="minorEastAsia" w:hAnsiTheme="minorEastAsia" w:eastAsiaTheme="minorEastAsia" w:cstheme="minorEastAsia"/>
          <w:b/>
          <w:bCs/>
          <w:snapToGrid w:val="0"/>
          <w:color w:val="auto"/>
          <w:kern w:val="0"/>
          <w:sz w:val="21"/>
          <w:szCs w:val="21"/>
          <w:highlight w:val="none"/>
        </w:rPr>
        <w:t>1.1.2</w:t>
      </w:r>
      <w:r>
        <w:rPr>
          <w:rFonts w:hint="eastAsia" w:asciiTheme="minorEastAsia" w:hAnsiTheme="minorEastAsia" w:eastAsiaTheme="minorEastAsia" w:cstheme="minorEastAsia"/>
          <w:snapToGrid w:val="0"/>
          <w:color w:val="auto"/>
          <w:kern w:val="0"/>
          <w:sz w:val="21"/>
          <w:szCs w:val="21"/>
          <w:highlight w:val="none"/>
        </w:rPr>
        <w:t xml:space="preserve"> 建设内容和规模：</w:t>
      </w:r>
      <w:r>
        <w:rPr>
          <w:rFonts w:hint="eastAsia" w:asciiTheme="minorEastAsia" w:hAnsiTheme="minorEastAsia" w:eastAsiaTheme="minorEastAsia" w:cstheme="minorEastAsia"/>
          <w:color w:val="auto"/>
          <w:spacing w:val="-2"/>
          <w:sz w:val="21"/>
          <w:szCs w:val="21"/>
          <w:highlight w:val="none"/>
          <w:u w:val="single"/>
          <w:lang w:val="en-US" w:eastAsia="zh-CN"/>
        </w:rPr>
        <w:t>土方平整工程及防护工程、临时排水工程等</w:t>
      </w:r>
      <w:r>
        <w:rPr>
          <w:rFonts w:hint="eastAsia" w:asciiTheme="minorEastAsia" w:hAnsiTheme="minorEastAsia" w:eastAsiaTheme="minorEastAsia" w:cstheme="minorEastAsia"/>
          <w:snapToGrid w:val="0"/>
          <w:color w:val="auto"/>
          <w:kern w:val="0"/>
          <w:sz w:val="21"/>
          <w:szCs w:val="21"/>
          <w:highlight w:val="none"/>
          <w:u w:val="single"/>
          <w:lang w:val="en-US" w:eastAsia="zh-CN"/>
        </w:rPr>
        <w:t>。</w:t>
      </w:r>
    </w:p>
    <w:p w14:paraId="508FBEAC">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Theme="minorEastAsia" w:hAnsiTheme="minorEastAsia" w:eastAsiaTheme="minorEastAsia" w:cstheme="minorEastAsia"/>
          <w:b/>
          <w:bCs/>
          <w:snapToGrid w:val="0"/>
          <w:color w:val="auto"/>
          <w:kern w:val="0"/>
          <w:sz w:val="21"/>
          <w:szCs w:val="21"/>
          <w:highlight w:val="none"/>
          <w:u w:val="single"/>
          <w:lang w:eastAsia="zh-CN"/>
        </w:rPr>
      </w:pPr>
      <w:r>
        <w:rPr>
          <w:rFonts w:hint="eastAsia" w:asciiTheme="minorEastAsia" w:hAnsiTheme="minorEastAsia" w:eastAsiaTheme="minorEastAsia" w:cstheme="minorEastAsia"/>
          <w:b/>
          <w:bCs/>
          <w:snapToGrid w:val="0"/>
          <w:color w:val="auto"/>
          <w:kern w:val="0"/>
          <w:sz w:val="21"/>
          <w:szCs w:val="21"/>
          <w:highlight w:val="none"/>
        </w:rPr>
        <w:t>1.1.3</w:t>
      </w:r>
      <w:r>
        <w:rPr>
          <w:rFonts w:hint="eastAsia" w:asciiTheme="minorEastAsia" w:hAnsiTheme="minorEastAsia" w:eastAsiaTheme="minorEastAsia" w:cstheme="minorEastAsia"/>
          <w:snapToGrid w:val="0"/>
          <w:color w:val="auto"/>
          <w:kern w:val="0"/>
          <w:sz w:val="21"/>
          <w:szCs w:val="21"/>
          <w:highlight w:val="none"/>
        </w:rPr>
        <w:t xml:space="preserve"> 项</w:t>
      </w:r>
      <w:r>
        <w:rPr>
          <w:rFonts w:hint="eastAsia" w:asciiTheme="minorEastAsia" w:hAnsiTheme="minorEastAsia" w:eastAsiaTheme="minorEastAsia" w:cstheme="minorEastAsia"/>
          <w:snapToGrid w:val="0"/>
          <w:color w:val="auto"/>
          <w:kern w:val="0"/>
          <w:sz w:val="21"/>
          <w:szCs w:val="21"/>
          <w:highlight w:val="none"/>
          <w:u w:val="none"/>
        </w:rPr>
        <w:t>目</w:t>
      </w:r>
      <w:r>
        <w:rPr>
          <w:rFonts w:hint="eastAsia" w:asciiTheme="minorEastAsia" w:hAnsiTheme="minorEastAsia" w:eastAsiaTheme="minorEastAsia" w:cstheme="minorEastAsia"/>
          <w:snapToGrid w:val="0"/>
          <w:color w:val="auto"/>
          <w:kern w:val="0"/>
          <w:sz w:val="21"/>
          <w:szCs w:val="21"/>
          <w:highlight w:val="none"/>
          <w:u w:val="none"/>
          <w:lang w:eastAsia="zh-CN"/>
        </w:rPr>
        <w:t>概算</w:t>
      </w:r>
      <w:r>
        <w:rPr>
          <w:rFonts w:hint="eastAsia" w:asciiTheme="minorEastAsia" w:hAnsiTheme="minorEastAsia" w:eastAsiaTheme="minorEastAsia" w:cstheme="minorEastAsia"/>
          <w:snapToGrid w:val="0"/>
          <w:color w:val="auto"/>
          <w:kern w:val="0"/>
          <w:sz w:val="21"/>
          <w:szCs w:val="21"/>
          <w:highlight w:val="none"/>
        </w:rPr>
        <w:t>投资额：</w:t>
      </w:r>
      <w:r>
        <w:rPr>
          <w:rFonts w:hint="eastAsia" w:asciiTheme="minorEastAsia" w:hAnsiTheme="minorEastAsia" w:eastAsiaTheme="minorEastAsia" w:cstheme="minorEastAsia"/>
          <w:color w:val="auto"/>
          <w:kern w:val="2"/>
          <w:sz w:val="21"/>
          <w:szCs w:val="21"/>
          <w:highlight w:val="none"/>
          <w:u w:val="single"/>
          <w:lang w:val="en-US" w:eastAsia="zh-CN" w:bidi="ar-SA"/>
        </w:rPr>
        <w:t>本次招标为土方工程监理招标，建安费1220万元，监理费为160000.00元。</w:t>
      </w:r>
    </w:p>
    <w:p w14:paraId="673EF9FD">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1.2 </w:t>
      </w:r>
      <w:r>
        <w:rPr>
          <w:rFonts w:hint="eastAsia" w:asciiTheme="minorEastAsia" w:hAnsiTheme="minorEastAsia" w:eastAsiaTheme="minorEastAsia" w:cstheme="minorEastAsia"/>
          <w:snapToGrid w:val="0"/>
          <w:color w:val="auto"/>
          <w:kern w:val="0"/>
          <w:sz w:val="21"/>
          <w:szCs w:val="21"/>
          <w:highlight w:val="none"/>
        </w:rPr>
        <w:t>招标范围和标段划分</w:t>
      </w:r>
    </w:p>
    <w:p w14:paraId="23771CE9">
      <w:pPr>
        <w:pStyle w:val="43"/>
        <w:shd w:val="clear" w:color="auto" w:fill="auto"/>
        <w:wordWrap w:val="0"/>
        <w:adjustRightInd w:val="0"/>
        <w:snapToGrid w:val="0"/>
        <w:spacing w:line="440" w:lineRule="atLeas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1.2.1</w:t>
      </w:r>
      <w:r>
        <w:rPr>
          <w:rFonts w:hint="eastAsia" w:asciiTheme="minorEastAsia" w:hAnsiTheme="minorEastAsia" w:eastAsiaTheme="minorEastAsia" w:cstheme="minorEastAsia"/>
          <w:snapToGrid w:val="0"/>
          <w:color w:val="auto"/>
          <w:kern w:val="0"/>
          <w:sz w:val="21"/>
          <w:szCs w:val="21"/>
          <w:highlight w:val="none"/>
        </w:rPr>
        <w:t xml:space="preserve"> 招标范围</w:t>
      </w:r>
    </w:p>
    <w:p w14:paraId="468E0C86">
      <w:pPr>
        <w:pStyle w:val="43"/>
        <w:shd w:val="clear" w:color="auto" w:fill="auto"/>
        <w:wordWrap w:val="0"/>
        <w:adjustRightInd w:val="0"/>
        <w:snapToGrid w:val="0"/>
        <w:spacing w:line="440" w:lineRule="atLeast"/>
        <w:ind w:firstLine="480"/>
        <w:jc w:val="left"/>
        <w:rPr>
          <w:rFonts w:hint="eastAsia" w:asciiTheme="minorEastAsia" w:hAnsiTheme="minorEastAsia" w:eastAsiaTheme="minorEastAsia" w:cstheme="minorEastAsia"/>
          <w:snapToGrid w:val="0"/>
          <w:color w:val="auto"/>
          <w:kern w:val="0"/>
          <w:sz w:val="21"/>
          <w:szCs w:val="21"/>
          <w:highlight w:val="none"/>
          <w:u w:val="singl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监理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bidi="ar-SA"/>
        </w:rPr>
        <w:t>项目建设施工阶段监理（含施工准备阶段、施工阶段、工程竣工结算阶段和保修阶段监理）。</w:t>
      </w:r>
      <w:bookmarkStart w:id="66" w:name="_Toc20944"/>
    </w:p>
    <w:p w14:paraId="0BDDEE73">
      <w:pPr>
        <w:shd w:val="clear" w:color="auto" w:fill="auto"/>
        <w:wordWrap w:val="0"/>
        <w:adjustRightInd w:val="0"/>
        <w:snapToGrid w:val="0"/>
        <w:spacing w:line="440" w:lineRule="exact"/>
        <w:ind w:firstLine="48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1.2.2</w:t>
      </w:r>
      <w:r>
        <w:rPr>
          <w:rFonts w:hint="eastAsia" w:asciiTheme="minorEastAsia" w:hAnsiTheme="minorEastAsia" w:eastAsiaTheme="minorEastAsia" w:cstheme="minorEastAsia"/>
          <w:snapToGrid w:val="0"/>
          <w:color w:val="auto"/>
          <w:kern w:val="0"/>
          <w:sz w:val="21"/>
          <w:szCs w:val="21"/>
          <w:highlight w:val="none"/>
        </w:rPr>
        <w:t xml:space="preserve"> 标段划分：</w:t>
      </w:r>
      <w:r>
        <w:rPr>
          <w:rFonts w:hint="eastAsia" w:asciiTheme="minorEastAsia" w:hAnsiTheme="minorEastAsia" w:eastAsiaTheme="minorEastAsia" w:cstheme="minorEastAsia"/>
          <w:snapToGrid w:val="0"/>
          <w:color w:val="auto"/>
          <w:kern w:val="0"/>
          <w:sz w:val="21"/>
          <w:szCs w:val="21"/>
          <w:highlight w:val="none"/>
          <w:u w:val="single"/>
        </w:rPr>
        <w:t>本招标项目不划分标段。</w:t>
      </w:r>
      <w:bookmarkEnd w:id="66"/>
    </w:p>
    <w:p w14:paraId="6FABEDD3">
      <w:pPr>
        <w:shd w:val="clear" w:color="auto" w:fill="auto"/>
        <w:wordWrap w:val="0"/>
        <w:adjustRightInd w:val="0"/>
        <w:snapToGrid w:val="0"/>
        <w:spacing w:line="440" w:lineRule="exact"/>
        <w:ind w:firstLine="466" w:firstLineChars="221"/>
        <w:rPr>
          <w:rFonts w:hint="eastAsia" w:asciiTheme="minorEastAsia" w:hAnsiTheme="minorEastAsia" w:eastAsiaTheme="minorEastAsia" w:cstheme="minorEastAsia"/>
          <w:snapToGrid w:val="0"/>
          <w:color w:val="auto"/>
          <w:kern w:val="0"/>
          <w:sz w:val="21"/>
          <w:szCs w:val="21"/>
          <w:highlight w:val="none"/>
          <w:u w:val="single"/>
        </w:rPr>
      </w:pPr>
      <w:r>
        <w:rPr>
          <w:rFonts w:hint="eastAsia" w:asciiTheme="minorEastAsia" w:hAnsiTheme="minorEastAsia" w:eastAsiaTheme="minorEastAsia" w:cstheme="minorEastAsia"/>
          <w:b/>
          <w:bCs/>
          <w:snapToGrid w:val="0"/>
          <w:color w:val="auto"/>
          <w:kern w:val="0"/>
          <w:sz w:val="21"/>
          <w:szCs w:val="21"/>
          <w:highlight w:val="none"/>
        </w:rPr>
        <w:t>1.3</w:t>
      </w:r>
      <w:r>
        <w:rPr>
          <w:rFonts w:hint="eastAsia" w:asciiTheme="minorEastAsia" w:hAnsiTheme="minorEastAsia" w:eastAsiaTheme="minorEastAsia" w:cstheme="minorEastAsia"/>
          <w:snapToGrid w:val="0"/>
          <w:color w:val="auto"/>
          <w:kern w:val="0"/>
          <w:sz w:val="21"/>
          <w:szCs w:val="21"/>
          <w:highlight w:val="none"/>
        </w:rPr>
        <w:t xml:space="preserve"> 投标费用：</w:t>
      </w:r>
      <w:r>
        <w:rPr>
          <w:rFonts w:hint="eastAsia" w:asciiTheme="minorEastAsia" w:hAnsiTheme="minorEastAsia" w:eastAsiaTheme="minorEastAsia" w:cstheme="minorEastAsia"/>
          <w:snapToGrid w:val="0"/>
          <w:color w:val="auto"/>
          <w:kern w:val="0"/>
          <w:sz w:val="21"/>
          <w:szCs w:val="21"/>
          <w:highlight w:val="none"/>
          <w:u w:val="single"/>
        </w:rPr>
        <w:t>投标人应承担所有准备和参加投标的相关费用，不论投标结果如何，招标人均无义务和责任承担这些费用。</w:t>
      </w:r>
    </w:p>
    <w:p w14:paraId="7B65D221">
      <w:pPr>
        <w:shd w:val="clear" w:color="auto" w:fill="auto"/>
        <w:spacing w:before="22" w:line="360" w:lineRule="auto"/>
        <w:ind w:left="496"/>
        <w:rPr>
          <w:rFonts w:hint="eastAsia" w:asciiTheme="minorEastAsia" w:hAnsiTheme="minorEastAsia" w:eastAsiaTheme="minorEastAsia" w:cstheme="minorEastAsia"/>
          <w:snapToGrid w:val="0"/>
          <w:color w:val="auto"/>
          <w:kern w:val="0"/>
          <w:sz w:val="21"/>
          <w:szCs w:val="21"/>
          <w:highlight w:val="none"/>
          <w:u w:val="single"/>
        </w:rPr>
      </w:pPr>
      <w:r>
        <w:rPr>
          <w:rFonts w:hint="eastAsia" w:asciiTheme="minorEastAsia" w:hAnsiTheme="minorEastAsia" w:eastAsiaTheme="minorEastAsia" w:cstheme="minorEastAsia"/>
          <w:b/>
          <w:bCs/>
          <w:color w:val="auto"/>
          <w:spacing w:val="-6"/>
          <w:sz w:val="21"/>
          <w:szCs w:val="21"/>
          <w:highlight w:val="none"/>
        </w:rPr>
        <w:t xml:space="preserve">1.4  </w:t>
      </w:r>
      <w:r>
        <w:rPr>
          <w:rFonts w:hint="eastAsia" w:asciiTheme="minorEastAsia" w:hAnsiTheme="minorEastAsia" w:eastAsiaTheme="minorEastAsia" w:cstheme="minorEastAsia"/>
          <w:color w:val="auto"/>
          <w:spacing w:val="-6"/>
          <w:sz w:val="21"/>
          <w:szCs w:val="21"/>
          <w:highlight w:val="none"/>
        </w:rPr>
        <w:t>招标代理费用：</w:t>
      </w:r>
      <w:r>
        <w:rPr>
          <w:rFonts w:hint="eastAsia" w:asciiTheme="minorEastAsia" w:hAnsiTheme="minorEastAsia" w:eastAsiaTheme="minorEastAsia" w:cstheme="minorEastAsia"/>
          <w:color w:val="auto"/>
          <w:spacing w:val="17"/>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82"/>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w:t>
      </w:r>
      <w:r>
        <w:rPr>
          <w:rFonts w:hint="eastAsia" w:asciiTheme="minorEastAsia" w:hAnsiTheme="minorEastAsia" w:eastAsiaTheme="minorEastAsia" w:cstheme="minorEastAsia"/>
          <w:color w:val="auto"/>
          <w:spacing w:val="6"/>
          <w:sz w:val="21"/>
          <w:szCs w:val="21"/>
          <w:highlight w:val="none"/>
        </w:rPr>
        <w:t>项目业主</w:t>
      </w:r>
      <w:r>
        <w:rPr>
          <w:rFonts w:hint="eastAsia" w:asciiTheme="minorEastAsia" w:hAnsiTheme="minorEastAsia" w:eastAsiaTheme="minorEastAsia" w:cstheme="minorEastAsia"/>
          <w:color w:val="auto"/>
          <w:spacing w:val="-6"/>
          <w:sz w:val="21"/>
          <w:szCs w:val="21"/>
          <w:highlight w:val="none"/>
          <w:shd w:val="clear" w:color="auto" w:fill="FFFFFF"/>
        </w:rPr>
        <w:t>支</w:t>
      </w:r>
      <w:r>
        <w:rPr>
          <w:rFonts w:hint="eastAsia" w:asciiTheme="minorEastAsia" w:hAnsiTheme="minorEastAsia" w:eastAsiaTheme="minorEastAsia" w:cstheme="minorEastAsia"/>
          <w:color w:val="auto"/>
          <w:spacing w:val="-6"/>
          <w:sz w:val="21"/>
          <w:szCs w:val="21"/>
          <w:highlight w:val="none"/>
        </w:rPr>
        <w:t>付</w:t>
      </w:r>
      <w:r>
        <w:rPr>
          <w:rFonts w:hint="eastAsia" w:asciiTheme="minorEastAsia" w:hAnsiTheme="minorEastAsia" w:eastAsiaTheme="minorEastAsia" w:cstheme="minorEastAsia"/>
          <w:color w:val="auto"/>
          <w:position w:val="-6"/>
          <w:sz w:val="21"/>
          <w:szCs w:val="21"/>
          <w:highlight w:val="none"/>
          <w:shd w:val="clear" w:color="auto" w:fill="FFFFFF"/>
          <w:lang w:eastAsia="zh-CN"/>
        </w:rPr>
        <w:t xml:space="preserve"> </w:t>
      </w:r>
      <w:r>
        <w:rPr>
          <w:rFonts w:hint="eastAsia" w:asciiTheme="minorEastAsia" w:hAnsiTheme="minorEastAsia" w:eastAsiaTheme="minorEastAsia" w:cstheme="minorEastAsia"/>
          <w:color w:val="auto"/>
          <w:spacing w:val="-6"/>
          <w:sz w:val="21"/>
          <w:szCs w:val="21"/>
          <w:highlight w:val="none"/>
          <w:shd w:val="clear" w:color="auto" w:fill="FFFFFF"/>
          <w:lang w:eastAsia="zh-CN"/>
        </w:rPr>
        <w:t>☑</w:t>
      </w:r>
      <w:r>
        <w:rPr>
          <w:rFonts w:hint="eastAsia" w:asciiTheme="minorEastAsia" w:hAnsiTheme="minorEastAsia" w:eastAsiaTheme="minorEastAsia" w:cstheme="minorEastAsia"/>
          <w:color w:val="auto"/>
          <w:spacing w:val="-81"/>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由中标人支付。</w:t>
      </w:r>
    </w:p>
    <w:p w14:paraId="3FEF23D4">
      <w:pPr>
        <w:shd w:val="clear" w:color="auto" w:fill="auto"/>
        <w:wordWrap w:val="0"/>
        <w:adjustRightInd w:val="0"/>
        <w:snapToGrid w:val="0"/>
        <w:spacing w:line="440" w:lineRule="exact"/>
        <w:ind w:firstLine="464" w:firstLineChars="221"/>
        <w:rPr>
          <w:rFonts w:hint="eastAsia" w:asciiTheme="minorEastAsia" w:hAnsiTheme="minorEastAsia" w:eastAsiaTheme="minorEastAsia" w:cstheme="minorEastAsia"/>
          <w:snapToGrid w:val="0"/>
          <w:color w:val="auto"/>
          <w:kern w:val="0"/>
          <w:sz w:val="21"/>
          <w:szCs w:val="21"/>
          <w:highlight w:val="none"/>
        </w:rPr>
      </w:pPr>
    </w:p>
    <w:p w14:paraId="4576CC3F">
      <w:pPr>
        <w:pStyle w:val="43"/>
        <w:shd w:val="clear" w:color="auto" w:fill="auto"/>
        <w:ind w:firstLine="422" w:firstLineChars="200"/>
        <w:jc w:val="left"/>
        <w:outlineLvl w:val="2"/>
        <w:rPr>
          <w:rFonts w:hint="eastAsia" w:asciiTheme="minorEastAsia" w:hAnsiTheme="minorEastAsia" w:eastAsiaTheme="minorEastAsia" w:cstheme="minorEastAsia"/>
          <w:b/>
          <w:bCs/>
          <w:snapToGrid w:val="0"/>
          <w:color w:val="auto"/>
          <w:kern w:val="0"/>
          <w:sz w:val="21"/>
          <w:szCs w:val="21"/>
          <w:highlight w:val="none"/>
        </w:rPr>
      </w:pPr>
      <w:bookmarkStart w:id="67" w:name="_Toc385"/>
      <w:bookmarkStart w:id="68" w:name="_Toc10624"/>
      <w:bookmarkStart w:id="69" w:name="_Toc21652"/>
      <w:bookmarkStart w:id="70" w:name="_Toc3407"/>
      <w:bookmarkStart w:id="71" w:name="_Toc21201"/>
      <w:bookmarkStart w:id="72" w:name="_Toc32501"/>
      <w:bookmarkStart w:id="73" w:name="_Toc18493"/>
      <w:bookmarkStart w:id="74" w:name="_Toc6851"/>
      <w:bookmarkStart w:id="75" w:name="_Toc4482"/>
      <w:bookmarkStart w:id="76" w:name="_Toc10258"/>
      <w:bookmarkStart w:id="77" w:name="_Toc25237"/>
      <w:r>
        <w:rPr>
          <w:rFonts w:hint="eastAsia" w:asciiTheme="minorEastAsia" w:hAnsiTheme="minorEastAsia" w:eastAsiaTheme="minorEastAsia" w:cstheme="minorEastAsia"/>
          <w:b/>
          <w:bCs/>
          <w:snapToGrid w:val="0"/>
          <w:color w:val="auto"/>
          <w:kern w:val="0"/>
          <w:sz w:val="21"/>
          <w:szCs w:val="21"/>
          <w:highlight w:val="none"/>
        </w:rPr>
        <w:t>2．投标人资格要求</w:t>
      </w:r>
      <w:bookmarkEnd w:id="67"/>
      <w:bookmarkEnd w:id="68"/>
      <w:bookmarkEnd w:id="69"/>
      <w:bookmarkEnd w:id="70"/>
      <w:bookmarkEnd w:id="71"/>
      <w:bookmarkEnd w:id="72"/>
      <w:bookmarkEnd w:id="73"/>
      <w:bookmarkEnd w:id="74"/>
      <w:bookmarkEnd w:id="75"/>
      <w:bookmarkEnd w:id="76"/>
      <w:bookmarkEnd w:id="77"/>
      <w:bookmarkStart w:id="78" w:name="_Hlt74496495"/>
      <w:bookmarkEnd w:id="78"/>
    </w:p>
    <w:p w14:paraId="5957782C">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2" w:firstLineChars="200"/>
        <w:jc w:val="lef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2.1</w:t>
      </w:r>
      <w:r>
        <w:rPr>
          <w:rFonts w:hint="eastAsia" w:asciiTheme="minorEastAsia" w:hAnsiTheme="minorEastAsia" w:eastAsiaTheme="minorEastAsia" w:cstheme="minorEastAsia"/>
          <w:snapToGrid w:val="0"/>
          <w:color w:val="auto"/>
          <w:kern w:val="0"/>
          <w:sz w:val="21"/>
          <w:szCs w:val="21"/>
          <w:highlight w:val="none"/>
        </w:rPr>
        <w:t xml:space="preserve"> 本次招标</w:t>
      </w:r>
      <w:r>
        <w:rPr>
          <w:rFonts w:hint="eastAsia" w:asciiTheme="minorEastAsia" w:hAnsiTheme="minorEastAsia" w:eastAsiaTheme="minorEastAsia" w:cstheme="minorEastAsia"/>
          <w:snapToGrid w:val="0"/>
          <w:color w:val="auto"/>
          <w:kern w:val="0"/>
          <w:sz w:val="21"/>
          <w:szCs w:val="21"/>
          <w:highlight w:val="none"/>
          <w:u w:val="single"/>
        </w:rPr>
        <w:t>不接受</w:t>
      </w:r>
      <w:r>
        <w:rPr>
          <w:rFonts w:hint="eastAsia" w:asciiTheme="minorEastAsia" w:hAnsiTheme="minorEastAsia" w:eastAsiaTheme="minorEastAsia" w:cstheme="minorEastAsia"/>
          <w:snapToGrid w:val="0"/>
          <w:color w:val="auto"/>
          <w:kern w:val="0"/>
          <w:sz w:val="21"/>
          <w:szCs w:val="21"/>
          <w:highlight w:val="none"/>
        </w:rPr>
        <w:t>联合体投标。</w:t>
      </w:r>
    </w:p>
    <w:p w14:paraId="05314D1D">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2.2</w:t>
      </w:r>
      <w:r>
        <w:rPr>
          <w:rFonts w:hint="eastAsia" w:asciiTheme="minorEastAsia" w:hAnsiTheme="minorEastAsia" w:eastAsiaTheme="minorEastAsia" w:cstheme="minorEastAsia"/>
          <w:snapToGrid w:val="0"/>
          <w:color w:val="auto"/>
          <w:kern w:val="0"/>
          <w:sz w:val="21"/>
          <w:szCs w:val="21"/>
          <w:highlight w:val="none"/>
        </w:rPr>
        <w:t xml:space="preserve"> 资格资质要求</w:t>
      </w:r>
    </w:p>
    <w:p w14:paraId="74BA0C79">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2.2.1</w:t>
      </w:r>
      <w:r>
        <w:rPr>
          <w:rFonts w:hint="eastAsia" w:asciiTheme="minorEastAsia" w:hAnsiTheme="minorEastAsia" w:eastAsiaTheme="minorEastAsia" w:cstheme="minorEastAsia"/>
          <w:snapToGrid w:val="0"/>
          <w:color w:val="auto"/>
          <w:kern w:val="0"/>
          <w:sz w:val="21"/>
          <w:szCs w:val="21"/>
          <w:highlight w:val="none"/>
        </w:rPr>
        <w:t xml:space="preserve"> 投标人须具备独立法人资格，按国家法律经营。</w:t>
      </w:r>
    </w:p>
    <w:p w14:paraId="573884C5">
      <w:pPr>
        <w:keepNext w:val="0"/>
        <w:keepLines w:val="0"/>
        <w:pageBreakBefore w:val="0"/>
        <w:widowControl w:val="0"/>
        <w:shd w:val="clear" w:color="auto" w:fill="auto"/>
        <w:kinsoku/>
        <w:overflowPunct/>
        <w:topLinePunct w:val="0"/>
        <w:autoSpaceDE/>
        <w:autoSpaceDN/>
        <w:bidi w:val="0"/>
        <w:spacing w:before="0" w:after="0" w:line="440" w:lineRule="exact"/>
        <w:ind w:firstLine="422" w:firstLineChars="200"/>
        <w:textAlignment w:val="auto"/>
        <w:outlineLvl w:val="9"/>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b/>
          <w:bCs/>
          <w:snapToGrid w:val="0"/>
          <w:color w:val="auto"/>
          <w:kern w:val="0"/>
          <w:sz w:val="21"/>
          <w:szCs w:val="21"/>
          <w:highlight w:val="none"/>
        </w:rPr>
        <w:t>2.2.2</w:t>
      </w:r>
      <w:r>
        <w:rPr>
          <w:rFonts w:hint="eastAsia" w:asciiTheme="minorEastAsia" w:hAnsiTheme="minorEastAsia" w:eastAsiaTheme="minorEastAsia" w:cstheme="minorEastAsia"/>
          <w:snapToGrid w:val="0"/>
          <w:color w:val="auto"/>
          <w:kern w:val="0"/>
          <w:sz w:val="21"/>
          <w:szCs w:val="21"/>
          <w:highlight w:val="none"/>
        </w:rPr>
        <w:t xml:space="preserve"> 投标人须具备以下资质：</w:t>
      </w:r>
      <w:r>
        <w:rPr>
          <w:rFonts w:hint="eastAsia" w:asciiTheme="minorEastAsia" w:hAnsiTheme="minorEastAsia" w:eastAsiaTheme="minorEastAsia" w:cstheme="minorEastAsia"/>
          <w:color w:val="auto"/>
          <w:sz w:val="21"/>
          <w:szCs w:val="21"/>
          <w:highlight w:val="none"/>
          <w:u w:val="single"/>
          <w:lang w:eastAsia="zh-CN"/>
        </w:rPr>
        <w:t>工程监理综合资质或市政公用工程专业监理乙级以上（含乙级）资质。</w:t>
      </w:r>
    </w:p>
    <w:p w14:paraId="62A0E460">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rPr>
        <w:t>2.2.3</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根据有关文件精神，投标人的企业相关证书到期的，均按该证书的发证机构相关行业主管部门最新文件执行（如自动顺延或推迟办理延期业务的通知），</w:t>
      </w:r>
      <w:r>
        <w:rPr>
          <w:rFonts w:hint="eastAsia" w:asciiTheme="minorEastAsia" w:hAnsiTheme="minorEastAsia" w:eastAsiaTheme="minorEastAsia" w:cstheme="minorEastAsia"/>
          <w:b/>
          <w:bCs/>
          <w:snapToGrid w:val="0"/>
          <w:color w:val="auto"/>
          <w:kern w:val="0"/>
          <w:sz w:val="21"/>
          <w:szCs w:val="21"/>
          <w:highlight w:val="none"/>
          <w:lang w:eastAsia="zh-CN"/>
        </w:rPr>
        <w:t>投标人必须将相关文件附在该证书后面中，证明在开标日继续有效</w:t>
      </w:r>
      <w:r>
        <w:rPr>
          <w:rFonts w:hint="eastAsia" w:asciiTheme="minorEastAsia" w:hAnsiTheme="minorEastAsia" w:eastAsiaTheme="minorEastAsia" w:cstheme="minorEastAsia"/>
          <w:snapToGrid w:val="0"/>
          <w:color w:val="auto"/>
          <w:kern w:val="0"/>
          <w:sz w:val="21"/>
          <w:szCs w:val="21"/>
          <w:highlight w:val="none"/>
          <w:lang w:eastAsia="zh-CN"/>
        </w:rPr>
        <w:t>。</w:t>
      </w:r>
    </w:p>
    <w:p w14:paraId="4314C97C">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2.3</w:t>
      </w:r>
      <w:r>
        <w:rPr>
          <w:rFonts w:hint="eastAsia" w:asciiTheme="minorEastAsia" w:hAnsiTheme="minorEastAsia" w:eastAsiaTheme="minorEastAsia" w:cstheme="minorEastAsia"/>
          <w:snapToGrid w:val="0"/>
          <w:color w:val="auto"/>
          <w:kern w:val="0"/>
          <w:sz w:val="21"/>
          <w:szCs w:val="21"/>
          <w:highlight w:val="none"/>
        </w:rPr>
        <w:t xml:space="preserve"> 相关人员要求</w:t>
      </w:r>
    </w:p>
    <w:p w14:paraId="3CE60D09">
      <w:pPr>
        <w:pStyle w:val="43"/>
        <w:shd w:val="clear" w:color="auto" w:fill="auto"/>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2.3.1 </w:t>
      </w:r>
      <w:r>
        <w:rPr>
          <w:rFonts w:hint="eastAsia" w:asciiTheme="minorEastAsia" w:hAnsiTheme="minorEastAsia" w:eastAsiaTheme="minorEastAsia" w:cstheme="minorEastAsia"/>
          <w:snapToGrid w:val="0"/>
          <w:color w:val="auto"/>
          <w:kern w:val="0"/>
          <w:sz w:val="21"/>
          <w:szCs w:val="21"/>
          <w:highlight w:val="none"/>
          <w:lang w:eastAsia="zh-CN"/>
        </w:rPr>
        <w:t>拟委派的总监理工程师为</w:t>
      </w:r>
      <w:r>
        <w:rPr>
          <w:rFonts w:hint="eastAsia" w:asciiTheme="minorEastAsia" w:hAnsiTheme="minorEastAsia" w:eastAsiaTheme="minorEastAsia" w:cstheme="minorEastAsia"/>
          <w:snapToGrid w:val="0"/>
          <w:color w:val="auto"/>
          <w:kern w:val="0"/>
          <w:sz w:val="21"/>
          <w:szCs w:val="21"/>
          <w:highlight w:val="none"/>
          <w:u w:val="single"/>
          <w:lang w:eastAsia="zh-CN"/>
        </w:rPr>
        <w:t>市政公用工程</w:t>
      </w:r>
      <w:r>
        <w:rPr>
          <w:rFonts w:hint="eastAsia" w:asciiTheme="minorEastAsia" w:hAnsiTheme="minorEastAsia" w:eastAsiaTheme="minorEastAsia" w:cstheme="minorEastAsia"/>
          <w:snapToGrid w:val="0"/>
          <w:color w:val="auto"/>
          <w:kern w:val="0"/>
          <w:sz w:val="21"/>
          <w:szCs w:val="21"/>
          <w:highlight w:val="none"/>
          <w:lang w:eastAsia="zh-CN"/>
        </w:rPr>
        <w:t>专业注册监理工程师</w:t>
      </w:r>
      <w:r>
        <w:rPr>
          <w:rFonts w:hint="eastAsia" w:asciiTheme="minorEastAsia" w:hAnsiTheme="minorEastAsia" w:eastAsiaTheme="minorEastAsia" w:cstheme="minorEastAsia"/>
          <w:snapToGrid w:val="0"/>
          <w:color w:val="auto"/>
          <w:kern w:val="0"/>
          <w:sz w:val="21"/>
          <w:szCs w:val="21"/>
          <w:highlight w:val="none"/>
        </w:rPr>
        <w:t>，应持有国家住建部印发的有效注册证书，其担任总监理工程师职务的其他在施（包括已中标未开工、已开工未竣工）建设工程项目不得超过</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个。</w:t>
      </w:r>
    </w:p>
    <w:p w14:paraId="6C509717">
      <w:pPr>
        <w:pStyle w:val="43"/>
        <w:shd w:val="clear" w:color="auto" w:fill="auto"/>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拟派总监理工程师现阶段有担任其他在施建设工程项目总监理工程师职务的，须得到任职项目建设单位书面同意后方可担任本招标项目总监理工程师。</w:t>
      </w:r>
    </w:p>
    <w:p w14:paraId="64DCA3A8">
      <w:pPr>
        <w:pStyle w:val="43"/>
        <w:shd w:val="clear" w:color="auto" w:fill="auto"/>
        <w:wordWrap w:val="0"/>
        <w:adjustRightInd w:val="0"/>
        <w:snapToGrid w:val="0"/>
        <w:spacing w:line="440" w:lineRule="exact"/>
        <w:ind w:firstLine="422"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2.3.2</w:t>
      </w:r>
      <w:r>
        <w:rPr>
          <w:rFonts w:hint="eastAsia" w:asciiTheme="minorEastAsia" w:hAnsiTheme="minorEastAsia" w:eastAsiaTheme="minorEastAsia" w:cstheme="minorEastAsia"/>
          <w:snapToGrid w:val="0"/>
          <w:color w:val="auto"/>
          <w:kern w:val="0"/>
          <w:sz w:val="21"/>
          <w:szCs w:val="21"/>
          <w:highlight w:val="none"/>
        </w:rPr>
        <w:t xml:space="preserve"> 投标人与其拟委派的往本项目监理机构的所有人员之间必须具备合法、唯一的劳动聘用关系。拟委派的人员中具备注册执业资格的，其注册单位须与投标人保持一致。</w:t>
      </w:r>
    </w:p>
    <w:p w14:paraId="375117E7">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2.4</w:t>
      </w:r>
      <w:r>
        <w:rPr>
          <w:rFonts w:hint="eastAsia" w:asciiTheme="minorEastAsia" w:hAnsiTheme="minorEastAsia" w:eastAsiaTheme="minorEastAsia" w:cstheme="minorEastAsia"/>
          <w:snapToGrid w:val="0"/>
          <w:color w:val="auto"/>
          <w:kern w:val="0"/>
          <w:sz w:val="21"/>
          <w:szCs w:val="21"/>
          <w:highlight w:val="none"/>
        </w:rPr>
        <w:t xml:space="preserve"> 禁止投标条款</w:t>
      </w:r>
    </w:p>
    <w:p w14:paraId="06AAA283">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2.4.1</w:t>
      </w:r>
      <w:r>
        <w:rPr>
          <w:rFonts w:hint="eastAsia" w:asciiTheme="minorEastAsia" w:hAnsiTheme="minorEastAsia" w:eastAsiaTheme="minorEastAsia" w:cstheme="minorEastAsia"/>
          <w:snapToGrid w:val="0"/>
          <w:color w:val="auto"/>
          <w:kern w:val="0"/>
          <w:sz w:val="21"/>
          <w:szCs w:val="21"/>
          <w:highlight w:val="none"/>
        </w:rPr>
        <w:t xml:space="preserve"> 投标人不得存在下列情形之一：</w:t>
      </w:r>
    </w:p>
    <w:p w14:paraId="47E5BD07">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（1）为招标人不具有独立法人资格的附属机构（单位）；</w:t>
      </w:r>
    </w:p>
    <w:p w14:paraId="5D32FDC0">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（2）与招标人存在利害关系且可能影响招标公正性；</w:t>
      </w:r>
    </w:p>
    <w:p w14:paraId="3BD6579A">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（3）与本招标项目的其他投标人为同一个单位负责人；</w:t>
      </w:r>
    </w:p>
    <w:p w14:paraId="0B3F93AD">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（4）与本招标项目的其他投标人存在控股、管理关系；</w:t>
      </w:r>
    </w:p>
    <w:p w14:paraId="6F565555">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（5）为本招标项目的代建人；</w:t>
      </w:r>
    </w:p>
    <w:p w14:paraId="5F78ADA5">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（6）为本招标项目的招标代理机构；</w:t>
      </w:r>
    </w:p>
    <w:p w14:paraId="5FA8BE27">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（7）与本招标项目的代建人或招标代理机构同为一个法定代表人；</w:t>
      </w:r>
    </w:p>
    <w:p w14:paraId="18A977BE">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（8）与本招标项目的代建人或招标代理机构存在控股或参股关系；</w:t>
      </w:r>
    </w:p>
    <w:p w14:paraId="39BBCD14">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（9）与本招标项目的施工承包人以及建筑材料、建筑构配件和设备供应商有隶属关系或者其他利害关系；</w:t>
      </w:r>
    </w:p>
    <w:p w14:paraId="4F3DA12C">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（10）被依法暂停或者取消投标资格；</w:t>
      </w:r>
    </w:p>
    <w:p w14:paraId="66DCAB55">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（11）被责令停产停业、暂扣或者吊销许可证、暂扣或者吊销执照；</w:t>
      </w:r>
    </w:p>
    <w:p w14:paraId="2DB11AC4">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（12）进入清算程序，或被宣告破产，或其他丧失履约能力的情形；</w:t>
      </w:r>
    </w:p>
    <w:p w14:paraId="39B33785">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（13）在最近三年内发生重大监理质量或安全问题（以相关行业主管部门的行政处罚决定或司法机关出具的有关法律文书为准）；</w:t>
      </w:r>
    </w:p>
    <w:p w14:paraId="533605CE">
      <w:pPr>
        <w:pStyle w:val="43"/>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 xml:space="preserve"> （14）</w:t>
      </w:r>
      <w:r>
        <w:rPr>
          <w:rFonts w:hint="eastAsia" w:asciiTheme="minorEastAsia" w:hAnsiTheme="minorEastAsia" w:eastAsiaTheme="minorEastAsia" w:cstheme="minorEastAsia"/>
          <w:snapToGrid w:val="0"/>
          <w:color w:val="auto"/>
          <w:kern w:val="0"/>
          <w:sz w:val="21"/>
          <w:szCs w:val="21"/>
          <w:highlight w:val="none"/>
          <w:lang w:eastAsia="zh-CN"/>
        </w:rPr>
        <w:t>被“信用中国”网站（https://www.creditchina.gov.cn）发布的《法人和非法人组织公共信用信息报告》列为严重失信主体名单的。</w:t>
      </w:r>
    </w:p>
    <w:p w14:paraId="0DCC8EAC">
      <w:pPr>
        <w:pStyle w:val="43"/>
        <w:shd w:val="clear" w:color="auto" w:fill="auto"/>
        <w:wordWrap w:val="0"/>
        <w:adjustRightInd w:val="0"/>
        <w:snapToGrid w:val="0"/>
        <w:spacing w:line="440" w:lineRule="exact"/>
        <w:ind w:firstLine="422"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2.4.2</w:t>
      </w:r>
      <w:r>
        <w:rPr>
          <w:rFonts w:hint="eastAsia" w:asciiTheme="minorEastAsia" w:hAnsiTheme="minorEastAsia" w:eastAsiaTheme="minorEastAsia" w:cstheme="minorEastAsia"/>
          <w:snapToGrid w:val="0"/>
          <w:color w:val="auto"/>
          <w:kern w:val="0"/>
          <w:sz w:val="21"/>
          <w:szCs w:val="21"/>
          <w:highlight w:val="none"/>
        </w:rPr>
        <w:t xml:space="preserve"> 招标人拒绝以下名单中的单位参加本次投标：</w:t>
      </w:r>
    </w:p>
    <w:tbl>
      <w:tblPr>
        <w:tblStyle w:val="24"/>
        <w:tblpPr w:leftFromText="180" w:rightFromText="180" w:vertAnchor="text" w:horzAnchor="margin" w:tblpXSpec="center" w:tblpY="10"/>
        <w:tblOverlap w:val="neve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7"/>
        <w:gridCol w:w="4571"/>
        <w:gridCol w:w="3521"/>
      </w:tblGrid>
      <w:tr w14:paraId="3C1AD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2AC7D43B">
            <w:pPr>
              <w:pStyle w:val="4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序号</w:t>
            </w:r>
          </w:p>
        </w:tc>
        <w:tc>
          <w:tcPr>
            <w:tcW w:w="4571" w:type="dxa"/>
            <w:tcBorders>
              <w:top w:val="outset" w:color="auto" w:sz="6" w:space="0"/>
              <w:left w:val="outset" w:color="auto" w:sz="6" w:space="0"/>
              <w:bottom w:val="outset" w:color="auto" w:sz="6" w:space="0"/>
              <w:right w:val="outset" w:color="auto" w:sz="6" w:space="0"/>
            </w:tcBorders>
            <w:vAlign w:val="center"/>
          </w:tcPr>
          <w:p w14:paraId="3B01DD40">
            <w:pPr>
              <w:pStyle w:val="4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单位名称</w:t>
            </w:r>
          </w:p>
        </w:tc>
        <w:tc>
          <w:tcPr>
            <w:tcW w:w="3521" w:type="dxa"/>
            <w:tcBorders>
              <w:top w:val="outset" w:color="auto" w:sz="6" w:space="0"/>
              <w:left w:val="outset" w:color="auto" w:sz="6" w:space="0"/>
              <w:bottom w:val="outset" w:color="auto" w:sz="6" w:space="0"/>
              <w:right w:val="outset" w:color="auto" w:sz="6" w:space="0"/>
            </w:tcBorders>
            <w:vAlign w:val="center"/>
          </w:tcPr>
          <w:p w14:paraId="4CC6A7FD">
            <w:pPr>
              <w:pStyle w:val="4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拒绝原因</w:t>
            </w:r>
          </w:p>
        </w:tc>
      </w:tr>
      <w:tr w14:paraId="0BE73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4E3E36BD">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1</w:t>
            </w:r>
          </w:p>
        </w:tc>
        <w:tc>
          <w:tcPr>
            <w:tcW w:w="4571" w:type="dxa"/>
            <w:tcBorders>
              <w:top w:val="outset" w:color="auto" w:sz="6" w:space="0"/>
              <w:left w:val="outset" w:color="auto" w:sz="6" w:space="0"/>
              <w:bottom w:val="outset" w:color="auto" w:sz="6" w:space="0"/>
              <w:right w:val="outset" w:color="auto" w:sz="6" w:space="0"/>
            </w:tcBorders>
            <w:vAlign w:val="center"/>
          </w:tcPr>
          <w:p w14:paraId="7E8A70F9">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东莞（韶关）浈江产业转移工业园管理委员会</w:t>
            </w:r>
          </w:p>
        </w:tc>
        <w:tc>
          <w:tcPr>
            <w:tcW w:w="3521" w:type="dxa"/>
            <w:tcBorders>
              <w:top w:val="outset" w:color="auto" w:sz="6" w:space="0"/>
              <w:left w:val="outset" w:color="auto" w:sz="6" w:space="0"/>
              <w:bottom w:val="outset" w:color="auto" w:sz="6" w:space="0"/>
              <w:right w:val="outset" w:color="auto" w:sz="6" w:space="0"/>
            </w:tcBorders>
            <w:vAlign w:val="center"/>
          </w:tcPr>
          <w:p w14:paraId="1E1AB823">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DA8E0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2D5C5E93">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p>
        </w:tc>
        <w:tc>
          <w:tcPr>
            <w:tcW w:w="4571" w:type="dxa"/>
            <w:tcBorders>
              <w:top w:val="outset" w:color="auto" w:sz="6" w:space="0"/>
              <w:left w:val="outset" w:color="auto" w:sz="6" w:space="0"/>
              <w:bottom w:val="outset" w:color="auto" w:sz="6" w:space="0"/>
              <w:right w:val="outset" w:color="auto" w:sz="6" w:space="0"/>
            </w:tcBorders>
            <w:vAlign w:val="center"/>
          </w:tcPr>
          <w:p w14:paraId="6E378323">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广东合正项目管理有限公司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10146CCB">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5B1F4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3AF3EE52">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4571" w:type="dxa"/>
            <w:tcBorders>
              <w:top w:val="outset" w:color="auto" w:sz="6" w:space="0"/>
              <w:left w:val="outset" w:color="auto" w:sz="6" w:space="0"/>
              <w:bottom w:val="outset" w:color="auto" w:sz="6" w:space="0"/>
              <w:right w:val="outset" w:color="auto" w:sz="6" w:space="0"/>
            </w:tcBorders>
            <w:vAlign w:val="center"/>
          </w:tcPr>
          <w:p w14:paraId="29A5F6B7">
            <w:pPr>
              <w:pageBreakBefore w:val="0"/>
              <w:shd w:val="clear" w:color="auto" w:fill="auto"/>
              <w:kinsoku/>
              <w:wordWrap/>
              <w:overflowPunct/>
              <w:bidi w:val="0"/>
              <w:adjustRightInd/>
              <w:snapToGrid/>
              <w:spacing w:line="36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韶关市恒邦地质工程有限公司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3D9DDDF8">
            <w:pPr>
              <w:pageBreakBefore w:val="0"/>
              <w:shd w:val="clear" w:color="auto" w:fill="auto"/>
              <w:kinsoku/>
              <w:wordWrap/>
              <w:overflowPunct/>
              <w:bidi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为本项目的勘察单位</w:t>
            </w:r>
          </w:p>
        </w:tc>
      </w:tr>
      <w:tr w14:paraId="093EF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224C24D2">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4</w:t>
            </w:r>
          </w:p>
        </w:tc>
        <w:tc>
          <w:tcPr>
            <w:tcW w:w="4571" w:type="dxa"/>
            <w:tcBorders>
              <w:top w:val="outset" w:color="auto" w:sz="6" w:space="0"/>
              <w:left w:val="outset" w:color="auto" w:sz="6" w:space="0"/>
              <w:bottom w:val="outset" w:color="auto" w:sz="6" w:space="0"/>
              <w:right w:val="outset" w:color="auto" w:sz="6" w:space="0"/>
            </w:tcBorders>
            <w:vAlign w:val="center"/>
          </w:tcPr>
          <w:p w14:paraId="4880EB10">
            <w:pPr>
              <w:pageBreakBefore w:val="0"/>
              <w:shd w:val="clear" w:color="auto" w:fill="auto"/>
              <w:kinsoku/>
              <w:wordWrap/>
              <w:overflowPunct/>
              <w:bidi w:val="0"/>
              <w:adjustRightInd/>
              <w:snapToGrid/>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韶关市规划市政设计研究院有限公司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7760883D">
            <w:pPr>
              <w:pageBreakBefore w:val="0"/>
              <w:shd w:val="clear" w:color="auto" w:fill="auto"/>
              <w:kinsoku/>
              <w:wordWrap/>
              <w:overflowPunct/>
              <w:bidi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为本项目的设计单位</w:t>
            </w:r>
          </w:p>
        </w:tc>
      </w:tr>
      <w:tr w14:paraId="0177A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1"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24F97F80">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5</w:t>
            </w:r>
          </w:p>
        </w:tc>
        <w:tc>
          <w:tcPr>
            <w:tcW w:w="4571" w:type="dxa"/>
            <w:tcBorders>
              <w:top w:val="outset" w:color="auto" w:sz="6" w:space="0"/>
              <w:left w:val="outset" w:color="auto" w:sz="6" w:space="0"/>
              <w:bottom w:val="outset" w:color="auto" w:sz="6" w:space="0"/>
              <w:right w:val="outset" w:color="auto" w:sz="6" w:space="0"/>
            </w:tcBorders>
            <w:vAlign w:val="center"/>
          </w:tcPr>
          <w:p w14:paraId="4ABF7098">
            <w:pPr>
              <w:pageBreakBefore w:val="0"/>
              <w:shd w:val="clear" w:color="auto" w:fill="auto"/>
              <w:kinsoku/>
              <w:wordWrap/>
              <w:overflowPunct/>
              <w:bidi w:val="0"/>
              <w:adjustRightInd/>
              <w:snapToGrid/>
              <w:spacing w:line="36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iCs w:val="0"/>
                <w:snapToGrid w:val="0"/>
                <w:color w:val="auto"/>
                <w:kern w:val="0"/>
                <w:sz w:val="21"/>
                <w:szCs w:val="21"/>
                <w:highlight w:val="none"/>
                <w:lang w:eastAsia="zh-CN"/>
              </w:rPr>
              <w:t>中策恒睿建设有限公司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3689CD1A">
            <w:pPr>
              <w:pageBreakBefore w:val="0"/>
              <w:shd w:val="clear" w:color="auto" w:fill="auto"/>
              <w:kinsoku/>
              <w:wordWrap/>
              <w:overflowPunct/>
              <w:bidi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为本项目的造价咨询单位</w:t>
            </w:r>
          </w:p>
        </w:tc>
      </w:tr>
      <w:tr w14:paraId="16BD21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0A038D09">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6</w:t>
            </w:r>
          </w:p>
        </w:tc>
        <w:tc>
          <w:tcPr>
            <w:tcW w:w="4571" w:type="dxa"/>
            <w:tcBorders>
              <w:top w:val="outset" w:color="auto" w:sz="6" w:space="0"/>
              <w:left w:val="outset" w:color="auto" w:sz="6" w:space="0"/>
              <w:bottom w:val="outset" w:color="auto" w:sz="6" w:space="0"/>
              <w:right w:val="outset" w:color="auto" w:sz="6" w:space="0"/>
            </w:tcBorders>
            <w:vAlign w:val="center"/>
          </w:tcPr>
          <w:p w14:paraId="433558C2">
            <w:pPr>
              <w:pageBreakBefore w:val="0"/>
              <w:shd w:val="clear" w:color="auto" w:fill="auto"/>
              <w:kinsoku/>
              <w:wordWrap/>
              <w:overflowPunct/>
              <w:bidi w:val="0"/>
              <w:adjustRightInd/>
              <w:snapToGrid/>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iCs w:val="0"/>
                <w:snapToGrid w:val="0"/>
                <w:color w:val="auto"/>
                <w:kern w:val="0"/>
                <w:sz w:val="21"/>
                <w:szCs w:val="21"/>
                <w:highlight w:val="none"/>
                <w:lang w:val="en-US" w:eastAsia="zh-CN"/>
              </w:rPr>
              <w:t>广东建同工程技术咨询有限公司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4C14DCF0">
            <w:pPr>
              <w:pageBreakBefore w:val="0"/>
              <w:shd w:val="clear" w:color="auto" w:fill="auto"/>
              <w:kinsoku/>
              <w:wordWrap/>
              <w:overflowPunct/>
              <w:bidi w:val="0"/>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为本项目的施工图审查单位</w:t>
            </w:r>
          </w:p>
        </w:tc>
      </w:tr>
      <w:tr w14:paraId="4B6FD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527" w:type="dxa"/>
            <w:tcBorders>
              <w:top w:val="outset" w:color="auto" w:sz="6" w:space="0"/>
              <w:left w:val="outset" w:color="auto" w:sz="6" w:space="0"/>
              <w:bottom w:val="outset" w:color="auto" w:sz="6" w:space="0"/>
              <w:right w:val="outset" w:color="auto" w:sz="6" w:space="0"/>
            </w:tcBorders>
            <w:vAlign w:val="center"/>
          </w:tcPr>
          <w:p w14:paraId="71440409">
            <w:pPr>
              <w:pStyle w:val="4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7</w:t>
            </w:r>
          </w:p>
        </w:tc>
        <w:tc>
          <w:tcPr>
            <w:tcW w:w="4571" w:type="dxa"/>
            <w:tcBorders>
              <w:top w:val="outset" w:color="auto" w:sz="6" w:space="0"/>
              <w:left w:val="outset" w:color="auto" w:sz="6" w:space="0"/>
              <w:bottom w:val="outset" w:color="auto" w:sz="6" w:space="0"/>
              <w:right w:val="outset" w:color="auto" w:sz="6" w:space="0"/>
            </w:tcBorders>
            <w:vAlign w:val="center"/>
          </w:tcPr>
          <w:p w14:paraId="06828747">
            <w:pPr>
              <w:pageBreakBefore w:val="0"/>
              <w:shd w:val="clear" w:color="auto" w:fill="auto"/>
              <w:kinsoku/>
              <w:wordWrap/>
              <w:overflowPunct/>
              <w:bidi w:val="0"/>
              <w:adjustRightInd/>
              <w:snapToGrid/>
              <w:spacing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广东合正项目管理有限公司</w:t>
            </w:r>
          </w:p>
        </w:tc>
        <w:tc>
          <w:tcPr>
            <w:tcW w:w="3521" w:type="dxa"/>
            <w:tcBorders>
              <w:top w:val="outset" w:color="auto" w:sz="6" w:space="0"/>
              <w:left w:val="outset" w:color="auto" w:sz="6" w:space="0"/>
              <w:bottom w:val="outset" w:color="auto" w:sz="6" w:space="0"/>
              <w:right w:val="outset" w:color="auto" w:sz="6" w:space="0"/>
            </w:tcBorders>
            <w:vAlign w:val="center"/>
          </w:tcPr>
          <w:p w14:paraId="0361C873">
            <w:pPr>
              <w:pageBreakBefore w:val="0"/>
              <w:shd w:val="clear" w:color="auto" w:fill="auto"/>
              <w:kinsoku/>
              <w:wordWrap/>
              <w:overflowPunct/>
              <w:bidi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rPr>
            </w:pPr>
            <w:r>
              <w:rPr>
                <w:rFonts w:hint="eastAsia" w:asciiTheme="minorEastAsia" w:hAnsiTheme="minorEastAsia" w:eastAsiaTheme="minorEastAsia" w:cstheme="minorEastAsia"/>
                <w:snapToGrid w:val="0"/>
                <w:color w:val="auto"/>
                <w:kern w:val="0"/>
                <w:sz w:val="21"/>
                <w:szCs w:val="21"/>
                <w:highlight w:val="none"/>
              </w:rPr>
              <w:t>为本项目的可行性研究报告编制单位</w:t>
            </w:r>
          </w:p>
        </w:tc>
      </w:tr>
    </w:tbl>
    <w:p w14:paraId="6538EF79">
      <w:pPr>
        <w:pStyle w:val="43"/>
        <w:shd w:val="clear" w:color="auto" w:fill="auto"/>
        <w:wordWrap w:val="0"/>
        <w:adjustRightInd w:val="0"/>
        <w:snapToGrid w:val="0"/>
        <w:spacing w:line="440" w:lineRule="exact"/>
        <w:ind w:firstLine="422"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2.5</w:t>
      </w:r>
      <w:r>
        <w:rPr>
          <w:rFonts w:hint="eastAsia" w:asciiTheme="minorEastAsia" w:hAnsiTheme="minorEastAsia" w:eastAsiaTheme="minorEastAsia" w:cstheme="minorEastAsia"/>
          <w:snapToGrid w:val="0"/>
          <w:color w:val="auto"/>
          <w:kern w:val="0"/>
          <w:sz w:val="21"/>
          <w:szCs w:val="21"/>
          <w:highlight w:val="none"/>
        </w:rPr>
        <w:t xml:space="preserve"> 其他要求</w:t>
      </w:r>
    </w:p>
    <w:p w14:paraId="30DB3F49">
      <w:pPr>
        <w:pStyle w:val="43"/>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p w14:paraId="4EB73B62">
      <w:pPr>
        <w:pStyle w:val="43"/>
        <w:shd w:val="clear" w:color="auto" w:fill="auto"/>
        <w:ind w:firstLine="482"/>
        <w:jc w:val="left"/>
        <w:outlineLvl w:val="9"/>
        <w:rPr>
          <w:rFonts w:hint="eastAsia" w:asciiTheme="minorEastAsia" w:hAnsiTheme="minorEastAsia" w:eastAsiaTheme="minorEastAsia" w:cstheme="minorEastAsia"/>
          <w:b/>
          <w:bCs/>
          <w:snapToGrid w:val="0"/>
          <w:color w:val="auto"/>
          <w:kern w:val="0"/>
          <w:sz w:val="21"/>
          <w:szCs w:val="21"/>
          <w:highlight w:val="none"/>
        </w:rPr>
      </w:pPr>
      <w:bookmarkStart w:id="79" w:name="_Toc31726"/>
      <w:bookmarkStart w:id="80" w:name="_Toc31793"/>
      <w:bookmarkStart w:id="81" w:name="_Toc29552"/>
      <w:bookmarkStart w:id="82" w:name="_Toc15578"/>
      <w:bookmarkStart w:id="83" w:name="_Toc25099"/>
      <w:bookmarkStart w:id="84" w:name="_Toc12728"/>
    </w:p>
    <w:p w14:paraId="0DE4057D">
      <w:pPr>
        <w:pStyle w:val="43"/>
        <w:shd w:val="clear" w:color="auto" w:fill="auto"/>
        <w:ind w:firstLine="482"/>
        <w:jc w:val="left"/>
        <w:outlineLvl w:val="2"/>
        <w:rPr>
          <w:rFonts w:hint="eastAsia" w:asciiTheme="minorEastAsia" w:hAnsiTheme="minorEastAsia" w:eastAsiaTheme="minorEastAsia" w:cstheme="minorEastAsia"/>
          <w:b/>
          <w:bCs/>
          <w:snapToGrid w:val="0"/>
          <w:color w:val="auto"/>
          <w:kern w:val="0"/>
          <w:sz w:val="21"/>
          <w:szCs w:val="21"/>
          <w:highlight w:val="none"/>
          <w:lang w:val="en-US" w:eastAsia="zh-CN"/>
        </w:rPr>
      </w:pPr>
      <w:bookmarkStart w:id="85" w:name="_Toc4403"/>
      <w:bookmarkStart w:id="86" w:name="_Toc24123"/>
      <w:r>
        <w:rPr>
          <w:rFonts w:hint="eastAsia" w:asciiTheme="minorEastAsia" w:hAnsiTheme="minorEastAsia" w:eastAsiaTheme="minorEastAsia" w:cstheme="minorEastAsia"/>
          <w:b/>
          <w:bCs/>
          <w:snapToGrid w:val="0"/>
          <w:color w:val="auto"/>
          <w:kern w:val="0"/>
          <w:sz w:val="21"/>
          <w:szCs w:val="21"/>
          <w:highlight w:val="none"/>
        </w:rPr>
        <w:t>3．</w:t>
      </w:r>
      <w:bookmarkEnd w:id="79"/>
      <w:bookmarkEnd w:id="80"/>
      <w:bookmarkEnd w:id="81"/>
      <w:bookmarkEnd w:id="82"/>
      <w:bookmarkEnd w:id="83"/>
      <w:bookmarkEnd w:id="84"/>
      <w:bookmarkEnd w:id="85"/>
      <w:r>
        <w:rPr>
          <w:rFonts w:hint="eastAsia" w:asciiTheme="minorEastAsia" w:hAnsiTheme="minorEastAsia" w:eastAsiaTheme="minorEastAsia" w:cstheme="minorEastAsia"/>
          <w:b/>
          <w:bCs/>
          <w:snapToGrid w:val="0"/>
          <w:color w:val="auto"/>
          <w:kern w:val="0"/>
          <w:sz w:val="21"/>
          <w:szCs w:val="21"/>
          <w:highlight w:val="none"/>
          <w:lang w:val="en-US" w:eastAsia="zh-CN"/>
        </w:rPr>
        <w:t>招标文件获取</w:t>
      </w:r>
      <w:bookmarkEnd w:id="86"/>
    </w:p>
    <w:p w14:paraId="27B76D3E">
      <w:pPr>
        <w:keepNext w:val="0"/>
        <w:keepLines w:val="0"/>
        <w:pageBreakBefore w:val="0"/>
        <w:widowControl w:val="0"/>
        <w:shd w:val="clear" w:color="auto" w:fill="auto"/>
        <w:tabs>
          <w:tab w:val="left" w:pos="7020"/>
        </w:tabs>
        <w:kinsoku/>
        <w:wordWrap w:val="0"/>
        <w:overflowPunct/>
        <w:topLinePunct w:val="0"/>
        <w:autoSpaceDE/>
        <w:autoSpaceDN/>
        <w:bidi w:val="0"/>
        <w:adjustRightInd/>
        <w:snapToGrid/>
        <w:spacing w:beforeLines="50"/>
        <w:ind w:firstLine="561"/>
        <w:textAlignment w:val="auto"/>
        <w:rPr>
          <w:rFonts w:hint="eastAsia" w:asciiTheme="minorEastAsia" w:hAnsiTheme="minorEastAsia" w:eastAsiaTheme="minorEastAsia" w:cstheme="minorEastAsia"/>
          <w:b w:val="0"/>
          <w:bCs w:val="0"/>
          <w:snapToGrid w:val="0"/>
          <w:color w:val="auto"/>
          <w:kern w:val="0"/>
          <w:sz w:val="21"/>
          <w:szCs w:val="21"/>
          <w:highlight w:val="none"/>
          <w:lang w:eastAsia="zh-CN"/>
        </w:rPr>
      </w:pPr>
      <w:r>
        <w:rPr>
          <w:rFonts w:hint="eastAsia" w:asciiTheme="minorEastAsia" w:hAnsiTheme="minorEastAsia" w:eastAsiaTheme="minorEastAsia" w:cstheme="minorEastAsia"/>
          <w:b w:val="0"/>
          <w:bCs w:val="0"/>
          <w:snapToGrid w:val="0"/>
          <w:color w:val="auto"/>
          <w:kern w:val="0"/>
          <w:sz w:val="21"/>
          <w:szCs w:val="21"/>
          <w:highlight w:val="none"/>
        </w:rPr>
        <w:t xml:space="preserve">3.1 </w:t>
      </w:r>
      <w:r>
        <w:rPr>
          <w:rFonts w:hint="eastAsia" w:asciiTheme="minorEastAsia" w:hAnsiTheme="minorEastAsia" w:eastAsiaTheme="minorEastAsia" w:cstheme="minorEastAsia"/>
          <w:snapToGrid w:val="0"/>
          <w:color w:val="auto"/>
          <w:kern w:val="0"/>
          <w:sz w:val="21"/>
          <w:szCs w:val="21"/>
          <w:highlight w:val="none"/>
        </w:rPr>
        <w:t>本次招标实行全流程电子投标。本项目招标文件随招标公告一并在全国公共资源交易平台（广东省·韶关市）（https://ygp.gdzwfw.gov.cn/ggzy-portal/#/440200/index）网站发布。招标文件一经在建设工程交易系统发布，视为发售投标人，招标文件及相关附件由投标人自行在建设工程交易系统下载。请于招标文件获取期间（见本章第二节“重要事项时间地点一览表”）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将投标文件上传到建设工程交易系统（上传后系统将自动加密）完成电子投标。投标人可登录全国公共资源交易平台（广东省·韶关市）（https://ygp.gdzwfw.gov.cn/ggzy-portal/#/440200/index），操作指南在全国公共资源交易平台（广东省·韶关市）（https://ygp.gdzwfw.gov.cn/ggzy-portal/#/440200/index），在【服务指南】栏目中下载《韶关市公共资源建设工程交易系统-投标人操作指南》，了解全流程电子投标操作流程。技术咨询电话：18819797080/0751-8379671 伍先生，业务咨询电话：0751-8633211、8633071。</w:t>
      </w:r>
    </w:p>
    <w:p w14:paraId="62120DE6">
      <w:pPr>
        <w:shd w:val="clear" w:color="auto" w:fill="auto"/>
        <w:tabs>
          <w:tab w:val="left" w:pos="7020"/>
        </w:tabs>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3.2</w:t>
      </w:r>
      <w:r>
        <w:rPr>
          <w:rFonts w:hint="eastAsia" w:asciiTheme="minorEastAsia" w:hAnsiTheme="minorEastAsia" w:eastAsiaTheme="minorEastAsia" w:cstheme="minorEastAsia"/>
          <w:snapToGrid w:val="0"/>
          <w:color w:val="auto"/>
          <w:kern w:val="0"/>
          <w:sz w:val="21"/>
          <w:szCs w:val="21"/>
          <w:highlight w:val="none"/>
        </w:rPr>
        <w:t xml:space="preserve"> 只有申领了数字证书（CA）、“粤企签”或GDCA/SZCA/NETCA等符合法律法规规定的电子印章，并在交易系统中完成企业信息数据入库的投标人，方可使用建设工程交易系统进行招标文件及附件获取和电子投标。</w:t>
      </w:r>
    </w:p>
    <w:p w14:paraId="1DEB0757">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7BA0B2CE">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已入库企业有关信息（如单位名称、基本账号、资质、人员等）发生变化的，须及时在交易系统进行相应变更。投标人未及时变更信息而造成的损失和后果，由投标人自行承担。</w:t>
      </w:r>
    </w:p>
    <w:p w14:paraId="3AD8783B">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2EFE58B">
      <w:pPr>
        <w:pStyle w:val="43"/>
        <w:shd w:val="clear" w:color="auto" w:fill="auto"/>
        <w:ind w:firstLine="482"/>
        <w:jc w:val="lef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3.3 投标保证</w:t>
      </w:r>
    </w:p>
    <w:p w14:paraId="0B8E94B7">
      <w:pPr>
        <w:shd w:val="clear" w:color="auto" w:fill="auto"/>
        <w:tabs>
          <w:tab w:val="left" w:pos="7020"/>
        </w:tabs>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3.3.1</w:t>
      </w:r>
      <w:r>
        <w:rPr>
          <w:rFonts w:hint="eastAsia" w:asciiTheme="minorEastAsia" w:hAnsiTheme="minorEastAsia" w:eastAsiaTheme="minorEastAsia" w:cstheme="minorEastAsia"/>
          <w:snapToGrid w:val="0"/>
          <w:color w:val="auto"/>
          <w:kern w:val="0"/>
          <w:sz w:val="21"/>
          <w:szCs w:val="21"/>
          <w:highlight w:val="none"/>
        </w:rPr>
        <w:t xml:space="preserve"> 投标人须缴纳金额为人民币</w:t>
      </w:r>
      <w:r>
        <w:rPr>
          <w:rFonts w:hint="eastAsia" w:asciiTheme="minorEastAsia" w:hAnsiTheme="minorEastAsia" w:eastAsiaTheme="minorEastAsia" w:cstheme="minorEastAsia"/>
          <w:snapToGrid w:val="0"/>
          <w:color w:val="auto"/>
          <w:kern w:val="0"/>
          <w:sz w:val="21"/>
          <w:szCs w:val="21"/>
          <w:highlight w:val="none"/>
          <w:lang w:val="en-US" w:eastAsia="zh-CN"/>
        </w:rPr>
        <w:t>叁仟元整</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3000.00</w:t>
      </w:r>
      <w:r>
        <w:rPr>
          <w:rFonts w:hint="eastAsia" w:asciiTheme="minorEastAsia" w:hAnsiTheme="minorEastAsia" w:eastAsiaTheme="minorEastAsia" w:cstheme="minorEastAsia"/>
          <w:snapToGrid w:val="0"/>
          <w:color w:val="auto"/>
          <w:kern w:val="0"/>
          <w:sz w:val="21"/>
          <w:szCs w:val="21"/>
          <w:highlight w:val="none"/>
          <w:u w:val="none"/>
        </w:rPr>
        <w:t>元</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 xml:space="preserve">的投标保证。 </w:t>
      </w:r>
    </w:p>
    <w:p w14:paraId="454815CE">
      <w:pPr>
        <w:shd w:val="clear" w:color="auto" w:fill="auto"/>
        <w:tabs>
          <w:tab w:val="left" w:pos="7020"/>
        </w:tabs>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3.3.2</w:t>
      </w:r>
      <w:r>
        <w:rPr>
          <w:rFonts w:hint="eastAsia" w:asciiTheme="minorEastAsia" w:hAnsiTheme="minorEastAsia" w:eastAsiaTheme="minorEastAsia" w:cstheme="minorEastAsia"/>
          <w:snapToGrid w:val="0"/>
          <w:color w:val="auto"/>
          <w:kern w:val="0"/>
          <w:sz w:val="21"/>
          <w:szCs w:val="21"/>
          <w:highlight w:val="none"/>
        </w:rPr>
        <w:t xml:space="preserve"> 投标保证的形式包括投标保证金、投标保证担保、投标保证保险三种，由投标人自主选择。</w:t>
      </w:r>
    </w:p>
    <w:p w14:paraId="29CF84C8">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采用投标保证金的，投标人在建设工程交易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704FCF9A">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1DF2546">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r>
        <w:rPr>
          <w:rFonts w:hint="eastAsia" w:asciiTheme="minorEastAsia" w:hAnsiTheme="minorEastAsia" w:eastAsiaTheme="minorEastAsia" w:cstheme="minorEastAsia"/>
          <w:color w:val="auto"/>
          <w:sz w:val="21"/>
          <w:szCs w:val="21"/>
          <w:highlight w:val="none"/>
        </w:rPr>
        <w:t>采用投标保证保险的，投标人须在投标保证保险投保截止时间（见本章“重要事项时间地点一览表”）前，使用建设工程交易系统完成网上投保。投标人可在系统选择保险机构、录入投保信息、支付保费、</w:t>
      </w:r>
      <w:r>
        <w:rPr>
          <w:rFonts w:hint="eastAsia" w:asciiTheme="minorEastAsia" w:hAnsiTheme="minorEastAsia" w:eastAsiaTheme="minorEastAsia" w:cstheme="minorEastAsia"/>
          <w:color w:val="auto"/>
          <w:sz w:val="21"/>
          <w:szCs w:val="21"/>
          <w:highlight w:val="none"/>
          <w:lang w:val="en-US" w:eastAsia="zh-CN"/>
        </w:rPr>
        <w:t>下载</w:t>
      </w:r>
      <w:r>
        <w:rPr>
          <w:rFonts w:hint="eastAsia" w:asciiTheme="minorEastAsia" w:hAnsiTheme="minorEastAsia" w:eastAsiaTheme="minorEastAsia" w:cstheme="minorEastAsia"/>
          <w:color w:val="auto"/>
          <w:sz w:val="21"/>
          <w:szCs w:val="21"/>
          <w:highlight w:val="none"/>
        </w:rPr>
        <w:t>电子保单，电子保单的有效期不得短于投标有效期。投标人可登录</w:t>
      </w:r>
      <w:r>
        <w:rPr>
          <w:rFonts w:hint="eastAsia" w:asciiTheme="minorEastAsia" w:hAnsiTheme="minorEastAsia" w:eastAsiaTheme="minorEastAsia" w:cstheme="minorEastAsia"/>
          <w:color w:val="auto"/>
          <w:sz w:val="21"/>
          <w:szCs w:val="21"/>
          <w:highlight w:val="none"/>
          <w:lang w:eastAsia="zh-CN"/>
        </w:rPr>
        <w:t>全国公共资源交易平台（广东省·韶关市）（https://ygp.gdzwfw.gov.cn/ggzy-portal/#/440200/index）</w:t>
      </w:r>
      <w:r>
        <w:rPr>
          <w:rFonts w:hint="eastAsia" w:asciiTheme="minorEastAsia" w:hAnsiTheme="minorEastAsia" w:eastAsiaTheme="minorEastAsia" w:cstheme="minorEastAsia"/>
          <w:color w:val="auto"/>
          <w:sz w:val="21"/>
          <w:szCs w:val="21"/>
          <w:highlight w:val="none"/>
        </w:rPr>
        <w:t>查阅相应的服务指南，了解网上投保具体操作流程。逾期投保的，其投标无效。</w:t>
      </w:r>
    </w:p>
    <w:p w14:paraId="586FB24B">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4992D2E">
      <w:pPr>
        <w:shd w:val="clear" w:color="auto" w:fill="auto"/>
        <w:tabs>
          <w:tab w:val="left" w:pos="7020"/>
        </w:tabs>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3.4</w:t>
      </w:r>
      <w:r>
        <w:rPr>
          <w:rFonts w:hint="eastAsia" w:asciiTheme="minorEastAsia" w:hAnsiTheme="minorEastAsia" w:eastAsiaTheme="minorEastAsia" w:cstheme="minorEastAsia"/>
          <w:snapToGrid w:val="0"/>
          <w:color w:val="auto"/>
          <w:kern w:val="0"/>
          <w:sz w:val="21"/>
          <w:szCs w:val="21"/>
          <w:highlight w:val="none"/>
        </w:rPr>
        <w:t xml:space="preserve"> 若投标人因自身原因未能正确完成网上</w:t>
      </w:r>
      <w:r>
        <w:rPr>
          <w:rFonts w:hint="eastAsia" w:asciiTheme="minorEastAsia" w:hAnsiTheme="minorEastAsia" w:eastAsiaTheme="minorEastAsia" w:cstheme="minorEastAsia"/>
          <w:snapToGrid w:val="0"/>
          <w:color w:val="auto"/>
          <w:kern w:val="0"/>
          <w:sz w:val="21"/>
          <w:szCs w:val="21"/>
          <w:highlight w:val="none"/>
          <w:lang w:eastAsia="zh-CN"/>
        </w:rPr>
        <w:t>获取招标文件、</w:t>
      </w:r>
      <w:r>
        <w:rPr>
          <w:rFonts w:hint="eastAsia" w:asciiTheme="minorEastAsia" w:hAnsiTheme="minorEastAsia" w:eastAsiaTheme="minorEastAsia" w:cstheme="minorEastAsia"/>
          <w:snapToGrid w:val="0"/>
          <w:color w:val="auto"/>
          <w:kern w:val="0"/>
          <w:sz w:val="21"/>
          <w:szCs w:val="21"/>
          <w:highlight w:val="none"/>
        </w:rPr>
        <w:t>电子投标、缴纳投标保证的，其投标无效。</w:t>
      </w:r>
    </w:p>
    <w:p w14:paraId="5D2AA960">
      <w:pPr>
        <w:pStyle w:val="43"/>
        <w:shd w:val="clear" w:color="auto" w:fill="auto"/>
        <w:spacing w:line="360" w:lineRule="auto"/>
        <w:ind w:firstLine="482"/>
        <w:jc w:val="left"/>
        <w:outlineLvl w:val="2"/>
        <w:rPr>
          <w:rFonts w:hint="eastAsia" w:asciiTheme="minorEastAsia" w:hAnsiTheme="minorEastAsia" w:eastAsiaTheme="minorEastAsia" w:cstheme="minorEastAsia"/>
          <w:b/>
          <w:bCs/>
          <w:snapToGrid w:val="0"/>
          <w:color w:val="auto"/>
          <w:kern w:val="0"/>
          <w:sz w:val="21"/>
          <w:szCs w:val="21"/>
          <w:highlight w:val="none"/>
        </w:rPr>
      </w:pPr>
      <w:bookmarkStart w:id="87" w:name="_Toc12858"/>
      <w:bookmarkStart w:id="88" w:name="_Toc12197"/>
      <w:bookmarkStart w:id="89" w:name="_Toc22716"/>
      <w:bookmarkStart w:id="90" w:name="_Toc16479"/>
      <w:bookmarkStart w:id="91" w:name="_Toc14270"/>
      <w:bookmarkStart w:id="92" w:name="_Toc6940"/>
      <w:bookmarkStart w:id="93" w:name="_Toc12793"/>
      <w:bookmarkStart w:id="94" w:name="_Toc30339"/>
      <w:r>
        <w:rPr>
          <w:rFonts w:hint="eastAsia" w:asciiTheme="minorEastAsia" w:hAnsiTheme="minorEastAsia" w:eastAsiaTheme="minorEastAsia" w:cstheme="minorEastAsia"/>
          <w:b/>
          <w:bCs/>
          <w:snapToGrid w:val="0"/>
          <w:color w:val="auto"/>
          <w:kern w:val="0"/>
          <w:sz w:val="21"/>
          <w:szCs w:val="21"/>
          <w:highlight w:val="none"/>
        </w:rPr>
        <w:t>4．服务期限</w:t>
      </w:r>
      <w:bookmarkEnd w:id="87"/>
      <w:bookmarkEnd w:id="88"/>
      <w:bookmarkEnd w:id="89"/>
      <w:bookmarkEnd w:id="90"/>
      <w:bookmarkEnd w:id="91"/>
      <w:bookmarkEnd w:id="92"/>
      <w:bookmarkEnd w:id="93"/>
      <w:bookmarkEnd w:id="94"/>
    </w:p>
    <w:p w14:paraId="0D67206B">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bookmarkStart w:id="95" w:name="_Toc7508"/>
      <w:r>
        <w:rPr>
          <w:rFonts w:hint="eastAsia" w:asciiTheme="minorEastAsia" w:hAnsiTheme="minorEastAsia" w:eastAsiaTheme="minorEastAsia" w:cstheme="minorEastAsia"/>
          <w:snapToGrid w:val="0"/>
          <w:color w:val="auto"/>
          <w:kern w:val="0"/>
          <w:sz w:val="21"/>
          <w:szCs w:val="21"/>
          <w:highlight w:val="none"/>
          <w:u w:val="single"/>
        </w:rPr>
        <w:t>监理服务期从监理合同签订之日起计，至本工程缺陷责任保修期结束且本工程结算金额经政府主管部门审定且双方的责任义务履行完毕时止。</w:t>
      </w:r>
    </w:p>
    <w:p w14:paraId="4A8578F0">
      <w:pPr>
        <w:shd w:val="clear" w:color="auto" w:fill="auto"/>
        <w:tabs>
          <w:tab w:val="left" w:pos="7020"/>
        </w:tabs>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2530EA97">
      <w:pPr>
        <w:pStyle w:val="43"/>
        <w:shd w:val="clear" w:color="auto" w:fill="auto"/>
        <w:spacing w:line="360" w:lineRule="auto"/>
        <w:ind w:firstLine="482"/>
        <w:jc w:val="left"/>
        <w:outlineLvl w:val="2"/>
        <w:rPr>
          <w:rFonts w:hint="eastAsia" w:asciiTheme="minorEastAsia" w:hAnsiTheme="minorEastAsia" w:eastAsiaTheme="minorEastAsia" w:cstheme="minorEastAsia"/>
          <w:b/>
          <w:bCs/>
          <w:snapToGrid w:val="0"/>
          <w:color w:val="auto"/>
          <w:kern w:val="0"/>
          <w:sz w:val="21"/>
          <w:szCs w:val="21"/>
          <w:highlight w:val="none"/>
        </w:rPr>
      </w:pPr>
      <w:bookmarkStart w:id="96" w:name="_Toc5087"/>
      <w:bookmarkStart w:id="97" w:name="_Toc27677"/>
      <w:bookmarkStart w:id="98" w:name="_Toc4831"/>
      <w:bookmarkStart w:id="99" w:name="_Toc20452"/>
      <w:bookmarkStart w:id="100" w:name="_Toc20710"/>
      <w:bookmarkStart w:id="101" w:name="_Toc31895"/>
      <w:bookmarkStart w:id="102" w:name="_Toc31374"/>
      <w:bookmarkStart w:id="103" w:name="_Toc31837"/>
      <w:bookmarkStart w:id="104" w:name="_Toc24489"/>
      <w:bookmarkStart w:id="105" w:name="_Toc19377"/>
      <w:r>
        <w:rPr>
          <w:rFonts w:hint="eastAsia" w:asciiTheme="minorEastAsia" w:hAnsiTheme="minorEastAsia" w:eastAsiaTheme="minorEastAsia" w:cstheme="minorEastAsia"/>
          <w:b/>
          <w:bCs/>
          <w:snapToGrid w:val="0"/>
          <w:color w:val="auto"/>
          <w:kern w:val="0"/>
          <w:sz w:val="21"/>
          <w:szCs w:val="21"/>
          <w:highlight w:val="none"/>
        </w:rPr>
        <w:t>5．</w:t>
      </w:r>
      <w:bookmarkEnd w:id="95"/>
      <w:r>
        <w:rPr>
          <w:rFonts w:hint="eastAsia" w:asciiTheme="minorEastAsia" w:hAnsiTheme="minorEastAsia" w:eastAsiaTheme="minorEastAsia" w:cstheme="minorEastAsia"/>
          <w:b/>
          <w:bCs/>
          <w:snapToGrid w:val="0"/>
          <w:color w:val="auto"/>
          <w:kern w:val="0"/>
          <w:sz w:val="21"/>
          <w:szCs w:val="21"/>
          <w:highlight w:val="none"/>
        </w:rPr>
        <w:t>服务标准</w:t>
      </w:r>
      <w:bookmarkEnd w:id="96"/>
      <w:bookmarkEnd w:id="97"/>
      <w:bookmarkEnd w:id="98"/>
      <w:bookmarkEnd w:id="99"/>
      <w:bookmarkEnd w:id="100"/>
      <w:bookmarkEnd w:id="101"/>
      <w:bookmarkEnd w:id="102"/>
      <w:bookmarkEnd w:id="103"/>
      <w:bookmarkEnd w:id="104"/>
      <w:bookmarkEnd w:id="105"/>
    </w:p>
    <w:p w14:paraId="2718FA7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5.1</w:t>
      </w:r>
      <w:r>
        <w:rPr>
          <w:rFonts w:hint="eastAsia" w:asciiTheme="minorEastAsia" w:hAnsiTheme="minorEastAsia" w:eastAsiaTheme="minorEastAsia" w:cstheme="minorEastAsia"/>
          <w:snapToGrid w:val="0"/>
          <w:color w:val="auto"/>
          <w:kern w:val="0"/>
          <w:sz w:val="21"/>
          <w:szCs w:val="21"/>
          <w:highlight w:val="none"/>
        </w:rPr>
        <w:t xml:space="preserve"> 工程质量必须达到</w:t>
      </w:r>
      <w:r>
        <w:rPr>
          <w:rFonts w:hint="eastAsia" w:asciiTheme="minorEastAsia" w:hAnsiTheme="minorEastAsia" w:eastAsiaTheme="minorEastAsia" w:cstheme="minorEastAsia"/>
          <w:snapToGrid w:val="0"/>
          <w:color w:val="auto"/>
          <w:kern w:val="0"/>
          <w:sz w:val="21"/>
          <w:szCs w:val="21"/>
          <w:highlight w:val="none"/>
          <w:u w:val="single"/>
        </w:rPr>
        <w:t>合格</w:t>
      </w:r>
      <w:r>
        <w:rPr>
          <w:rFonts w:hint="eastAsia" w:asciiTheme="minorEastAsia" w:hAnsiTheme="minorEastAsia" w:eastAsiaTheme="minorEastAsia" w:cstheme="minorEastAsia"/>
          <w:snapToGrid w:val="0"/>
          <w:color w:val="auto"/>
          <w:kern w:val="0"/>
          <w:sz w:val="21"/>
          <w:szCs w:val="21"/>
          <w:highlight w:val="none"/>
        </w:rPr>
        <w:t>标准。</w:t>
      </w:r>
    </w:p>
    <w:p w14:paraId="152853D9">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5.2</w:t>
      </w:r>
      <w:r>
        <w:rPr>
          <w:rFonts w:hint="eastAsia" w:asciiTheme="minorEastAsia" w:hAnsiTheme="minorEastAsia" w:eastAsiaTheme="minorEastAsia" w:cstheme="minorEastAsia"/>
          <w:snapToGrid w:val="0"/>
          <w:color w:val="auto"/>
          <w:kern w:val="0"/>
          <w:sz w:val="21"/>
          <w:szCs w:val="21"/>
          <w:highlight w:val="none"/>
        </w:rPr>
        <w:t xml:space="preserve"> 根据韶关市人民政府《关于加快推进全市绿色建筑发展工作的通知》（韶府办明电〔2013〕277号）有关规定，</w:t>
      </w:r>
      <w:r>
        <w:rPr>
          <w:rFonts w:hint="eastAsia" w:asciiTheme="minorEastAsia" w:hAnsiTheme="minorEastAsia" w:eastAsiaTheme="minorEastAsia" w:cstheme="minorEastAsia"/>
          <w:color w:val="auto"/>
          <w:sz w:val="21"/>
          <w:szCs w:val="21"/>
          <w:highlight w:val="none"/>
        </w:rPr>
        <w:t>本招标项目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u w:val="none"/>
        </w:rPr>
        <w:t>纳入</w:t>
      </w:r>
      <w:r>
        <w:rPr>
          <w:rFonts w:hint="eastAsia" w:asciiTheme="minorEastAsia" w:hAnsiTheme="minorEastAsia" w:eastAsiaTheme="minorEastAsia" w:cstheme="minorEastAsia"/>
          <w:color w:val="auto"/>
          <w:sz w:val="21"/>
          <w:szCs w:val="21"/>
          <w:highlight w:val="none"/>
        </w:rPr>
        <w:t>绿色建设实施范围。</w:t>
      </w:r>
      <w:bookmarkStart w:id="106" w:name="_Hlt88974078"/>
      <w:bookmarkEnd w:id="106"/>
      <w:bookmarkStart w:id="107" w:name="_Hlt74493474"/>
      <w:bookmarkEnd w:id="107"/>
      <w:bookmarkStart w:id="108" w:name="_Hlt111690342"/>
      <w:bookmarkEnd w:id="108"/>
      <w:bookmarkStart w:id="109" w:name="_Hlt74496537"/>
      <w:bookmarkEnd w:id="109"/>
      <w:bookmarkStart w:id="110" w:name="_Hlt120502666"/>
      <w:bookmarkEnd w:id="110"/>
      <w:bookmarkStart w:id="111" w:name="_Hlt69699204"/>
      <w:bookmarkEnd w:id="111"/>
      <w:bookmarkStart w:id="112" w:name="_Hlt69356505"/>
      <w:bookmarkEnd w:id="112"/>
      <w:bookmarkStart w:id="113" w:name="_Hlt121563076"/>
      <w:bookmarkEnd w:id="113"/>
      <w:bookmarkStart w:id="114" w:name="_Toc2679"/>
    </w:p>
    <w:p w14:paraId="00A6C0CE">
      <w:pPr>
        <w:pStyle w:val="43"/>
        <w:shd w:val="clear" w:color="auto" w:fill="auto"/>
        <w:spacing w:line="360" w:lineRule="auto"/>
        <w:ind w:firstLine="422" w:firstLineChars="200"/>
        <w:jc w:val="left"/>
        <w:outlineLvl w:val="2"/>
        <w:rPr>
          <w:rFonts w:hint="eastAsia" w:asciiTheme="minorEastAsia" w:hAnsiTheme="minorEastAsia" w:eastAsiaTheme="minorEastAsia" w:cstheme="minorEastAsia"/>
          <w:b/>
          <w:bCs/>
          <w:snapToGrid w:val="0"/>
          <w:color w:val="auto"/>
          <w:kern w:val="0"/>
          <w:sz w:val="21"/>
          <w:szCs w:val="21"/>
          <w:highlight w:val="none"/>
        </w:rPr>
      </w:pPr>
      <w:bookmarkStart w:id="115" w:name="_Toc17914"/>
      <w:bookmarkStart w:id="116" w:name="_Toc15432"/>
      <w:bookmarkStart w:id="117" w:name="_Toc27367"/>
      <w:bookmarkStart w:id="118" w:name="_Toc5261"/>
      <w:bookmarkStart w:id="119" w:name="_Toc29725"/>
      <w:bookmarkStart w:id="120" w:name="_Toc10726"/>
      <w:bookmarkStart w:id="121" w:name="_Toc32251"/>
      <w:bookmarkStart w:id="122" w:name="_Toc15969"/>
      <w:bookmarkStart w:id="123" w:name="_Toc26482"/>
      <w:bookmarkStart w:id="124" w:name="_Toc22917"/>
      <w:r>
        <w:rPr>
          <w:rFonts w:hint="eastAsia" w:asciiTheme="minorEastAsia" w:hAnsiTheme="minorEastAsia" w:eastAsiaTheme="minorEastAsia" w:cstheme="minorEastAsia"/>
          <w:b/>
          <w:bCs/>
          <w:snapToGrid w:val="0"/>
          <w:color w:val="auto"/>
          <w:kern w:val="0"/>
          <w:sz w:val="21"/>
          <w:szCs w:val="21"/>
          <w:highlight w:val="none"/>
        </w:rPr>
        <w:t>6．现场踏勘</w:t>
      </w:r>
      <w:bookmarkEnd w:id="114"/>
      <w:bookmarkEnd w:id="115"/>
      <w:bookmarkEnd w:id="116"/>
      <w:bookmarkEnd w:id="117"/>
      <w:bookmarkEnd w:id="118"/>
      <w:bookmarkEnd w:id="119"/>
      <w:bookmarkEnd w:id="120"/>
      <w:bookmarkEnd w:id="121"/>
      <w:bookmarkEnd w:id="122"/>
      <w:bookmarkEnd w:id="123"/>
      <w:bookmarkEnd w:id="124"/>
    </w:p>
    <w:p w14:paraId="0FD87B4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6.1</w:t>
      </w:r>
      <w:r>
        <w:rPr>
          <w:rFonts w:hint="eastAsia" w:asciiTheme="minorEastAsia" w:hAnsiTheme="minorEastAsia" w:eastAsiaTheme="minorEastAsia" w:cstheme="minorEastAsia"/>
          <w:snapToGrid w:val="0"/>
          <w:color w:val="auto"/>
          <w:kern w:val="0"/>
          <w:sz w:val="21"/>
          <w:szCs w:val="21"/>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A2B8B85">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w:t>
      </w:r>
      <w:r>
        <w:rPr>
          <w:rFonts w:hint="eastAsia" w:asciiTheme="minorEastAsia" w:hAnsiTheme="minorEastAsia" w:eastAsiaTheme="minorEastAsia" w:cstheme="minorEastAsia"/>
          <w:snapToGrid w:val="0"/>
          <w:color w:val="auto"/>
          <w:kern w:val="0"/>
          <w:sz w:val="21"/>
          <w:szCs w:val="21"/>
          <w:highlight w:val="none"/>
        </w:rPr>
        <w:t xml:space="preserve"> 在现场踏勘过程中，投标人应确保自身安全，投标人如果发生人身伤亡、财物或其他损失，法律法规有规定的按有关规定处理，没有规定的由投标人自行负责。</w:t>
      </w:r>
    </w:p>
    <w:p w14:paraId="6CF48A57">
      <w:pPr>
        <w:shd w:val="clear" w:color="auto" w:fill="auto"/>
        <w:wordWrap w:val="0"/>
        <w:adjustRightInd w:val="0"/>
        <w:snapToGrid w:val="0"/>
        <w:spacing w:line="440" w:lineRule="exact"/>
        <w:ind w:firstLine="560"/>
        <w:rPr>
          <w:rFonts w:hint="eastAsia" w:asciiTheme="minorEastAsia" w:hAnsiTheme="minorEastAsia" w:eastAsiaTheme="minorEastAsia" w:cstheme="minorEastAsia"/>
          <w:b/>
          <w:snapToGrid w:val="0"/>
          <w:color w:val="auto"/>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w:t>
      </w:r>
      <w:r>
        <w:rPr>
          <w:rFonts w:hint="eastAsia" w:asciiTheme="minorEastAsia" w:hAnsiTheme="minorEastAsia" w:eastAsiaTheme="minorEastAsia" w:cstheme="minorEastAsia"/>
          <w:snapToGrid w:val="0"/>
          <w:color w:val="auto"/>
          <w:kern w:val="0"/>
          <w:sz w:val="21"/>
          <w:szCs w:val="21"/>
          <w:highlight w:val="none"/>
        </w:rPr>
        <w:t xml:space="preserve"> 现场踏勘期间的交通、食宿由投标人自行安排，费用自理。</w:t>
      </w:r>
      <w:bookmarkStart w:id="125" w:name="_Toc18204"/>
    </w:p>
    <w:p w14:paraId="078F9A45">
      <w:pPr>
        <w:shd w:val="clear" w:color="auto" w:fill="auto"/>
        <w:rPr>
          <w:rFonts w:hint="eastAsia" w:asciiTheme="minorEastAsia" w:hAnsiTheme="minorEastAsia" w:eastAsiaTheme="minorEastAsia" w:cstheme="minorEastAsia"/>
          <w:color w:val="auto"/>
          <w:sz w:val="21"/>
          <w:szCs w:val="21"/>
          <w:highlight w:val="none"/>
        </w:rPr>
      </w:pPr>
      <w:bookmarkStart w:id="126" w:name="_Toc16304"/>
      <w:bookmarkStart w:id="127" w:name="_Toc10436"/>
      <w:bookmarkStart w:id="128" w:name="_Toc6725"/>
      <w:bookmarkStart w:id="129" w:name="_Toc6401"/>
      <w:bookmarkStart w:id="130" w:name="_Toc8820"/>
      <w:bookmarkStart w:id="131" w:name="_Toc15184"/>
      <w:bookmarkStart w:id="132" w:name="_Toc6787"/>
      <w:bookmarkStart w:id="133" w:name="_Toc22022"/>
      <w:bookmarkStart w:id="134" w:name="_Toc30051"/>
      <w:bookmarkStart w:id="135" w:name="_Toc6981"/>
    </w:p>
    <w:p w14:paraId="04920163">
      <w:pPr>
        <w:pStyle w:val="4"/>
        <w:shd w:val="clear" w:color="auto" w:fill="auto"/>
        <w:jc w:val="left"/>
        <w:rPr>
          <w:rFonts w:hint="eastAsia" w:asciiTheme="minorEastAsia" w:hAnsiTheme="minorEastAsia" w:eastAsiaTheme="minorEastAsia" w:cstheme="minorEastAsia"/>
          <w:b/>
          <w:bCs/>
          <w:snapToGrid w:val="0"/>
          <w:color w:val="auto"/>
          <w:sz w:val="21"/>
          <w:szCs w:val="21"/>
          <w:highlight w:val="none"/>
        </w:rPr>
      </w:pPr>
      <w:bookmarkStart w:id="136" w:name="_Toc23208"/>
      <w:r>
        <w:rPr>
          <w:rFonts w:hint="eastAsia" w:asciiTheme="minorEastAsia" w:hAnsiTheme="minorEastAsia" w:eastAsiaTheme="minorEastAsia" w:cstheme="minorEastAsia"/>
          <w:b/>
          <w:bCs/>
          <w:snapToGrid w:val="0"/>
          <w:color w:val="auto"/>
          <w:sz w:val="21"/>
          <w:szCs w:val="21"/>
          <w:highlight w:val="none"/>
        </w:rPr>
        <w:t>7．招标文件的提问和答疑</w:t>
      </w:r>
      <w:bookmarkEnd w:id="125"/>
      <w:bookmarkEnd w:id="126"/>
      <w:bookmarkEnd w:id="127"/>
      <w:bookmarkEnd w:id="128"/>
      <w:bookmarkEnd w:id="129"/>
      <w:bookmarkEnd w:id="130"/>
      <w:bookmarkEnd w:id="131"/>
      <w:bookmarkEnd w:id="132"/>
      <w:bookmarkEnd w:id="133"/>
      <w:bookmarkEnd w:id="134"/>
      <w:bookmarkEnd w:id="135"/>
      <w:bookmarkEnd w:id="136"/>
      <w:bookmarkStart w:id="137" w:name="_Hlt74496410"/>
      <w:bookmarkEnd w:id="137"/>
    </w:p>
    <w:p w14:paraId="1441184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7.1</w:t>
      </w:r>
      <w:r>
        <w:rPr>
          <w:rFonts w:hint="eastAsia" w:asciiTheme="minorEastAsia" w:hAnsiTheme="minorEastAsia" w:eastAsiaTheme="minorEastAsia" w:cstheme="minorEastAsia"/>
          <w:snapToGrid w:val="0"/>
          <w:color w:val="auto"/>
          <w:kern w:val="0"/>
          <w:sz w:val="21"/>
          <w:szCs w:val="21"/>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1D6CB74C">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7.2 </w:t>
      </w:r>
      <w:r>
        <w:rPr>
          <w:rFonts w:hint="eastAsia" w:asciiTheme="minorEastAsia" w:hAnsiTheme="minorEastAsia" w:eastAsiaTheme="minorEastAsia" w:cstheme="minorEastAsia"/>
          <w:snapToGrid w:val="0"/>
          <w:color w:val="auto"/>
          <w:kern w:val="0"/>
          <w:sz w:val="21"/>
          <w:szCs w:val="21"/>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3A7B475">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7.3</w:t>
      </w:r>
      <w:r>
        <w:rPr>
          <w:rFonts w:hint="eastAsia" w:asciiTheme="minorEastAsia" w:hAnsiTheme="minorEastAsia" w:eastAsiaTheme="minorEastAsia" w:cstheme="minorEastAsia"/>
          <w:snapToGrid w:val="0"/>
          <w:color w:val="auto"/>
          <w:kern w:val="0"/>
          <w:sz w:val="21"/>
          <w:szCs w:val="21"/>
          <w:highlight w:val="none"/>
        </w:rPr>
        <w:t xml:space="preserve"> 招标人对招标文件所作的答疑（或修改）公告，构成招标文件的组成部分。</w:t>
      </w:r>
    </w:p>
    <w:p w14:paraId="31CE441E">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p>
    <w:p w14:paraId="4283CAFC">
      <w:pPr>
        <w:pStyle w:val="4"/>
        <w:shd w:val="clear" w:color="auto" w:fill="auto"/>
        <w:jc w:val="left"/>
        <w:rPr>
          <w:rFonts w:hint="eastAsia" w:asciiTheme="minorEastAsia" w:hAnsiTheme="minorEastAsia" w:eastAsiaTheme="minorEastAsia" w:cstheme="minorEastAsia"/>
          <w:b/>
          <w:snapToGrid w:val="0"/>
          <w:color w:val="auto"/>
          <w:sz w:val="21"/>
          <w:szCs w:val="21"/>
          <w:highlight w:val="none"/>
        </w:rPr>
      </w:pPr>
      <w:bookmarkStart w:id="138" w:name="_Hlt92513715"/>
      <w:bookmarkEnd w:id="138"/>
      <w:bookmarkStart w:id="139" w:name="_Hlt69699188"/>
      <w:bookmarkEnd w:id="139"/>
      <w:bookmarkStart w:id="140" w:name="_Hlt92513711"/>
      <w:bookmarkEnd w:id="140"/>
      <w:bookmarkStart w:id="141" w:name="_Toc14436"/>
      <w:bookmarkStart w:id="142" w:name="_Toc3519"/>
      <w:bookmarkStart w:id="143" w:name="_Toc21586"/>
      <w:bookmarkStart w:id="144" w:name="_Toc24190"/>
      <w:bookmarkStart w:id="145" w:name="_Toc1345"/>
      <w:bookmarkStart w:id="146" w:name="_Toc7759"/>
      <w:bookmarkStart w:id="147" w:name="_Toc32242"/>
      <w:bookmarkStart w:id="148" w:name="_Toc23139"/>
      <w:bookmarkStart w:id="149" w:name="_Toc15770"/>
      <w:bookmarkStart w:id="150" w:name="_Toc18725"/>
      <w:bookmarkStart w:id="151" w:name="_Toc957"/>
      <w:bookmarkStart w:id="152" w:name="_Toc29680"/>
      <w:r>
        <w:rPr>
          <w:rFonts w:hint="eastAsia" w:asciiTheme="minorEastAsia" w:hAnsiTheme="minorEastAsia" w:eastAsiaTheme="minorEastAsia" w:cstheme="minorEastAsia"/>
          <w:b/>
          <w:snapToGrid w:val="0"/>
          <w:color w:val="auto"/>
          <w:sz w:val="21"/>
          <w:szCs w:val="21"/>
          <w:highlight w:val="none"/>
        </w:rPr>
        <w:t>8．最高投标限价</w:t>
      </w:r>
      <w:bookmarkEnd w:id="141"/>
      <w:bookmarkEnd w:id="142"/>
      <w:bookmarkEnd w:id="143"/>
      <w:bookmarkEnd w:id="144"/>
      <w:bookmarkEnd w:id="145"/>
      <w:bookmarkEnd w:id="146"/>
      <w:bookmarkEnd w:id="147"/>
      <w:bookmarkEnd w:id="148"/>
      <w:bookmarkEnd w:id="149"/>
      <w:bookmarkEnd w:id="150"/>
      <w:bookmarkEnd w:id="151"/>
    </w:p>
    <w:p w14:paraId="349160F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snapToGrid w:val="0"/>
          <w:color w:val="auto"/>
          <w:kern w:val="0"/>
          <w:sz w:val="21"/>
          <w:szCs w:val="21"/>
          <w:highlight w:val="none"/>
        </w:rPr>
        <w:t xml:space="preserve"> 本招标项目参考以下依据编制最高投标限价：</w:t>
      </w:r>
    </w:p>
    <w:p w14:paraId="364B5DA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（1）项目</w:t>
      </w:r>
      <w:r>
        <w:rPr>
          <w:rFonts w:hint="eastAsia" w:asciiTheme="minorEastAsia" w:hAnsiTheme="minorEastAsia" w:eastAsiaTheme="minorEastAsia" w:cstheme="minorEastAsia"/>
          <w:snapToGrid w:val="0"/>
          <w:color w:val="auto"/>
          <w:kern w:val="0"/>
          <w:sz w:val="21"/>
          <w:szCs w:val="21"/>
          <w:highlight w:val="none"/>
          <w:u w:val="single"/>
        </w:rPr>
        <w:t>概算</w:t>
      </w:r>
      <w:r>
        <w:rPr>
          <w:rFonts w:hint="eastAsia" w:asciiTheme="minorEastAsia" w:hAnsiTheme="minorEastAsia" w:eastAsiaTheme="minorEastAsia" w:cstheme="minorEastAsia"/>
          <w:snapToGrid w:val="0"/>
          <w:color w:val="auto"/>
          <w:kern w:val="0"/>
          <w:sz w:val="21"/>
          <w:szCs w:val="21"/>
          <w:highlight w:val="none"/>
        </w:rPr>
        <w:t>投资额</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参考建安费</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w:t>
      </w:r>
    </w:p>
    <w:p w14:paraId="3AE7B94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（2）《建设工程监理与相关服务收费标准》；</w:t>
      </w:r>
    </w:p>
    <w:p w14:paraId="473074A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（3）监理及相关服务内容；</w:t>
      </w:r>
    </w:p>
    <w:p w14:paraId="56C47C4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（4）施工现场情况、工程特点；</w:t>
      </w:r>
    </w:p>
    <w:p w14:paraId="6A04851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（5）项目所在地市场价格。</w:t>
      </w:r>
    </w:p>
    <w:p w14:paraId="583297F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sz w:val="21"/>
          <w:szCs w:val="21"/>
          <w:highlight w:val="none"/>
          <w:u w:val="single"/>
          <w:lang w:val="en-US"/>
        </w:rPr>
      </w:pPr>
      <w:bookmarkStart w:id="153" w:name="_Toc26159"/>
      <w:bookmarkStart w:id="154" w:name="_Toc15920"/>
      <w:bookmarkStart w:id="155" w:name="_Toc18554"/>
      <w:bookmarkStart w:id="156" w:name="_Toc24249"/>
      <w:bookmarkStart w:id="157" w:name="_Toc30700"/>
      <w:bookmarkStart w:id="158" w:name="_Toc21815"/>
      <w:bookmarkStart w:id="159" w:name="_Toc22817"/>
      <w:bookmarkStart w:id="160" w:name="_Toc22072"/>
      <w:bookmarkStart w:id="161" w:name="_Toc9190"/>
      <w:bookmarkStart w:id="162" w:name="_Toc2756"/>
      <w:bookmarkStart w:id="163" w:name="_Toc5916"/>
      <w:r>
        <w:rPr>
          <w:rFonts w:hint="eastAsia" w:asciiTheme="minorEastAsia" w:hAnsiTheme="minorEastAsia" w:eastAsiaTheme="minorEastAsia" w:cstheme="minorEastAsia"/>
          <w:b/>
          <w:bCs/>
          <w:snapToGrid w:val="0"/>
          <w:color w:val="auto"/>
          <w:kern w:val="0"/>
          <w:sz w:val="21"/>
          <w:szCs w:val="21"/>
          <w:highlight w:val="none"/>
        </w:rPr>
        <w:t>8.2</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本项目最高投标限价为人民币（大写）:</w:t>
      </w:r>
      <w:r>
        <w:rPr>
          <w:rFonts w:hint="eastAsia" w:asciiTheme="minorEastAsia" w:hAnsiTheme="minorEastAsia" w:eastAsiaTheme="minorEastAsia" w:cstheme="minorEastAsia"/>
          <w:color w:val="auto"/>
          <w:sz w:val="21"/>
          <w:szCs w:val="21"/>
          <w:highlight w:val="none"/>
          <w:u w:val="single"/>
          <w:lang w:val="en-US" w:eastAsia="zh-CN"/>
        </w:rPr>
        <w:t>壹拾陆万元整(¥160000.00)；监理服务费投标取费费率上限为1.311%。</w:t>
      </w:r>
    </w:p>
    <w:p w14:paraId="39A32718">
      <w:pPr>
        <w:pStyle w:val="4"/>
        <w:shd w:val="clear" w:color="auto" w:fill="auto"/>
        <w:jc w:val="left"/>
        <w:rPr>
          <w:rFonts w:hint="eastAsia" w:asciiTheme="minorEastAsia" w:hAnsiTheme="minorEastAsia" w:eastAsiaTheme="minorEastAsia" w:cstheme="minorEastAsia"/>
          <w:b/>
          <w:snapToGrid w:val="0"/>
          <w:color w:val="auto"/>
          <w:sz w:val="21"/>
          <w:szCs w:val="21"/>
          <w:highlight w:val="none"/>
        </w:rPr>
      </w:pPr>
      <w:r>
        <w:rPr>
          <w:rFonts w:hint="eastAsia" w:asciiTheme="minorEastAsia" w:hAnsiTheme="minorEastAsia" w:eastAsiaTheme="minorEastAsia" w:cstheme="minorEastAsia"/>
          <w:b/>
          <w:snapToGrid w:val="0"/>
          <w:color w:val="auto"/>
          <w:sz w:val="21"/>
          <w:szCs w:val="21"/>
          <w:highlight w:val="none"/>
        </w:rPr>
        <w:t>9．投标报价</w:t>
      </w:r>
      <w:bookmarkEnd w:id="152"/>
      <w:bookmarkEnd w:id="153"/>
      <w:bookmarkEnd w:id="154"/>
      <w:bookmarkEnd w:id="155"/>
      <w:bookmarkEnd w:id="156"/>
      <w:bookmarkEnd w:id="157"/>
      <w:bookmarkEnd w:id="158"/>
      <w:bookmarkEnd w:id="159"/>
      <w:bookmarkEnd w:id="160"/>
      <w:bookmarkEnd w:id="161"/>
      <w:bookmarkEnd w:id="162"/>
      <w:bookmarkEnd w:id="163"/>
      <w:bookmarkStart w:id="164" w:name="_Hlt74498519"/>
      <w:bookmarkEnd w:id="164"/>
    </w:p>
    <w:p w14:paraId="0CD36A3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9.1</w:t>
      </w:r>
      <w:r>
        <w:rPr>
          <w:rFonts w:hint="eastAsia" w:asciiTheme="minorEastAsia" w:hAnsiTheme="minorEastAsia" w:eastAsiaTheme="minorEastAsia" w:cstheme="minorEastAsia"/>
          <w:snapToGrid w:val="0"/>
          <w:color w:val="auto"/>
          <w:kern w:val="0"/>
          <w:sz w:val="21"/>
          <w:szCs w:val="21"/>
          <w:highlight w:val="none"/>
        </w:rPr>
        <w:t xml:space="preserve"> 本次招标采用填报</w:t>
      </w:r>
      <w:r>
        <w:rPr>
          <w:rFonts w:hint="eastAsia" w:asciiTheme="minorEastAsia" w:hAnsiTheme="minorEastAsia" w:eastAsiaTheme="minorEastAsia" w:cstheme="minorEastAsia"/>
          <w:snapToGrid w:val="0"/>
          <w:color w:val="auto"/>
          <w:kern w:val="0"/>
          <w:sz w:val="21"/>
          <w:szCs w:val="21"/>
          <w:highlight w:val="none"/>
          <w:u w:val="single"/>
        </w:rPr>
        <w:t>价格和取费费率</w:t>
      </w:r>
      <w:r>
        <w:rPr>
          <w:rFonts w:hint="eastAsia" w:asciiTheme="minorEastAsia" w:hAnsiTheme="minorEastAsia" w:eastAsiaTheme="minorEastAsia" w:cstheme="minorEastAsia"/>
          <w:snapToGrid w:val="0"/>
          <w:color w:val="auto"/>
          <w:kern w:val="0"/>
          <w:sz w:val="21"/>
          <w:szCs w:val="21"/>
          <w:highlight w:val="none"/>
        </w:rPr>
        <w:t>的方式进行报价。投标人应在《投标函》（格式二）中进行报价并填写《监理及相关服务报酬清单》（格式十</w:t>
      </w:r>
      <w:r>
        <w:rPr>
          <w:rFonts w:hint="eastAsia" w:asciiTheme="minorEastAsia" w:hAnsiTheme="minorEastAsia" w:eastAsiaTheme="minorEastAsia" w:cstheme="minorEastAsia"/>
          <w:snapToGrid w:val="0"/>
          <w:color w:val="auto"/>
          <w:kern w:val="0"/>
          <w:sz w:val="21"/>
          <w:szCs w:val="21"/>
          <w:highlight w:val="none"/>
          <w:lang w:val="en-US" w:eastAsia="zh-CN"/>
        </w:rPr>
        <w:t>三</w:t>
      </w:r>
      <w:r>
        <w:rPr>
          <w:rFonts w:hint="eastAsia" w:asciiTheme="minorEastAsia" w:hAnsiTheme="minorEastAsia" w:eastAsiaTheme="minorEastAsia" w:cstheme="minorEastAsia"/>
          <w:snapToGrid w:val="0"/>
          <w:color w:val="auto"/>
          <w:kern w:val="0"/>
          <w:sz w:val="21"/>
          <w:szCs w:val="21"/>
          <w:highlight w:val="none"/>
        </w:rPr>
        <w:t>）。</w:t>
      </w:r>
    </w:p>
    <w:p w14:paraId="087D86A8">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9.2</w:t>
      </w:r>
      <w:r>
        <w:rPr>
          <w:rFonts w:hint="eastAsia" w:asciiTheme="minorEastAsia" w:hAnsiTheme="minorEastAsia" w:eastAsiaTheme="minorEastAsia" w:cstheme="minorEastAsia"/>
          <w:snapToGrid w:val="0"/>
          <w:color w:val="auto"/>
          <w:kern w:val="0"/>
          <w:sz w:val="21"/>
          <w:szCs w:val="21"/>
          <w:highlight w:val="none"/>
        </w:rPr>
        <w:t xml:space="preserve"> 所有报价均以人民币“元”为单位，并</w:t>
      </w:r>
      <w:r>
        <w:rPr>
          <w:rFonts w:hint="eastAsia" w:asciiTheme="minorEastAsia" w:hAnsiTheme="minorEastAsia" w:eastAsiaTheme="minorEastAsia" w:cstheme="minorEastAsia"/>
          <w:snapToGrid w:val="0"/>
          <w:color w:val="auto"/>
          <w:kern w:val="0"/>
          <w:sz w:val="21"/>
          <w:szCs w:val="21"/>
          <w:highlight w:val="none"/>
          <w:lang w:val="en-US" w:eastAsia="zh-CN"/>
        </w:rPr>
        <w:t>按“四舍五入”原则精确到</w:t>
      </w:r>
      <w:r>
        <w:rPr>
          <w:rFonts w:hint="eastAsia" w:asciiTheme="minorEastAsia" w:hAnsiTheme="minorEastAsia" w:eastAsiaTheme="minorEastAsia" w:cstheme="minorEastAsia"/>
          <w:snapToGrid w:val="0"/>
          <w:color w:val="auto"/>
          <w:kern w:val="0"/>
          <w:sz w:val="21"/>
          <w:szCs w:val="21"/>
          <w:highlight w:val="none"/>
        </w:rPr>
        <w:t>两位小数；</w:t>
      </w:r>
      <w:r>
        <w:rPr>
          <w:rFonts w:hint="eastAsia" w:asciiTheme="minorEastAsia" w:hAnsiTheme="minorEastAsia" w:eastAsiaTheme="minorEastAsia" w:cstheme="minorEastAsia"/>
          <w:b/>
          <w:bCs/>
          <w:snapToGrid w:val="0"/>
          <w:color w:val="auto"/>
          <w:kern w:val="0"/>
          <w:sz w:val="21"/>
          <w:szCs w:val="21"/>
          <w:highlight w:val="none"/>
        </w:rPr>
        <w:t>投标取费费率＝投标总价÷建安工程费暂定价×100%，</w:t>
      </w:r>
      <w:r>
        <w:rPr>
          <w:rFonts w:hint="eastAsia" w:asciiTheme="minorEastAsia" w:hAnsiTheme="minorEastAsia" w:eastAsiaTheme="minorEastAsia" w:cstheme="minorEastAsia"/>
          <w:b w:val="0"/>
          <w:bCs w:val="0"/>
          <w:snapToGrid w:val="0"/>
          <w:color w:val="auto"/>
          <w:kern w:val="0"/>
          <w:sz w:val="21"/>
          <w:szCs w:val="21"/>
          <w:highlight w:val="none"/>
        </w:rPr>
        <w:t>并</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按“四舍五入”原则精确到</w:t>
      </w:r>
      <w:r>
        <w:rPr>
          <w:rFonts w:hint="eastAsia" w:asciiTheme="minorEastAsia" w:hAnsiTheme="minorEastAsia" w:eastAsiaTheme="minorEastAsia" w:cstheme="minorEastAsia"/>
          <w:b w:val="0"/>
          <w:bCs w:val="0"/>
          <w:snapToGrid w:val="0"/>
          <w:color w:val="auto"/>
          <w:kern w:val="0"/>
          <w:sz w:val="21"/>
          <w:szCs w:val="21"/>
          <w:highlight w:val="none"/>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三</w:t>
      </w:r>
      <w:r>
        <w:rPr>
          <w:rFonts w:hint="eastAsia" w:asciiTheme="minorEastAsia" w:hAnsiTheme="minorEastAsia" w:eastAsiaTheme="minorEastAsia" w:cstheme="minorEastAsia"/>
          <w:b w:val="0"/>
          <w:bCs w:val="0"/>
          <w:snapToGrid w:val="0"/>
          <w:color w:val="auto"/>
          <w:kern w:val="0"/>
          <w:sz w:val="21"/>
          <w:szCs w:val="21"/>
          <w:highlight w:val="none"/>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none"/>
        </w:rPr>
        <w:t>位小数。</w:t>
      </w:r>
    </w:p>
    <w:p w14:paraId="396A654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9.3</w:t>
      </w:r>
      <w:r>
        <w:rPr>
          <w:rFonts w:hint="eastAsia" w:asciiTheme="minorEastAsia" w:hAnsiTheme="minorEastAsia" w:eastAsiaTheme="minorEastAsia" w:cstheme="minorEastAsia"/>
          <w:snapToGrid w:val="0"/>
          <w:color w:val="auto"/>
          <w:kern w:val="0"/>
          <w:sz w:val="21"/>
          <w:szCs w:val="21"/>
          <w:highlight w:val="none"/>
        </w:rPr>
        <w:t xml:space="preserve"> 投标人只允许有一个投标总价。投标总价必须同时用大、小写表示，大、小写报价应保持一致，若不一致，以大写报价为准。</w:t>
      </w:r>
    </w:p>
    <w:p w14:paraId="4371208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rPr>
        <w:t>9.</w:t>
      </w:r>
      <w:r>
        <w:rPr>
          <w:rFonts w:hint="eastAsia" w:asciiTheme="minorEastAsia" w:hAnsiTheme="minorEastAsia" w:eastAsiaTheme="minorEastAsia" w:cstheme="minorEastAsia"/>
          <w:b/>
          <w:bCs/>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 xml:space="preserve"> 投标总价应包括国家规定的增值税税金。本次招标增值税税金按</w:t>
      </w:r>
      <w:r>
        <w:rPr>
          <w:rFonts w:hint="eastAsia" w:asciiTheme="minorEastAsia" w:hAnsiTheme="minorEastAsia" w:eastAsiaTheme="minorEastAsia" w:cstheme="minorEastAsia"/>
          <w:snapToGrid w:val="0"/>
          <w:color w:val="auto"/>
          <w:kern w:val="0"/>
          <w:sz w:val="21"/>
          <w:szCs w:val="21"/>
          <w:highlight w:val="none"/>
          <w:u w:val="single"/>
        </w:rPr>
        <w:t xml:space="preserve"> 一般 </w:t>
      </w:r>
      <w:r>
        <w:rPr>
          <w:rFonts w:hint="eastAsia" w:asciiTheme="minorEastAsia" w:hAnsiTheme="minorEastAsia" w:eastAsiaTheme="minorEastAsia" w:cstheme="minorEastAsia"/>
          <w:snapToGrid w:val="0"/>
          <w:color w:val="auto"/>
          <w:kern w:val="0"/>
          <w:sz w:val="21"/>
          <w:szCs w:val="21"/>
          <w:highlight w:val="none"/>
        </w:rPr>
        <w:t>计税方法计算</w:t>
      </w:r>
      <w:r>
        <w:rPr>
          <w:rFonts w:hint="eastAsia" w:asciiTheme="minorEastAsia" w:hAnsiTheme="minorEastAsia" w:eastAsiaTheme="minorEastAsia" w:cstheme="minorEastAsia"/>
          <w:snapToGrid w:val="0"/>
          <w:color w:val="auto"/>
          <w:kern w:val="0"/>
          <w:sz w:val="21"/>
          <w:szCs w:val="21"/>
          <w:highlight w:val="none"/>
          <w:lang w:eastAsia="zh-CN"/>
        </w:rPr>
        <w:t>。</w:t>
      </w:r>
    </w:p>
    <w:p w14:paraId="2DD7546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 xml:space="preserve"> 投标总价不得高于最高投标限价，也不得低于成本。投标总价的所有优惠（降价、让利等），均应在《监理及相关服务报酬清单》（格式十</w:t>
      </w:r>
      <w:r>
        <w:rPr>
          <w:rFonts w:hint="eastAsia" w:asciiTheme="minorEastAsia" w:hAnsiTheme="minorEastAsia" w:eastAsiaTheme="minorEastAsia" w:cstheme="minorEastAsia"/>
          <w:snapToGrid w:val="0"/>
          <w:color w:val="auto"/>
          <w:kern w:val="0"/>
          <w:sz w:val="21"/>
          <w:szCs w:val="21"/>
          <w:highlight w:val="none"/>
          <w:lang w:val="en-US" w:eastAsia="zh-CN"/>
        </w:rPr>
        <w:t>三</w:t>
      </w:r>
      <w:r>
        <w:rPr>
          <w:rFonts w:hint="eastAsia" w:asciiTheme="minorEastAsia" w:hAnsiTheme="minorEastAsia" w:eastAsiaTheme="minorEastAsia" w:cstheme="minorEastAsia"/>
          <w:snapToGrid w:val="0"/>
          <w:color w:val="auto"/>
          <w:kern w:val="0"/>
          <w:sz w:val="21"/>
          <w:szCs w:val="21"/>
          <w:highlight w:val="none"/>
        </w:rPr>
        <w:t>）中反映。</w:t>
      </w:r>
    </w:p>
    <w:p w14:paraId="6577D5F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w:t>
      </w:r>
      <w:r>
        <w:rPr>
          <w:rFonts w:hint="eastAsia" w:asciiTheme="minorEastAsia" w:hAnsiTheme="minorEastAsia" w:eastAsiaTheme="minorEastAsia" w:cstheme="minorEastAsia"/>
          <w:b/>
          <w:bCs/>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 xml:space="preserve"> 投标人应充分了解招标项目的总体情况以及影响投标报价的其他要素。</w:t>
      </w:r>
    </w:p>
    <w:p w14:paraId="4D1D086F">
      <w:pPr>
        <w:pStyle w:val="4"/>
        <w:shd w:val="clear" w:color="auto" w:fill="auto"/>
        <w:jc w:val="left"/>
        <w:rPr>
          <w:rFonts w:hint="eastAsia" w:asciiTheme="minorEastAsia" w:hAnsiTheme="minorEastAsia" w:eastAsiaTheme="minorEastAsia" w:cstheme="minorEastAsia"/>
          <w:b/>
          <w:snapToGrid w:val="0"/>
          <w:color w:val="auto"/>
          <w:sz w:val="21"/>
          <w:szCs w:val="21"/>
          <w:highlight w:val="none"/>
        </w:rPr>
      </w:pPr>
      <w:bookmarkStart w:id="165" w:name="_（十）投标文件的编制、包装、密封"/>
      <w:bookmarkEnd w:id="165"/>
      <w:bookmarkStart w:id="166" w:name="_Toc22075"/>
      <w:bookmarkStart w:id="167" w:name="_Toc15831"/>
      <w:bookmarkStart w:id="168" w:name="_Toc28889"/>
      <w:bookmarkStart w:id="169" w:name="_Toc27146"/>
      <w:bookmarkStart w:id="170" w:name="_Toc25728"/>
      <w:bookmarkStart w:id="171" w:name="_Toc28199"/>
      <w:bookmarkStart w:id="172" w:name="_Toc7646"/>
      <w:bookmarkStart w:id="173" w:name="_Toc21396"/>
      <w:bookmarkStart w:id="174" w:name="_Toc28756"/>
      <w:bookmarkStart w:id="175" w:name="_Toc15406"/>
      <w:bookmarkStart w:id="176" w:name="_Toc1394"/>
      <w:bookmarkStart w:id="177" w:name="_Toc11933"/>
    </w:p>
    <w:p w14:paraId="37C52ED3">
      <w:pPr>
        <w:pStyle w:val="4"/>
        <w:shd w:val="clear" w:color="auto" w:fill="auto"/>
        <w:jc w:val="left"/>
        <w:rPr>
          <w:rFonts w:hint="eastAsia" w:asciiTheme="minorEastAsia" w:hAnsiTheme="minorEastAsia" w:eastAsiaTheme="minorEastAsia" w:cstheme="minorEastAsia"/>
          <w:b/>
          <w:strike/>
          <w:snapToGrid w:val="0"/>
          <w:color w:val="auto"/>
          <w:sz w:val="21"/>
          <w:szCs w:val="21"/>
          <w:highlight w:val="none"/>
        </w:rPr>
      </w:pPr>
      <w:r>
        <w:rPr>
          <w:rFonts w:hint="eastAsia" w:asciiTheme="minorEastAsia" w:hAnsiTheme="minorEastAsia" w:eastAsiaTheme="minorEastAsia" w:cstheme="minorEastAsia"/>
          <w:b/>
          <w:snapToGrid w:val="0"/>
          <w:color w:val="auto"/>
          <w:sz w:val="21"/>
          <w:szCs w:val="21"/>
          <w:highlight w:val="none"/>
        </w:rPr>
        <w:t>10．投标文件的编制</w:t>
      </w:r>
      <w:bookmarkStart w:id="178" w:name="_Hlt69332370"/>
      <w:bookmarkEnd w:id="178"/>
      <w:bookmarkStart w:id="179" w:name="_Hlt69208262"/>
      <w:bookmarkEnd w:id="179"/>
      <w:r>
        <w:rPr>
          <w:rFonts w:hint="eastAsia" w:asciiTheme="minorEastAsia" w:hAnsiTheme="minorEastAsia" w:eastAsiaTheme="minorEastAsia" w:cstheme="minorEastAsia"/>
          <w:b/>
          <w:snapToGrid w:val="0"/>
          <w:color w:val="auto"/>
          <w:sz w:val="21"/>
          <w:szCs w:val="21"/>
          <w:highlight w:val="none"/>
        </w:rPr>
        <w:t>要求</w:t>
      </w:r>
      <w:bookmarkEnd w:id="166"/>
      <w:bookmarkEnd w:id="167"/>
      <w:bookmarkEnd w:id="168"/>
      <w:bookmarkEnd w:id="169"/>
      <w:bookmarkEnd w:id="170"/>
      <w:bookmarkEnd w:id="171"/>
      <w:bookmarkEnd w:id="172"/>
      <w:bookmarkEnd w:id="173"/>
      <w:bookmarkEnd w:id="174"/>
      <w:bookmarkEnd w:id="175"/>
      <w:bookmarkEnd w:id="176"/>
      <w:bookmarkEnd w:id="177"/>
      <w:bookmarkStart w:id="180" w:name="_Hlt78768224"/>
      <w:bookmarkEnd w:id="180"/>
      <w:bookmarkStart w:id="181" w:name="_Hlt74495594"/>
      <w:bookmarkEnd w:id="181"/>
      <w:bookmarkStart w:id="182" w:name="_Hlt74497202"/>
      <w:bookmarkEnd w:id="182"/>
      <w:bookmarkStart w:id="183" w:name="_Toc17114"/>
    </w:p>
    <w:p w14:paraId="2414CBE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kern w:val="0"/>
          <w:sz w:val="21"/>
          <w:szCs w:val="21"/>
          <w:highlight w:val="none"/>
        </w:rPr>
      </w:pPr>
      <w:bookmarkStart w:id="184" w:name="_Toc7699"/>
      <w:r>
        <w:rPr>
          <w:rFonts w:hint="eastAsia" w:asciiTheme="minorEastAsia" w:hAnsiTheme="minorEastAsia" w:eastAsiaTheme="minorEastAsia" w:cstheme="minorEastAsia"/>
          <w:b/>
          <w:bCs/>
          <w:snapToGrid w:val="0"/>
          <w:color w:val="auto"/>
          <w:kern w:val="0"/>
          <w:sz w:val="21"/>
          <w:szCs w:val="21"/>
          <w:highlight w:val="none"/>
        </w:rPr>
        <w:t>10.1</w:t>
      </w:r>
      <w:r>
        <w:rPr>
          <w:rFonts w:hint="eastAsia" w:asciiTheme="minorEastAsia" w:hAnsiTheme="minorEastAsia" w:eastAsiaTheme="minorEastAsia" w:cstheme="minorEastAsia"/>
          <w:bCs/>
          <w:snapToGrid w:val="0"/>
          <w:color w:val="auto"/>
          <w:kern w:val="0"/>
          <w:sz w:val="21"/>
          <w:szCs w:val="21"/>
          <w:highlight w:val="none"/>
        </w:rPr>
        <w:t xml:space="preserve"> 一般要求</w:t>
      </w:r>
      <w:bookmarkEnd w:id="183"/>
      <w:bookmarkEnd w:id="184"/>
    </w:p>
    <w:p w14:paraId="6E83DFD4">
      <w:pPr>
        <w:pStyle w:val="9"/>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投标文件应按第六章投标文件格式规定的内容，投标人提交的投标文件应当使用招标文件所提供的投标文件全部格式。</w:t>
      </w:r>
    </w:p>
    <w:p w14:paraId="0E0DA0D4">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10.1.1</w:t>
      </w:r>
      <w:r>
        <w:rPr>
          <w:rFonts w:hint="eastAsia" w:asciiTheme="minorEastAsia" w:hAnsiTheme="minorEastAsia" w:eastAsiaTheme="minorEastAsia" w:cstheme="minorEastAsia"/>
          <w:snapToGrid w:val="0"/>
          <w:color w:val="auto"/>
          <w:kern w:val="0"/>
          <w:sz w:val="21"/>
          <w:szCs w:val="21"/>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bookmarkStart w:id="185" w:name="_Hlt74496890"/>
      <w:bookmarkEnd w:id="185"/>
    </w:p>
    <w:p w14:paraId="4DA48F6B">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10.1.2</w:t>
      </w:r>
      <w:r>
        <w:rPr>
          <w:rFonts w:hint="eastAsia" w:asciiTheme="minorEastAsia" w:hAnsiTheme="minorEastAsia" w:eastAsiaTheme="minorEastAsia" w:cstheme="minorEastAsia"/>
          <w:snapToGrid w:val="0"/>
          <w:color w:val="auto"/>
          <w:kern w:val="0"/>
          <w:sz w:val="21"/>
          <w:szCs w:val="21"/>
          <w:highlight w:val="none"/>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cstheme="minorEastAsia"/>
          <w:snapToGrid w:val="0"/>
          <w:color w:val="auto"/>
          <w:kern w:val="0"/>
          <w:sz w:val="21"/>
          <w:szCs w:val="21"/>
          <w:highlight w:val="none"/>
          <w:lang w:eastAsia="zh-CN"/>
        </w:rPr>
        <w:t>全国公共资源交易平台 （广东省·韶关市）（https://ygp.gdzwfw.gov.cn/ggzy-portal/#/440200/index）</w:t>
      </w:r>
      <w:r>
        <w:rPr>
          <w:rFonts w:hint="eastAsia" w:asciiTheme="minorEastAsia" w:hAnsiTheme="minorEastAsia" w:eastAsiaTheme="minorEastAsia" w:cstheme="minorEastAsia"/>
          <w:snapToGrid w:val="0"/>
          <w:color w:val="auto"/>
          <w:kern w:val="0"/>
          <w:sz w:val="21"/>
          <w:szCs w:val="21"/>
          <w:highlight w:val="none"/>
        </w:rPr>
        <w:t>交易指引。</w:t>
      </w:r>
    </w:p>
    <w:p w14:paraId="269B0640">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10.1.3</w:t>
      </w:r>
      <w:r>
        <w:rPr>
          <w:rFonts w:hint="eastAsia" w:asciiTheme="minorEastAsia" w:hAnsiTheme="minorEastAsia" w:eastAsiaTheme="minorEastAsia" w:cstheme="minorEastAsia"/>
          <w:snapToGrid w:val="0"/>
          <w:color w:val="auto"/>
          <w:kern w:val="0"/>
          <w:sz w:val="21"/>
          <w:szCs w:val="21"/>
          <w:highlight w:val="none"/>
        </w:rPr>
        <w:t xml:space="preserve"> 投标文件需按以下要求签字、盖章：</w:t>
      </w:r>
    </w:p>
    <w:p w14:paraId="406CC2B8">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10.1.3.1</w:t>
      </w:r>
      <w:r>
        <w:rPr>
          <w:rFonts w:hint="eastAsia" w:asciiTheme="minorEastAsia" w:hAnsiTheme="minorEastAsia" w:eastAsiaTheme="minorEastAsia" w:cstheme="minorEastAsia"/>
          <w:snapToGrid w:val="0"/>
          <w:color w:val="auto"/>
          <w:kern w:val="0"/>
          <w:sz w:val="21"/>
          <w:szCs w:val="21"/>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A60943B">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10.1.3.2</w:t>
      </w:r>
      <w:r>
        <w:rPr>
          <w:rFonts w:hint="eastAsia" w:asciiTheme="minorEastAsia" w:hAnsiTheme="minorEastAsia" w:eastAsiaTheme="minorEastAsia" w:cstheme="minorEastAsia"/>
          <w:snapToGrid w:val="0"/>
          <w:color w:val="auto"/>
          <w:kern w:val="0"/>
          <w:sz w:val="21"/>
          <w:szCs w:val="21"/>
          <w:highlight w:val="none"/>
        </w:rPr>
        <w:t xml:space="preserve"> 投标文件封套、封面、组成内容中凡要求录入投标人名称且注明“盖单位章”处盖单位法人公章（电子印章）。</w:t>
      </w:r>
    </w:p>
    <w:p w14:paraId="3C70C39D">
      <w:pPr>
        <w:pStyle w:val="9"/>
        <w:shd w:val="clear" w:color="auto" w:fill="auto"/>
        <w:wordWrap w:val="0"/>
        <w:adjustRightInd w:val="0"/>
        <w:snapToGrid w:val="0"/>
        <w:spacing w:line="440" w:lineRule="exact"/>
        <w:ind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10.1.3.3</w:t>
      </w:r>
      <w:r>
        <w:rPr>
          <w:rFonts w:hint="eastAsia" w:asciiTheme="minorEastAsia" w:hAnsiTheme="minorEastAsia" w:eastAsiaTheme="minorEastAsia" w:cstheme="minorEastAsia"/>
          <w:snapToGrid w:val="0"/>
          <w:color w:val="auto"/>
          <w:kern w:val="0"/>
          <w:sz w:val="21"/>
          <w:szCs w:val="21"/>
          <w:highlight w:val="none"/>
        </w:rPr>
        <w:t xml:space="preserve"> 投标文件的签字均为签字人本人亲笔署名或签章（电子印章），其余部分无须另行签字、盖章。</w:t>
      </w:r>
    </w:p>
    <w:p w14:paraId="3E364268">
      <w:pPr>
        <w:shd w:val="clear" w:color="auto" w:fill="auto"/>
        <w:wordWrap w:val="0"/>
        <w:adjustRightInd w:val="0"/>
        <w:snapToGrid w:val="0"/>
        <w:spacing w:line="360" w:lineRule="auto"/>
        <w:ind w:firstLine="560"/>
        <w:rPr>
          <w:rFonts w:hint="eastAsia" w:asciiTheme="minorEastAsia" w:hAnsiTheme="minorEastAsia" w:eastAsiaTheme="minorEastAsia" w:cstheme="minorEastAsia"/>
          <w:snapToGrid w:val="0"/>
          <w:color w:val="auto"/>
          <w:kern w:val="0"/>
          <w:sz w:val="21"/>
          <w:szCs w:val="21"/>
          <w:highlight w:val="none"/>
        </w:rPr>
      </w:pPr>
      <w:bookmarkStart w:id="186" w:name="_Toc29774"/>
      <w:bookmarkStart w:id="187" w:name="_Toc257031159"/>
      <w:bookmarkStart w:id="188" w:name="_Toc274313880"/>
    </w:p>
    <w:p w14:paraId="7CA92DC9">
      <w:pPr>
        <w:shd w:val="clear" w:color="auto" w:fill="auto"/>
        <w:wordWrap w:val="0"/>
        <w:adjustRightInd w:val="0"/>
        <w:snapToGrid w:val="0"/>
        <w:spacing w:line="360" w:lineRule="auto"/>
        <w:ind w:firstLine="560"/>
        <w:rPr>
          <w:rFonts w:hint="eastAsia" w:asciiTheme="minorEastAsia" w:hAnsiTheme="minorEastAsia" w:eastAsiaTheme="minorEastAsia" w:cstheme="minorEastAsia"/>
          <w:b/>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10.2</w:t>
      </w:r>
      <w:r>
        <w:rPr>
          <w:rFonts w:hint="eastAsia" w:asciiTheme="minorEastAsia" w:hAnsiTheme="minorEastAsia" w:eastAsiaTheme="minorEastAsia" w:cstheme="minorEastAsia"/>
          <w:bCs/>
          <w:snapToGrid w:val="0"/>
          <w:color w:val="auto"/>
          <w:kern w:val="0"/>
          <w:sz w:val="21"/>
          <w:szCs w:val="21"/>
          <w:highlight w:val="none"/>
        </w:rPr>
        <w:t xml:space="preserve"> </w:t>
      </w:r>
      <w:r>
        <w:rPr>
          <w:rFonts w:hint="eastAsia" w:asciiTheme="minorEastAsia" w:hAnsiTheme="minorEastAsia" w:eastAsiaTheme="minorEastAsia" w:cstheme="minorEastAsia"/>
          <w:b/>
          <w:bCs w:val="0"/>
          <w:snapToGrid w:val="0"/>
          <w:color w:val="auto"/>
          <w:kern w:val="0"/>
          <w:sz w:val="21"/>
          <w:szCs w:val="21"/>
          <w:highlight w:val="none"/>
        </w:rPr>
        <w:t>商务标书的编制要求</w:t>
      </w:r>
      <w:bookmarkEnd w:id="186"/>
      <w:bookmarkEnd w:id="187"/>
      <w:bookmarkEnd w:id="188"/>
    </w:p>
    <w:p w14:paraId="261B1933">
      <w:pPr>
        <w:shd w:val="clear" w:color="auto" w:fill="auto"/>
        <w:wordWrap w:val="0"/>
        <w:adjustRightInd w:val="0"/>
        <w:snapToGrid w:val="0"/>
        <w:spacing w:line="360" w:lineRule="auto"/>
        <w:ind w:firstLine="561"/>
        <w:rPr>
          <w:rFonts w:hint="eastAsia" w:asciiTheme="minorEastAsia" w:hAnsiTheme="minorEastAsia" w:eastAsiaTheme="minorEastAsia" w:cstheme="minorEastAsia"/>
          <w:snapToGrid w:val="0"/>
          <w:color w:val="auto"/>
          <w:kern w:val="0"/>
          <w:sz w:val="21"/>
          <w:szCs w:val="21"/>
          <w:highlight w:val="none"/>
          <w:u w:val="single"/>
        </w:rPr>
      </w:pPr>
      <w:r>
        <w:rPr>
          <w:rFonts w:hint="eastAsia" w:asciiTheme="minorEastAsia" w:hAnsiTheme="minorEastAsia" w:eastAsiaTheme="minorEastAsia" w:cstheme="minorEastAsia"/>
          <w:b/>
          <w:bCs/>
          <w:snapToGrid w:val="0"/>
          <w:color w:val="auto"/>
          <w:kern w:val="0"/>
          <w:sz w:val="21"/>
          <w:szCs w:val="21"/>
          <w:highlight w:val="none"/>
        </w:rPr>
        <w:t>10.2.1</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Cs/>
          <w:snapToGrid w:val="0"/>
          <w:color w:val="auto"/>
          <w:kern w:val="0"/>
          <w:sz w:val="21"/>
          <w:szCs w:val="21"/>
          <w:highlight w:val="none"/>
        </w:rPr>
        <w:t>商务标书</w:t>
      </w:r>
      <w:r>
        <w:rPr>
          <w:rFonts w:hint="eastAsia" w:asciiTheme="minorEastAsia" w:hAnsiTheme="minorEastAsia" w:eastAsiaTheme="minorEastAsia" w:cstheme="minorEastAsia"/>
          <w:snapToGrid w:val="0"/>
          <w:color w:val="auto"/>
          <w:kern w:val="0"/>
          <w:sz w:val="21"/>
          <w:szCs w:val="21"/>
          <w:highlight w:val="none"/>
        </w:rPr>
        <w:t>包括但不限于以下内容：</w:t>
      </w:r>
    </w:p>
    <w:p w14:paraId="099116C8">
      <w:pPr>
        <w:shd w:val="clear" w:color="auto" w:fill="auto"/>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（1）封面（格式一）；</w:t>
      </w:r>
    </w:p>
    <w:p w14:paraId="11D2CE5B">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（2）目录；</w:t>
      </w:r>
    </w:p>
    <w:p w14:paraId="0BA0558E">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（3）《投标函》（格式二）；</w:t>
      </w:r>
    </w:p>
    <w:p w14:paraId="26417980">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（4）《各项承诺一览表》（格式三）；</w:t>
      </w:r>
    </w:p>
    <w:p w14:paraId="7C906E00">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（5）《授权委托书》（格式四）；</w:t>
      </w:r>
    </w:p>
    <w:p w14:paraId="4F2727E3">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（6）《法定代表人身份证明》（格式五）；</w:t>
      </w:r>
    </w:p>
    <w:p w14:paraId="2B26F487">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p>
    <w:p w14:paraId="2016F1AF">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w:t>
      </w:r>
      <w:r>
        <w:rPr>
          <w:rFonts w:hint="eastAsia" w:asciiTheme="minorEastAsia" w:hAnsiTheme="minorEastAsia" w:eastAsiaTheme="minorEastAsia" w:cstheme="minorEastAsia"/>
          <w:snapToGrid w:val="0"/>
          <w:color w:val="auto"/>
          <w:kern w:val="0"/>
          <w:sz w:val="21"/>
          <w:szCs w:val="21"/>
          <w:highlight w:val="none"/>
        </w:rPr>
        <w:t>）《投标人基本情况表》（格式六）及所附资料；</w:t>
      </w:r>
    </w:p>
    <w:p w14:paraId="3C581DC2">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（9）《总监理工程师任职声明》（格式七或格式八，由投标人根据拟派总监理工程师任职情况选用）；</w:t>
      </w:r>
    </w:p>
    <w:p w14:paraId="3ED5124B">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（10）《总监理工程师任职项目情况表》（格式九）及所附资料；</w:t>
      </w:r>
    </w:p>
    <w:p w14:paraId="1C6C2A25">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（11）《项目监理机构组成人员汇总表》（格式十）及所附资料；</w:t>
      </w:r>
    </w:p>
    <w:p w14:paraId="08506000">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（12）《总监理工程师简历表》（格式十一）及所附资料；</w:t>
      </w:r>
    </w:p>
    <w:p w14:paraId="21407C72">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（13）《其他拟派人员简历表》（格式十二）及所附资料；</w:t>
      </w:r>
    </w:p>
    <w:p w14:paraId="42875401">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（14）《监理及相关服务报酬清单》（格式十三）；</w:t>
      </w:r>
    </w:p>
    <w:p w14:paraId="09DF2BC2">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）详细评审阶段要求提供的评审资料（详见本节第</w:t>
      </w:r>
      <w:r>
        <w:rPr>
          <w:rFonts w:hint="eastAsia" w:asciiTheme="minorEastAsia" w:hAnsiTheme="minorEastAsia" w:eastAsiaTheme="minorEastAsia" w:cstheme="minorEastAsia"/>
          <w:b/>
          <w:bCs/>
          <w:snapToGrid w:val="0"/>
          <w:color w:val="auto"/>
          <w:kern w:val="0"/>
          <w:sz w:val="21"/>
          <w:szCs w:val="21"/>
          <w:highlight w:val="none"/>
        </w:rPr>
        <w:t>15.5.1</w:t>
      </w:r>
      <w:r>
        <w:rPr>
          <w:rFonts w:hint="eastAsia" w:asciiTheme="minorEastAsia" w:hAnsiTheme="minorEastAsia" w:eastAsiaTheme="minorEastAsia" w:cstheme="minorEastAsia"/>
          <w:snapToGrid w:val="0"/>
          <w:color w:val="auto"/>
          <w:kern w:val="0"/>
          <w:sz w:val="21"/>
          <w:szCs w:val="21"/>
          <w:highlight w:val="none"/>
        </w:rPr>
        <w:t>目）；</w:t>
      </w:r>
    </w:p>
    <w:p w14:paraId="2F3E9F71">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投标人认为有必要补充的其他资料。（例如投标人已经工商变更，但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5C3CB28B">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10.2.2</w:t>
      </w:r>
      <w:r>
        <w:rPr>
          <w:rFonts w:hint="eastAsia" w:asciiTheme="minorEastAsia" w:hAnsiTheme="minorEastAsia" w:eastAsiaTheme="minorEastAsia" w:cstheme="minorEastAsia"/>
          <w:snapToGrid w:val="0"/>
          <w:color w:val="auto"/>
          <w:kern w:val="0"/>
          <w:sz w:val="21"/>
          <w:szCs w:val="21"/>
          <w:highlight w:val="none"/>
        </w:rPr>
        <w:t xml:space="preserve"> 本节第</w:t>
      </w:r>
      <w:r>
        <w:rPr>
          <w:rFonts w:hint="eastAsia" w:asciiTheme="minorEastAsia" w:hAnsiTheme="minorEastAsia" w:eastAsiaTheme="minorEastAsia" w:cstheme="minorEastAsia"/>
          <w:b/>
          <w:bCs/>
          <w:snapToGrid w:val="0"/>
          <w:color w:val="auto"/>
          <w:kern w:val="0"/>
          <w:sz w:val="21"/>
          <w:szCs w:val="21"/>
          <w:highlight w:val="none"/>
        </w:rPr>
        <w:t>10.2.1</w:t>
      </w:r>
      <w:r>
        <w:rPr>
          <w:rFonts w:hint="eastAsia" w:asciiTheme="minorEastAsia" w:hAnsiTheme="minorEastAsia" w:eastAsiaTheme="minorEastAsia" w:cstheme="minorEastAsia"/>
          <w:snapToGrid w:val="0"/>
          <w:color w:val="auto"/>
          <w:kern w:val="0"/>
          <w:sz w:val="21"/>
          <w:szCs w:val="21"/>
          <w:highlight w:val="none"/>
        </w:rPr>
        <w:t>目中所列出的商务标书组成内容中，第（1）至第（1</w:t>
      </w: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）项所有投标人均应提供。</w:t>
      </w:r>
      <w:r>
        <w:rPr>
          <w:rFonts w:hint="eastAsia" w:asciiTheme="minorEastAsia" w:hAnsiTheme="minorEastAsia" w:eastAsiaTheme="minorEastAsia" w:cstheme="minorEastAsia"/>
          <w:b/>
          <w:bCs/>
          <w:snapToGrid w:val="0"/>
          <w:color w:val="auto"/>
          <w:kern w:val="0"/>
          <w:sz w:val="21"/>
          <w:szCs w:val="21"/>
          <w:highlight w:val="none"/>
        </w:rPr>
        <w:t>拟派总监理工程师现阶段未担任任何在施建设工程项目总监理工程师的，无需提供第（10）项内容。</w:t>
      </w:r>
    </w:p>
    <w:p w14:paraId="158616B6">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10.2.3</w:t>
      </w:r>
      <w:r>
        <w:rPr>
          <w:rFonts w:hint="eastAsia" w:asciiTheme="minorEastAsia" w:hAnsiTheme="minorEastAsia" w:eastAsiaTheme="minorEastAsia" w:cstheme="minorEastAsia"/>
          <w:snapToGrid w:val="0"/>
          <w:color w:val="auto"/>
          <w:kern w:val="0"/>
          <w:sz w:val="21"/>
          <w:szCs w:val="21"/>
          <w:highlight w:val="none"/>
        </w:rPr>
        <w:t xml:space="preserve"> 商务标书的组成内容按本节第</w:t>
      </w:r>
      <w:r>
        <w:rPr>
          <w:rFonts w:hint="eastAsia" w:asciiTheme="minorEastAsia" w:hAnsiTheme="minorEastAsia" w:eastAsiaTheme="minorEastAsia" w:cstheme="minorEastAsia"/>
          <w:b/>
          <w:bCs/>
          <w:snapToGrid w:val="0"/>
          <w:color w:val="auto"/>
          <w:kern w:val="0"/>
          <w:sz w:val="21"/>
          <w:szCs w:val="21"/>
          <w:highlight w:val="none"/>
        </w:rPr>
        <w:t>10.2.1</w:t>
      </w:r>
      <w:r>
        <w:rPr>
          <w:rFonts w:hint="eastAsia" w:asciiTheme="minorEastAsia" w:hAnsiTheme="minorEastAsia" w:eastAsiaTheme="minorEastAsia" w:cstheme="minorEastAsia"/>
          <w:snapToGrid w:val="0"/>
          <w:color w:val="auto"/>
          <w:kern w:val="0"/>
          <w:sz w:val="21"/>
          <w:szCs w:val="21"/>
          <w:highlight w:val="none"/>
        </w:rPr>
        <w:t>目规定的顺序整理、编排后，逐页（页码起始从封面开始）连续标记页码。</w:t>
      </w:r>
    </w:p>
    <w:p w14:paraId="66CF9507">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10.2.4</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Cs/>
          <w:snapToGrid w:val="0"/>
          <w:color w:val="auto"/>
          <w:kern w:val="0"/>
          <w:sz w:val="21"/>
          <w:szCs w:val="21"/>
          <w:highlight w:val="none"/>
        </w:rPr>
        <w:t>商务标书</w:t>
      </w:r>
      <w:r>
        <w:rPr>
          <w:rFonts w:hint="eastAsia" w:asciiTheme="minorEastAsia" w:hAnsiTheme="minorEastAsia" w:eastAsiaTheme="minorEastAsia" w:cstheme="minorEastAsia"/>
          <w:snapToGrid w:val="0"/>
          <w:color w:val="auto"/>
          <w:kern w:val="0"/>
          <w:sz w:val="21"/>
          <w:szCs w:val="21"/>
          <w:highlight w:val="none"/>
        </w:rPr>
        <w:t>应尽量避免手工涂改、行间插字或删除。如果出现上述情况，改动之处应加盖单位章或由投标人的法定代表人或其委托代理人签字确认。</w:t>
      </w:r>
    </w:p>
    <w:p w14:paraId="10DD5743">
      <w:pPr>
        <w:shd w:val="clear" w:color="auto" w:fill="auto"/>
        <w:wordWrap w:val="0"/>
        <w:adjustRightInd w:val="0"/>
        <w:snapToGrid w:val="0"/>
        <w:spacing w:line="360" w:lineRule="auto"/>
        <w:ind w:firstLine="480"/>
        <w:rPr>
          <w:rFonts w:hint="eastAsia" w:asciiTheme="minorEastAsia" w:hAnsiTheme="minorEastAsia" w:eastAsiaTheme="minorEastAsia" w:cstheme="minorEastAsia"/>
          <w:bCs/>
          <w:snapToGrid w:val="0"/>
          <w:color w:val="auto"/>
          <w:kern w:val="0"/>
          <w:sz w:val="21"/>
          <w:szCs w:val="21"/>
          <w:highlight w:val="none"/>
        </w:rPr>
      </w:pPr>
      <w:bookmarkStart w:id="189" w:name="_Toc7035"/>
      <w:r>
        <w:rPr>
          <w:rFonts w:hint="eastAsia" w:asciiTheme="minorEastAsia" w:hAnsiTheme="minorEastAsia" w:eastAsiaTheme="minorEastAsia" w:cstheme="minorEastAsia"/>
          <w:b/>
          <w:bCs/>
          <w:snapToGrid w:val="0"/>
          <w:color w:val="auto"/>
          <w:kern w:val="0"/>
          <w:sz w:val="21"/>
          <w:szCs w:val="21"/>
          <w:highlight w:val="none"/>
        </w:rPr>
        <w:t>10.3</w:t>
      </w:r>
      <w:r>
        <w:rPr>
          <w:rFonts w:hint="eastAsia" w:asciiTheme="minorEastAsia" w:hAnsiTheme="minorEastAsia" w:eastAsiaTheme="minorEastAsia" w:cstheme="minorEastAsia"/>
          <w:bCs/>
          <w:snapToGrid w:val="0"/>
          <w:color w:val="auto"/>
          <w:kern w:val="0"/>
          <w:sz w:val="21"/>
          <w:szCs w:val="21"/>
          <w:highlight w:val="none"/>
        </w:rPr>
        <w:t xml:space="preserve"> </w:t>
      </w:r>
      <w:r>
        <w:rPr>
          <w:rFonts w:hint="eastAsia" w:asciiTheme="minorEastAsia" w:hAnsiTheme="minorEastAsia" w:eastAsiaTheme="minorEastAsia" w:cstheme="minorEastAsia"/>
          <w:b/>
          <w:bCs w:val="0"/>
          <w:snapToGrid w:val="0"/>
          <w:color w:val="auto"/>
          <w:kern w:val="0"/>
          <w:sz w:val="21"/>
          <w:szCs w:val="21"/>
          <w:highlight w:val="none"/>
        </w:rPr>
        <w:t>监理大纲的编制要求</w:t>
      </w:r>
    </w:p>
    <w:p w14:paraId="538CA49B">
      <w:pPr>
        <w:shd w:val="clear" w:color="auto" w:fill="auto"/>
        <w:wordWrap w:val="0"/>
        <w:adjustRightInd w:val="0"/>
        <w:snapToGrid w:val="0"/>
        <w:spacing w:line="360" w:lineRule="auto"/>
        <w:ind w:firstLine="48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10.3.1</w:t>
      </w:r>
      <w:r>
        <w:rPr>
          <w:rFonts w:hint="eastAsia" w:asciiTheme="minorEastAsia" w:hAnsiTheme="minorEastAsia" w:eastAsiaTheme="minorEastAsia" w:cstheme="minorEastAsia"/>
          <w:bCs/>
          <w:snapToGrid w:val="0"/>
          <w:color w:val="auto"/>
          <w:kern w:val="0"/>
          <w:sz w:val="21"/>
          <w:szCs w:val="21"/>
          <w:highlight w:val="none"/>
        </w:rPr>
        <w:t xml:space="preserve"> 监理大纲</w:t>
      </w:r>
      <w:r>
        <w:rPr>
          <w:rFonts w:hint="eastAsia" w:asciiTheme="minorEastAsia" w:hAnsiTheme="minorEastAsia" w:eastAsiaTheme="minorEastAsia" w:cstheme="minorEastAsia"/>
          <w:snapToGrid w:val="0"/>
          <w:color w:val="auto"/>
          <w:kern w:val="0"/>
          <w:sz w:val="21"/>
          <w:szCs w:val="21"/>
          <w:highlight w:val="none"/>
        </w:rPr>
        <w:t>的编制依据包括且不限于</w:t>
      </w:r>
      <w:r>
        <w:rPr>
          <w:rFonts w:hint="eastAsia" w:asciiTheme="minorEastAsia" w:hAnsiTheme="minorEastAsia" w:eastAsiaTheme="minorEastAsia" w:cstheme="minorEastAsia"/>
          <w:bCs/>
          <w:snapToGrid w:val="0"/>
          <w:color w:val="auto"/>
          <w:kern w:val="0"/>
          <w:sz w:val="21"/>
          <w:szCs w:val="21"/>
          <w:highlight w:val="none"/>
        </w:rPr>
        <w:t>：</w:t>
      </w:r>
    </w:p>
    <w:p w14:paraId="79D7F834">
      <w:pPr>
        <w:shd w:val="clear" w:color="auto" w:fill="auto"/>
        <w:wordWrap w:val="0"/>
        <w:adjustRightInd w:val="0"/>
        <w:snapToGrid w:val="0"/>
        <w:ind w:firstLine="48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（1）招标文件及</w:t>
      </w:r>
      <w:r>
        <w:rPr>
          <w:rFonts w:hint="eastAsia" w:asciiTheme="minorEastAsia" w:hAnsiTheme="minorEastAsia" w:eastAsiaTheme="minorEastAsia" w:cstheme="minorEastAsia"/>
          <w:snapToGrid w:val="0"/>
          <w:color w:val="auto"/>
          <w:kern w:val="0"/>
          <w:sz w:val="21"/>
          <w:szCs w:val="21"/>
          <w:highlight w:val="none"/>
        </w:rPr>
        <w:t>其答疑（或修改）公告；</w:t>
      </w:r>
    </w:p>
    <w:p w14:paraId="67125531">
      <w:pPr>
        <w:shd w:val="clear" w:color="auto" w:fill="auto"/>
        <w:wordWrap w:val="0"/>
        <w:adjustRightInd w:val="0"/>
        <w:snapToGrid w:val="0"/>
        <w:ind w:firstLine="48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（2）施工现场情况、工程特点；</w:t>
      </w:r>
    </w:p>
    <w:p w14:paraId="7E371278">
      <w:pPr>
        <w:shd w:val="clear" w:color="auto" w:fill="auto"/>
        <w:wordWrap w:val="0"/>
        <w:adjustRightInd w:val="0"/>
        <w:snapToGrid w:val="0"/>
        <w:ind w:firstLine="48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（3）相关法律、法规、规定；</w:t>
      </w:r>
    </w:p>
    <w:p w14:paraId="6D343BF6">
      <w:pPr>
        <w:shd w:val="clear" w:color="auto" w:fill="auto"/>
        <w:wordWrap w:val="0"/>
        <w:adjustRightInd w:val="0"/>
        <w:snapToGrid w:val="0"/>
        <w:ind w:firstLine="48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69122B92">
      <w:pPr>
        <w:shd w:val="clear" w:color="auto" w:fill="auto"/>
        <w:wordWrap w:val="0"/>
        <w:adjustRightInd w:val="0"/>
        <w:snapToGrid w:val="0"/>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10.3.2</w:t>
      </w:r>
      <w:r>
        <w:rPr>
          <w:rFonts w:hint="eastAsia" w:asciiTheme="minorEastAsia" w:hAnsiTheme="minorEastAsia" w:eastAsiaTheme="minorEastAsia" w:cstheme="minorEastAsia"/>
          <w:bCs/>
          <w:snapToGrid w:val="0"/>
          <w:color w:val="auto"/>
          <w:kern w:val="0"/>
          <w:sz w:val="21"/>
          <w:szCs w:val="21"/>
          <w:highlight w:val="none"/>
        </w:rPr>
        <w:t xml:space="preserve"> 监理大纲</w:t>
      </w:r>
      <w:r>
        <w:rPr>
          <w:rFonts w:hint="eastAsia" w:asciiTheme="minorEastAsia" w:hAnsiTheme="minorEastAsia" w:eastAsiaTheme="minorEastAsia" w:cstheme="minorEastAsia"/>
          <w:snapToGrid w:val="0"/>
          <w:color w:val="auto"/>
          <w:kern w:val="0"/>
          <w:sz w:val="21"/>
          <w:szCs w:val="21"/>
          <w:highlight w:val="none"/>
        </w:rPr>
        <w:t>包括但不限于以下内容：</w:t>
      </w:r>
    </w:p>
    <w:p w14:paraId="1D9D752F">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（1）封面（格式一）；</w:t>
      </w:r>
    </w:p>
    <w:p w14:paraId="1F41C405">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（2）目录；</w:t>
      </w:r>
    </w:p>
    <w:p w14:paraId="36166C14">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（3）监理工程概况；</w:t>
      </w:r>
    </w:p>
    <w:p w14:paraId="1BDEBA10">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（4）监理及相关服务的范围、内容；</w:t>
      </w:r>
    </w:p>
    <w:p w14:paraId="3C36C289">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（5）监理及相关服务的依据、目标；</w:t>
      </w:r>
    </w:p>
    <w:p w14:paraId="64B6F7AD">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（6）项目监理机构设置（框图）、岗位职责；</w:t>
      </w:r>
    </w:p>
    <w:p w14:paraId="1B5638FB">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（7）监理及相关服务的工作程序、方法和制度；</w:t>
      </w:r>
    </w:p>
    <w:p w14:paraId="2CC09DC6">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（8）拟投入的监理及相关服务人员；</w:t>
      </w:r>
    </w:p>
    <w:p w14:paraId="2F9BA909">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（9）质量、进度、造价、安全、绿色施工监理措施；</w:t>
      </w:r>
    </w:p>
    <w:p w14:paraId="4CCF5F8D">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（10）合同、信息管理方案；</w:t>
      </w:r>
    </w:p>
    <w:p w14:paraId="21A60A30">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（11）组织协调内容及措施；</w:t>
      </w:r>
    </w:p>
    <w:p w14:paraId="3B4C8971">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（12）监理及相关服务的工作重点、难点分析；</w:t>
      </w:r>
    </w:p>
    <w:p w14:paraId="5E84DDAD">
      <w:pPr>
        <w:shd w:val="clear" w:color="auto" w:fill="auto"/>
        <w:wordWrap w:val="0"/>
        <w:adjustRightInd w:val="0"/>
        <w:snapToGrid w:val="0"/>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（13）对本工程监理及相关服务的合理化建议。</w:t>
      </w:r>
    </w:p>
    <w:p w14:paraId="4C088B4F">
      <w:pPr>
        <w:shd w:val="clear" w:color="auto" w:fill="auto"/>
        <w:wordWrap w:val="0"/>
        <w:adjustRightInd w:val="0"/>
        <w:snapToGrid w:val="0"/>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10.3.3</w:t>
      </w:r>
      <w:r>
        <w:rPr>
          <w:rFonts w:hint="eastAsia" w:asciiTheme="minorEastAsia" w:hAnsiTheme="minorEastAsia" w:eastAsiaTheme="minorEastAsia" w:cstheme="minorEastAsia"/>
          <w:snapToGrid w:val="0"/>
          <w:color w:val="auto"/>
          <w:kern w:val="0"/>
          <w:sz w:val="21"/>
          <w:szCs w:val="21"/>
          <w:highlight w:val="none"/>
        </w:rPr>
        <w:t xml:space="preserve"> 本节第</w:t>
      </w:r>
      <w:r>
        <w:rPr>
          <w:rFonts w:hint="eastAsia" w:asciiTheme="minorEastAsia" w:hAnsiTheme="minorEastAsia" w:eastAsiaTheme="minorEastAsia" w:cstheme="minorEastAsia"/>
          <w:b/>
          <w:bCs/>
          <w:snapToGrid w:val="0"/>
          <w:color w:val="auto"/>
          <w:kern w:val="0"/>
          <w:sz w:val="21"/>
          <w:szCs w:val="21"/>
          <w:highlight w:val="none"/>
        </w:rPr>
        <w:t>10.3.2</w:t>
      </w:r>
      <w:r>
        <w:rPr>
          <w:rFonts w:hint="eastAsia" w:asciiTheme="minorEastAsia" w:hAnsiTheme="minorEastAsia" w:eastAsiaTheme="minorEastAsia" w:cstheme="minorEastAsia"/>
          <w:snapToGrid w:val="0"/>
          <w:color w:val="auto"/>
          <w:kern w:val="0"/>
          <w:sz w:val="21"/>
          <w:szCs w:val="21"/>
          <w:highlight w:val="none"/>
        </w:rPr>
        <w:t>目中所列出的</w:t>
      </w:r>
      <w:r>
        <w:rPr>
          <w:rFonts w:hint="eastAsia" w:asciiTheme="minorEastAsia" w:hAnsiTheme="minorEastAsia" w:eastAsiaTheme="minorEastAsia" w:cstheme="minorEastAsia"/>
          <w:bCs/>
          <w:snapToGrid w:val="0"/>
          <w:color w:val="auto"/>
          <w:kern w:val="0"/>
          <w:sz w:val="21"/>
          <w:szCs w:val="21"/>
          <w:highlight w:val="none"/>
        </w:rPr>
        <w:t>监理大纲</w:t>
      </w:r>
      <w:r>
        <w:rPr>
          <w:rFonts w:hint="eastAsia" w:asciiTheme="minorEastAsia" w:hAnsiTheme="minorEastAsia" w:eastAsiaTheme="minorEastAsia" w:cstheme="minorEastAsia"/>
          <w:snapToGrid w:val="0"/>
          <w:color w:val="auto"/>
          <w:kern w:val="0"/>
          <w:sz w:val="21"/>
          <w:szCs w:val="21"/>
          <w:highlight w:val="none"/>
        </w:rPr>
        <w:t>组成内容，所有投标人均应提供。</w:t>
      </w:r>
    </w:p>
    <w:p w14:paraId="2362F3D1">
      <w:pPr>
        <w:shd w:val="clear" w:color="auto" w:fill="auto"/>
        <w:wordWrap w:val="0"/>
        <w:adjustRightInd w:val="0"/>
        <w:snapToGrid w:val="0"/>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10.3.4</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Cs/>
          <w:snapToGrid w:val="0"/>
          <w:color w:val="auto"/>
          <w:kern w:val="0"/>
          <w:sz w:val="21"/>
          <w:szCs w:val="21"/>
          <w:highlight w:val="none"/>
        </w:rPr>
        <w:t>监理大纲</w:t>
      </w:r>
      <w:r>
        <w:rPr>
          <w:rFonts w:hint="eastAsia" w:asciiTheme="minorEastAsia" w:hAnsiTheme="minorEastAsia" w:eastAsiaTheme="minorEastAsia" w:cstheme="minorEastAsia"/>
          <w:snapToGrid w:val="0"/>
          <w:color w:val="auto"/>
          <w:kern w:val="0"/>
          <w:sz w:val="21"/>
          <w:szCs w:val="21"/>
          <w:highlight w:val="none"/>
        </w:rPr>
        <w:t>的组成内容按本节第</w:t>
      </w:r>
      <w:r>
        <w:rPr>
          <w:rFonts w:hint="eastAsia" w:asciiTheme="minorEastAsia" w:hAnsiTheme="minorEastAsia" w:eastAsiaTheme="minorEastAsia" w:cstheme="minorEastAsia"/>
          <w:b/>
          <w:bCs/>
          <w:snapToGrid w:val="0"/>
          <w:color w:val="auto"/>
          <w:kern w:val="0"/>
          <w:sz w:val="21"/>
          <w:szCs w:val="21"/>
          <w:highlight w:val="none"/>
        </w:rPr>
        <w:t>10.3.2</w:t>
      </w:r>
      <w:r>
        <w:rPr>
          <w:rFonts w:hint="eastAsia" w:asciiTheme="minorEastAsia" w:hAnsiTheme="minorEastAsia" w:eastAsiaTheme="minorEastAsia" w:cstheme="minorEastAsia"/>
          <w:snapToGrid w:val="0"/>
          <w:color w:val="auto"/>
          <w:kern w:val="0"/>
          <w:sz w:val="21"/>
          <w:szCs w:val="21"/>
          <w:highlight w:val="none"/>
        </w:rPr>
        <w:t>目规定的顺序整理、编排后，逐页（页码起始从封面开始）连续标记页码。</w:t>
      </w:r>
    </w:p>
    <w:p w14:paraId="6475F054">
      <w:pPr>
        <w:shd w:val="clear" w:color="auto" w:fill="auto"/>
        <w:wordWrap w:val="0"/>
        <w:adjustRightInd w:val="0"/>
        <w:snapToGrid w:val="0"/>
        <w:ind w:firstLine="422" w:firstLineChars="200"/>
        <w:rPr>
          <w:rFonts w:hint="eastAsia" w:asciiTheme="minorEastAsia" w:hAnsiTheme="minorEastAsia" w:eastAsiaTheme="minorEastAsia" w:cstheme="minorEastAsia"/>
          <w:i/>
          <w:i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10.3.5</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Cs/>
          <w:snapToGrid w:val="0"/>
          <w:color w:val="auto"/>
          <w:kern w:val="0"/>
          <w:sz w:val="21"/>
          <w:szCs w:val="21"/>
          <w:highlight w:val="none"/>
        </w:rPr>
        <w:t>监理大纲</w:t>
      </w:r>
      <w:r>
        <w:rPr>
          <w:rFonts w:hint="eastAsia" w:asciiTheme="minorEastAsia" w:hAnsiTheme="minorEastAsia" w:eastAsiaTheme="minorEastAsia" w:cstheme="minorEastAsia"/>
          <w:snapToGrid w:val="0"/>
          <w:color w:val="auto"/>
          <w:kern w:val="0"/>
          <w:sz w:val="21"/>
          <w:szCs w:val="21"/>
          <w:highlight w:val="none"/>
        </w:rPr>
        <w:t>应尽量避免手工涂改、行间插字或删除。如果出现上述情况，改动之处应加盖单位章或由投标人的法定代表人或其委托代理人签字确认。</w:t>
      </w:r>
    </w:p>
    <w:p w14:paraId="12617CFD">
      <w:pPr>
        <w:pStyle w:val="4"/>
        <w:shd w:val="clear" w:color="auto" w:fill="auto"/>
        <w:spacing w:line="360" w:lineRule="auto"/>
        <w:ind w:left="0" w:leftChars="0" w:firstLine="422" w:firstLineChars="200"/>
        <w:jc w:val="left"/>
        <w:rPr>
          <w:rFonts w:hint="eastAsia" w:asciiTheme="minorEastAsia" w:hAnsiTheme="minorEastAsia" w:eastAsiaTheme="minorEastAsia" w:cstheme="minorEastAsia"/>
          <w:b/>
          <w:snapToGrid w:val="0"/>
          <w:color w:val="auto"/>
          <w:sz w:val="21"/>
          <w:szCs w:val="21"/>
          <w:highlight w:val="none"/>
        </w:rPr>
      </w:pPr>
      <w:bookmarkStart w:id="190" w:name="_Toc18491"/>
      <w:bookmarkStart w:id="191" w:name="_Toc5060"/>
      <w:bookmarkStart w:id="192" w:name="_Toc20297"/>
      <w:bookmarkStart w:id="193" w:name="_Toc13149"/>
      <w:bookmarkStart w:id="194" w:name="_Toc622"/>
      <w:bookmarkStart w:id="195" w:name="_Toc9264"/>
      <w:bookmarkStart w:id="196" w:name="_Toc8133"/>
      <w:bookmarkStart w:id="197" w:name="_Toc22841"/>
      <w:bookmarkStart w:id="198" w:name="_Toc22692"/>
      <w:bookmarkStart w:id="199" w:name="_Toc4068"/>
      <w:bookmarkStart w:id="200" w:name="_Toc28533"/>
      <w:r>
        <w:rPr>
          <w:rFonts w:hint="eastAsia" w:asciiTheme="minorEastAsia" w:hAnsiTheme="minorEastAsia" w:eastAsiaTheme="minorEastAsia" w:cstheme="minorEastAsia"/>
          <w:b/>
          <w:snapToGrid w:val="0"/>
          <w:color w:val="auto"/>
          <w:sz w:val="21"/>
          <w:szCs w:val="21"/>
          <w:highlight w:val="none"/>
        </w:rPr>
        <w:t>11．</w:t>
      </w:r>
      <w:bookmarkEnd w:id="189"/>
      <w:bookmarkEnd w:id="190"/>
      <w:bookmarkEnd w:id="191"/>
      <w:bookmarkEnd w:id="192"/>
      <w:bookmarkEnd w:id="193"/>
      <w:bookmarkEnd w:id="194"/>
      <w:bookmarkEnd w:id="195"/>
      <w:bookmarkEnd w:id="196"/>
      <w:bookmarkEnd w:id="197"/>
      <w:bookmarkEnd w:id="198"/>
      <w:r>
        <w:rPr>
          <w:rFonts w:hint="eastAsia" w:asciiTheme="minorEastAsia" w:hAnsiTheme="minorEastAsia" w:eastAsiaTheme="minorEastAsia" w:cstheme="minorEastAsia"/>
          <w:b/>
          <w:snapToGrid w:val="0"/>
          <w:color w:val="auto"/>
          <w:sz w:val="21"/>
          <w:szCs w:val="21"/>
          <w:highlight w:val="none"/>
        </w:rPr>
        <w:t>电子投标</w:t>
      </w:r>
      <w:bookmarkEnd w:id="199"/>
      <w:bookmarkEnd w:id="200"/>
    </w:p>
    <w:p w14:paraId="319D8680">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bookmarkStart w:id="201" w:name="_Hlt66511038"/>
      <w:bookmarkEnd w:id="201"/>
      <w:bookmarkStart w:id="202" w:name="_Hlt66200498"/>
      <w:bookmarkEnd w:id="202"/>
      <w:r>
        <w:rPr>
          <w:rFonts w:hint="eastAsia" w:asciiTheme="minorEastAsia" w:hAnsiTheme="minorEastAsia" w:eastAsiaTheme="minorEastAsia" w:cstheme="minorEastAsia"/>
          <w:b/>
          <w:bCs/>
          <w:snapToGrid w:val="0"/>
          <w:color w:val="auto"/>
          <w:kern w:val="0"/>
          <w:sz w:val="21"/>
          <w:szCs w:val="21"/>
          <w:highlight w:val="none"/>
        </w:rPr>
        <w:t>11.1</w:t>
      </w:r>
      <w:r>
        <w:rPr>
          <w:rFonts w:hint="eastAsia" w:asciiTheme="minorEastAsia" w:hAnsiTheme="minorEastAsia" w:eastAsiaTheme="minorEastAsia" w:cstheme="minorEastAsia"/>
          <w:snapToGrid w:val="0"/>
          <w:color w:val="auto"/>
          <w:kern w:val="0"/>
          <w:sz w:val="21"/>
          <w:szCs w:val="21"/>
          <w:highlight w:val="none"/>
        </w:rPr>
        <w:t xml:space="preserve"> </w:t>
      </w:r>
      <w:bookmarkStart w:id="203" w:name="_Hlt88627590"/>
      <w:bookmarkEnd w:id="203"/>
      <w:r>
        <w:rPr>
          <w:rFonts w:hint="eastAsia" w:asciiTheme="minorEastAsia" w:hAnsiTheme="minorEastAsia" w:eastAsiaTheme="minorEastAsia" w:cstheme="minorEastAsia"/>
          <w:snapToGrid w:val="0"/>
          <w:color w:val="auto"/>
          <w:kern w:val="0"/>
          <w:sz w:val="21"/>
          <w:szCs w:val="21"/>
          <w:highlight w:val="none"/>
        </w:rPr>
        <w:t>在建设工程交易系统上传加盖了电子印章的投标文件、录入相关信息及标书页码信息，（</w:t>
      </w:r>
      <w:r>
        <w:rPr>
          <w:rFonts w:hint="eastAsia" w:asciiTheme="minorEastAsia" w:hAnsiTheme="minorEastAsia" w:eastAsiaTheme="minorEastAsia" w:cstheme="minorEastAsia"/>
          <w:b/>
          <w:bCs/>
          <w:snapToGrid w:val="0"/>
          <w:color w:val="auto"/>
          <w:kern w:val="0"/>
          <w:sz w:val="21"/>
          <w:szCs w:val="21"/>
          <w:highlight w:val="none"/>
        </w:rPr>
        <w:t>页码起始从封面开始</w:t>
      </w:r>
      <w:r>
        <w:rPr>
          <w:rFonts w:hint="eastAsia" w:asciiTheme="minorEastAsia" w:hAnsiTheme="minorEastAsia" w:eastAsiaTheme="minorEastAsia" w:cstheme="minorEastAsia"/>
          <w:snapToGrid w:val="0"/>
          <w:color w:val="auto"/>
          <w:kern w:val="0"/>
          <w:sz w:val="21"/>
          <w:szCs w:val="21"/>
          <w:highlight w:val="none"/>
        </w:rPr>
        <w:t>）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340F0D06">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11.2</w:t>
      </w:r>
      <w:r>
        <w:rPr>
          <w:rFonts w:hint="eastAsia" w:asciiTheme="minorEastAsia" w:hAnsiTheme="minorEastAsia" w:eastAsiaTheme="minorEastAsia" w:cstheme="minorEastAsia"/>
          <w:snapToGrid w:val="0"/>
          <w:color w:val="auto"/>
          <w:kern w:val="0"/>
          <w:sz w:val="21"/>
          <w:szCs w:val="21"/>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bookmarkStart w:id="204" w:name="_Toc32203"/>
    </w:p>
    <w:p w14:paraId="2D6A4F2A">
      <w:pPr>
        <w:shd w:val="clear" w:color="auto" w:fill="auto"/>
        <w:wordWrap w:val="0"/>
        <w:adjustRightInd w:val="0"/>
        <w:snapToGrid w:val="0"/>
        <w:spacing w:line="440" w:lineRule="exact"/>
        <w:ind w:firstLine="56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11.3</w:t>
      </w:r>
      <w:r>
        <w:rPr>
          <w:rFonts w:hint="eastAsia" w:asciiTheme="minorEastAsia" w:hAnsiTheme="minorEastAsia" w:eastAsiaTheme="minorEastAsia" w:cstheme="minorEastAsia"/>
          <w:b w:val="0"/>
          <w:bCs w:val="0"/>
          <w:snapToGrid w:val="0"/>
          <w:color w:val="auto"/>
          <w:kern w:val="0"/>
          <w:sz w:val="21"/>
          <w:szCs w:val="21"/>
          <w:highlight w:val="none"/>
        </w:rPr>
        <w:t>投标文件的提交</w:t>
      </w:r>
    </w:p>
    <w:p w14:paraId="30331FF2">
      <w:pPr>
        <w:shd w:val="clear" w:color="auto" w:fill="auto"/>
        <w:wordWrap w:val="0"/>
        <w:adjustRightInd w:val="0"/>
        <w:snapToGrid w:val="0"/>
        <w:spacing w:line="440" w:lineRule="exact"/>
        <w:ind w:firstLine="56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11.3.1 </w:t>
      </w:r>
      <w:r>
        <w:rPr>
          <w:rFonts w:hint="eastAsia" w:asciiTheme="minorEastAsia" w:hAnsiTheme="minorEastAsia" w:eastAsiaTheme="minorEastAsia" w:cstheme="minorEastAsia"/>
          <w:b w:val="0"/>
          <w:bCs w:val="0"/>
          <w:snapToGrid w:val="0"/>
          <w:color w:val="auto"/>
          <w:kern w:val="0"/>
          <w:sz w:val="21"/>
          <w:szCs w:val="21"/>
          <w:highlight w:val="none"/>
        </w:rPr>
        <w:t>投标人必须在规定的截止时间前使用交易系统完成获取招标文件、缴纳投标保证和全流程电子投标，只有满足以上所有条件，方为有效投标。</w:t>
      </w:r>
    </w:p>
    <w:p w14:paraId="1F0DAA07">
      <w:pPr>
        <w:shd w:val="clear" w:color="auto" w:fill="auto"/>
        <w:wordWrap w:val="0"/>
        <w:adjustRightInd w:val="0"/>
        <w:snapToGrid w:val="0"/>
        <w:spacing w:line="440" w:lineRule="exact"/>
        <w:ind w:firstLine="56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11.3.2</w:t>
      </w:r>
      <w:r>
        <w:rPr>
          <w:rFonts w:hint="eastAsia" w:asciiTheme="minorEastAsia" w:hAnsiTheme="minorEastAsia" w:eastAsiaTheme="minorEastAsia" w:cstheme="minorEastAsia"/>
          <w:b w:val="0"/>
          <w:bCs w:val="0"/>
          <w:snapToGrid w:val="0"/>
          <w:color w:val="auto"/>
          <w:kern w:val="0"/>
          <w:sz w:val="21"/>
          <w:szCs w:val="21"/>
          <w:highlight w:val="none"/>
        </w:rPr>
        <w:t xml:space="preserve"> 投标人如有招标文件要求提交的用于评审的证书、证件、证明原件（附一式两份清单），由投标人法定代表人或其委托代理人在指定的时间和地点递交（见</w:t>
      </w:r>
      <w:r>
        <w:rPr>
          <w:rFonts w:hint="eastAsia" w:asciiTheme="minorEastAsia" w:hAnsiTheme="minorEastAsia" w:eastAsiaTheme="minorEastAsia" w:cstheme="minorEastAsia"/>
          <w:color w:val="auto"/>
          <w:sz w:val="21"/>
          <w:szCs w:val="21"/>
          <w:highlight w:val="none"/>
          <w:lang w:val="en-US" w:eastAsia="zh-CN"/>
        </w:rPr>
        <w:t>本章</w:t>
      </w:r>
      <w:r>
        <w:rPr>
          <w:rFonts w:hint="eastAsia" w:asciiTheme="minorEastAsia" w:hAnsiTheme="minorEastAsia" w:eastAsiaTheme="minorEastAsia" w:cstheme="minorEastAsia"/>
          <w:snapToGrid w:val="0"/>
          <w:color w:val="auto"/>
          <w:kern w:val="0"/>
          <w:sz w:val="21"/>
          <w:szCs w:val="21"/>
          <w:highlight w:val="none"/>
        </w:rPr>
        <w:t>第二节</w:t>
      </w:r>
      <w:r>
        <w:rPr>
          <w:rFonts w:hint="eastAsia" w:asciiTheme="minorEastAsia" w:hAnsiTheme="minorEastAsia" w:eastAsiaTheme="minorEastAsia" w:cstheme="minorEastAsia"/>
          <w:color w:val="auto"/>
          <w:sz w:val="21"/>
          <w:szCs w:val="21"/>
          <w:highlight w:val="none"/>
        </w:rPr>
        <w:t>“重要事项时间地点一览表”</w:t>
      </w:r>
      <w:r>
        <w:rPr>
          <w:rFonts w:hint="eastAsia" w:asciiTheme="minorEastAsia" w:hAnsiTheme="minorEastAsia" w:eastAsiaTheme="minorEastAsia" w:cstheme="minorEastAsia"/>
          <w:b w:val="0"/>
          <w:bCs w:val="0"/>
          <w:snapToGrid w:val="0"/>
          <w:color w:val="auto"/>
          <w:kern w:val="0"/>
          <w:sz w:val="21"/>
          <w:szCs w:val="21"/>
          <w:highlight w:val="none"/>
        </w:rPr>
        <w:t>）。</w:t>
      </w:r>
    </w:p>
    <w:p w14:paraId="6F83B777">
      <w:pPr>
        <w:pStyle w:val="4"/>
        <w:keepNext/>
        <w:keepLines/>
        <w:pageBreakBefore w:val="0"/>
        <w:widowControl w:val="0"/>
        <w:shd w:val="clear" w:color="auto" w:fill="auto"/>
        <w:kinsoku/>
        <w:wordWrap/>
        <w:overflowPunct/>
        <w:topLinePunct w:val="0"/>
        <w:autoSpaceDE/>
        <w:autoSpaceDN/>
        <w:bidi w:val="0"/>
        <w:adjustRightInd/>
        <w:snapToGrid/>
        <w:spacing w:before="240"/>
        <w:jc w:val="left"/>
        <w:textAlignment w:val="auto"/>
        <w:rPr>
          <w:rFonts w:hint="eastAsia" w:asciiTheme="minorEastAsia" w:hAnsiTheme="minorEastAsia" w:eastAsiaTheme="minorEastAsia" w:cstheme="minorEastAsia"/>
          <w:b/>
          <w:snapToGrid w:val="0"/>
          <w:color w:val="auto"/>
          <w:sz w:val="21"/>
          <w:szCs w:val="21"/>
          <w:highlight w:val="none"/>
        </w:rPr>
      </w:pPr>
      <w:bookmarkStart w:id="205" w:name="_Toc7230"/>
      <w:bookmarkStart w:id="206" w:name="_Toc23904"/>
      <w:bookmarkStart w:id="207" w:name="_Toc9067"/>
      <w:bookmarkStart w:id="208" w:name="_Toc8384"/>
      <w:bookmarkStart w:id="209" w:name="_Toc18783"/>
      <w:bookmarkStart w:id="210" w:name="_Toc8371"/>
      <w:bookmarkStart w:id="211" w:name="_Toc17228"/>
      <w:bookmarkStart w:id="212" w:name="_Toc12850"/>
      <w:bookmarkStart w:id="213" w:name="_Toc372"/>
      <w:bookmarkStart w:id="214" w:name="_Toc13375"/>
      <w:bookmarkStart w:id="215" w:name="_Toc11440"/>
      <w:r>
        <w:rPr>
          <w:rFonts w:hint="eastAsia" w:asciiTheme="minorEastAsia" w:hAnsiTheme="minorEastAsia" w:eastAsiaTheme="minorEastAsia" w:cstheme="minorEastAsia"/>
          <w:b/>
          <w:snapToGrid w:val="0"/>
          <w:color w:val="auto"/>
          <w:sz w:val="21"/>
          <w:szCs w:val="21"/>
          <w:highlight w:val="none"/>
        </w:rPr>
        <w:t>12．</w:t>
      </w:r>
      <w:bookmarkEnd w:id="204"/>
      <w:bookmarkEnd w:id="205"/>
      <w:bookmarkEnd w:id="206"/>
      <w:bookmarkEnd w:id="207"/>
      <w:bookmarkEnd w:id="208"/>
      <w:bookmarkEnd w:id="209"/>
      <w:bookmarkEnd w:id="210"/>
      <w:bookmarkEnd w:id="211"/>
      <w:bookmarkEnd w:id="212"/>
      <w:bookmarkEnd w:id="213"/>
      <w:r>
        <w:rPr>
          <w:rFonts w:hint="eastAsia" w:asciiTheme="minorEastAsia" w:hAnsiTheme="minorEastAsia" w:eastAsiaTheme="minorEastAsia" w:cstheme="minorEastAsia"/>
          <w:b/>
          <w:snapToGrid w:val="0"/>
          <w:color w:val="auto"/>
          <w:sz w:val="21"/>
          <w:szCs w:val="21"/>
          <w:highlight w:val="none"/>
        </w:rPr>
        <w:t>电子投标及投标解密失败及突发情况的补救方案</w:t>
      </w:r>
      <w:bookmarkEnd w:id="214"/>
      <w:bookmarkEnd w:id="215"/>
    </w:p>
    <w:p w14:paraId="169781F8">
      <w:pPr>
        <w:pStyle w:val="43"/>
        <w:shd w:val="clear" w:color="auto" w:fill="auto"/>
        <w:wordWrap w:val="0"/>
        <w:adjustRightInd w:val="0"/>
        <w:snapToGrid w:val="0"/>
        <w:spacing w:line="440" w:lineRule="exact"/>
        <w:ind w:firstLine="422"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12.1</w:t>
      </w:r>
      <w:r>
        <w:rPr>
          <w:rFonts w:hint="eastAsia" w:asciiTheme="minorEastAsia" w:hAnsiTheme="minorEastAsia" w:eastAsiaTheme="minorEastAsia" w:cstheme="minorEastAsia"/>
          <w:snapToGrid w:val="0"/>
          <w:color w:val="auto"/>
          <w:kern w:val="0"/>
          <w:sz w:val="21"/>
          <w:szCs w:val="21"/>
          <w:highlight w:val="none"/>
        </w:rPr>
        <w:t xml:space="preserve"> 按照交易平台关于全流程电子化项目的相关指南进行操作。详见：</w:t>
      </w:r>
      <w:r>
        <w:rPr>
          <w:rFonts w:hint="eastAsia" w:asciiTheme="minorEastAsia" w:hAnsiTheme="minorEastAsia" w:eastAsiaTheme="minorEastAsia" w:cstheme="minorEastAsia"/>
          <w:snapToGrid w:val="0"/>
          <w:color w:val="auto"/>
          <w:kern w:val="0"/>
          <w:sz w:val="21"/>
          <w:szCs w:val="21"/>
          <w:highlight w:val="none"/>
          <w:lang w:eastAsia="zh-CN"/>
        </w:rPr>
        <w:t>全国公共资源交易平台 （广东省·韶关市）</w:t>
      </w:r>
      <w:r>
        <w:rPr>
          <w:rFonts w:hint="eastAsia" w:asciiTheme="minorEastAsia" w:hAnsiTheme="minorEastAsia" w:eastAsiaTheme="minorEastAsia" w:cstheme="minorEastAsia"/>
          <w:snapToGrid w:val="0"/>
          <w:color w:val="auto"/>
          <w:kern w:val="0"/>
          <w:sz w:val="21"/>
          <w:szCs w:val="21"/>
          <w:highlight w:val="none"/>
        </w:rPr>
        <w:t>交易指引栏目发布的最新版操作指引。</w:t>
      </w:r>
    </w:p>
    <w:p w14:paraId="664A5C38">
      <w:pPr>
        <w:pStyle w:val="43"/>
        <w:shd w:val="clear" w:color="auto" w:fill="auto"/>
        <w:wordWrap w:val="0"/>
        <w:adjustRightInd w:val="0"/>
        <w:snapToGrid w:val="0"/>
        <w:spacing w:line="440" w:lineRule="exact"/>
        <w:ind w:firstLine="422"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12.2</w:t>
      </w: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
          <w:bCs/>
          <w:snapToGrid w:val="0"/>
          <w:color w:val="auto"/>
          <w:kern w:val="0"/>
          <w:sz w:val="21"/>
          <w:szCs w:val="21"/>
          <w:highlight w:val="none"/>
        </w:rPr>
        <w:t>补救方案</w:t>
      </w:r>
    </w:p>
    <w:p w14:paraId="7B6FD83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asciiTheme="minorEastAsia" w:hAnsiTheme="minorEastAsia" w:eastAsiaTheme="minorEastAsia" w:cstheme="minorEastAsia"/>
          <w:b/>
          <w:bCs/>
          <w:snapToGrid w:val="0"/>
          <w:color w:val="auto"/>
          <w:kern w:val="0"/>
          <w:sz w:val="21"/>
          <w:szCs w:val="21"/>
          <w:highlight w:val="none"/>
        </w:rPr>
        <w:t>电子投标文件解密失败且未在规定的时限内按要求成功上传未加密的备用投标文件的，视为无效投标。</w:t>
      </w:r>
    </w:p>
    <w:p w14:paraId="3FBBB24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76014C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（3）除发生上述情况外，开标评标均以投标人通过交易平台网上提交的电子投标文件为准。</w:t>
      </w:r>
    </w:p>
    <w:p w14:paraId="7BA9AEBA">
      <w:pPr>
        <w:shd w:val="clear" w:color="auto" w:fill="auto"/>
        <w:wordWrap w:val="0"/>
        <w:adjustRightInd w:val="0"/>
        <w:snapToGrid w:val="0"/>
        <w:spacing w:line="440" w:lineRule="exact"/>
        <w:ind w:firstLine="422" w:firstLineChars="200"/>
        <w:outlineLvl w:val="2"/>
        <w:rPr>
          <w:rFonts w:hint="eastAsia" w:asciiTheme="minorEastAsia" w:hAnsiTheme="minorEastAsia" w:eastAsiaTheme="minorEastAsia" w:cstheme="minorEastAsia"/>
          <w:snapToGrid w:val="0"/>
          <w:color w:val="auto"/>
          <w:kern w:val="0"/>
          <w:sz w:val="21"/>
          <w:szCs w:val="21"/>
          <w:highlight w:val="none"/>
        </w:rPr>
      </w:pPr>
      <w:bookmarkStart w:id="216" w:name="_Toc28771"/>
      <w:bookmarkStart w:id="217" w:name="_Toc3479"/>
      <w:bookmarkStart w:id="218" w:name="_Toc28656"/>
      <w:bookmarkStart w:id="219" w:name="_Toc15056"/>
      <w:bookmarkStart w:id="220" w:name="_Toc22389"/>
      <w:bookmarkStart w:id="221" w:name="_Toc10059"/>
      <w:bookmarkStart w:id="222" w:name="_Toc6192"/>
      <w:bookmarkStart w:id="223" w:name="_Toc24499"/>
      <w:bookmarkStart w:id="224" w:name="_Toc22212"/>
      <w:bookmarkStart w:id="225" w:name="_Toc18672"/>
      <w:r>
        <w:rPr>
          <w:rFonts w:hint="eastAsia" w:asciiTheme="minorEastAsia" w:hAnsiTheme="minorEastAsia" w:eastAsiaTheme="minorEastAsia" w:cstheme="minorEastAsia"/>
          <w:b/>
          <w:snapToGrid w:val="0"/>
          <w:color w:val="auto"/>
          <w:kern w:val="0"/>
          <w:sz w:val="21"/>
          <w:szCs w:val="21"/>
          <w:highlight w:val="none"/>
        </w:rPr>
        <w:t>13．投标有效期</w:t>
      </w:r>
      <w:bookmarkEnd w:id="216"/>
      <w:bookmarkEnd w:id="217"/>
      <w:bookmarkEnd w:id="218"/>
      <w:bookmarkEnd w:id="219"/>
      <w:bookmarkEnd w:id="220"/>
      <w:bookmarkEnd w:id="221"/>
      <w:bookmarkEnd w:id="222"/>
      <w:bookmarkEnd w:id="223"/>
      <w:bookmarkEnd w:id="224"/>
      <w:bookmarkEnd w:id="225"/>
    </w:p>
    <w:p w14:paraId="78CE370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本次招标投标有效期为90个日历天，自招标人或其授权的招标代理机构接收投标人递交的投标文件之日起计。在此期间，投标人不得撤销或修改其投标文件，否则其投标保证不予退还。</w:t>
      </w:r>
    </w:p>
    <w:p w14:paraId="047BBFC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10FB744D">
      <w:pPr>
        <w:shd w:val="clear" w:color="auto" w:fill="auto"/>
        <w:wordWrap w:val="0"/>
        <w:adjustRightInd w:val="0"/>
        <w:snapToGrid w:val="0"/>
        <w:spacing w:line="440" w:lineRule="exact"/>
        <w:ind w:firstLine="422" w:firstLineChars="200"/>
        <w:outlineLvl w:val="2"/>
        <w:rPr>
          <w:rFonts w:hint="eastAsia" w:asciiTheme="minorEastAsia" w:hAnsiTheme="minorEastAsia" w:eastAsiaTheme="minorEastAsia" w:cstheme="minorEastAsia"/>
          <w:snapToGrid w:val="0"/>
          <w:color w:val="auto"/>
          <w:kern w:val="0"/>
          <w:sz w:val="21"/>
          <w:szCs w:val="21"/>
          <w:highlight w:val="none"/>
        </w:rPr>
      </w:pPr>
      <w:bookmarkStart w:id="226" w:name="_Toc3636"/>
      <w:bookmarkStart w:id="227" w:name="_Toc17676"/>
      <w:bookmarkStart w:id="228" w:name="_Toc18658"/>
      <w:bookmarkStart w:id="229" w:name="_Toc1214"/>
      <w:bookmarkStart w:id="230" w:name="_Toc29341"/>
      <w:bookmarkStart w:id="231" w:name="_Toc5946"/>
      <w:bookmarkStart w:id="232" w:name="_Toc16024"/>
      <w:bookmarkStart w:id="233" w:name="_Toc23878"/>
      <w:bookmarkStart w:id="234" w:name="_Toc18547"/>
      <w:bookmarkStart w:id="235" w:name="_Toc15804"/>
      <w:r>
        <w:rPr>
          <w:rFonts w:hint="eastAsia" w:asciiTheme="minorEastAsia" w:hAnsiTheme="minorEastAsia" w:eastAsiaTheme="minorEastAsia" w:cstheme="minorEastAsia"/>
          <w:b/>
          <w:snapToGrid w:val="0"/>
          <w:color w:val="auto"/>
          <w:kern w:val="0"/>
          <w:sz w:val="21"/>
          <w:szCs w:val="21"/>
          <w:highlight w:val="none"/>
        </w:rPr>
        <w:t>14．开标</w:t>
      </w:r>
      <w:bookmarkEnd w:id="226"/>
      <w:bookmarkEnd w:id="227"/>
      <w:bookmarkEnd w:id="228"/>
      <w:bookmarkEnd w:id="229"/>
      <w:bookmarkEnd w:id="230"/>
      <w:bookmarkEnd w:id="231"/>
      <w:bookmarkEnd w:id="232"/>
      <w:bookmarkEnd w:id="233"/>
      <w:bookmarkEnd w:id="234"/>
      <w:bookmarkEnd w:id="235"/>
    </w:p>
    <w:p w14:paraId="7445D983">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14.1</w:t>
      </w:r>
      <w:r>
        <w:rPr>
          <w:rFonts w:hint="eastAsia" w:asciiTheme="minorEastAsia" w:hAnsiTheme="minorEastAsia" w:eastAsiaTheme="minorEastAsia" w:cstheme="minorEastAsia"/>
          <w:snapToGrid w:val="0"/>
          <w:color w:val="auto"/>
          <w:kern w:val="0"/>
          <w:sz w:val="21"/>
          <w:szCs w:val="21"/>
          <w:highlight w:val="none"/>
        </w:rPr>
        <w:t xml:space="preserve"> 招标人邀请所有正确完成了网上</w:t>
      </w:r>
      <w:r>
        <w:rPr>
          <w:rFonts w:hint="eastAsia" w:asciiTheme="minorEastAsia" w:hAnsiTheme="minorEastAsia" w:eastAsiaTheme="minorEastAsia" w:cstheme="minorEastAsia"/>
          <w:snapToGrid w:val="0"/>
          <w:color w:val="auto"/>
          <w:kern w:val="0"/>
          <w:sz w:val="21"/>
          <w:szCs w:val="21"/>
          <w:highlight w:val="none"/>
          <w:lang w:eastAsia="zh-CN"/>
        </w:rPr>
        <w:t>获取招标文件</w:t>
      </w:r>
      <w:r>
        <w:rPr>
          <w:rFonts w:hint="eastAsia" w:asciiTheme="minorEastAsia" w:hAnsiTheme="minorEastAsia" w:eastAsiaTheme="minorEastAsia" w:cstheme="minorEastAsia"/>
          <w:snapToGrid w:val="0"/>
          <w:color w:val="auto"/>
          <w:kern w:val="0"/>
          <w:sz w:val="21"/>
          <w:szCs w:val="21"/>
          <w:highlight w:val="none"/>
        </w:rPr>
        <w:t>、电子投标、缴纳投标保证的投标人参加开标</w:t>
      </w:r>
      <w:r>
        <w:rPr>
          <w:rFonts w:hint="eastAsia" w:asciiTheme="minorEastAsia" w:hAnsiTheme="minorEastAsia" w:eastAsiaTheme="minorEastAsia" w:cstheme="minorEastAsia"/>
          <w:b w:val="0"/>
          <w:bCs w:val="0"/>
          <w:snapToGrid w:val="0"/>
          <w:color w:val="auto"/>
          <w:kern w:val="0"/>
          <w:sz w:val="21"/>
          <w:szCs w:val="21"/>
          <w:highlight w:val="none"/>
        </w:rPr>
        <w:t>，投标人可自主决定是否参加</w:t>
      </w:r>
      <w:r>
        <w:rPr>
          <w:rFonts w:hint="eastAsia" w:asciiTheme="minorEastAsia" w:hAnsiTheme="minorEastAsia" w:eastAsiaTheme="minorEastAsia" w:cstheme="minorEastAsia"/>
          <w:snapToGrid w:val="0"/>
          <w:color w:val="auto"/>
          <w:kern w:val="0"/>
          <w:sz w:val="21"/>
          <w:szCs w:val="21"/>
          <w:highlight w:val="none"/>
        </w:rPr>
        <w:t>。投标人可登陆交易平台观看开标实况、提出异议或进行澄清、确认等操作（具体按招标文件和系统操作手册为准）。投标人不参加开标的，视其默认开标结果，以及放弃在开标期间见证、监督、投诉、申辩的权利。</w:t>
      </w:r>
    </w:p>
    <w:p w14:paraId="1A039281">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14.1.1</w:t>
      </w:r>
      <w:r>
        <w:rPr>
          <w:rFonts w:hint="eastAsia" w:asciiTheme="minorEastAsia" w:hAnsiTheme="minorEastAsia" w:eastAsiaTheme="minorEastAsia" w:cstheme="minorEastAsia"/>
          <w:snapToGrid w:val="0"/>
          <w:color w:val="auto"/>
          <w:kern w:val="0"/>
          <w:sz w:val="21"/>
          <w:szCs w:val="21"/>
          <w:highlight w:val="none"/>
        </w:rPr>
        <w:t xml:space="preserve"> 开标时间和地点：见</w:t>
      </w:r>
      <w:r>
        <w:rPr>
          <w:rFonts w:hint="eastAsia" w:asciiTheme="minorEastAsia" w:hAnsiTheme="minorEastAsia" w:eastAsiaTheme="minorEastAsia" w:cstheme="minorEastAsia"/>
          <w:snapToGrid w:val="0"/>
          <w:color w:val="auto"/>
          <w:kern w:val="0"/>
          <w:sz w:val="21"/>
          <w:szCs w:val="21"/>
          <w:highlight w:val="none"/>
          <w:lang w:val="en-US" w:eastAsia="zh-CN"/>
        </w:rPr>
        <w:t>本章</w:t>
      </w:r>
      <w:r>
        <w:rPr>
          <w:rFonts w:hint="eastAsia" w:asciiTheme="minorEastAsia" w:hAnsiTheme="minorEastAsia" w:eastAsiaTheme="minorEastAsia" w:cstheme="minorEastAsia"/>
          <w:snapToGrid w:val="0"/>
          <w:color w:val="auto"/>
          <w:kern w:val="0"/>
          <w:sz w:val="21"/>
          <w:szCs w:val="21"/>
          <w:highlight w:val="none"/>
        </w:rPr>
        <w:t>第二节“重要事项时间地点一览表”。</w:t>
      </w:r>
    </w:p>
    <w:p w14:paraId="54DD0F36">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14.1.2</w:t>
      </w:r>
      <w:r>
        <w:rPr>
          <w:rFonts w:hint="eastAsia" w:asciiTheme="minorEastAsia" w:hAnsiTheme="minorEastAsia" w:eastAsiaTheme="minorEastAsia" w:cstheme="minorEastAsia"/>
          <w:snapToGrid w:val="0"/>
          <w:color w:val="auto"/>
          <w:kern w:val="0"/>
          <w:sz w:val="21"/>
          <w:szCs w:val="21"/>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招标文件“重要事项时间地点一览表”）至电子投标截止时间（见本招标文件“重要事项时间地点一览表”）期间登录</w:t>
      </w:r>
      <w:r>
        <w:rPr>
          <w:rFonts w:hint="eastAsia" w:asciiTheme="minorEastAsia" w:hAnsiTheme="minorEastAsia" w:eastAsiaTheme="minorEastAsia" w:cstheme="minorEastAsia"/>
          <w:snapToGrid w:val="0"/>
          <w:color w:val="auto"/>
          <w:kern w:val="0"/>
          <w:sz w:val="21"/>
          <w:szCs w:val="21"/>
          <w:highlight w:val="none"/>
          <w:lang w:eastAsia="zh-CN"/>
        </w:rPr>
        <w:t>全国公共资源交易平台（广东省·韶关市）（https://ygp.gdzwfw.gov.cn/ggzy-portal/#/440200/index）</w:t>
      </w:r>
      <w:r>
        <w:rPr>
          <w:rFonts w:hint="eastAsia" w:asciiTheme="minorEastAsia" w:hAnsiTheme="minorEastAsia" w:eastAsiaTheme="minorEastAsia" w:cstheme="minorEastAsia"/>
          <w:snapToGrid w:val="0"/>
          <w:color w:val="auto"/>
          <w:kern w:val="0"/>
          <w:sz w:val="21"/>
          <w:szCs w:val="21"/>
          <w:highlight w:val="none"/>
        </w:rPr>
        <w:t>查询是否发布了取消开标活动的相关信息。</w:t>
      </w:r>
    </w:p>
    <w:p w14:paraId="76582E33">
      <w:pPr>
        <w:pStyle w:val="43"/>
        <w:shd w:val="clear" w:color="auto" w:fill="auto"/>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14.1</w:t>
      </w:r>
      <w:r>
        <w:rPr>
          <w:rFonts w:hint="eastAsia" w:asciiTheme="minorEastAsia" w:hAnsiTheme="minorEastAsia" w:eastAsiaTheme="minorEastAsia" w:cstheme="minorEastAsia"/>
          <w:b/>
          <w:bCs/>
          <w:snapToGrid w:val="0"/>
          <w:color w:val="auto"/>
          <w:kern w:val="0"/>
          <w:sz w:val="21"/>
          <w:szCs w:val="21"/>
          <w:highlight w:val="none"/>
        </w:rPr>
        <w:t xml:space="preserve">.3 </w:t>
      </w:r>
      <w:r>
        <w:rPr>
          <w:rFonts w:hint="eastAsia" w:asciiTheme="minorEastAsia" w:hAnsiTheme="minorEastAsia" w:eastAsiaTheme="minorEastAsia" w:cstheme="minorEastAsia"/>
          <w:snapToGrid w:val="0"/>
          <w:color w:val="auto"/>
          <w:kern w:val="0"/>
          <w:sz w:val="21"/>
          <w:szCs w:val="21"/>
          <w:highlight w:val="none"/>
        </w:rPr>
        <w:t>本项目实行全流程电子化招标投标，</w:t>
      </w:r>
      <w:r>
        <w:rPr>
          <w:rFonts w:hint="eastAsia" w:asciiTheme="minorEastAsia" w:hAnsiTheme="minorEastAsia" w:eastAsiaTheme="minorEastAsia" w:cstheme="minorEastAsia"/>
          <w:snapToGrid w:val="0"/>
          <w:color w:val="auto"/>
          <w:kern w:val="0"/>
          <w:sz w:val="21"/>
          <w:szCs w:val="21"/>
          <w:highlight w:val="none"/>
          <w:lang w:val="en-US" w:eastAsia="zh-CN"/>
        </w:rPr>
        <w:t>投标</w:t>
      </w:r>
      <w:r>
        <w:rPr>
          <w:rFonts w:hint="eastAsia" w:asciiTheme="minorEastAsia" w:hAnsiTheme="minorEastAsia" w:eastAsiaTheme="minorEastAsia" w:cstheme="minorEastAsia"/>
          <w:snapToGrid w:val="0"/>
          <w:color w:val="auto"/>
          <w:kern w:val="0"/>
          <w:sz w:val="21"/>
          <w:szCs w:val="21"/>
          <w:highlight w:val="none"/>
        </w:rPr>
        <w:t>人在交易平台按要求上传加盖电子印章并经加密的电子投标文件，并在交易平台录准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3184CE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14.2</w:t>
      </w:r>
      <w:r>
        <w:rPr>
          <w:rFonts w:hint="eastAsia" w:asciiTheme="minorEastAsia" w:hAnsiTheme="minorEastAsia" w:eastAsiaTheme="minorEastAsia" w:cstheme="minorEastAsia"/>
          <w:snapToGrid w:val="0"/>
          <w:color w:val="auto"/>
          <w:kern w:val="0"/>
          <w:sz w:val="21"/>
          <w:szCs w:val="21"/>
          <w:highlight w:val="none"/>
        </w:rPr>
        <w:t xml:space="preserve"> 开标程序</w:t>
      </w:r>
    </w:p>
    <w:p w14:paraId="129B4D7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（1）主持人（招标人代表或招标人授权的招标代理机构人员）宣读开标纪律。</w:t>
      </w:r>
    </w:p>
    <w:p w14:paraId="4FA2AA8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（2）主持人宣布唱标人、记录人、见证人、监督人等有关人员姓名。</w:t>
      </w:r>
    </w:p>
    <w:p w14:paraId="556661B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（3）唱标人公布在投标截止时间前</w:t>
      </w:r>
      <w:r>
        <w:rPr>
          <w:rFonts w:hint="eastAsia" w:asciiTheme="minorEastAsia" w:hAnsiTheme="minorEastAsia" w:eastAsiaTheme="minorEastAsia" w:cstheme="minorEastAsia"/>
          <w:snapToGrid w:val="0"/>
          <w:color w:val="auto"/>
          <w:kern w:val="0"/>
          <w:sz w:val="21"/>
          <w:szCs w:val="21"/>
          <w:highlight w:val="none"/>
          <w:lang w:val="en-US" w:eastAsia="zh-CN"/>
        </w:rPr>
        <w:t>提</w:t>
      </w:r>
      <w:r>
        <w:rPr>
          <w:rFonts w:hint="eastAsia" w:asciiTheme="minorEastAsia" w:hAnsiTheme="minorEastAsia" w:eastAsiaTheme="minorEastAsia" w:cstheme="minorEastAsia"/>
          <w:snapToGrid w:val="0"/>
          <w:color w:val="auto"/>
          <w:kern w:val="0"/>
          <w:sz w:val="21"/>
          <w:szCs w:val="21"/>
          <w:highlight w:val="none"/>
        </w:rPr>
        <w:t>交</w:t>
      </w:r>
      <w:r>
        <w:rPr>
          <w:rFonts w:hint="eastAsia" w:asciiTheme="minorEastAsia" w:hAnsiTheme="minorEastAsia" w:eastAsiaTheme="minorEastAsia" w:cstheme="minorEastAsia"/>
          <w:snapToGrid w:val="0"/>
          <w:color w:val="auto"/>
          <w:kern w:val="0"/>
          <w:sz w:val="21"/>
          <w:szCs w:val="21"/>
          <w:highlight w:val="none"/>
          <w:lang w:val="en-US" w:eastAsia="zh-CN"/>
        </w:rPr>
        <w:t>电子</w:t>
      </w:r>
      <w:r>
        <w:rPr>
          <w:rFonts w:hint="eastAsia" w:asciiTheme="minorEastAsia" w:hAnsiTheme="minorEastAsia" w:eastAsiaTheme="minorEastAsia" w:cstheme="minorEastAsia"/>
          <w:snapToGrid w:val="0"/>
          <w:color w:val="auto"/>
          <w:kern w:val="0"/>
          <w:sz w:val="21"/>
          <w:szCs w:val="21"/>
          <w:highlight w:val="none"/>
        </w:rPr>
        <w:t>投标文件的投标人数量和名称</w:t>
      </w:r>
      <w:r>
        <w:rPr>
          <w:rFonts w:hint="eastAsia" w:asciiTheme="minorEastAsia" w:hAnsiTheme="minorEastAsia" w:eastAsiaTheme="minorEastAsia" w:cstheme="minorEastAsia"/>
          <w:snapToGrid w:val="0"/>
          <w:color w:val="auto"/>
          <w:kern w:val="0"/>
          <w:sz w:val="21"/>
          <w:szCs w:val="21"/>
          <w:highlight w:val="none"/>
          <w:lang w:eastAsia="zh-CN"/>
        </w:rPr>
        <w:t>。</w:t>
      </w:r>
    </w:p>
    <w:p w14:paraId="79C4628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r>
        <w:rPr>
          <w:rFonts w:hint="eastAsia" w:asciiTheme="minorEastAsia" w:hAnsiTheme="minorEastAsia" w:eastAsiaTheme="minorEastAsia" w:cstheme="minorEastAsia"/>
          <w:color w:val="auto"/>
          <w:sz w:val="21"/>
          <w:szCs w:val="21"/>
          <w:highlight w:val="none"/>
        </w:rPr>
        <w:t>招标代理机构在交易场所工作人员的见证下，</w:t>
      </w:r>
      <w:r>
        <w:rPr>
          <w:rFonts w:hint="eastAsia" w:asciiTheme="minorEastAsia" w:hAnsiTheme="minorEastAsia" w:eastAsiaTheme="minorEastAsia" w:cstheme="minorEastAsia"/>
          <w:snapToGrid w:val="0"/>
          <w:color w:val="auto"/>
          <w:kern w:val="0"/>
          <w:sz w:val="21"/>
          <w:szCs w:val="21"/>
          <w:highlight w:val="none"/>
        </w:rPr>
        <w:t>对投标人的电子投标信息进行解密，建设工程交易系统自动生成《投标保证缴纳情况表》和《开标一览表》</w:t>
      </w:r>
      <w:r>
        <w:rPr>
          <w:rFonts w:hint="eastAsia" w:asciiTheme="minorEastAsia" w:hAnsiTheme="minorEastAsia" w:eastAsiaTheme="minorEastAsia" w:cstheme="minorEastAsia"/>
          <w:color w:val="auto"/>
          <w:sz w:val="21"/>
          <w:szCs w:val="21"/>
          <w:highlight w:val="none"/>
        </w:rPr>
        <w:t>。</w:t>
      </w:r>
    </w:p>
    <w:p w14:paraId="104D887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）唱标人检查《开标一览表》中各投标人的投标总价、监理服务期限是否符合招标文件规定。若不符合规定，招标代理机构应将有关情形在《开标一览表》“备注”栏中注明。</w:t>
      </w:r>
    </w:p>
    <w:p w14:paraId="60E585A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11BECE0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）招标人代表、唱标人、记录人等有关人员在《投标保证缴纳情况表》以及《开标一览表》上签字确认。</w:t>
      </w:r>
    </w:p>
    <w:p w14:paraId="003F62C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7</w:t>
      </w:r>
      <w:r>
        <w:rPr>
          <w:rFonts w:hint="eastAsia" w:asciiTheme="minorEastAsia" w:hAnsiTheme="minorEastAsia" w:eastAsiaTheme="minorEastAsia" w:cstheme="minorEastAsia"/>
          <w:snapToGrid w:val="0"/>
          <w:color w:val="auto"/>
          <w:kern w:val="0"/>
          <w:sz w:val="21"/>
          <w:szCs w:val="21"/>
          <w:highlight w:val="none"/>
        </w:rPr>
        <w:t>）主持人宣布有关注意事项后，宣布开标结束。</w:t>
      </w:r>
    </w:p>
    <w:p w14:paraId="4FEF108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14.3</w:t>
      </w:r>
      <w:r>
        <w:rPr>
          <w:rFonts w:hint="eastAsia" w:asciiTheme="minorEastAsia" w:hAnsiTheme="minorEastAsia" w:eastAsiaTheme="minorEastAsia" w:cstheme="minorEastAsia"/>
          <w:snapToGrid w:val="0"/>
          <w:color w:val="auto"/>
          <w:kern w:val="0"/>
          <w:sz w:val="21"/>
          <w:szCs w:val="21"/>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42EDB01F">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14.4</w:t>
      </w:r>
      <w:r>
        <w:rPr>
          <w:rFonts w:hint="eastAsia" w:asciiTheme="minorEastAsia" w:hAnsiTheme="minorEastAsia" w:eastAsiaTheme="minorEastAsia" w:cstheme="minorEastAsia"/>
          <w:snapToGrid w:val="0"/>
          <w:color w:val="auto"/>
          <w:kern w:val="0"/>
          <w:sz w:val="21"/>
          <w:szCs w:val="21"/>
          <w:highlight w:val="none"/>
        </w:rPr>
        <w:t xml:space="preserve"> 招标代理机构资料原件</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如有）</w:t>
      </w:r>
      <w:r>
        <w:rPr>
          <w:rFonts w:hint="eastAsia" w:asciiTheme="minorEastAsia" w:hAnsiTheme="minorEastAsia" w:eastAsiaTheme="minorEastAsia" w:cstheme="minorEastAsia"/>
          <w:snapToGrid w:val="0"/>
          <w:color w:val="auto"/>
          <w:kern w:val="0"/>
          <w:sz w:val="21"/>
          <w:szCs w:val="21"/>
          <w:highlight w:val="none"/>
        </w:rPr>
        <w:t>、《开标一览表》以及其他有关资料移交评标委员会。</w:t>
      </w:r>
      <w:bookmarkStart w:id="236" w:name="_Hlt127093805"/>
      <w:bookmarkEnd w:id="236"/>
    </w:p>
    <w:p w14:paraId="7618AC9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3102644D">
      <w:pPr>
        <w:shd w:val="clear" w:color="auto" w:fill="auto"/>
        <w:wordWrap w:val="0"/>
        <w:adjustRightInd w:val="0"/>
        <w:snapToGrid w:val="0"/>
        <w:spacing w:line="440" w:lineRule="exact"/>
        <w:ind w:firstLine="422" w:firstLineChars="200"/>
        <w:outlineLvl w:val="2"/>
        <w:rPr>
          <w:rFonts w:hint="eastAsia" w:asciiTheme="minorEastAsia" w:hAnsiTheme="minorEastAsia" w:eastAsiaTheme="minorEastAsia" w:cstheme="minorEastAsia"/>
          <w:b/>
          <w:snapToGrid w:val="0"/>
          <w:color w:val="auto"/>
          <w:kern w:val="0"/>
          <w:sz w:val="21"/>
          <w:szCs w:val="21"/>
          <w:highlight w:val="none"/>
        </w:rPr>
      </w:pPr>
      <w:bookmarkStart w:id="237" w:name="_Toc21857"/>
      <w:bookmarkStart w:id="238" w:name="_Toc32135"/>
      <w:bookmarkStart w:id="239" w:name="_Toc16582"/>
      <w:bookmarkStart w:id="240" w:name="_Toc28982"/>
      <w:bookmarkStart w:id="241" w:name="_Toc12385"/>
      <w:bookmarkStart w:id="242" w:name="_Toc13528"/>
      <w:bookmarkStart w:id="243" w:name="_Toc3135"/>
      <w:bookmarkStart w:id="244" w:name="_Toc6005"/>
      <w:bookmarkStart w:id="245" w:name="_Toc15736"/>
      <w:bookmarkStart w:id="246" w:name="_Toc7763"/>
      <w:r>
        <w:rPr>
          <w:rFonts w:hint="eastAsia" w:asciiTheme="minorEastAsia" w:hAnsiTheme="minorEastAsia" w:eastAsiaTheme="minorEastAsia" w:cstheme="minorEastAsia"/>
          <w:b/>
          <w:snapToGrid w:val="0"/>
          <w:color w:val="auto"/>
          <w:kern w:val="0"/>
          <w:sz w:val="21"/>
          <w:szCs w:val="21"/>
          <w:highlight w:val="none"/>
        </w:rPr>
        <w:t>15．评标</w:t>
      </w:r>
      <w:bookmarkEnd w:id="237"/>
      <w:bookmarkEnd w:id="238"/>
      <w:bookmarkEnd w:id="239"/>
      <w:bookmarkEnd w:id="240"/>
      <w:bookmarkEnd w:id="241"/>
      <w:bookmarkEnd w:id="242"/>
      <w:bookmarkEnd w:id="243"/>
      <w:bookmarkEnd w:id="244"/>
      <w:bookmarkEnd w:id="245"/>
      <w:bookmarkEnd w:id="246"/>
    </w:p>
    <w:p w14:paraId="5EE9B02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评标分为初步评审和详细评审两个阶段，由评标委员会在有关部门的监督下，严格按照本招标文件指定的评标方法，对投标人的投标文件进行评审。</w:t>
      </w:r>
    </w:p>
    <w:p w14:paraId="0462F75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w:t>
      </w:r>
      <w:r>
        <w:rPr>
          <w:rFonts w:hint="eastAsia" w:asciiTheme="minorEastAsia" w:hAnsiTheme="minorEastAsia" w:eastAsiaTheme="minorEastAsia" w:cstheme="minorEastAsia"/>
          <w:bCs/>
          <w:snapToGrid w:val="0"/>
          <w:color w:val="auto"/>
          <w:kern w:val="0"/>
          <w:sz w:val="21"/>
          <w:szCs w:val="21"/>
          <w:highlight w:val="none"/>
        </w:rPr>
        <w:t xml:space="preserve"> 评标委员会</w:t>
      </w:r>
    </w:p>
    <w:p w14:paraId="3ACAD3A3">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15.1.1</w:t>
      </w:r>
      <w:r>
        <w:rPr>
          <w:rFonts w:hint="eastAsia" w:asciiTheme="minorEastAsia" w:hAnsiTheme="minorEastAsia" w:eastAsiaTheme="minorEastAsia" w:cstheme="minorEastAsia"/>
          <w:snapToGrid w:val="0"/>
          <w:color w:val="auto"/>
          <w:kern w:val="0"/>
          <w:sz w:val="21"/>
          <w:szCs w:val="21"/>
          <w:highlight w:val="none"/>
        </w:rPr>
        <w:t xml:space="preserve"> 评标委员会由5人组成，其中招标人代表 0人，专家5人。专家从广东省综合评标评审专家库</w:t>
      </w:r>
      <w:r>
        <w:rPr>
          <w:rFonts w:hint="eastAsia" w:asciiTheme="minorEastAsia" w:hAnsiTheme="minorEastAsia" w:eastAsiaTheme="minorEastAsia" w:cstheme="minorEastAsia"/>
          <w:snapToGrid w:val="0"/>
          <w:color w:val="auto"/>
          <w:kern w:val="0"/>
          <w:sz w:val="21"/>
          <w:szCs w:val="21"/>
          <w:highlight w:val="none"/>
          <w:lang w:val="en-US" w:eastAsia="zh-CN"/>
        </w:rPr>
        <w:t>--韶关区域</w:t>
      </w:r>
      <w:r>
        <w:rPr>
          <w:rFonts w:hint="eastAsia" w:asciiTheme="minorEastAsia" w:hAnsiTheme="minorEastAsia" w:eastAsiaTheme="minorEastAsia" w:cstheme="minorEastAsia"/>
          <w:snapToGrid w:val="0"/>
          <w:color w:val="auto"/>
          <w:kern w:val="0"/>
          <w:sz w:val="21"/>
          <w:szCs w:val="21"/>
          <w:highlight w:val="none"/>
        </w:rPr>
        <w:t>中随机抽取，其中技术类专家3人，经济类专家2人。评标委员会设负责人，由评标委员会成员推举产生。评标委员会负责人与评标委员会的其他成员有同等的表决权。</w:t>
      </w:r>
    </w:p>
    <w:p w14:paraId="34C8B416">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15.1.2</w:t>
      </w:r>
      <w:r>
        <w:rPr>
          <w:rFonts w:hint="eastAsia" w:asciiTheme="minorEastAsia" w:hAnsiTheme="minorEastAsia" w:eastAsiaTheme="minorEastAsia" w:cstheme="minorEastAsia"/>
          <w:snapToGrid w:val="0"/>
          <w:color w:val="auto"/>
          <w:kern w:val="0"/>
          <w:sz w:val="21"/>
          <w:szCs w:val="21"/>
          <w:highlight w:val="none"/>
        </w:rPr>
        <w:t xml:space="preserve"> 评标委员会应认真、公正、诚实、廉洁地履行职责。有下列情形之一的，不得担任评标委员会成员：</w:t>
      </w:r>
    </w:p>
    <w:p w14:paraId="0E794552">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（1）投标人或投标人主要负责人的近亲属；</w:t>
      </w:r>
    </w:p>
    <w:p w14:paraId="15C842F9">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（2）项目主管部门或者行政监督部门的人员；</w:t>
      </w:r>
    </w:p>
    <w:p w14:paraId="087D1EAF">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（3）与投标人有经济利益关系，可能影响对投标公正评审的；</w:t>
      </w:r>
    </w:p>
    <w:p w14:paraId="237B6CB0">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（4）曾因在招标、评标以及其他与招标投标有关活动中从事违法行为而受过行政处罚或刑事处罚的。</w:t>
      </w:r>
    </w:p>
    <w:p w14:paraId="4202047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评标委员会成员有以上情形之一的，应主动提出回避。</w:t>
      </w:r>
    </w:p>
    <w:p w14:paraId="059E07D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15.1.3</w:t>
      </w:r>
      <w:r>
        <w:rPr>
          <w:rFonts w:hint="eastAsia" w:asciiTheme="minorEastAsia" w:hAnsiTheme="minorEastAsia" w:eastAsiaTheme="minorEastAsia" w:cstheme="minorEastAsia"/>
          <w:snapToGrid w:val="0"/>
          <w:color w:val="auto"/>
          <w:kern w:val="0"/>
          <w:sz w:val="21"/>
          <w:szCs w:val="21"/>
          <w:highlight w:val="none"/>
        </w:rPr>
        <w:t xml:space="preserve"> 评标全过程实行封闭式管理，在中标结果公布前，禁止评标委员会成员以任何方式私下接触投标人。</w:t>
      </w:r>
    </w:p>
    <w:p w14:paraId="7F54AAB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评标过程中，招标文件明确指定采用现场实时查询的信息资料（如“信用中国”信息等），由招标代理机构工作人员在评标委员会成员、交易场所工作人员共同见证下，使用指定设备登录相关发布网站进行下载、打印，并移交评标委员会。完成评标后，相关查询资料应予妥善保存、归档。</w:t>
      </w:r>
    </w:p>
    <w:p w14:paraId="1898463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15.1.4</w:t>
      </w:r>
      <w:r>
        <w:rPr>
          <w:rFonts w:hint="eastAsia" w:asciiTheme="minorEastAsia" w:hAnsiTheme="minorEastAsia" w:eastAsiaTheme="minorEastAsia" w:cstheme="minorEastAsia"/>
          <w:snapToGrid w:val="0"/>
          <w:color w:val="auto"/>
          <w:kern w:val="0"/>
          <w:sz w:val="21"/>
          <w:szCs w:val="21"/>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153E082">
      <w:pPr>
        <w:shd w:val="clear" w:color="auto" w:fill="auto"/>
        <w:wordWrap w:val="0"/>
        <w:adjustRightInd w:val="0"/>
        <w:snapToGrid w:val="0"/>
        <w:spacing w:line="440" w:lineRule="exact"/>
        <w:ind w:firstLine="562"/>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15.1.5</w:t>
      </w:r>
      <w:r>
        <w:rPr>
          <w:rFonts w:hint="eastAsia" w:asciiTheme="minorEastAsia" w:hAnsiTheme="minorEastAsia" w:eastAsiaTheme="minorEastAsia" w:cstheme="minorEastAsia"/>
          <w:snapToGrid w:val="0"/>
          <w:color w:val="auto"/>
          <w:kern w:val="0"/>
          <w:sz w:val="21"/>
          <w:szCs w:val="21"/>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448AF67">
      <w:pPr>
        <w:shd w:val="clear" w:color="auto" w:fill="auto"/>
        <w:wordWrap w:val="0"/>
        <w:adjustRightInd w:val="0"/>
        <w:snapToGrid w:val="0"/>
        <w:spacing w:line="440" w:lineRule="exact"/>
        <w:ind w:firstLine="561"/>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15.2</w:t>
      </w:r>
      <w:r>
        <w:rPr>
          <w:rFonts w:hint="eastAsia" w:asciiTheme="minorEastAsia" w:hAnsiTheme="minorEastAsia" w:eastAsiaTheme="minorEastAsia" w:cstheme="minorEastAsia"/>
          <w:bCs/>
          <w:snapToGrid w:val="0"/>
          <w:color w:val="auto"/>
          <w:kern w:val="0"/>
          <w:sz w:val="21"/>
          <w:szCs w:val="21"/>
          <w:highlight w:val="none"/>
        </w:rPr>
        <w:t xml:space="preserve"> 评标方法</w:t>
      </w:r>
    </w:p>
    <w:p w14:paraId="4C00A5C4">
      <w:pPr>
        <w:shd w:val="clear" w:color="auto" w:fill="auto"/>
        <w:wordWrap w:val="0"/>
        <w:adjustRightInd w:val="0"/>
        <w:snapToGrid w:val="0"/>
        <w:spacing w:line="440" w:lineRule="exact"/>
        <w:ind w:firstLine="562"/>
        <w:rPr>
          <w:rFonts w:hint="eastAsia" w:asciiTheme="minorEastAsia" w:hAnsiTheme="minorEastAsia" w:eastAsiaTheme="minorEastAsia" w:cstheme="minorEastAsia"/>
          <w:i/>
          <w:i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根据有关法律、法规的相关规定，结合本招标项目资金来源和规模特点，本次招标采用“综合评估法”进行评标。</w:t>
      </w:r>
    </w:p>
    <w:p w14:paraId="5FE776B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15.3</w:t>
      </w:r>
      <w:r>
        <w:rPr>
          <w:rFonts w:hint="eastAsia" w:asciiTheme="minorEastAsia" w:hAnsiTheme="minorEastAsia" w:eastAsiaTheme="minorEastAsia" w:cstheme="minorEastAsia"/>
          <w:bCs/>
          <w:snapToGrid w:val="0"/>
          <w:color w:val="auto"/>
          <w:kern w:val="0"/>
          <w:sz w:val="21"/>
          <w:szCs w:val="21"/>
          <w:highlight w:val="none"/>
        </w:rPr>
        <w:t xml:space="preserve"> 评审范围：</w:t>
      </w:r>
      <w:r>
        <w:rPr>
          <w:rFonts w:hint="eastAsia" w:asciiTheme="minorEastAsia" w:hAnsiTheme="minorEastAsia" w:eastAsiaTheme="minorEastAsia" w:cstheme="minorEastAsia"/>
          <w:snapToGrid w:val="0"/>
          <w:color w:val="auto"/>
          <w:kern w:val="0"/>
          <w:sz w:val="21"/>
          <w:szCs w:val="21"/>
          <w:highlight w:val="none"/>
        </w:rPr>
        <w:t>评标委员会应对所有进入评标投标人的投标文件进行评审。</w:t>
      </w:r>
    </w:p>
    <w:p w14:paraId="22773F7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15.4</w:t>
      </w:r>
      <w:r>
        <w:rPr>
          <w:rFonts w:hint="eastAsia" w:asciiTheme="minorEastAsia" w:hAnsiTheme="minorEastAsia" w:eastAsiaTheme="minorEastAsia" w:cstheme="minorEastAsia"/>
          <w:snapToGrid w:val="0"/>
          <w:color w:val="auto"/>
          <w:kern w:val="0"/>
          <w:sz w:val="21"/>
          <w:szCs w:val="21"/>
          <w:highlight w:val="none"/>
        </w:rPr>
        <w:t xml:space="preserve"> 初步评审阶段</w:t>
      </w:r>
    </w:p>
    <w:p w14:paraId="06DA596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初步评审阶段分为资格评审、形式评审和响应性评审三个环节。</w:t>
      </w:r>
    </w:p>
    <w:p w14:paraId="13CD2F2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15.4.1</w:t>
      </w:r>
      <w:r>
        <w:rPr>
          <w:rFonts w:hint="eastAsia" w:asciiTheme="minorEastAsia" w:hAnsiTheme="minorEastAsia" w:eastAsiaTheme="minorEastAsia" w:cstheme="minorEastAsia"/>
          <w:snapToGrid w:val="0"/>
          <w:color w:val="auto"/>
          <w:kern w:val="0"/>
          <w:sz w:val="21"/>
          <w:szCs w:val="21"/>
          <w:highlight w:val="none"/>
        </w:rPr>
        <w:t xml:space="preserve"> 资格评审环节</w:t>
      </w:r>
    </w:p>
    <w:p w14:paraId="049B1C0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资格评审事项包括：</w:t>
      </w:r>
    </w:p>
    <w:p w14:paraId="06C00083">
      <w:pPr>
        <w:numPr>
          <w:ilvl w:val="0"/>
          <w:numId w:val="1"/>
        </w:num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是否符合本章第三节第2.4条“禁止投标条款”规定。如果“禁止投标条款”包括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4A643607">
      <w:pPr>
        <w:numPr>
          <w:ilvl w:val="0"/>
          <w:numId w:val="1"/>
        </w:num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投标人名称是否与营业执照、资质证书一致。</w:t>
      </w:r>
    </w:p>
    <w:p w14:paraId="4610863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）投标人的资质是否符合招标文件规定；其营业执照、资质证书是否合法、有效。</w:t>
      </w:r>
    </w:p>
    <w:p w14:paraId="39A5681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投标文件中拟委派的总监理工程师是否与《开标一览表》一致；拟委派的总监理工程师的条件是否符合招标文件规定；是否擅自修改、遗漏《总监理工程师任职声明》的实质性内容；拟委派的总监理工程师现阶段有担任其他在施建设工程项目总监理工程师职务的，任职项目建设单位是否在《总监理工程师任职项目情况表》内盖章同意或另行出具了书面同意意见。</w:t>
      </w:r>
    </w:p>
    <w:p w14:paraId="787A3EF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）拟委派的总监理工程师的注册证书</w:t>
      </w:r>
      <w:r>
        <w:rPr>
          <w:rFonts w:hint="eastAsia" w:asciiTheme="minorEastAsia" w:hAnsiTheme="minorEastAsia" w:eastAsiaTheme="minorEastAsia" w:cstheme="minorEastAsia"/>
          <w:snapToGrid w:val="0"/>
          <w:color w:val="auto"/>
          <w:kern w:val="0"/>
          <w:sz w:val="21"/>
          <w:szCs w:val="21"/>
          <w:highlight w:val="none"/>
          <w:lang w:val="en-US" w:eastAsia="zh-CN"/>
        </w:rPr>
        <w:t>是否为</w:t>
      </w:r>
      <w:r>
        <w:rPr>
          <w:rFonts w:hint="eastAsia" w:asciiTheme="minorEastAsia" w:hAnsiTheme="minorEastAsia" w:eastAsiaTheme="minorEastAsia" w:cstheme="minorEastAsia"/>
          <w:snapToGrid w:val="0"/>
          <w:color w:val="auto"/>
          <w:kern w:val="0"/>
          <w:sz w:val="21"/>
          <w:szCs w:val="21"/>
          <w:highlight w:val="none"/>
        </w:rPr>
        <w:t>住房和城乡建设主管部门颁发的，注册单位与投标人</w:t>
      </w:r>
      <w:r>
        <w:rPr>
          <w:rFonts w:hint="eastAsia" w:asciiTheme="minorEastAsia" w:hAnsiTheme="minorEastAsia" w:eastAsiaTheme="minorEastAsia" w:cstheme="minorEastAsia"/>
          <w:snapToGrid w:val="0"/>
          <w:color w:val="auto"/>
          <w:kern w:val="0"/>
          <w:sz w:val="21"/>
          <w:szCs w:val="21"/>
          <w:highlight w:val="none"/>
          <w:lang w:val="en-US" w:eastAsia="zh-CN"/>
        </w:rPr>
        <w:t>是否</w:t>
      </w:r>
      <w:r>
        <w:rPr>
          <w:rFonts w:hint="eastAsia" w:asciiTheme="minorEastAsia" w:hAnsiTheme="minorEastAsia" w:eastAsiaTheme="minorEastAsia" w:cstheme="minorEastAsia"/>
          <w:snapToGrid w:val="0"/>
          <w:color w:val="auto"/>
          <w:kern w:val="0"/>
          <w:sz w:val="21"/>
          <w:szCs w:val="21"/>
          <w:highlight w:val="none"/>
        </w:rPr>
        <w:t>一致，</w:t>
      </w:r>
      <w:r>
        <w:rPr>
          <w:rFonts w:hint="eastAsia" w:asciiTheme="minorEastAsia" w:hAnsiTheme="minorEastAsia" w:eastAsiaTheme="minorEastAsia" w:cstheme="minorEastAsia"/>
          <w:snapToGrid w:val="0"/>
          <w:color w:val="auto"/>
          <w:kern w:val="0"/>
          <w:sz w:val="21"/>
          <w:szCs w:val="21"/>
          <w:highlight w:val="none"/>
          <w:lang w:val="en-US" w:eastAsia="zh-CN"/>
        </w:rPr>
        <w:t>是否</w:t>
      </w:r>
      <w:r>
        <w:rPr>
          <w:rFonts w:hint="eastAsia" w:asciiTheme="minorEastAsia" w:hAnsiTheme="minorEastAsia" w:eastAsiaTheme="minorEastAsia" w:cstheme="minorEastAsia"/>
          <w:snapToGrid w:val="0"/>
          <w:color w:val="auto"/>
          <w:kern w:val="0"/>
          <w:sz w:val="21"/>
          <w:szCs w:val="21"/>
          <w:highlight w:val="none"/>
        </w:rPr>
        <w:t>在有效期内。</w:t>
      </w:r>
    </w:p>
    <w:p w14:paraId="633C3D5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）投标人为外省建筑企业的，是否按规定在“进粤企业和人员诚信信息登记平台”录入企业有关信息并通过数据规范检查</w:t>
      </w:r>
      <w:r>
        <w:rPr>
          <w:rFonts w:hint="eastAsia" w:asciiTheme="minorEastAsia" w:hAnsiTheme="minorEastAsia" w:eastAsiaTheme="minorEastAsia" w:cstheme="minorEastAsia"/>
          <w:color w:val="auto"/>
          <w:sz w:val="21"/>
          <w:szCs w:val="21"/>
          <w:highlight w:val="none"/>
        </w:rPr>
        <w:t>。</w:t>
      </w:r>
    </w:p>
    <w:p w14:paraId="503250FF">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15.4.2</w:t>
      </w:r>
      <w:r>
        <w:rPr>
          <w:rFonts w:hint="eastAsia" w:asciiTheme="minorEastAsia" w:hAnsiTheme="minorEastAsia" w:eastAsiaTheme="minorEastAsia" w:cstheme="minorEastAsia"/>
          <w:snapToGrid w:val="0"/>
          <w:color w:val="auto"/>
          <w:kern w:val="0"/>
          <w:sz w:val="21"/>
          <w:szCs w:val="21"/>
          <w:highlight w:val="none"/>
        </w:rPr>
        <w:t xml:space="preserve"> 形式评审环节</w:t>
      </w:r>
    </w:p>
    <w:p w14:paraId="3D476D0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形式评审事项包括：</w:t>
      </w:r>
    </w:p>
    <w:p w14:paraId="2530529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（1）投标文件的分册组成是否符合招标文件规定。</w:t>
      </w:r>
    </w:p>
    <w:p w14:paraId="5974A16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（2）本节第</w:t>
      </w:r>
      <w:r>
        <w:rPr>
          <w:rFonts w:hint="eastAsia" w:asciiTheme="minorEastAsia" w:hAnsiTheme="minorEastAsia" w:eastAsiaTheme="minorEastAsia" w:cstheme="minorEastAsia"/>
          <w:b/>
          <w:bCs/>
          <w:snapToGrid w:val="0"/>
          <w:color w:val="auto"/>
          <w:kern w:val="0"/>
          <w:sz w:val="21"/>
          <w:szCs w:val="21"/>
          <w:highlight w:val="none"/>
        </w:rPr>
        <w:t>10.2.2</w:t>
      </w:r>
      <w:r>
        <w:rPr>
          <w:rFonts w:hint="eastAsia" w:asciiTheme="minorEastAsia" w:hAnsiTheme="minorEastAsia" w:eastAsiaTheme="minorEastAsia" w:cstheme="minorEastAsia"/>
          <w:snapToGrid w:val="0"/>
          <w:color w:val="auto"/>
          <w:kern w:val="0"/>
          <w:sz w:val="21"/>
          <w:szCs w:val="21"/>
          <w:highlight w:val="none"/>
        </w:rPr>
        <w:t>目、第</w:t>
      </w:r>
      <w:r>
        <w:rPr>
          <w:rFonts w:hint="eastAsia" w:asciiTheme="minorEastAsia" w:hAnsiTheme="minorEastAsia" w:eastAsiaTheme="minorEastAsia" w:cstheme="minorEastAsia"/>
          <w:b/>
          <w:bCs/>
          <w:snapToGrid w:val="0"/>
          <w:color w:val="auto"/>
          <w:kern w:val="0"/>
          <w:sz w:val="21"/>
          <w:szCs w:val="21"/>
          <w:highlight w:val="none"/>
        </w:rPr>
        <w:t>10.3.3</w:t>
      </w:r>
      <w:r>
        <w:rPr>
          <w:rFonts w:hint="eastAsia" w:asciiTheme="minorEastAsia" w:hAnsiTheme="minorEastAsia" w:eastAsiaTheme="minorEastAsia" w:cstheme="minorEastAsia"/>
          <w:snapToGrid w:val="0"/>
          <w:color w:val="auto"/>
          <w:kern w:val="0"/>
          <w:sz w:val="21"/>
          <w:szCs w:val="21"/>
          <w:highlight w:val="none"/>
        </w:rPr>
        <w:t>目中规定的“所有投标人均应提供”的组成内容（包括该组成内容的所附资料）是否完整、齐全。</w:t>
      </w:r>
    </w:p>
    <w:p w14:paraId="0EEF693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（3）各分册是否按招标文件规定签字、盖章。</w:t>
      </w:r>
    </w:p>
    <w:p w14:paraId="17DE8D01">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b/>
          <w:bCs/>
          <w:snapToGrid w:val="0"/>
          <w:color w:val="auto"/>
          <w:kern w:val="0"/>
          <w:sz w:val="21"/>
          <w:szCs w:val="21"/>
          <w:highlight w:val="none"/>
        </w:rPr>
        <w:t>15.4.3</w:t>
      </w:r>
      <w:r>
        <w:rPr>
          <w:rFonts w:hint="eastAsia" w:asciiTheme="minorEastAsia" w:hAnsiTheme="minorEastAsia" w:eastAsiaTheme="minorEastAsia" w:cstheme="minorEastAsia"/>
          <w:snapToGrid w:val="0"/>
          <w:color w:val="auto"/>
          <w:kern w:val="0"/>
          <w:sz w:val="21"/>
          <w:szCs w:val="21"/>
          <w:highlight w:val="none"/>
        </w:rPr>
        <w:t xml:space="preserve"> 响应性评审环节</w:t>
      </w:r>
    </w:p>
    <w:p w14:paraId="3F6FC3C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响应性评审事项包括：</w:t>
      </w:r>
    </w:p>
    <w:p w14:paraId="25CB8FE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（1）投标有效期、监理及相关服务期限等是否响应招标文件实质性要求；是否擅自修改、遗漏《投标函》《各项承诺一览表》的实质性内容。</w:t>
      </w:r>
    </w:p>
    <w:p w14:paraId="2342C470">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（2）投标总价是否唯一；投标总价是否超出最高投标限价。</w:t>
      </w:r>
    </w:p>
    <w:p w14:paraId="4A78F03B">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（3）监理大纲中的监理及相关服务的范围、内容、目标是否符合招标文件规定。</w:t>
      </w:r>
    </w:p>
    <w:p w14:paraId="37C652A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15.4.4</w:t>
      </w:r>
      <w:r>
        <w:rPr>
          <w:rFonts w:hint="eastAsia" w:asciiTheme="minorEastAsia" w:hAnsiTheme="minorEastAsia" w:eastAsiaTheme="minorEastAsia" w:cstheme="minorEastAsia"/>
          <w:snapToGrid w:val="0"/>
          <w:color w:val="auto"/>
          <w:kern w:val="0"/>
          <w:sz w:val="21"/>
          <w:szCs w:val="21"/>
          <w:highlight w:val="none"/>
        </w:rPr>
        <w:t xml:space="preserve"> 否决投标说明</w:t>
      </w:r>
    </w:p>
    <w:p w14:paraId="345506CA">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初步评审阶段各个环节否决投标的全部条件，在本章第四节“否决投标条件”第</w:t>
      </w: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rPr>
        <w:t>条至第</w:t>
      </w:r>
      <w:r>
        <w:rPr>
          <w:rFonts w:hint="eastAsia" w:asciiTheme="minorEastAsia" w:hAnsiTheme="minorEastAsia" w:eastAsiaTheme="minorEastAsia" w:cstheme="minorEastAsia"/>
          <w:b/>
          <w:bCs/>
          <w:snapToGrid w:val="0"/>
          <w:color w:val="auto"/>
          <w:kern w:val="0"/>
          <w:sz w:val="21"/>
          <w:szCs w:val="21"/>
          <w:highlight w:val="none"/>
        </w:rPr>
        <w:t>4</w:t>
      </w:r>
      <w:r>
        <w:rPr>
          <w:rFonts w:hint="eastAsia" w:asciiTheme="minorEastAsia" w:hAnsiTheme="minorEastAsia" w:eastAsiaTheme="minorEastAsia" w:cstheme="minorEastAsia"/>
          <w:snapToGrid w:val="0"/>
          <w:color w:val="auto"/>
          <w:kern w:val="0"/>
          <w:sz w:val="21"/>
          <w:szCs w:val="21"/>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D8254A8">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    </w:t>
      </w:r>
      <w:bookmarkStart w:id="247" w:name="_Hlt121629839"/>
      <w:r>
        <w:rPr>
          <w:rFonts w:hint="eastAsia" w:asciiTheme="minorEastAsia" w:hAnsiTheme="minorEastAsia" w:eastAsiaTheme="minorEastAsia" w:cstheme="minorEastAsia"/>
          <w:b/>
          <w:bCs/>
          <w:snapToGrid w:val="0"/>
          <w:color w:val="auto"/>
          <w:kern w:val="0"/>
          <w:sz w:val="21"/>
          <w:szCs w:val="21"/>
          <w:highlight w:val="none"/>
        </w:rPr>
        <w:t>15.5</w:t>
      </w:r>
      <w:r>
        <w:rPr>
          <w:rFonts w:hint="eastAsia" w:asciiTheme="minorEastAsia" w:hAnsiTheme="minorEastAsia" w:eastAsiaTheme="minorEastAsia" w:cstheme="minorEastAsia"/>
          <w:snapToGrid w:val="0"/>
          <w:color w:val="auto"/>
          <w:kern w:val="0"/>
          <w:sz w:val="21"/>
          <w:szCs w:val="21"/>
          <w:highlight w:val="none"/>
        </w:rPr>
        <w:t xml:space="preserve"> 详细评审阶段</w:t>
      </w:r>
    </w:p>
    <w:p w14:paraId="78097330">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    15.5.1</w:t>
      </w:r>
      <w:r>
        <w:rPr>
          <w:rFonts w:hint="eastAsia" w:asciiTheme="minorEastAsia" w:hAnsiTheme="minorEastAsia" w:eastAsiaTheme="minorEastAsia" w:cstheme="minorEastAsia"/>
          <w:bCs/>
          <w:snapToGrid w:val="0"/>
          <w:color w:val="auto"/>
          <w:kern w:val="0"/>
          <w:sz w:val="21"/>
          <w:szCs w:val="21"/>
          <w:highlight w:val="none"/>
        </w:rPr>
        <w:t xml:space="preserve"> “综合评估法”评审程序</w:t>
      </w:r>
    </w:p>
    <w:p w14:paraId="3CC3B9D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评审内容分为商务、技术和投标报价三大部分，综合得分满分为100分。其中，商务满分为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50</w:t>
      </w:r>
      <w:r>
        <w:rPr>
          <w:rFonts w:hint="eastAsia" w:asciiTheme="minorEastAsia" w:hAnsiTheme="minorEastAsia" w:eastAsiaTheme="minorEastAsia" w:cstheme="minorEastAsia"/>
          <w:snapToGrid w:val="0"/>
          <w:color w:val="auto"/>
          <w:kern w:val="0"/>
          <w:sz w:val="21"/>
          <w:szCs w:val="21"/>
          <w:highlight w:val="none"/>
        </w:rPr>
        <w:t>分，技术满分为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20</w:t>
      </w:r>
      <w:r>
        <w:rPr>
          <w:rFonts w:hint="eastAsia" w:asciiTheme="minorEastAsia" w:hAnsiTheme="minorEastAsia" w:eastAsiaTheme="minorEastAsia" w:cstheme="minorEastAsia"/>
          <w:snapToGrid w:val="0"/>
          <w:color w:val="auto"/>
          <w:kern w:val="0"/>
          <w:sz w:val="21"/>
          <w:szCs w:val="21"/>
          <w:highlight w:val="none"/>
        </w:rPr>
        <w:t>分，投标报价部分满分为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30</w:t>
      </w:r>
      <w:r>
        <w:rPr>
          <w:rFonts w:hint="eastAsia" w:asciiTheme="minorEastAsia" w:hAnsiTheme="minorEastAsia" w:eastAsiaTheme="minorEastAsia" w:cstheme="minorEastAsia"/>
          <w:snapToGrid w:val="0"/>
          <w:color w:val="auto"/>
          <w:kern w:val="0"/>
          <w:sz w:val="21"/>
          <w:szCs w:val="21"/>
          <w:highlight w:val="none"/>
        </w:rPr>
        <w:t>分。</w:t>
      </w:r>
    </w:p>
    <w:p w14:paraId="29F09F9B">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除特别注明外，综合得分以及商务、技术、投标报价得分的中间过程计算值和最终值，均按“四舍五入”原则精确到两位小数。</w:t>
      </w:r>
    </w:p>
    <w:p w14:paraId="017E036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（1）商务得分M</w:t>
      </w:r>
      <w:r>
        <w:rPr>
          <w:rFonts w:hint="eastAsia" w:asciiTheme="minorEastAsia" w:hAnsiTheme="minorEastAsia" w:eastAsiaTheme="minorEastAsia" w:cstheme="minorEastAsia"/>
          <w:snapToGrid w:val="0"/>
          <w:color w:val="auto"/>
          <w:kern w:val="0"/>
          <w:sz w:val="21"/>
          <w:szCs w:val="21"/>
          <w:highlight w:val="none"/>
          <w:vertAlign w:val="subscript"/>
        </w:rPr>
        <w:t>1</w:t>
      </w:r>
    </w:p>
    <w:p w14:paraId="37555E3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评标委员会按照《综合评分表》商务部分指定的评分标准对各评分因素进行打分。各评分因素得分之和即为某投标人的商务得分M</w:t>
      </w:r>
      <w:r>
        <w:rPr>
          <w:rFonts w:hint="eastAsia" w:asciiTheme="minorEastAsia" w:hAnsiTheme="minorEastAsia" w:eastAsiaTheme="minorEastAsia" w:cstheme="minorEastAsia"/>
          <w:snapToGrid w:val="0"/>
          <w:color w:val="auto"/>
          <w:kern w:val="0"/>
          <w:sz w:val="21"/>
          <w:szCs w:val="21"/>
          <w:highlight w:val="none"/>
          <w:vertAlign w:val="subscript"/>
        </w:rPr>
        <w:t>1</w:t>
      </w:r>
      <w:r>
        <w:rPr>
          <w:rFonts w:hint="eastAsia" w:asciiTheme="minorEastAsia" w:hAnsiTheme="minorEastAsia" w:eastAsiaTheme="minorEastAsia" w:cstheme="minorEastAsia"/>
          <w:snapToGrid w:val="0"/>
          <w:color w:val="auto"/>
          <w:kern w:val="0"/>
          <w:sz w:val="21"/>
          <w:szCs w:val="21"/>
          <w:highlight w:val="none"/>
        </w:rPr>
        <w:t>。</w:t>
      </w:r>
    </w:p>
    <w:p w14:paraId="47826AD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（2）技术得分M</w:t>
      </w:r>
      <w:r>
        <w:rPr>
          <w:rFonts w:hint="eastAsia" w:asciiTheme="minorEastAsia" w:hAnsiTheme="minorEastAsia" w:eastAsiaTheme="minorEastAsia" w:cstheme="minorEastAsia"/>
          <w:snapToGrid w:val="0"/>
          <w:color w:val="auto"/>
          <w:kern w:val="0"/>
          <w:sz w:val="21"/>
          <w:szCs w:val="21"/>
          <w:highlight w:val="none"/>
          <w:vertAlign w:val="subscript"/>
        </w:rPr>
        <w:t>2</w:t>
      </w:r>
    </w:p>
    <w:p w14:paraId="27D344B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评标委员会各成员独立按照《综合评分表》技术部分（监理大纲）指定的评分标准对各评分因素进行打分。将所有评分去掉一个最高分和一个最低分后，取算术平均值，即为某投标人的技术得分M</w:t>
      </w:r>
      <w:r>
        <w:rPr>
          <w:rFonts w:hint="eastAsia" w:asciiTheme="minorEastAsia" w:hAnsiTheme="minorEastAsia" w:eastAsiaTheme="minorEastAsia" w:cstheme="minorEastAsia"/>
          <w:snapToGrid w:val="0"/>
          <w:color w:val="auto"/>
          <w:kern w:val="0"/>
          <w:sz w:val="21"/>
          <w:szCs w:val="21"/>
          <w:highlight w:val="none"/>
          <w:vertAlign w:val="subscript"/>
        </w:rPr>
        <w:t>2</w:t>
      </w:r>
      <w:r>
        <w:rPr>
          <w:rFonts w:hint="eastAsia" w:asciiTheme="minorEastAsia" w:hAnsiTheme="minorEastAsia" w:eastAsiaTheme="minorEastAsia" w:cstheme="minorEastAsia"/>
          <w:snapToGrid w:val="0"/>
          <w:color w:val="auto"/>
          <w:kern w:val="0"/>
          <w:sz w:val="21"/>
          <w:szCs w:val="21"/>
          <w:highlight w:val="none"/>
        </w:rPr>
        <w:t>。</w:t>
      </w:r>
    </w:p>
    <w:p w14:paraId="60F5942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（3）投标报价得分M</w:t>
      </w:r>
      <w:r>
        <w:rPr>
          <w:rFonts w:hint="eastAsia" w:asciiTheme="minorEastAsia" w:hAnsiTheme="minorEastAsia" w:eastAsiaTheme="minorEastAsia" w:cstheme="minorEastAsia"/>
          <w:snapToGrid w:val="0"/>
          <w:color w:val="auto"/>
          <w:kern w:val="0"/>
          <w:sz w:val="21"/>
          <w:szCs w:val="21"/>
          <w:highlight w:val="none"/>
          <w:vertAlign w:val="subscript"/>
        </w:rPr>
        <w:t>3</w:t>
      </w:r>
    </w:p>
    <w:p w14:paraId="7EE4423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a</w:t>
      </w:r>
      <w:r>
        <w:rPr>
          <w:rFonts w:hint="eastAsia" w:asciiTheme="minorEastAsia" w:hAnsiTheme="minorEastAsia" w:eastAsiaTheme="minorEastAsia" w:cstheme="minorEastAsia"/>
          <w:snapToGrid w:val="0"/>
          <w:color w:val="auto"/>
          <w:kern w:val="0"/>
          <w:sz w:val="21"/>
          <w:szCs w:val="21"/>
          <w:highlight w:val="none"/>
        </w:rPr>
        <w:t>．评标委员会按照《综合评分表》投标报价部分指定的方法计算评标基准价D。</w:t>
      </w:r>
    </w:p>
    <w:p w14:paraId="21BE56D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b</w:t>
      </w: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．采用内插法计算某投标人的投标报价得分M</w:t>
      </w:r>
      <w:r>
        <w:rPr>
          <w:rFonts w:hint="eastAsia" w:asciiTheme="minorEastAsia" w:hAnsiTheme="minorEastAsia" w:eastAsiaTheme="minorEastAsia" w:cstheme="minorEastAsia"/>
          <w:snapToGrid w:val="0"/>
          <w:color w:val="auto"/>
          <w:kern w:val="0"/>
          <w:sz w:val="21"/>
          <w:szCs w:val="21"/>
          <w:highlight w:val="none"/>
          <w:vertAlign w:val="subscript"/>
        </w:rPr>
        <w:t>3</w:t>
      </w:r>
      <w:r>
        <w:rPr>
          <w:rFonts w:hint="eastAsia" w:asciiTheme="minorEastAsia" w:hAnsiTheme="minorEastAsia" w:eastAsiaTheme="minorEastAsia" w:cstheme="minorEastAsia"/>
          <w:snapToGrid w:val="0"/>
          <w:color w:val="auto"/>
          <w:kern w:val="0"/>
          <w:sz w:val="21"/>
          <w:szCs w:val="21"/>
          <w:highlight w:val="none"/>
        </w:rPr>
        <w:t>，即当投标人的投标总价等于评标基准价时得满分，每高于评标基准价一个百分点扣</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分, 每低于评标基准价一个百分点扣0.</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分，扣完为止。公式如下：</w:t>
      </w:r>
    </w:p>
    <w:p w14:paraId="33CD20FA">
      <w:pPr>
        <w:shd w:val="clear" w:color="auto" w:fill="auto"/>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M</w:t>
      </w:r>
      <w:r>
        <w:rPr>
          <w:rFonts w:hint="eastAsia" w:asciiTheme="minorEastAsia" w:hAnsiTheme="minorEastAsia" w:eastAsiaTheme="minorEastAsia" w:cstheme="minorEastAsia"/>
          <w:snapToGrid w:val="0"/>
          <w:color w:val="auto"/>
          <w:kern w:val="0"/>
          <w:sz w:val="21"/>
          <w:szCs w:val="21"/>
          <w:highlight w:val="none"/>
          <w:vertAlign w:val="subscript"/>
        </w:rPr>
        <w:t>3</w:t>
      </w:r>
      <w:r>
        <w:rPr>
          <w:rFonts w:hint="eastAsia" w:asciiTheme="minorEastAsia" w:hAnsiTheme="minorEastAsia" w:eastAsiaTheme="minorEastAsia" w:cstheme="minorEastAsia"/>
          <w:snapToGrid w:val="0"/>
          <w:color w:val="auto"/>
          <w:kern w:val="0"/>
          <w:sz w:val="21"/>
          <w:szCs w:val="21"/>
          <w:highlight w:val="none"/>
        </w:rPr>
        <w:t>＝投标报价满分－（| Di－D | ÷D）×100×E</w:t>
      </w:r>
    </w:p>
    <w:p w14:paraId="58ECB08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w:t>
      </w:r>
    </w:p>
    <w:p w14:paraId="42367DC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E为扣分因子。当Di＞D时，E＝</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；当Di＜D时，E＝0.</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240B6AF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（4）综合得分M</w:t>
      </w:r>
    </w:p>
    <w:p w14:paraId="15D1E02C">
      <w:pPr>
        <w:shd w:val="clear" w:color="auto" w:fill="auto"/>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M＝M</w:t>
      </w:r>
      <w:r>
        <w:rPr>
          <w:rFonts w:hint="eastAsia" w:asciiTheme="minorEastAsia" w:hAnsiTheme="minorEastAsia" w:eastAsiaTheme="minorEastAsia" w:cstheme="minorEastAsia"/>
          <w:snapToGrid w:val="0"/>
          <w:color w:val="auto"/>
          <w:kern w:val="0"/>
          <w:sz w:val="21"/>
          <w:szCs w:val="21"/>
          <w:highlight w:val="none"/>
          <w:vertAlign w:val="subscript"/>
        </w:rPr>
        <w:t>1</w:t>
      </w:r>
      <w:r>
        <w:rPr>
          <w:rFonts w:hint="eastAsia" w:asciiTheme="minorEastAsia" w:hAnsiTheme="minorEastAsia" w:eastAsiaTheme="minorEastAsia" w:cstheme="minorEastAsia"/>
          <w:snapToGrid w:val="0"/>
          <w:color w:val="auto"/>
          <w:kern w:val="0"/>
          <w:sz w:val="21"/>
          <w:szCs w:val="21"/>
          <w:highlight w:val="none"/>
        </w:rPr>
        <w:t>＋M</w:t>
      </w:r>
      <w:r>
        <w:rPr>
          <w:rFonts w:hint="eastAsia" w:asciiTheme="minorEastAsia" w:hAnsiTheme="minorEastAsia" w:eastAsiaTheme="minorEastAsia" w:cstheme="minorEastAsia"/>
          <w:snapToGrid w:val="0"/>
          <w:color w:val="auto"/>
          <w:kern w:val="0"/>
          <w:sz w:val="21"/>
          <w:szCs w:val="21"/>
          <w:highlight w:val="none"/>
          <w:vertAlign w:val="subscript"/>
        </w:rPr>
        <w:t>2</w:t>
      </w:r>
      <w:r>
        <w:rPr>
          <w:rFonts w:hint="eastAsia" w:asciiTheme="minorEastAsia" w:hAnsiTheme="minorEastAsia" w:eastAsiaTheme="minorEastAsia" w:cstheme="minorEastAsia"/>
          <w:snapToGrid w:val="0"/>
          <w:color w:val="auto"/>
          <w:kern w:val="0"/>
          <w:sz w:val="21"/>
          <w:szCs w:val="21"/>
          <w:highlight w:val="none"/>
        </w:rPr>
        <w:t>＋M</w:t>
      </w:r>
      <w:r>
        <w:rPr>
          <w:rFonts w:hint="eastAsia" w:asciiTheme="minorEastAsia" w:hAnsiTheme="minorEastAsia" w:eastAsiaTheme="minorEastAsia" w:cstheme="minorEastAsia"/>
          <w:snapToGrid w:val="0"/>
          <w:color w:val="auto"/>
          <w:kern w:val="0"/>
          <w:sz w:val="21"/>
          <w:szCs w:val="21"/>
          <w:highlight w:val="none"/>
          <w:vertAlign w:val="subscript"/>
        </w:rPr>
        <w:t>3</w:t>
      </w:r>
    </w:p>
    <w:p w14:paraId="060A6763">
      <w:pPr>
        <w:shd w:val="clear" w:color="auto" w:fill="auto"/>
        <w:wordWrap w:val="0"/>
        <w:adjustRightInd w:val="0"/>
        <w:snapToGrid w:val="0"/>
        <w:spacing w:line="440" w:lineRule="exact"/>
        <w:ind w:firstLine="420" w:firstLineChars="200"/>
        <w:rPr>
          <w:rFonts w:hint="eastAsia" w:hAnsi="宋体" w:cs="宋体"/>
          <w:snapToGrid w:val="0"/>
          <w:color w:val="auto"/>
          <w:kern w:val="0"/>
          <w:highlight w:val="none"/>
        </w:rPr>
      </w:pPr>
      <w:r>
        <w:rPr>
          <w:rFonts w:hint="eastAsia" w:asciiTheme="minorEastAsia" w:hAnsiTheme="minorEastAsia" w:eastAsiaTheme="minorEastAsia" w:cstheme="minorEastAsia"/>
          <w:snapToGrid w:val="0"/>
          <w:color w:val="auto"/>
          <w:kern w:val="0"/>
          <w:sz w:val="21"/>
          <w:szCs w:val="21"/>
          <w:highlight w:val="none"/>
        </w:rPr>
        <w:t>式中：M为综合得分，M</w:t>
      </w:r>
      <w:r>
        <w:rPr>
          <w:rFonts w:hint="eastAsia" w:asciiTheme="minorEastAsia" w:hAnsiTheme="minorEastAsia" w:eastAsiaTheme="minorEastAsia" w:cstheme="minorEastAsia"/>
          <w:snapToGrid w:val="0"/>
          <w:color w:val="auto"/>
          <w:kern w:val="0"/>
          <w:sz w:val="21"/>
          <w:szCs w:val="21"/>
          <w:highlight w:val="none"/>
          <w:vertAlign w:val="subscript"/>
        </w:rPr>
        <w:t>1</w:t>
      </w:r>
      <w:r>
        <w:rPr>
          <w:rFonts w:hint="eastAsia" w:asciiTheme="minorEastAsia" w:hAnsiTheme="minorEastAsia" w:eastAsiaTheme="minorEastAsia" w:cstheme="minorEastAsia"/>
          <w:snapToGrid w:val="0"/>
          <w:color w:val="auto"/>
          <w:kern w:val="0"/>
          <w:sz w:val="21"/>
          <w:szCs w:val="21"/>
          <w:highlight w:val="none"/>
        </w:rPr>
        <w:t>为商务得分，M</w:t>
      </w:r>
      <w:r>
        <w:rPr>
          <w:rFonts w:hint="eastAsia" w:asciiTheme="minorEastAsia" w:hAnsiTheme="minorEastAsia" w:eastAsiaTheme="minorEastAsia" w:cstheme="minorEastAsia"/>
          <w:snapToGrid w:val="0"/>
          <w:color w:val="auto"/>
          <w:kern w:val="0"/>
          <w:sz w:val="21"/>
          <w:szCs w:val="21"/>
          <w:highlight w:val="none"/>
          <w:vertAlign w:val="subscript"/>
        </w:rPr>
        <w:t>2</w:t>
      </w:r>
      <w:r>
        <w:rPr>
          <w:rFonts w:hint="eastAsia" w:asciiTheme="minorEastAsia" w:hAnsiTheme="minorEastAsia" w:eastAsiaTheme="minorEastAsia" w:cstheme="minorEastAsia"/>
          <w:snapToGrid w:val="0"/>
          <w:color w:val="auto"/>
          <w:kern w:val="0"/>
          <w:sz w:val="21"/>
          <w:szCs w:val="21"/>
          <w:highlight w:val="none"/>
        </w:rPr>
        <w:t>为技术得分，M</w:t>
      </w:r>
      <w:r>
        <w:rPr>
          <w:rFonts w:hint="eastAsia" w:asciiTheme="minorEastAsia" w:hAnsiTheme="minorEastAsia" w:eastAsiaTheme="minorEastAsia" w:cstheme="minorEastAsia"/>
          <w:snapToGrid w:val="0"/>
          <w:color w:val="auto"/>
          <w:kern w:val="0"/>
          <w:sz w:val="21"/>
          <w:szCs w:val="21"/>
          <w:highlight w:val="none"/>
          <w:vertAlign w:val="subscript"/>
        </w:rPr>
        <w:t>3</w:t>
      </w:r>
      <w:r>
        <w:rPr>
          <w:rFonts w:hint="eastAsia" w:asciiTheme="minorEastAsia" w:hAnsiTheme="minorEastAsia" w:eastAsiaTheme="minorEastAsia" w:cstheme="minorEastAsia"/>
          <w:snapToGrid w:val="0"/>
          <w:color w:val="auto"/>
          <w:kern w:val="0"/>
          <w:sz w:val="21"/>
          <w:szCs w:val="21"/>
          <w:highlight w:val="none"/>
        </w:rPr>
        <w:t>为投标报价得分。</w:t>
      </w:r>
    </w:p>
    <w:p w14:paraId="5F0300A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255" w:bottom="1417" w:left="1531" w:header="850" w:footer="992" w:gutter="0"/>
          <w:cols w:space="720" w:num="1"/>
          <w:rtlGutter w:val="0"/>
          <w:docGrid w:linePitch="327" w:charSpace="0"/>
        </w:sectPr>
      </w:pPr>
    </w:p>
    <w:p w14:paraId="146ED2CE">
      <w:pPr>
        <w:shd w:val="clear" w:color="auto" w:fill="auto"/>
        <w:wordWrap w:val="0"/>
        <w:adjustRightInd w:val="0"/>
        <w:snapToGrid w:val="0"/>
        <w:spacing w:line="440" w:lineRule="exact"/>
        <w:jc w:val="center"/>
        <w:rPr>
          <w:rFonts w:ascii="Times New Roman" w:hAnsi="Times New Roman" w:eastAsia="宋体" w:cs="Times New Roman"/>
          <w:snapToGrid w:val="0"/>
          <w:color w:val="auto"/>
          <w:kern w:val="0"/>
          <w:highlight w:val="none"/>
        </w:rPr>
      </w:pPr>
      <w:r>
        <w:rPr>
          <w:rFonts w:hint="eastAsia" w:ascii="Times New Roman" w:hAnsi="Times New Roman" w:eastAsia="宋体" w:cs="Times New Roman"/>
          <w:b/>
          <w:bCs/>
          <w:snapToGrid w:val="0"/>
          <w:color w:val="auto"/>
          <w:kern w:val="0"/>
          <w:sz w:val="36"/>
          <w:szCs w:val="36"/>
          <w:highlight w:val="none"/>
        </w:rPr>
        <w:t>表1</w:t>
      </w:r>
      <w:r>
        <w:rPr>
          <w:rFonts w:hint="eastAsia" w:ascii="Times New Roman" w:hAnsi="Times New Roman" w:eastAsia="宋体" w:cs="Times New Roman"/>
          <w:b/>
          <w:bCs/>
          <w:snapToGrid w:val="0"/>
          <w:color w:val="auto"/>
          <w:kern w:val="0"/>
          <w:sz w:val="36"/>
          <w:szCs w:val="36"/>
          <w:highlight w:val="none"/>
          <w:lang w:val="en-US" w:eastAsia="zh-CN"/>
        </w:rPr>
        <w:t xml:space="preserve">  </w:t>
      </w:r>
      <w:r>
        <w:rPr>
          <w:rFonts w:hint="eastAsia" w:ascii="Times New Roman" w:hAnsi="Times New Roman" w:eastAsia="宋体" w:cs="Times New Roman"/>
          <w:b/>
          <w:bCs/>
          <w:snapToGrid w:val="0"/>
          <w:color w:val="auto"/>
          <w:kern w:val="0"/>
          <w:sz w:val="36"/>
          <w:szCs w:val="36"/>
          <w:highlight w:val="none"/>
        </w:rPr>
        <w:t>综合评分表</w:t>
      </w:r>
    </w:p>
    <w:tbl>
      <w:tblPr>
        <w:tblStyle w:val="63"/>
        <w:tblpPr w:leftFromText="180" w:rightFromText="180" w:vertAnchor="text" w:horzAnchor="page" w:tblpX="964" w:tblpY="492"/>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4635"/>
        <w:gridCol w:w="4101"/>
      </w:tblGrid>
      <w:tr w14:paraId="33D2D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030" w:type="dxa"/>
            <w:gridSpan w:val="3"/>
            <w:vAlign w:val="top"/>
          </w:tcPr>
          <w:p w14:paraId="09CEE933">
            <w:pPr>
              <w:pStyle w:val="60"/>
              <w:spacing w:before="141" w:line="219" w:lineRule="auto"/>
              <w:ind w:left="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商务部分，满分：50分。</w:t>
            </w:r>
          </w:p>
        </w:tc>
      </w:tr>
      <w:tr w14:paraId="00DD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94" w:type="dxa"/>
            <w:vAlign w:val="top"/>
          </w:tcPr>
          <w:p w14:paraId="26F11362">
            <w:pPr>
              <w:pStyle w:val="60"/>
              <w:spacing w:before="171" w:line="219" w:lineRule="auto"/>
              <w:ind w:left="1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评分因素</w:t>
            </w:r>
          </w:p>
        </w:tc>
        <w:tc>
          <w:tcPr>
            <w:tcW w:w="4635" w:type="dxa"/>
            <w:vAlign w:val="top"/>
          </w:tcPr>
          <w:p w14:paraId="5407F984">
            <w:pPr>
              <w:pStyle w:val="60"/>
              <w:spacing w:before="82" w:line="220" w:lineRule="auto"/>
              <w:ind w:left="18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评分标准</w:t>
            </w:r>
          </w:p>
        </w:tc>
        <w:tc>
          <w:tcPr>
            <w:tcW w:w="4101" w:type="dxa"/>
            <w:vAlign w:val="top"/>
          </w:tcPr>
          <w:p w14:paraId="11DBCF61">
            <w:pPr>
              <w:pStyle w:val="60"/>
              <w:spacing w:before="82" w:line="221" w:lineRule="auto"/>
              <w:ind w:left="17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备注</w:t>
            </w:r>
          </w:p>
        </w:tc>
      </w:tr>
      <w:tr w14:paraId="3C5F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294" w:type="dxa"/>
            <w:tcBorders>
              <w:bottom w:val="single" w:color="auto" w:sz="4" w:space="0"/>
            </w:tcBorders>
            <w:vAlign w:val="center"/>
          </w:tcPr>
          <w:p w14:paraId="2B4FEB21">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企业业绩</w:t>
            </w:r>
          </w:p>
          <w:p w14:paraId="6C295D14">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(15分)</w:t>
            </w:r>
          </w:p>
        </w:tc>
        <w:tc>
          <w:tcPr>
            <w:tcW w:w="4635" w:type="dxa"/>
            <w:tcBorders>
              <w:bottom w:val="single" w:color="auto" w:sz="4" w:space="0"/>
            </w:tcBorders>
            <w:vAlign w:val="center"/>
          </w:tcPr>
          <w:p w14:paraId="2EBF1729">
            <w:pPr>
              <w:pStyle w:val="60"/>
              <w:spacing w:before="81" w:line="219" w:lineRule="auto"/>
              <w:ind w:left="9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投标人近年来(2020年1月1日至今)</w:t>
            </w:r>
            <w:r>
              <w:rPr>
                <w:rFonts w:hint="eastAsia" w:asciiTheme="minorEastAsia" w:hAnsiTheme="minorEastAsia" w:eastAsiaTheme="minorEastAsia" w:cstheme="minorEastAsia"/>
                <w:color w:val="auto"/>
                <w:sz w:val="21"/>
                <w:szCs w:val="21"/>
                <w:highlight w:val="none"/>
                <w:u w:val="single"/>
              </w:rPr>
              <w:t>完成</w:t>
            </w:r>
            <w:r>
              <w:rPr>
                <w:rFonts w:hint="eastAsia" w:asciiTheme="minorEastAsia" w:hAnsiTheme="minorEastAsia" w:eastAsiaTheme="minorEastAsia" w:cstheme="minorEastAsia"/>
                <w:color w:val="auto"/>
                <w:sz w:val="21"/>
                <w:szCs w:val="21"/>
                <w:highlight w:val="none"/>
              </w:rPr>
              <w:t>过类似工程监理项目的，每个项目得5</w:t>
            </w:r>
            <w:r>
              <w:rPr>
                <w:rFonts w:hint="eastAsia" w:asciiTheme="minorEastAsia" w:hAnsiTheme="minorEastAsia" w:eastAsiaTheme="minorEastAsia" w:cstheme="minorEastAsia"/>
                <w:color w:val="auto"/>
                <w:spacing w:val="-2"/>
                <w:sz w:val="21"/>
                <w:szCs w:val="21"/>
                <w:highlight w:val="none"/>
              </w:rPr>
              <w:t>分。</w:t>
            </w:r>
          </w:p>
          <w:p w14:paraId="1A70462E">
            <w:pPr>
              <w:pStyle w:val="60"/>
              <w:spacing w:line="218" w:lineRule="auto"/>
              <w:ind w:left="8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说明：本项最高得15分。</w:t>
            </w:r>
          </w:p>
        </w:tc>
        <w:tc>
          <w:tcPr>
            <w:tcW w:w="4101" w:type="dxa"/>
            <w:tcBorders>
              <w:bottom w:val="single" w:color="auto" w:sz="4" w:space="0"/>
            </w:tcBorders>
            <w:vAlign w:val="center"/>
          </w:tcPr>
          <w:p w14:paraId="626C0508">
            <w:pPr>
              <w:pStyle w:val="60"/>
              <w:spacing w:before="81" w:line="219" w:lineRule="auto"/>
              <w:ind w:left="9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1.类似工程：是指市政公用工程监理服务，工程达到质量验收合格。</w:t>
            </w:r>
          </w:p>
          <w:p w14:paraId="4AA75A71">
            <w:pPr>
              <w:pStyle w:val="60"/>
              <w:spacing w:before="81" w:line="219" w:lineRule="auto"/>
              <w:ind w:left="9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2.需同时提供中标通知书或免招标的相关证明、施工监理合同关键页、竣工验收报告或竣工验收证明彩色扫描件；否则不得分。</w:t>
            </w:r>
          </w:p>
          <w:p w14:paraId="380783C2">
            <w:pPr>
              <w:pStyle w:val="60"/>
              <w:spacing w:before="81" w:line="219" w:lineRule="auto"/>
              <w:ind w:left="9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3.业绩时间以竣工验收报告或竣工验收证明出具时间为准。</w:t>
            </w:r>
          </w:p>
        </w:tc>
      </w:tr>
      <w:tr w14:paraId="0C224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294" w:type="dxa"/>
            <w:vMerge w:val="restart"/>
            <w:tcBorders>
              <w:top w:val="single" w:color="auto" w:sz="4" w:space="0"/>
              <w:left w:val="single" w:color="auto" w:sz="4" w:space="0"/>
              <w:bottom w:val="single" w:color="auto" w:sz="4" w:space="0"/>
              <w:right w:val="single" w:color="auto" w:sz="4" w:space="0"/>
            </w:tcBorders>
            <w:vAlign w:val="center"/>
          </w:tcPr>
          <w:p w14:paraId="108ABA47">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企业荣誉</w:t>
            </w:r>
          </w:p>
          <w:p w14:paraId="1F7F18EE">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(20分)</w:t>
            </w:r>
          </w:p>
        </w:tc>
        <w:tc>
          <w:tcPr>
            <w:tcW w:w="4635" w:type="dxa"/>
            <w:tcBorders>
              <w:top w:val="single" w:color="auto" w:sz="4" w:space="0"/>
              <w:left w:val="single" w:color="auto" w:sz="4" w:space="0"/>
              <w:bottom w:val="single" w:color="auto" w:sz="4" w:space="0"/>
              <w:right w:val="single" w:color="auto" w:sz="4" w:space="0"/>
            </w:tcBorders>
            <w:vAlign w:val="center"/>
          </w:tcPr>
          <w:p w14:paraId="5AF59DA5">
            <w:pPr>
              <w:pStyle w:val="60"/>
              <w:spacing w:line="218" w:lineRule="auto"/>
              <w:ind w:left="8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1.近年来（2020年1月1日至今）投标人监理项目未发生事故等级为一般事故及以上的生产安全事故、一般质量事故及以上的工程质量事故的，得4分； </w:t>
            </w:r>
          </w:p>
          <w:p w14:paraId="37A2B5AC">
            <w:pPr>
              <w:pStyle w:val="60"/>
              <w:spacing w:line="218" w:lineRule="auto"/>
              <w:ind w:left="8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2.其他情形的，不予计分。</w:t>
            </w:r>
          </w:p>
          <w:p w14:paraId="03782264">
            <w:pPr>
              <w:pStyle w:val="60"/>
              <w:spacing w:line="218" w:lineRule="auto"/>
              <w:ind w:left="8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说明：本项最高得4分。</w:t>
            </w:r>
          </w:p>
        </w:tc>
        <w:tc>
          <w:tcPr>
            <w:tcW w:w="4101" w:type="dxa"/>
            <w:tcBorders>
              <w:top w:val="single" w:color="auto" w:sz="4" w:space="0"/>
              <w:left w:val="single" w:color="auto" w:sz="4" w:space="0"/>
              <w:bottom w:val="single" w:color="auto" w:sz="4" w:space="0"/>
              <w:right w:val="single" w:color="auto" w:sz="4" w:space="0"/>
            </w:tcBorders>
            <w:vAlign w:val="center"/>
          </w:tcPr>
          <w:p w14:paraId="6851DD77">
            <w:pPr>
              <w:pStyle w:val="60"/>
              <w:spacing w:before="81" w:line="272" w:lineRule="auto"/>
              <w:ind w:left="95" w:right="212" w:firstLine="13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需提供本单位承诺书（格式自定）并加盖本单位公章。未提供本单位承诺书并加盖本单位公章的，按第2 项标准处理。</w:t>
            </w:r>
          </w:p>
        </w:tc>
      </w:tr>
      <w:tr w14:paraId="69887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3"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14:paraId="7E8730E7">
            <w:pPr>
              <w:jc w:val="center"/>
              <w:rPr>
                <w:rFonts w:hint="eastAsia" w:asciiTheme="minorEastAsia" w:hAnsiTheme="minorEastAsia" w:eastAsiaTheme="minorEastAsia" w:cstheme="minorEastAsia"/>
                <w:color w:val="auto"/>
                <w:sz w:val="21"/>
                <w:szCs w:val="21"/>
                <w:highlight w:val="none"/>
              </w:rPr>
            </w:pPr>
          </w:p>
        </w:tc>
        <w:tc>
          <w:tcPr>
            <w:tcW w:w="4635" w:type="dxa"/>
            <w:tcBorders>
              <w:top w:val="single" w:color="auto" w:sz="4" w:space="0"/>
              <w:left w:val="single" w:color="auto" w:sz="4" w:space="0"/>
              <w:bottom w:val="single" w:color="auto" w:sz="4" w:space="0"/>
              <w:right w:val="single" w:color="auto" w:sz="4" w:space="0"/>
            </w:tcBorders>
            <w:vAlign w:val="center"/>
          </w:tcPr>
          <w:p w14:paraId="0C19BB19">
            <w:pPr>
              <w:pStyle w:val="6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val="en-US" w:eastAsia="zh-CN"/>
              </w:rPr>
              <w:t>1</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2"/>
                <w:sz w:val="21"/>
                <w:szCs w:val="21"/>
                <w:highlight w:val="none"/>
              </w:rPr>
              <w:t>投标人近年来(2020年1月1日至今)</w:t>
            </w:r>
            <w:r>
              <w:rPr>
                <w:rFonts w:hint="eastAsia" w:asciiTheme="minorEastAsia" w:hAnsiTheme="minorEastAsia" w:eastAsiaTheme="minorEastAsia" w:cstheme="minorEastAsia"/>
                <w:color w:val="auto"/>
                <w:sz w:val="21"/>
                <w:szCs w:val="21"/>
                <w:highlight w:val="none"/>
              </w:rPr>
              <w:t>连续2年以上(含2年)获得省级或以上</w:t>
            </w:r>
            <w:r>
              <w:rPr>
                <w:rFonts w:hint="eastAsia" w:asciiTheme="minorEastAsia" w:hAnsiTheme="minorEastAsia" w:eastAsiaTheme="minorEastAsia" w:cstheme="minorEastAsia"/>
                <w:color w:val="auto"/>
                <w:spacing w:val="-5"/>
                <w:sz w:val="21"/>
                <w:szCs w:val="21"/>
                <w:highlight w:val="none"/>
              </w:rPr>
              <w:t>商业联合会颁发的诚信兴商证书的得8分</w:t>
            </w:r>
            <w:r>
              <w:rPr>
                <w:rFonts w:hint="eastAsia" w:asciiTheme="minorEastAsia" w:hAnsiTheme="minorEastAsia" w:eastAsiaTheme="minorEastAsia" w:cstheme="minorEastAsia"/>
                <w:color w:val="auto"/>
                <w:spacing w:val="-5"/>
                <w:sz w:val="21"/>
                <w:szCs w:val="21"/>
                <w:highlight w:val="none"/>
                <w:lang w:eastAsia="zh-CN"/>
              </w:rPr>
              <w:t>；</w:t>
            </w:r>
          </w:p>
          <w:p w14:paraId="5FBA14B6">
            <w:pPr>
              <w:pStyle w:val="6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val="en-US" w:eastAsia="zh-CN"/>
              </w:rPr>
              <w:t>2.</w:t>
            </w:r>
            <w:r>
              <w:rPr>
                <w:rFonts w:hint="eastAsia" w:asciiTheme="minorEastAsia" w:hAnsiTheme="minorEastAsia" w:eastAsiaTheme="minorEastAsia" w:cstheme="minorEastAsia"/>
                <w:color w:val="auto"/>
                <w:spacing w:val="2"/>
                <w:sz w:val="21"/>
                <w:szCs w:val="21"/>
                <w:highlight w:val="none"/>
              </w:rPr>
              <w:t>投标人近年来(2020年1月1日至今)</w:t>
            </w:r>
            <w:r>
              <w:rPr>
                <w:rFonts w:hint="eastAsia" w:asciiTheme="minorEastAsia" w:hAnsiTheme="minorEastAsia" w:eastAsiaTheme="minorEastAsia" w:cstheme="minorEastAsia"/>
                <w:color w:val="auto"/>
                <w:sz w:val="21"/>
                <w:szCs w:val="21"/>
                <w:highlight w:val="none"/>
              </w:rPr>
              <w:t>获得</w:t>
            </w:r>
            <w:r>
              <w:rPr>
                <w:rFonts w:hint="eastAsia" w:asciiTheme="minorEastAsia" w:hAnsiTheme="minorEastAsia" w:eastAsiaTheme="minorEastAsia" w:cstheme="minorEastAsia"/>
                <w:color w:val="auto"/>
                <w:sz w:val="21"/>
                <w:szCs w:val="21"/>
                <w:highlight w:val="none"/>
                <w:lang w:val="en-US" w:eastAsia="zh-CN"/>
              </w:rPr>
              <w:t>过</w:t>
            </w:r>
            <w:r>
              <w:rPr>
                <w:rFonts w:hint="eastAsia" w:asciiTheme="minorEastAsia" w:hAnsiTheme="minorEastAsia" w:eastAsiaTheme="minorEastAsia" w:cstheme="minorEastAsia"/>
                <w:color w:val="auto"/>
                <w:sz w:val="21"/>
                <w:szCs w:val="21"/>
                <w:highlight w:val="none"/>
              </w:rPr>
              <w:t>省级或以上</w:t>
            </w:r>
            <w:r>
              <w:rPr>
                <w:rFonts w:hint="eastAsia" w:asciiTheme="minorEastAsia" w:hAnsiTheme="minorEastAsia" w:eastAsiaTheme="minorEastAsia" w:cstheme="minorEastAsia"/>
                <w:color w:val="auto"/>
                <w:spacing w:val="-5"/>
                <w:sz w:val="21"/>
                <w:szCs w:val="21"/>
                <w:highlight w:val="none"/>
              </w:rPr>
              <w:t>商业联合会颁发的诚信兴商证书的得</w:t>
            </w:r>
            <w:r>
              <w:rPr>
                <w:rFonts w:hint="eastAsia" w:asciiTheme="minorEastAsia" w:hAnsiTheme="minorEastAsia" w:eastAsiaTheme="minorEastAsia" w:cstheme="minorEastAsia"/>
                <w:color w:val="auto"/>
                <w:spacing w:val="-5"/>
                <w:sz w:val="21"/>
                <w:szCs w:val="21"/>
                <w:highlight w:val="none"/>
                <w:lang w:val="en-US" w:eastAsia="zh-CN"/>
              </w:rPr>
              <w:t>4</w:t>
            </w:r>
            <w:r>
              <w:rPr>
                <w:rFonts w:hint="eastAsia" w:asciiTheme="minorEastAsia" w:hAnsiTheme="minorEastAsia" w:eastAsiaTheme="minorEastAsia" w:cstheme="minorEastAsia"/>
                <w:color w:val="auto"/>
                <w:spacing w:val="-5"/>
                <w:sz w:val="21"/>
                <w:szCs w:val="21"/>
                <w:highlight w:val="none"/>
              </w:rPr>
              <w:t>分</w:t>
            </w:r>
            <w:r>
              <w:rPr>
                <w:rFonts w:hint="eastAsia" w:asciiTheme="minorEastAsia" w:hAnsiTheme="minorEastAsia" w:eastAsiaTheme="minorEastAsia" w:cstheme="minorEastAsia"/>
                <w:color w:val="auto"/>
                <w:spacing w:val="-5"/>
                <w:sz w:val="21"/>
                <w:szCs w:val="21"/>
                <w:highlight w:val="none"/>
                <w:lang w:eastAsia="zh-CN"/>
              </w:rPr>
              <w:t>。</w:t>
            </w:r>
          </w:p>
          <w:p w14:paraId="63BC9FD4">
            <w:pPr>
              <w:pStyle w:val="60"/>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val="en-US" w:eastAsia="zh-CN"/>
              </w:rPr>
              <w:t>3.</w:t>
            </w:r>
            <w:r>
              <w:rPr>
                <w:rFonts w:hint="eastAsia" w:asciiTheme="minorEastAsia" w:hAnsiTheme="minorEastAsia" w:eastAsiaTheme="minorEastAsia" w:cstheme="minorEastAsia"/>
                <w:color w:val="auto"/>
                <w:spacing w:val="-1"/>
                <w:sz w:val="21"/>
                <w:szCs w:val="21"/>
                <w:highlight w:val="none"/>
              </w:rPr>
              <w:t>其他情形的，不予计分。</w:t>
            </w:r>
          </w:p>
          <w:p w14:paraId="71E8D147">
            <w:pPr>
              <w:pStyle w:val="60"/>
              <w:keepNext w:val="0"/>
              <w:keepLines w:val="0"/>
              <w:pageBreakBefore w:val="0"/>
              <w:widowControl w:val="0"/>
              <w:kinsoku/>
              <w:wordWrap/>
              <w:overflowPunct/>
              <w:topLinePunct w:val="0"/>
              <w:autoSpaceDE/>
              <w:autoSpaceDN/>
              <w:bidi w:val="0"/>
              <w:adjustRightInd/>
              <w:snapToGrid/>
              <w:spacing w:before="166" w:line="300" w:lineRule="exact"/>
              <w:ind w:left="84"/>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说明：本项最高得8分。</w:t>
            </w:r>
          </w:p>
        </w:tc>
        <w:tc>
          <w:tcPr>
            <w:tcW w:w="4101" w:type="dxa"/>
            <w:tcBorders>
              <w:top w:val="single" w:color="auto" w:sz="4" w:space="0"/>
              <w:left w:val="single" w:color="auto" w:sz="4" w:space="0"/>
              <w:bottom w:val="single" w:color="auto" w:sz="4" w:space="0"/>
              <w:right w:val="single" w:color="auto" w:sz="4" w:space="0"/>
            </w:tcBorders>
            <w:vAlign w:val="center"/>
          </w:tcPr>
          <w:p w14:paraId="171331C5">
            <w:pPr>
              <w:pStyle w:val="60"/>
              <w:spacing w:before="27" w:line="316" w:lineRule="auto"/>
              <w:ind w:left="106" w:right="103" w:firstLine="5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1.证书由省级或以上商业联合会颁发，须提供有关证书彩色扫描件(或</w:t>
            </w:r>
            <w:r>
              <w:rPr>
                <w:rFonts w:hint="eastAsia" w:asciiTheme="minorEastAsia" w:hAnsiTheme="minorEastAsia" w:eastAsiaTheme="minorEastAsia" w:cstheme="minorEastAsia"/>
                <w:color w:val="auto"/>
                <w:spacing w:val="-1"/>
                <w:sz w:val="21"/>
                <w:szCs w:val="21"/>
                <w:highlight w:val="none"/>
              </w:rPr>
              <w:t>打印件)及省级或以上商业联合会通</w:t>
            </w:r>
            <w:r>
              <w:rPr>
                <w:rFonts w:hint="eastAsia" w:asciiTheme="minorEastAsia" w:hAnsiTheme="minorEastAsia" w:eastAsiaTheme="minorEastAsia" w:cstheme="minorEastAsia"/>
                <w:color w:val="auto"/>
                <w:spacing w:val="1"/>
                <w:sz w:val="21"/>
                <w:szCs w:val="21"/>
                <w:highlight w:val="none"/>
              </w:rPr>
              <w:t>告扫描件(或打印件)。</w:t>
            </w:r>
          </w:p>
          <w:p w14:paraId="14C3C565">
            <w:pPr>
              <w:pStyle w:val="60"/>
              <w:spacing w:before="156" w:line="282" w:lineRule="auto"/>
              <w:ind w:left="85" w:right="35" w:hanging="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2.颁发机构不符合要求的，未提供通告扫描件的，按第2项标准处理。</w:t>
            </w:r>
          </w:p>
        </w:tc>
      </w:tr>
      <w:tr w14:paraId="100B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294" w:type="dxa"/>
            <w:vMerge w:val="continue"/>
            <w:tcBorders>
              <w:top w:val="single" w:color="auto" w:sz="4" w:space="0"/>
              <w:left w:val="single" w:color="auto" w:sz="4" w:space="0"/>
              <w:bottom w:val="single" w:color="auto" w:sz="4" w:space="0"/>
              <w:right w:val="single" w:color="auto" w:sz="4" w:space="0"/>
            </w:tcBorders>
            <w:vAlign w:val="center"/>
          </w:tcPr>
          <w:p w14:paraId="0E8D61C4">
            <w:pPr>
              <w:jc w:val="center"/>
              <w:rPr>
                <w:rFonts w:hint="eastAsia" w:asciiTheme="minorEastAsia" w:hAnsiTheme="minorEastAsia" w:eastAsiaTheme="minorEastAsia" w:cstheme="minorEastAsia"/>
                <w:color w:val="auto"/>
                <w:sz w:val="21"/>
                <w:szCs w:val="21"/>
                <w:highlight w:val="none"/>
              </w:rPr>
            </w:pPr>
          </w:p>
        </w:tc>
        <w:tc>
          <w:tcPr>
            <w:tcW w:w="4635" w:type="dxa"/>
            <w:tcBorders>
              <w:top w:val="single" w:color="auto" w:sz="4" w:space="0"/>
              <w:left w:val="single" w:color="auto" w:sz="4" w:space="0"/>
              <w:bottom w:val="single" w:color="auto" w:sz="4" w:space="0"/>
              <w:right w:val="single" w:color="auto" w:sz="4" w:space="0"/>
            </w:tcBorders>
            <w:vAlign w:val="center"/>
          </w:tcPr>
          <w:p w14:paraId="1078494E">
            <w:pPr>
              <w:pStyle w:val="60"/>
              <w:spacing w:before="81" w:line="219" w:lineRule="auto"/>
              <w:ind w:left="80"/>
              <w:jc w:val="left"/>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投标人近年来(2020年1月1日至今)获得国级“AAA级信用企业”称号的，得8</w:t>
            </w:r>
            <w:r>
              <w:rPr>
                <w:rFonts w:hint="eastAsia" w:asciiTheme="minorEastAsia" w:hAnsiTheme="minorEastAsia" w:eastAsiaTheme="minorEastAsia" w:cstheme="minorEastAsia"/>
                <w:color w:val="auto"/>
                <w:spacing w:val="-2"/>
                <w:sz w:val="21"/>
                <w:szCs w:val="21"/>
                <w:highlight w:val="none"/>
              </w:rPr>
              <w:t>分</w:t>
            </w:r>
          </w:p>
          <w:p w14:paraId="56311BE7">
            <w:pPr>
              <w:pStyle w:val="60"/>
              <w:spacing w:before="183" w:line="328" w:lineRule="auto"/>
              <w:ind w:left="80" w:right="27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投标人近年来(2020年1月1日至今)</w:t>
            </w:r>
            <w:r>
              <w:rPr>
                <w:rFonts w:hint="eastAsia" w:asciiTheme="minorEastAsia" w:hAnsiTheme="minorEastAsia" w:eastAsiaTheme="minorEastAsia" w:cstheme="minorEastAsia"/>
                <w:color w:val="auto"/>
                <w:spacing w:val="-2"/>
                <w:sz w:val="21"/>
                <w:szCs w:val="21"/>
                <w:highlight w:val="none"/>
                <w:lang w:val="en-US" w:eastAsia="zh-CN"/>
              </w:rPr>
              <w:t>获得省级</w:t>
            </w:r>
            <w:r>
              <w:rPr>
                <w:rFonts w:hint="eastAsia" w:asciiTheme="minorEastAsia" w:hAnsiTheme="minorEastAsia" w:eastAsiaTheme="minorEastAsia" w:cstheme="minorEastAsia"/>
                <w:color w:val="auto"/>
                <w:sz w:val="21"/>
                <w:szCs w:val="21"/>
                <w:highlight w:val="none"/>
              </w:rPr>
              <w:t>“AAA级信用企业”称号的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得4分</w:t>
            </w:r>
            <w:r>
              <w:rPr>
                <w:rFonts w:hint="eastAsia" w:asciiTheme="minorEastAsia" w:hAnsiTheme="minorEastAsia" w:eastAsiaTheme="minorEastAsia" w:cstheme="minorEastAsia"/>
                <w:color w:val="auto"/>
                <w:spacing w:val="-2"/>
                <w:sz w:val="21"/>
                <w:szCs w:val="21"/>
                <w:highlight w:val="none"/>
              </w:rPr>
              <w:t>。</w:t>
            </w:r>
          </w:p>
          <w:p w14:paraId="65789205">
            <w:pPr>
              <w:pStyle w:val="60"/>
              <w:spacing w:line="218" w:lineRule="auto"/>
              <w:ind w:left="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说明：本项最高得8分。</w:t>
            </w:r>
          </w:p>
        </w:tc>
        <w:tc>
          <w:tcPr>
            <w:tcW w:w="4101" w:type="dxa"/>
            <w:tcBorders>
              <w:top w:val="single" w:color="auto" w:sz="4" w:space="0"/>
              <w:left w:val="single" w:color="auto" w:sz="4" w:space="0"/>
              <w:bottom w:val="single" w:color="auto" w:sz="4" w:space="0"/>
              <w:right w:val="single" w:color="auto" w:sz="4" w:space="0"/>
            </w:tcBorders>
            <w:vAlign w:val="center"/>
          </w:tcPr>
          <w:p w14:paraId="4E1BB97D">
            <w:pPr>
              <w:pStyle w:val="60"/>
              <w:spacing w:before="16" w:line="219" w:lineRule="auto"/>
              <w:ind w:left="8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1.需附相关证书彩色扫描件。</w:t>
            </w:r>
          </w:p>
          <w:p w14:paraId="0410587C">
            <w:pPr>
              <w:pStyle w:val="60"/>
              <w:spacing w:before="173" w:line="283" w:lineRule="auto"/>
              <w:ind w:left="75" w:right="30" w:hanging="2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2.证书须由</w:t>
            </w:r>
            <w:r>
              <w:rPr>
                <w:rFonts w:hint="eastAsia" w:asciiTheme="minorEastAsia" w:hAnsiTheme="minorEastAsia" w:eastAsiaTheme="minorEastAsia" w:cstheme="minorEastAsia"/>
                <w:color w:val="auto"/>
                <w:sz w:val="21"/>
                <w:szCs w:val="21"/>
                <w:highlight w:val="none"/>
                <w:lang w:val="en-US" w:eastAsia="zh-CN"/>
              </w:rPr>
              <w:t>国级/省级</w:t>
            </w:r>
            <w:r>
              <w:rPr>
                <w:rFonts w:hint="eastAsia" w:asciiTheme="minorEastAsia" w:hAnsiTheme="minorEastAsia" w:eastAsiaTheme="minorEastAsia" w:cstheme="minorEastAsia"/>
                <w:color w:val="auto"/>
                <w:sz w:val="21"/>
                <w:szCs w:val="21"/>
                <w:highlight w:val="none"/>
              </w:rPr>
              <w:t>企业联合会和企业家</w:t>
            </w:r>
            <w:r>
              <w:rPr>
                <w:rFonts w:hint="eastAsia" w:asciiTheme="minorEastAsia" w:hAnsiTheme="minorEastAsia" w:eastAsiaTheme="minorEastAsia" w:cstheme="minorEastAsia"/>
                <w:color w:val="auto"/>
                <w:spacing w:val="-1"/>
                <w:sz w:val="21"/>
                <w:szCs w:val="21"/>
                <w:highlight w:val="none"/>
              </w:rPr>
              <w:t>协会(需经民政局备案)同时颁发。</w:t>
            </w:r>
          </w:p>
          <w:p w14:paraId="6D43B3F5">
            <w:pPr>
              <w:pStyle w:val="60"/>
              <w:spacing w:before="162" w:line="305" w:lineRule="auto"/>
              <w:ind w:left="4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3.颁发机构、未提供备案查询截图、</w:t>
            </w:r>
            <w:r>
              <w:rPr>
                <w:rFonts w:hint="eastAsia" w:asciiTheme="minorEastAsia" w:hAnsiTheme="minorEastAsia" w:eastAsiaTheme="minorEastAsia" w:cstheme="minorEastAsia"/>
                <w:color w:val="auto"/>
                <w:spacing w:val="-4"/>
                <w:sz w:val="21"/>
                <w:szCs w:val="21"/>
                <w:highlight w:val="none"/>
              </w:rPr>
              <w:t>获奖时间不符合评分标准和备注规</w:t>
            </w:r>
            <w:r>
              <w:rPr>
                <w:rFonts w:hint="eastAsia" w:asciiTheme="minorEastAsia" w:hAnsiTheme="minorEastAsia" w:eastAsiaTheme="minorEastAsia" w:cstheme="minorEastAsia"/>
                <w:b w:val="0"/>
                <w:bCs w:val="0"/>
                <w:color w:val="auto"/>
                <w:spacing w:val="-4"/>
                <w:sz w:val="21"/>
                <w:szCs w:val="21"/>
                <w:highlight w:val="none"/>
              </w:rPr>
              <w:t>定</w:t>
            </w:r>
            <w:r>
              <w:rPr>
                <w:rFonts w:hint="eastAsia" w:asciiTheme="minorEastAsia" w:hAnsiTheme="minorEastAsia" w:eastAsiaTheme="minorEastAsia" w:cstheme="minorEastAsia"/>
                <w:b w:val="0"/>
                <w:bCs w:val="0"/>
                <w:color w:val="auto"/>
                <w:spacing w:val="-24"/>
                <w:sz w:val="21"/>
                <w:szCs w:val="21"/>
                <w:highlight w:val="none"/>
              </w:rPr>
              <w:t>的</w:t>
            </w:r>
            <w:r>
              <w:rPr>
                <w:rFonts w:hint="eastAsia" w:asciiTheme="minorEastAsia" w:hAnsiTheme="minorEastAsia" w:eastAsiaTheme="minorEastAsia" w:cstheme="minorEastAsia"/>
                <w:b w:val="0"/>
                <w:bCs w:val="0"/>
                <w:color w:val="auto"/>
                <w:spacing w:val="-24"/>
                <w:sz w:val="21"/>
                <w:szCs w:val="21"/>
                <w:highlight w:val="none"/>
                <w:lang w:eastAsia="zh-CN"/>
              </w:rPr>
              <w:t>，</w:t>
            </w:r>
            <w:r>
              <w:rPr>
                <w:rFonts w:hint="eastAsia" w:asciiTheme="minorEastAsia" w:hAnsiTheme="minorEastAsia" w:eastAsiaTheme="minorEastAsia" w:cstheme="minorEastAsia"/>
                <w:b w:val="0"/>
                <w:bCs w:val="0"/>
                <w:color w:val="auto"/>
                <w:spacing w:val="-24"/>
                <w:sz w:val="21"/>
                <w:szCs w:val="21"/>
                <w:highlight w:val="none"/>
              </w:rPr>
              <w:t>不</w:t>
            </w:r>
            <w:r>
              <w:rPr>
                <w:rFonts w:hint="eastAsia" w:asciiTheme="minorEastAsia" w:hAnsiTheme="minorEastAsia" w:eastAsiaTheme="minorEastAsia" w:cstheme="minorEastAsia"/>
                <w:color w:val="auto"/>
                <w:spacing w:val="-24"/>
                <w:sz w:val="21"/>
                <w:szCs w:val="21"/>
                <w:highlight w:val="none"/>
              </w:rPr>
              <w:t>予得分。</w:t>
            </w:r>
          </w:p>
        </w:tc>
      </w:tr>
      <w:tr w14:paraId="0BE1D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294" w:type="dxa"/>
            <w:tcBorders>
              <w:top w:val="single" w:color="auto" w:sz="4" w:space="0"/>
              <w:left w:val="single" w:color="auto" w:sz="4" w:space="0"/>
              <w:bottom w:val="single" w:color="auto" w:sz="4" w:space="0"/>
              <w:right w:val="single" w:color="auto" w:sz="4" w:space="0"/>
            </w:tcBorders>
            <w:vAlign w:val="center"/>
          </w:tcPr>
          <w:p w14:paraId="38E7E5B9">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项目总监</w:t>
            </w:r>
          </w:p>
          <w:p w14:paraId="74FF42DD">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综合素质</w:t>
            </w:r>
          </w:p>
          <w:p w14:paraId="17F36AC9">
            <w:pPr>
              <w:pStyle w:val="60"/>
              <w:spacing w:before="161" w:line="220" w:lineRule="auto"/>
              <w:ind w:left="74" w:lef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(5分)</w:t>
            </w:r>
          </w:p>
        </w:tc>
        <w:tc>
          <w:tcPr>
            <w:tcW w:w="4635" w:type="dxa"/>
            <w:tcBorders>
              <w:top w:val="single" w:color="auto" w:sz="4" w:space="0"/>
              <w:left w:val="single" w:color="auto" w:sz="4" w:space="0"/>
              <w:bottom w:val="single" w:color="auto" w:sz="4" w:space="0"/>
              <w:right w:val="single" w:color="auto" w:sz="4" w:space="0"/>
            </w:tcBorders>
            <w:vAlign w:val="center"/>
          </w:tcPr>
          <w:p w14:paraId="79A060B9">
            <w:pPr>
              <w:pStyle w:val="60"/>
              <w:spacing w:before="81" w:line="349" w:lineRule="auto"/>
              <w:ind w:left="100" w:right="5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拟委派的总监理工程师具备工程师或以上</w:t>
            </w:r>
            <w:r>
              <w:rPr>
                <w:rFonts w:hint="eastAsia" w:asciiTheme="minorEastAsia" w:hAnsiTheme="minorEastAsia" w:eastAsiaTheme="minorEastAsia" w:cstheme="minorEastAsia"/>
                <w:color w:val="auto"/>
                <w:spacing w:val="-1"/>
                <w:sz w:val="21"/>
                <w:szCs w:val="21"/>
                <w:highlight w:val="none"/>
              </w:rPr>
              <w:t>技术职称的得5分。</w:t>
            </w:r>
          </w:p>
          <w:p w14:paraId="6BCB7286">
            <w:pPr>
              <w:pStyle w:val="60"/>
              <w:spacing w:line="218" w:lineRule="auto"/>
              <w:ind w:left="114" w:left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说明：本项最高得5分。</w:t>
            </w:r>
          </w:p>
        </w:tc>
        <w:tc>
          <w:tcPr>
            <w:tcW w:w="4101" w:type="dxa"/>
            <w:tcBorders>
              <w:top w:val="single" w:color="auto" w:sz="4" w:space="0"/>
              <w:left w:val="single" w:color="auto" w:sz="4" w:space="0"/>
              <w:bottom w:val="single" w:color="auto" w:sz="4" w:space="0"/>
              <w:right w:val="single" w:color="auto" w:sz="4" w:space="0"/>
            </w:tcBorders>
            <w:vAlign w:val="center"/>
          </w:tcPr>
          <w:p w14:paraId="19CBBB70">
            <w:pPr>
              <w:pStyle w:val="60"/>
              <w:spacing w:before="9" w:line="258" w:lineRule="auto"/>
              <w:ind w:left="46" w:leftChars="0" w:right="30" w:rightChars="0"/>
              <w:jc w:val="left"/>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z w:val="21"/>
                <w:szCs w:val="21"/>
                <w:highlight w:val="none"/>
              </w:rPr>
              <w:t>需提供相关证件资料彩色扫描件，否则不得分。</w:t>
            </w:r>
          </w:p>
        </w:tc>
      </w:tr>
      <w:tr w14:paraId="6EC8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294" w:type="dxa"/>
            <w:tcBorders>
              <w:top w:val="single" w:color="auto" w:sz="4" w:space="0"/>
              <w:left w:val="single" w:color="auto" w:sz="4" w:space="0"/>
              <w:bottom w:val="single" w:color="auto" w:sz="4" w:space="0"/>
              <w:right w:val="single" w:color="auto" w:sz="4" w:space="0"/>
            </w:tcBorders>
            <w:vAlign w:val="center"/>
          </w:tcPr>
          <w:p w14:paraId="3EA21A44">
            <w:pPr>
              <w:pStyle w:val="60"/>
              <w:spacing w:before="161" w:line="220" w:lineRule="auto"/>
              <w:ind w:left="74" w:lef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项目监理机构其他人员配备(10分)</w:t>
            </w:r>
          </w:p>
        </w:tc>
        <w:tc>
          <w:tcPr>
            <w:tcW w:w="4635" w:type="dxa"/>
            <w:tcBorders>
              <w:top w:val="single" w:color="auto" w:sz="4" w:space="0"/>
              <w:left w:val="single" w:color="auto" w:sz="4" w:space="0"/>
              <w:bottom w:val="single" w:color="auto" w:sz="4" w:space="0"/>
              <w:right w:val="single" w:color="auto" w:sz="4" w:space="0"/>
            </w:tcBorders>
            <w:vAlign w:val="center"/>
          </w:tcPr>
          <w:p w14:paraId="7438E40A">
            <w:pPr>
              <w:pStyle w:val="60"/>
              <w:spacing w:before="140" w:line="219" w:lineRule="auto"/>
              <w:ind w:left="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1.拟委派本项目监理人员数量和专业完全</w:t>
            </w:r>
            <w:r>
              <w:rPr>
                <w:rFonts w:hint="eastAsia" w:asciiTheme="minorEastAsia" w:hAnsiTheme="minorEastAsia" w:eastAsiaTheme="minorEastAsia" w:cstheme="minorEastAsia"/>
                <w:color w:val="auto"/>
                <w:spacing w:val="-4"/>
                <w:sz w:val="21"/>
                <w:szCs w:val="21"/>
                <w:highlight w:val="none"/>
              </w:rPr>
              <w:t>满足表2《项目监理机构其他人员需求表》</w:t>
            </w:r>
            <w:r>
              <w:rPr>
                <w:rFonts w:hint="eastAsia" w:asciiTheme="minorEastAsia" w:hAnsiTheme="minorEastAsia" w:eastAsiaTheme="minorEastAsia" w:cstheme="minorEastAsia"/>
                <w:color w:val="auto"/>
                <w:spacing w:val="6"/>
                <w:sz w:val="21"/>
                <w:szCs w:val="21"/>
                <w:highlight w:val="none"/>
              </w:rPr>
              <w:t>(以下简称《需求表》)要求的得4分；</w:t>
            </w:r>
            <w:r>
              <w:rPr>
                <w:rFonts w:hint="eastAsia" w:asciiTheme="minorEastAsia" w:hAnsiTheme="minorEastAsia" w:eastAsiaTheme="minorEastAsia" w:cstheme="minorEastAsia"/>
                <w:color w:val="auto"/>
                <w:spacing w:val="-1"/>
                <w:sz w:val="21"/>
                <w:szCs w:val="21"/>
                <w:highlight w:val="none"/>
              </w:rPr>
              <w:t>不满足《需求表》要求的不得分。</w:t>
            </w:r>
          </w:p>
          <w:p w14:paraId="2FCD58AB">
            <w:pPr>
              <w:pStyle w:val="60"/>
              <w:spacing w:before="132" w:line="293" w:lineRule="auto"/>
              <w:ind w:left="50" w:right="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2.在完全满足《需求表》的基础上，拟委</w:t>
            </w:r>
            <w:r>
              <w:rPr>
                <w:rFonts w:hint="eastAsia" w:asciiTheme="minorEastAsia" w:hAnsiTheme="minorEastAsia" w:eastAsiaTheme="minorEastAsia" w:cstheme="minorEastAsia"/>
                <w:color w:val="auto"/>
                <w:spacing w:val="2"/>
                <w:sz w:val="21"/>
                <w:szCs w:val="21"/>
                <w:highlight w:val="none"/>
              </w:rPr>
              <w:t>派本项目的监理人员(总监理工程师除外)</w:t>
            </w:r>
            <w:r>
              <w:rPr>
                <w:rFonts w:hint="eastAsia" w:asciiTheme="minorEastAsia" w:hAnsiTheme="minorEastAsia" w:eastAsiaTheme="minorEastAsia" w:cstheme="minorEastAsia"/>
                <w:color w:val="auto"/>
                <w:spacing w:val="4"/>
                <w:sz w:val="21"/>
                <w:szCs w:val="21"/>
                <w:highlight w:val="none"/>
              </w:rPr>
              <w:t>中：具有具备工程师或以上技术职称得3</w:t>
            </w:r>
            <w:r>
              <w:rPr>
                <w:rFonts w:hint="eastAsia" w:asciiTheme="minorEastAsia" w:hAnsiTheme="minorEastAsia" w:eastAsiaTheme="minorEastAsia" w:cstheme="minorEastAsia"/>
                <w:color w:val="auto"/>
                <w:spacing w:val="6"/>
                <w:sz w:val="21"/>
                <w:szCs w:val="21"/>
                <w:highlight w:val="none"/>
              </w:rPr>
              <w:t>分，最高得3分。</w:t>
            </w:r>
          </w:p>
          <w:p w14:paraId="11308F3D">
            <w:pPr>
              <w:pStyle w:val="60"/>
              <w:spacing w:before="73" w:line="293" w:lineRule="auto"/>
              <w:ind w:left="50" w:right="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3.在完全满足《需求表》的基础上，拟委</w:t>
            </w:r>
            <w:r>
              <w:rPr>
                <w:rFonts w:hint="eastAsia" w:asciiTheme="minorEastAsia" w:hAnsiTheme="minorEastAsia" w:eastAsiaTheme="minorEastAsia" w:cstheme="minorEastAsia"/>
                <w:color w:val="auto"/>
                <w:spacing w:val="2"/>
                <w:sz w:val="21"/>
                <w:szCs w:val="21"/>
                <w:highlight w:val="none"/>
              </w:rPr>
              <w:t>派本项目的监理人员(总监理工程师除外)</w:t>
            </w:r>
            <w:r>
              <w:rPr>
                <w:rFonts w:hint="eastAsia" w:asciiTheme="minorEastAsia" w:hAnsiTheme="minorEastAsia" w:eastAsiaTheme="minorEastAsia" w:cstheme="minorEastAsia"/>
                <w:color w:val="auto"/>
                <w:spacing w:val="4"/>
                <w:sz w:val="21"/>
                <w:szCs w:val="21"/>
                <w:highlight w:val="none"/>
              </w:rPr>
              <w:t>中：具有注册监理工程师的得3分，最高</w:t>
            </w:r>
            <w:r>
              <w:rPr>
                <w:rFonts w:hint="eastAsia" w:asciiTheme="minorEastAsia" w:hAnsiTheme="minorEastAsia" w:eastAsiaTheme="minorEastAsia" w:cstheme="minorEastAsia"/>
                <w:color w:val="auto"/>
                <w:spacing w:val="10"/>
                <w:sz w:val="21"/>
                <w:szCs w:val="21"/>
                <w:highlight w:val="none"/>
              </w:rPr>
              <w:t>得3分。</w:t>
            </w:r>
          </w:p>
          <w:p w14:paraId="1A8C5D96">
            <w:pPr>
              <w:pStyle w:val="60"/>
              <w:spacing w:before="128" w:line="219" w:lineRule="auto"/>
              <w:ind w:left="124" w:left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说明：本项最高得10分。</w:t>
            </w:r>
          </w:p>
        </w:tc>
        <w:tc>
          <w:tcPr>
            <w:tcW w:w="4101" w:type="dxa"/>
            <w:tcBorders>
              <w:top w:val="single" w:color="auto" w:sz="4" w:space="0"/>
              <w:left w:val="single" w:color="auto" w:sz="4" w:space="0"/>
              <w:bottom w:val="single" w:color="auto" w:sz="4" w:space="0"/>
              <w:right w:val="single" w:color="auto" w:sz="4" w:space="0"/>
            </w:tcBorders>
            <w:vAlign w:val="center"/>
          </w:tcPr>
          <w:p w14:paraId="27CE86FF">
            <w:pPr>
              <w:pStyle w:val="60"/>
              <w:spacing w:before="9" w:line="258" w:lineRule="auto"/>
              <w:ind w:left="46" w:leftChars="0" w:right="30" w:rightChars="0"/>
              <w:jc w:val="left"/>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z w:val="21"/>
                <w:szCs w:val="21"/>
                <w:highlight w:val="none"/>
              </w:rPr>
              <w:t>需提供相关证书彩色扫描件，否则不得分。</w:t>
            </w:r>
          </w:p>
        </w:tc>
      </w:tr>
    </w:tbl>
    <w:tbl>
      <w:tblPr>
        <w:tblStyle w:val="63"/>
        <w:tblpPr w:leftFromText="180" w:rightFromText="180" w:vertAnchor="text" w:horzAnchor="page" w:tblpX="952" w:tblpY="4094"/>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4950"/>
        <w:gridCol w:w="3692"/>
        <w:gridCol w:w="3"/>
      </w:tblGrid>
      <w:tr w14:paraId="17FA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023" w:type="dxa"/>
            <w:gridSpan w:val="4"/>
            <w:vAlign w:val="top"/>
          </w:tcPr>
          <w:p w14:paraId="6EF71423">
            <w:pPr>
              <w:pStyle w:val="60"/>
              <w:spacing w:before="183" w:line="219" w:lineRule="auto"/>
              <w:ind w:left="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技术部分(监理大纲)满分：20分。</w:t>
            </w:r>
          </w:p>
        </w:tc>
      </w:tr>
      <w:tr w14:paraId="042E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78" w:type="dxa"/>
            <w:vAlign w:val="top"/>
          </w:tcPr>
          <w:p w14:paraId="2CD816ED">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评分因素</w:t>
            </w:r>
          </w:p>
        </w:tc>
        <w:tc>
          <w:tcPr>
            <w:tcW w:w="4950" w:type="dxa"/>
            <w:vAlign w:val="top"/>
          </w:tcPr>
          <w:p w14:paraId="27D6B0A1">
            <w:pPr>
              <w:pStyle w:val="60"/>
              <w:spacing w:before="69" w:line="220" w:lineRule="auto"/>
              <w:ind w:left="11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评分标准</w:t>
            </w:r>
          </w:p>
        </w:tc>
        <w:tc>
          <w:tcPr>
            <w:tcW w:w="3695" w:type="dxa"/>
            <w:gridSpan w:val="2"/>
            <w:vAlign w:val="top"/>
          </w:tcPr>
          <w:p w14:paraId="1AD2D648">
            <w:pPr>
              <w:pStyle w:val="60"/>
              <w:spacing w:before="59" w:line="221" w:lineRule="auto"/>
              <w:ind w:left="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备注</w:t>
            </w:r>
          </w:p>
        </w:tc>
      </w:tr>
      <w:tr w14:paraId="2F3E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1378" w:type="dxa"/>
            <w:vAlign w:val="center"/>
          </w:tcPr>
          <w:p w14:paraId="43AEBCA2">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监理依据及工作目标(1分)</w:t>
            </w:r>
          </w:p>
        </w:tc>
        <w:tc>
          <w:tcPr>
            <w:tcW w:w="4950" w:type="dxa"/>
            <w:vAlign w:val="center"/>
          </w:tcPr>
          <w:p w14:paraId="1E922DA3">
            <w:pPr>
              <w:pStyle w:val="60"/>
              <w:spacing w:before="17" w:line="229" w:lineRule="auto"/>
              <w:ind w:left="203" w:right="124" w:hanging="20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val="en-US" w:eastAsia="zh-CN"/>
              </w:rPr>
              <w:t>含</w:t>
            </w:r>
            <w:r>
              <w:rPr>
                <w:rFonts w:hint="eastAsia" w:asciiTheme="minorEastAsia" w:hAnsiTheme="minorEastAsia" w:eastAsiaTheme="minorEastAsia" w:cstheme="minorEastAsia"/>
                <w:color w:val="auto"/>
                <w:spacing w:val="-1"/>
                <w:sz w:val="21"/>
                <w:szCs w:val="21"/>
                <w:highlight w:val="none"/>
              </w:rPr>
              <w:t>90%)。</w:t>
            </w:r>
          </w:p>
          <w:p w14:paraId="505A93C7">
            <w:pPr>
              <w:pStyle w:val="60"/>
              <w:spacing w:before="2" w:line="228" w:lineRule="auto"/>
              <w:ind w:right="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1F595466">
            <w:pPr>
              <w:pStyle w:val="60"/>
              <w:spacing w:before="1" w:line="232" w:lineRule="auto"/>
              <w:ind w:right="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2C716DEA">
            <w:pPr>
              <w:pStyle w:val="60"/>
              <w:spacing w:before="2" w:line="215" w:lineRule="auto"/>
              <w:ind w:left="151" w:right="64" w:hanging="15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2"/>
                <w:sz w:val="21"/>
                <w:szCs w:val="21"/>
                <w:highlight w:val="none"/>
              </w:rPr>
              <w:t>～70%(含</w:t>
            </w:r>
            <w:r>
              <w:rPr>
                <w:rFonts w:hint="eastAsia" w:asciiTheme="minorEastAsia" w:hAnsiTheme="minorEastAsia" w:eastAsiaTheme="minorEastAsia" w:cstheme="minorEastAsia"/>
                <w:color w:val="auto"/>
                <w:spacing w:val="-8"/>
                <w:sz w:val="21"/>
                <w:szCs w:val="21"/>
                <w:highlight w:val="none"/>
              </w:rPr>
              <w:t>60%)。</w:t>
            </w:r>
          </w:p>
        </w:tc>
        <w:tc>
          <w:tcPr>
            <w:tcW w:w="3695" w:type="dxa"/>
            <w:gridSpan w:val="2"/>
            <w:tcBorders>
              <w:bottom w:val="single" w:color="auto" w:sz="4" w:space="0"/>
            </w:tcBorders>
            <w:vAlign w:val="center"/>
          </w:tcPr>
          <w:p w14:paraId="28B40956">
            <w:pPr>
              <w:pStyle w:val="60"/>
              <w:spacing w:before="81" w:line="314" w:lineRule="auto"/>
              <w:ind w:left="85" w:firstLine="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要求依据全面、适用；目标清晰、正确；针对性强。</w:t>
            </w:r>
          </w:p>
        </w:tc>
      </w:tr>
      <w:tr w14:paraId="008A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2" w:hRule="atLeast"/>
        </w:trPr>
        <w:tc>
          <w:tcPr>
            <w:tcW w:w="1378" w:type="dxa"/>
            <w:vAlign w:val="center"/>
          </w:tcPr>
          <w:p w14:paraId="78EF50F7">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工程质量监理措施(</w:t>
            </w:r>
            <w:r>
              <w:rPr>
                <w:rFonts w:hint="eastAsia" w:asciiTheme="minorEastAsia" w:hAnsiTheme="minorEastAsia" w:eastAsiaTheme="minorEastAsia" w:cstheme="minorEastAsia"/>
                <w:color w:val="auto"/>
                <w:spacing w:val="3"/>
                <w:sz w:val="21"/>
                <w:szCs w:val="21"/>
                <w:highlight w:val="none"/>
                <w:lang w:val="en-US" w:eastAsia="zh-CN"/>
              </w:rPr>
              <w:t>3</w:t>
            </w:r>
            <w:r>
              <w:rPr>
                <w:rFonts w:hint="eastAsia" w:asciiTheme="minorEastAsia" w:hAnsiTheme="minorEastAsia" w:eastAsiaTheme="minorEastAsia" w:cstheme="minorEastAsia"/>
                <w:color w:val="auto"/>
                <w:spacing w:val="3"/>
                <w:sz w:val="21"/>
                <w:szCs w:val="21"/>
                <w:highlight w:val="none"/>
              </w:rPr>
              <w:t>分)</w:t>
            </w:r>
          </w:p>
        </w:tc>
        <w:tc>
          <w:tcPr>
            <w:tcW w:w="4950" w:type="dxa"/>
            <w:tcBorders>
              <w:right w:val="single" w:color="auto" w:sz="4" w:space="0"/>
            </w:tcBorders>
            <w:vAlign w:val="center"/>
          </w:tcPr>
          <w:p w14:paraId="744ACEFF">
            <w:pPr>
              <w:pStyle w:val="60"/>
              <w:spacing w:before="13" w:line="231" w:lineRule="auto"/>
              <w:ind w:left="101" w:right="24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(90%)。</w:t>
            </w:r>
          </w:p>
          <w:p w14:paraId="7329EC5C">
            <w:pPr>
              <w:pStyle w:val="60"/>
              <w:spacing w:before="2" w:line="249"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38DD7636">
            <w:pPr>
              <w:pStyle w:val="60"/>
              <w:spacing w:before="1" w:line="234"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36D0FDF8">
            <w:pPr>
              <w:pStyle w:val="60"/>
              <w:spacing w:before="1" w:line="233" w:lineRule="auto"/>
              <w:ind w:left="118" w:right="194" w:hanging="1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4"/>
                <w:sz w:val="21"/>
                <w:szCs w:val="21"/>
                <w:highlight w:val="none"/>
              </w:rPr>
              <w:t>～70%(含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vMerge w:val="restart"/>
            <w:tcBorders>
              <w:top w:val="single" w:color="auto" w:sz="4" w:space="0"/>
              <w:left w:val="single" w:color="auto" w:sz="4" w:space="0"/>
              <w:bottom w:val="single" w:color="auto" w:sz="4" w:space="0"/>
              <w:right w:val="single" w:color="auto" w:sz="4" w:space="0"/>
            </w:tcBorders>
            <w:vAlign w:val="center"/>
          </w:tcPr>
          <w:p w14:paraId="190A0ADA">
            <w:pPr>
              <w:pStyle w:val="60"/>
              <w:spacing w:before="78" w:line="308" w:lineRule="auto"/>
              <w:ind w:left="105" w:right="108" w:firstLine="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要求目标正确、方法可行、预控和动态管理措施具体、针对性强。脱离本工程实际、机械照搬照抄规范和技术</w:t>
            </w:r>
            <w:r>
              <w:rPr>
                <w:rFonts w:hint="eastAsia" w:asciiTheme="minorEastAsia" w:hAnsiTheme="minorEastAsia" w:eastAsiaTheme="minorEastAsia" w:cstheme="minorEastAsia"/>
                <w:color w:val="auto"/>
                <w:sz w:val="21"/>
                <w:szCs w:val="21"/>
                <w:highlight w:val="none"/>
              </w:rPr>
              <w:t>标准的，不能得满分。</w:t>
            </w:r>
          </w:p>
        </w:tc>
      </w:tr>
      <w:tr w14:paraId="6EBA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trPr>
        <w:tc>
          <w:tcPr>
            <w:tcW w:w="1378" w:type="dxa"/>
            <w:vAlign w:val="center"/>
          </w:tcPr>
          <w:p w14:paraId="2EDAF954">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工程进度监理措施(3分)</w:t>
            </w:r>
          </w:p>
        </w:tc>
        <w:tc>
          <w:tcPr>
            <w:tcW w:w="4950" w:type="dxa"/>
            <w:tcBorders>
              <w:right w:val="single" w:color="auto" w:sz="4" w:space="0"/>
            </w:tcBorders>
            <w:vAlign w:val="center"/>
          </w:tcPr>
          <w:p w14:paraId="6F899874">
            <w:pPr>
              <w:pStyle w:val="60"/>
              <w:spacing w:before="11" w:line="235" w:lineRule="auto"/>
              <w:ind w:left="100" w:right="234" w:hanging="4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(90%)。</w:t>
            </w:r>
          </w:p>
          <w:p w14:paraId="27E5D68B">
            <w:pPr>
              <w:pStyle w:val="60"/>
              <w:spacing w:line="242" w:lineRule="auto"/>
              <w:ind w:left="99" w:hanging="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154532DD">
            <w:pPr>
              <w:pStyle w:val="60"/>
              <w:spacing w:before="1" w:line="234"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6B880833">
            <w:pPr>
              <w:pStyle w:val="60"/>
              <w:spacing w:before="2" w:line="232" w:lineRule="auto"/>
              <w:ind w:left="118" w:right="194" w:hanging="1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4"/>
                <w:sz w:val="21"/>
                <w:szCs w:val="21"/>
                <w:highlight w:val="none"/>
              </w:rPr>
              <w:t>～70%(含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vMerge w:val="continue"/>
            <w:tcBorders>
              <w:top w:val="single" w:color="auto" w:sz="4" w:space="0"/>
              <w:left w:val="single" w:color="auto" w:sz="4" w:space="0"/>
              <w:bottom w:val="single" w:color="auto" w:sz="4" w:space="0"/>
              <w:right w:val="single" w:color="auto" w:sz="4" w:space="0"/>
            </w:tcBorders>
            <w:vAlign w:val="center"/>
          </w:tcPr>
          <w:p w14:paraId="7DE963C6">
            <w:pPr>
              <w:jc w:val="left"/>
              <w:rPr>
                <w:rFonts w:hint="eastAsia" w:asciiTheme="minorEastAsia" w:hAnsiTheme="minorEastAsia" w:eastAsiaTheme="minorEastAsia" w:cstheme="minorEastAsia"/>
                <w:color w:val="auto"/>
                <w:sz w:val="21"/>
                <w:szCs w:val="21"/>
                <w:highlight w:val="none"/>
              </w:rPr>
            </w:pPr>
          </w:p>
        </w:tc>
      </w:tr>
      <w:tr w14:paraId="0F37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88" w:hRule="atLeast"/>
        </w:trPr>
        <w:tc>
          <w:tcPr>
            <w:tcW w:w="1378" w:type="dxa"/>
            <w:vAlign w:val="center"/>
          </w:tcPr>
          <w:p w14:paraId="54C074C4">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工程造价监理措施(3分)</w:t>
            </w:r>
          </w:p>
        </w:tc>
        <w:tc>
          <w:tcPr>
            <w:tcW w:w="4950" w:type="dxa"/>
            <w:tcBorders>
              <w:right w:val="single" w:color="auto" w:sz="4" w:space="0"/>
            </w:tcBorders>
            <w:vAlign w:val="center"/>
          </w:tcPr>
          <w:p w14:paraId="6911C729">
            <w:pPr>
              <w:pStyle w:val="60"/>
              <w:spacing w:before="11" w:line="235" w:lineRule="auto"/>
              <w:ind w:left="100" w:right="234" w:hanging="4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(90%)。</w:t>
            </w:r>
          </w:p>
          <w:p w14:paraId="0875BDA5">
            <w:pPr>
              <w:pStyle w:val="60"/>
              <w:spacing w:line="242" w:lineRule="auto"/>
              <w:ind w:left="99" w:hanging="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794D76C1">
            <w:pPr>
              <w:pStyle w:val="60"/>
              <w:spacing w:before="1" w:line="234"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7BC3168D">
            <w:pPr>
              <w:pStyle w:val="60"/>
              <w:spacing w:line="232" w:lineRule="auto"/>
              <w:ind w:left="101" w:right="124"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4"/>
                <w:sz w:val="21"/>
                <w:szCs w:val="21"/>
                <w:highlight w:val="none"/>
              </w:rPr>
              <w:t>～70%(含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vMerge w:val="continue"/>
            <w:tcBorders>
              <w:top w:val="single" w:color="auto" w:sz="4" w:space="0"/>
              <w:left w:val="single" w:color="auto" w:sz="4" w:space="0"/>
              <w:bottom w:val="single" w:color="auto" w:sz="4" w:space="0"/>
              <w:right w:val="single" w:color="auto" w:sz="4" w:space="0"/>
            </w:tcBorders>
            <w:vAlign w:val="center"/>
          </w:tcPr>
          <w:p w14:paraId="315AF69A">
            <w:pPr>
              <w:jc w:val="left"/>
              <w:rPr>
                <w:rFonts w:hint="eastAsia" w:asciiTheme="minorEastAsia" w:hAnsiTheme="minorEastAsia" w:eastAsiaTheme="minorEastAsia" w:cstheme="minorEastAsia"/>
                <w:color w:val="auto"/>
                <w:sz w:val="21"/>
                <w:szCs w:val="21"/>
                <w:highlight w:val="none"/>
              </w:rPr>
            </w:pPr>
          </w:p>
        </w:tc>
      </w:tr>
      <w:tr w14:paraId="28BE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1378" w:type="dxa"/>
            <w:vAlign w:val="center"/>
          </w:tcPr>
          <w:p w14:paraId="4FD9A8EA">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安全防护监理措施(3分)</w:t>
            </w:r>
          </w:p>
        </w:tc>
        <w:tc>
          <w:tcPr>
            <w:tcW w:w="4950" w:type="dxa"/>
            <w:tcBorders>
              <w:right w:val="single" w:color="auto" w:sz="4" w:space="0"/>
            </w:tcBorders>
            <w:vAlign w:val="center"/>
          </w:tcPr>
          <w:p w14:paraId="363CA1F2">
            <w:pPr>
              <w:pStyle w:val="60"/>
              <w:spacing w:before="11" w:line="235" w:lineRule="auto"/>
              <w:ind w:left="100" w:right="234" w:hanging="4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(90%)。</w:t>
            </w:r>
          </w:p>
          <w:p w14:paraId="06210659">
            <w:pPr>
              <w:pStyle w:val="60"/>
              <w:spacing w:line="242" w:lineRule="auto"/>
              <w:ind w:left="99" w:hanging="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313AFF68">
            <w:pPr>
              <w:pStyle w:val="60"/>
              <w:spacing w:before="1" w:line="234"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77674495">
            <w:pPr>
              <w:pStyle w:val="60"/>
              <w:spacing w:before="1" w:line="227" w:lineRule="auto"/>
              <w:ind w:left="101" w:right="134" w:hanging="6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4"/>
                <w:sz w:val="21"/>
                <w:szCs w:val="21"/>
                <w:highlight w:val="none"/>
              </w:rPr>
              <w:t>～70%(含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vMerge w:val="continue"/>
            <w:tcBorders>
              <w:top w:val="single" w:color="auto" w:sz="4" w:space="0"/>
              <w:left w:val="single" w:color="auto" w:sz="4" w:space="0"/>
              <w:bottom w:val="single" w:color="auto" w:sz="4" w:space="0"/>
              <w:right w:val="single" w:color="auto" w:sz="4" w:space="0"/>
            </w:tcBorders>
            <w:vAlign w:val="center"/>
          </w:tcPr>
          <w:p w14:paraId="2A5550F1">
            <w:pPr>
              <w:jc w:val="left"/>
              <w:rPr>
                <w:rFonts w:hint="eastAsia" w:asciiTheme="minorEastAsia" w:hAnsiTheme="minorEastAsia" w:eastAsiaTheme="minorEastAsia" w:cstheme="minorEastAsia"/>
                <w:color w:val="auto"/>
                <w:sz w:val="21"/>
                <w:szCs w:val="21"/>
                <w:highlight w:val="none"/>
              </w:rPr>
            </w:pPr>
          </w:p>
        </w:tc>
      </w:tr>
      <w:tr w14:paraId="3AE1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1378" w:type="dxa"/>
            <w:vAlign w:val="center"/>
          </w:tcPr>
          <w:p w14:paraId="06DB4771">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绿色施工、文明施工监理措施(3分)</w:t>
            </w:r>
          </w:p>
        </w:tc>
        <w:tc>
          <w:tcPr>
            <w:tcW w:w="4950" w:type="dxa"/>
            <w:tcBorders>
              <w:right w:val="single" w:color="auto" w:sz="4" w:space="0"/>
            </w:tcBorders>
            <w:vAlign w:val="center"/>
          </w:tcPr>
          <w:p w14:paraId="63C05CB0">
            <w:pPr>
              <w:pStyle w:val="60"/>
              <w:spacing w:before="11" w:line="235" w:lineRule="auto"/>
              <w:ind w:left="100" w:right="234" w:hanging="4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(90%)。</w:t>
            </w:r>
          </w:p>
          <w:p w14:paraId="1DECD66F">
            <w:pPr>
              <w:pStyle w:val="60"/>
              <w:spacing w:line="242" w:lineRule="auto"/>
              <w:ind w:left="99" w:hanging="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48C6B078">
            <w:pPr>
              <w:pStyle w:val="60"/>
              <w:spacing w:before="1" w:line="234" w:lineRule="auto"/>
              <w:ind w:left="101" w:right="3" w:hanging="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4E7E7275">
            <w:pPr>
              <w:pStyle w:val="60"/>
              <w:spacing w:line="217" w:lineRule="auto"/>
              <w:ind w:left="118" w:right="194" w:hanging="1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【差】得该项评分因素分值的60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4"/>
                <w:sz w:val="21"/>
                <w:szCs w:val="21"/>
                <w:highlight w:val="none"/>
              </w:rPr>
              <w:t>～70%(含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vMerge w:val="continue"/>
            <w:tcBorders>
              <w:top w:val="single" w:color="auto" w:sz="4" w:space="0"/>
              <w:left w:val="single" w:color="auto" w:sz="4" w:space="0"/>
              <w:bottom w:val="single" w:color="auto" w:sz="4" w:space="0"/>
              <w:right w:val="single" w:color="auto" w:sz="4" w:space="0"/>
            </w:tcBorders>
            <w:vAlign w:val="center"/>
          </w:tcPr>
          <w:p w14:paraId="733F56CE">
            <w:pPr>
              <w:jc w:val="left"/>
              <w:rPr>
                <w:rFonts w:hint="eastAsia" w:asciiTheme="minorEastAsia" w:hAnsiTheme="minorEastAsia" w:eastAsiaTheme="minorEastAsia" w:cstheme="minorEastAsia"/>
                <w:color w:val="auto"/>
                <w:sz w:val="21"/>
                <w:szCs w:val="21"/>
                <w:highlight w:val="none"/>
              </w:rPr>
            </w:pPr>
          </w:p>
        </w:tc>
      </w:tr>
      <w:tr w14:paraId="0595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1378" w:type="dxa"/>
            <w:vAlign w:val="center"/>
          </w:tcPr>
          <w:p w14:paraId="63274365">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合同、信息</w:t>
            </w:r>
          </w:p>
          <w:p w14:paraId="17C28362">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管理方案(1分)</w:t>
            </w:r>
          </w:p>
        </w:tc>
        <w:tc>
          <w:tcPr>
            <w:tcW w:w="4950" w:type="dxa"/>
            <w:tcBorders>
              <w:right w:val="single" w:color="auto" w:sz="4" w:space="0"/>
            </w:tcBorders>
            <w:vAlign w:val="center"/>
          </w:tcPr>
          <w:p w14:paraId="1BE66496">
            <w:pPr>
              <w:pStyle w:val="60"/>
              <w:spacing w:before="252" w:line="247" w:lineRule="auto"/>
              <w:ind w:left="210" w:right="244" w:hanging="12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val="0"/>
                <w:bCs w:val="0"/>
                <w:color w:val="auto"/>
                <w:spacing w:val="-9"/>
                <w:sz w:val="21"/>
                <w:szCs w:val="21"/>
                <w:highlight w:val="none"/>
              </w:rPr>
              <w:t>优</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color w:val="auto"/>
                <w:spacing w:val="-9"/>
                <w:sz w:val="21"/>
                <w:szCs w:val="21"/>
                <w:highlight w:val="none"/>
              </w:rPr>
              <w:t>得该项评分因素分值的90%～100%</w:t>
            </w:r>
            <w:r>
              <w:rPr>
                <w:rFonts w:hint="eastAsia" w:asciiTheme="minorEastAsia" w:hAnsiTheme="minorEastAsia" w:eastAsiaTheme="minorEastAsia" w:cstheme="minorEastAsia"/>
                <w:color w:val="auto"/>
                <w:spacing w:val="31"/>
                <w:sz w:val="21"/>
                <w:szCs w:val="21"/>
                <w:highlight w:val="none"/>
              </w:rPr>
              <w:t>(含90%)。</w:t>
            </w:r>
          </w:p>
          <w:p w14:paraId="224055B7">
            <w:pPr>
              <w:pStyle w:val="60"/>
              <w:spacing w:line="242" w:lineRule="auto"/>
              <w:ind w:left="71" w:right="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499CA983">
            <w:pPr>
              <w:pStyle w:val="60"/>
              <w:spacing w:line="242" w:lineRule="auto"/>
              <w:ind w:left="71" w:right="13" w:hanging="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33A5ECB2">
            <w:pPr>
              <w:pStyle w:val="60"/>
              <w:spacing w:before="2" w:line="267" w:lineRule="auto"/>
              <w:ind w:left="71" w:right="134" w:hanging="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【差】得该项评分因素分值的60～70%(含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tcBorders>
              <w:top w:val="single" w:color="auto" w:sz="4" w:space="0"/>
              <w:left w:val="single" w:color="auto" w:sz="4" w:space="0"/>
              <w:bottom w:val="single" w:color="auto" w:sz="4" w:space="0"/>
              <w:right w:val="single" w:color="auto" w:sz="4" w:space="0"/>
            </w:tcBorders>
            <w:vAlign w:val="center"/>
          </w:tcPr>
          <w:p w14:paraId="311697A1">
            <w:pPr>
              <w:pStyle w:val="60"/>
              <w:spacing w:before="78" w:line="314" w:lineRule="auto"/>
              <w:ind w:left="95" w:right="121" w:firstLine="2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要求各项制度规范清晰，方法科学合</w:t>
            </w:r>
            <w:r>
              <w:rPr>
                <w:rFonts w:hint="eastAsia" w:asciiTheme="minorEastAsia" w:hAnsiTheme="minorEastAsia" w:eastAsiaTheme="minorEastAsia" w:cstheme="minorEastAsia"/>
                <w:color w:val="auto"/>
                <w:spacing w:val="2"/>
                <w:sz w:val="21"/>
                <w:szCs w:val="21"/>
                <w:highlight w:val="none"/>
              </w:rPr>
              <w:t>理，措施及时有效，针对性强。能够</w:t>
            </w:r>
            <w:r>
              <w:rPr>
                <w:rFonts w:hint="eastAsia" w:asciiTheme="minorEastAsia" w:hAnsiTheme="minorEastAsia" w:eastAsiaTheme="minorEastAsia" w:cstheme="minorEastAsia"/>
                <w:color w:val="auto"/>
                <w:spacing w:val="1"/>
                <w:sz w:val="21"/>
                <w:szCs w:val="21"/>
                <w:highlight w:val="none"/>
              </w:rPr>
              <w:t>切实防范和处理合同纠纷，提升监理</w:t>
            </w:r>
            <w:r>
              <w:rPr>
                <w:rFonts w:hint="eastAsia" w:asciiTheme="minorEastAsia" w:hAnsiTheme="minorEastAsia" w:eastAsiaTheme="minorEastAsia" w:cstheme="minorEastAsia"/>
                <w:color w:val="auto"/>
                <w:sz w:val="21"/>
                <w:szCs w:val="21"/>
                <w:highlight w:val="none"/>
              </w:rPr>
              <w:t>工作效能。</w:t>
            </w:r>
          </w:p>
        </w:tc>
      </w:tr>
      <w:tr w14:paraId="0AE5A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7" w:hRule="atLeast"/>
        </w:trPr>
        <w:tc>
          <w:tcPr>
            <w:tcW w:w="1378" w:type="dxa"/>
            <w:vAlign w:val="center"/>
          </w:tcPr>
          <w:p w14:paraId="0D086D66">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组织协调内容及措施(1分)</w:t>
            </w:r>
          </w:p>
        </w:tc>
        <w:tc>
          <w:tcPr>
            <w:tcW w:w="4950" w:type="dxa"/>
            <w:tcBorders>
              <w:right w:val="single" w:color="auto" w:sz="4" w:space="0"/>
            </w:tcBorders>
            <w:vAlign w:val="center"/>
          </w:tcPr>
          <w:p w14:paraId="087A06C5">
            <w:pPr>
              <w:pStyle w:val="60"/>
              <w:spacing w:before="252" w:line="247" w:lineRule="auto"/>
              <w:ind w:left="210" w:right="244" w:hanging="12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val="0"/>
                <w:bCs w:val="0"/>
                <w:color w:val="auto"/>
                <w:spacing w:val="-9"/>
                <w:sz w:val="21"/>
                <w:szCs w:val="21"/>
                <w:highlight w:val="none"/>
              </w:rPr>
              <w:t>优</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color w:val="auto"/>
                <w:spacing w:val="-9"/>
                <w:sz w:val="21"/>
                <w:szCs w:val="21"/>
                <w:highlight w:val="none"/>
              </w:rPr>
              <w:t>得该项评分因素分值的90%～100%</w:t>
            </w:r>
            <w:r>
              <w:rPr>
                <w:rFonts w:hint="eastAsia" w:asciiTheme="minorEastAsia" w:hAnsiTheme="minorEastAsia" w:eastAsiaTheme="minorEastAsia" w:cstheme="minorEastAsia"/>
                <w:color w:val="auto"/>
                <w:spacing w:val="31"/>
                <w:sz w:val="21"/>
                <w:szCs w:val="21"/>
                <w:highlight w:val="none"/>
              </w:rPr>
              <w:t>(含90%)。</w:t>
            </w:r>
          </w:p>
          <w:p w14:paraId="208FF44D">
            <w:pPr>
              <w:pStyle w:val="60"/>
              <w:spacing w:line="242" w:lineRule="auto"/>
              <w:ind w:left="71" w:right="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2233AAE2">
            <w:pPr>
              <w:pStyle w:val="60"/>
              <w:spacing w:line="242" w:lineRule="auto"/>
              <w:ind w:left="71" w:right="13" w:hanging="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63C7DA11">
            <w:pPr>
              <w:pStyle w:val="60"/>
              <w:spacing w:before="1" w:line="275" w:lineRule="auto"/>
              <w:ind w:left="71" w:right="12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【差】得该项评分因素分值的60～70%(含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tcBorders>
              <w:top w:val="single" w:color="auto" w:sz="4" w:space="0"/>
              <w:left w:val="single" w:color="auto" w:sz="4" w:space="0"/>
              <w:bottom w:val="single" w:color="auto" w:sz="4" w:space="0"/>
              <w:right w:val="single" w:color="auto" w:sz="4" w:space="0"/>
            </w:tcBorders>
            <w:vAlign w:val="center"/>
          </w:tcPr>
          <w:p w14:paraId="693C16B0">
            <w:pPr>
              <w:pStyle w:val="60"/>
              <w:spacing w:before="78" w:line="306" w:lineRule="auto"/>
              <w:ind w:left="85" w:right="121" w:firstLine="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要求各项制度规范清晰，方法科学合</w:t>
            </w:r>
            <w:r>
              <w:rPr>
                <w:rFonts w:hint="eastAsia" w:asciiTheme="minorEastAsia" w:hAnsiTheme="minorEastAsia" w:eastAsiaTheme="minorEastAsia" w:cstheme="minorEastAsia"/>
                <w:color w:val="auto"/>
                <w:spacing w:val="3"/>
                <w:sz w:val="21"/>
                <w:szCs w:val="21"/>
                <w:highlight w:val="none"/>
              </w:rPr>
              <w:t>理，措施及时有效，针对性强。能够高效收集、协调、处理、反馈各方各</w:t>
            </w:r>
            <w:r>
              <w:rPr>
                <w:rFonts w:hint="eastAsia" w:asciiTheme="minorEastAsia" w:hAnsiTheme="minorEastAsia" w:eastAsiaTheme="minorEastAsia" w:cstheme="minorEastAsia"/>
                <w:color w:val="auto"/>
                <w:sz w:val="21"/>
                <w:szCs w:val="21"/>
                <w:highlight w:val="none"/>
              </w:rPr>
              <w:t>类问题。</w:t>
            </w:r>
          </w:p>
        </w:tc>
      </w:tr>
      <w:tr w14:paraId="1F7C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4" w:hRule="atLeast"/>
        </w:trPr>
        <w:tc>
          <w:tcPr>
            <w:tcW w:w="1378" w:type="dxa"/>
            <w:vAlign w:val="center"/>
          </w:tcPr>
          <w:p w14:paraId="219B2DFD">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监理工作重点、难点分析(1分)</w:t>
            </w:r>
          </w:p>
        </w:tc>
        <w:tc>
          <w:tcPr>
            <w:tcW w:w="4950" w:type="dxa"/>
            <w:tcBorders>
              <w:right w:val="single" w:color="auto" w:sz="4" w:space="0"/>
            </w:tcBorders>
            <w:vAlign w:val="center"/>
          </w:tcPr>
          <w:p w14:paraId="39AB5FD9">
            <w:pPr>
              <w:pStyle w:val="60"/>
              <w:spacing w:before="252" w:line="247" w:lineRule="auto"/>
              <w:ind w:left="210" w:right="244" w:hanging="12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31"/>
                <w:sz w:val="21"/>
                <w:szCs w:val="21"/>
                <w:highlight w:val="none"/>
              </w:rPr>
              <w:t>(含90%)。</w:t>
            </w:r>
          </w:p>
          <w:p w14:paraId="4DD029B7">
            <w:pPr>
              <w:pStyle w:val="60"/>
              <w:spacing w:before="1" w:line="238" w:lineRule="auto"/>
              <w:ind w:left="71" w:right="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008CA62B">
            <w:pPr>
              <w:pStyle w:val="60"/>
              <w:spacing w:before="1" w:line="238" w:lineRule="auto"/>
              <w:ind w:left="71" w:right="13" w:hanging="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311E2580">
            <w:pPr>
              <w:pStyle w:val="60"/>
              <w:spacing w:before="1" w:line="275" w:lineRule="auto"/>
              <w:ind w:left="71" w:right="134" w:hanging="1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【差】得该项评分因素分值的60～70%(含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tcBorders>
              <w:top w:val="single" w:color="auto" w:sz="4" w:space="0"/>
              <w:left w:val="single" w:color="auto" w:sz="4" w:space="0"/>
              <w:bottom w:val="single" w:color="auto" w:sz="4" w:space="0"/>
              <w:right w:val="single" w:color="auto" w:sz="4" w:space="0"/>
            </w:tcBorders>
            <w:vAlign w:val="center"/>
          </w:tcPr>
          <w:p w14:paraId="2CC084FF">
            <w:pPr>
              <w:pStyle w:val="60"/>
              <w:spacing w:before="78" w:line="22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要求方法可行、措施具体、针对性强。</w:t>
            </w:r>
          </w:p>
        </w:tc>
      </w:tr>
      <w:tr w14:paraId="1599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2" w:hRule="atLeast"/>
        </w:trPr>
        <w:tc>
          <w:tcPr>
            <w:tcW w:w="1378" w:type="dxa"/>
            <w:vAlign w:val="center"/>
          </w:tcPr>
          <w:p w14:paraId="68239EE2">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合理化建议(1分)</w:t>
            </w:r>
          </w:p>
        </w:tc>
        <w:tc>
          <w:tcPr>
            <w:tcW w:w="4950" w:type="dxa"/>
            <w:vAlign w:val="center"/>
          </w:tcPr>
          <w:p w14:paraId="42B3F252">
            <w:pPr>
              <w:pStyle w:val="60"/>
              <w:spacing w:before="252" w:line="247" w:lineRule="auto"/>
              <w:ind w:right="24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【优】得该项评分因素分值的90%～100%</w:t>
            </w:r>
            <w:r>
              <w:rPr>
                <w:rFonts w:hint="eastAsia" w:asciiTheme="minorEastAsia" w:hAnsiTheme="minorEastAsia" w:eastAsiaTheme="minorEastAsia" w:cstheme="minorEastAsia"/>
                <w:color w:val="auto"/>
                <w:spacing w:val="28"/>
                <w:sz w:val="21"/>
                <w:szCs w:val="21"/>
                <w:highlight w:val="none"/>
              </w:rPr>
              <w:t>(含90%)。</w:t>
            </w:r>
          </w:p>
          <w:p w14:paraId="4E385C4C">
            <w:pPr>
              <w:pStyle w:val="60"/>
              <w:spacing w:before="1" w:line="238" w:lineRule="auto"/>
              <w:ind w:left="118" w:right="123" w:hanging="11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【良】得该项评分因素分值的80%～90%(含</w:t>
            </w:r>
            <w:r>
              <w:rPr>
                <w:rFonts w:hint="eastAsia" w:asciiTheme="minorEastAsia" w:hAnsiTheme="minorEastAsia" w:eastAsiaTheme="minorEastAsia" w:cstheme="minorEastAsia"/>
                <w:color w:val="auto"/>
                <w:spacing w:val="-7"/>
                <w:sz w:val="21"/>
                <w:szCs w:val="21"/>
                <w:highlight w:val="none"/>
              </w:rPr>
              <w:t>80%)。</w:t>
            </w:r>
          </w:p>
          <w:p w14:paraId="5E3838BB">
            <w:pPr>
              <w:pStyle w:val="60"/>
              <w:spacing w:line="242" w:lineRule="auto"/>
              <w:ind w:left="71" w:right="23" w:hanging="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【中】得该项评分因素分值的70%～80%(含</w:t>
            </w:r>
            <w:r>
              <w:rPr>
                <w:rFonts w:hint="eastAsia" w:asciiTheme="minorEastAsia" w:hAnsiTheme="minorEastAsia" w:eastAsiaTheme="minorEastAsia" w:cstheme="minorEastAsia"/>
                <w:color w:val="auto"/>
                <w:spacing w:val="-7"/>
                <w:sz w:val="21"/>
                <w:szCs w:val="21"/>
                <w:highlight w:val="none"/>
              </w:rPr>
              <w:t>70%)。</w:t>
            </w:r>
          </w:p>
          <w:p w14:paraId="119840A4">
            <w:pPr>
              <w:pStyle w:val="60"/>
              <w:spacing w:before="1" w:line="252" w:lineRule="auto"/>
              <w:ind w:left="71" w:right="144" w:hanging="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【差】得该项评分因素分值的60～70%(含</w:t>
            </w:r>
            <w:r>
              <w:rPr>
                <w:rFonts w:hint="eastAsia" w:asciiTheme="minorEastAsia" w:hAnsiTheme="minorEastAsia" w:eastAsiaTheme="minorEastAsia" w:cstheme="minorEastAsia"/>
                <w:color w:val="auto"/>
                <w:spacing w:val="-7"/>
                <w:sz w:val="21"/>
                <w:szCs w:val="21"/>
                <w:highlight w:val="none"/>
              </w:rPr>
              <w:t>60%)。</w:t>
            </w:r>
          </w:p>
        </w:tc>
        <w:tc>
          <w:tcPr>
            <w:tcW w:w="3695" w:type="dxa"/>
            <w:gridSpan w:val="2"/>
            <w:tcBorders>
              <w:top w:val="single" w:color="auto" w:sz="4" w:space="0"/>
            </w:tcBorders>
            <w:vAlign w:val="center"/>
          </w:tcPr>
          <w:p w14:paraId="31307658">
            <w:pPr>
              <w:pStyle w:val="60"/>
              <w:spacing w:before="78" w:line="22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要求方法可行、措施具体、针对性强。</w:t>
            </w:r>
          </w:p>
        </w:tc>
      </w:tr>
      <w:tr w14:paraId="7FF6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535" w:hRule="atLeast"/>
        </w:trPr>
        <w:tc>
          <w:tcPr>
            <w:tcW w:w="10020" w:type="dxa"/>
            <w:gridSpan w:val="3"/>
            <w:vAlign w:val="top"/>
          </w:tcPr>
          <w:p w14:paraId="66304685">
            <w:pPr>
              <w:pStyle w:val="60"/>
              <w:spacing w:before="59" w:line="218" w:lineRule="auto"/>
              <w:ind w:left="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投标报价部分满分：30分。</w:t>
            </w:r>
          </w:p>
        </w:tc>
      </w:tr>
      <w:tr w14:paraId="39362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559" w:hRule="atLeast"/>
        </w:trPr>
        <w:tc>
          <w:tcPr>
            <w:tcW w:w="1378" w:type="dxa"/>
            <w:vAlign w:val="top"/>
          </w:tcPr>
          <w:p w14:paraId="3F487422">
            <w:pPr>
              <w:pStyle w:val="60"/>
              <w:spacing w:before="161" w:line="220" w:lineRule="auto"/>
              <w:ind w:left="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评分事项</w:t>
            </w:r>
          </w:p>
        </w:tc>
        <w:tc>
          <w:tcPr>
            <w:tcW w:w="8642" w:type="dxa"/>
            <w:gridSpan w:val="2"/>
            <w:vAlign w:val="top"/>
          </w:tcPr>
          <w:p w14:paraId="77E49219">
            <w:pPr>
              <w:pStyle w:val="60"/>
              <w:spacing w:before="161" w:line="220" w:lineRule="auto"/>
              <w:ind w:left="38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评分方法</w:t>
            </w:r>
          </w:p>
        </w:tc>
      </w:tr>
      <w:tr w14:paraId="7F27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4744" w:hRule="atLeast"/>
        </w:trPr>
        <w:tc>
          <w:tcPr>
            <w:tcW w:w="1378" w:type="dxa"/>
            <w:vAlign w:val="top"/>
          </w:tcPr>
          <w:p w14:paraId="4A8940D0">
            <w:pPr>
              <w:spacing w:line="268" w:lineRule="auto"/>
              <w:rPr>
                <w:rFonts w:hint="eastAsia" w:asciiTheme="minorEastAsia" w:hAnsiTheme="minorEastAsia" w:eastAsiaTheme="minorEastAsia" w:cstheme="minorEastAsia"/>
                <w:color w:val="auto"/>
                <w:sz w:val="21"/>
                <w:szCs w:val="21"/>
                <w:highlight w:val="none"/>
              </w:rPr>
            </w:pPr>
          </w:p>
          <w:p w14:paraId="4A13F4E3">
            <w:pPr>
              <w:spacing w:line="269" w:lineRule="auto"/>
              <w:rPr>
                <w:rFonts w:hint="eastAsia" w:asciiTheme="minorEastAsia" w:hAnsiTheme="minorEastAsia" w:eastAsiaTheme="minorEastAsia" w:cstheme="minorEastAsia"/>
                <w:color w:val="auto"/>
                <w:sz w:val="21"/>
                <w:szCs w:val="21"/>
                <w:highlight w:val="none"/>
              </w:rPr>
            </w:pPr>
          </w:p>
          <w:p w14:paraId="1A3ACB13">
            <w:pPr>
              <w:spacing w:line="269" w:lineRule="auto"/>
              <w:rPr>
                <w:rFonts w:hint="eastAsia" w:asciiTheme="minorEastAsia" w:hAnsiTheme="minorEastAsia" w:eastAsiaTheme="minorEastAsia" w:cstheme="minorEastAsia"/>
                <w:color w:val="auto"/>
                <w:sz w:val="21"/>
                <w:szCs w:val="21"/>
                <w:highlight w:val="none"/>
              </w:rPr>
            </w:pPr>
          </w:p>
          <w:p w14:paraId="4861D0DD">
            <w:pPr>
              <w:spacing w:line="269" w:lineRule="auto"/>
              <w:rPr>
                <w:rFonts w:hint="eastAsia" w:asciiTheme="minorEastAsia" w:hAnsiTheme="minorEastAsia" w:eastAsiaTheme="minorEastAsia" w:cstheme="minorEastAsia"/>
                <w:color w:val="auto"/>
                <w:sz w:val="21"/>
                <w:szCs w:val="21"/>
                <w:highlight w:val="none"/>
              </w:rPr>
            </w:pPr>
          </w:p>
          <w:p w14:paraId="7339C60F">
            <w:pPr>
              <w:spacing w:line="269" w:lineRule="auto"/>
              <w:rPr>
                <w:rFonts w:hint="eastAsia" w:asciiTheme="minorEastAsia" w:hAnsiTheme="minorEastAsia" w:eastAsiaTheme="minorEastAsia" w:cstheme="minorEastAsia"/>
                <w:color w:val="auto"/>
                <w:sz w:val="21"/>
                <w:szCs w:val="21"/>
                <w:highlight w:val="none"/>
              </w:rPr>
            </w:pPr>
          </w:p>
          <w:p w14:paraId="075BADB3">
            <w:pPr>
              <w:spacing w:line="269" w:lineRule="auto"/>
              <w:rPr>
                <w:rFonts w:hint="eastAsia" w:asciiTheme="minorEastAsia" w:hAnsiTheme="minorEastAsia" w:eastAsiaTheme="minorEastAsia" w:cstheme="minorEastAsia"/>
                <w:color w:val="auto"/>
                <w:sz w:val="21"/>
                <w:szCs w:val="21"/>
                <w:highlight w:val="none"/>
              </w:rPr>
            </w:pPr>
          </w:p>
          <w:p w14:paraId="158702FF">
            <w:pPr>
              <w:spacing w:line="269" w:lineRule="auto"/>
              <w:rPr>
                <w:rFonts w:hint="eastAsia" w:asciiTheme="minorEastAsia" w:hAnsiTheme="minorEastAsia" w:eastAsiaTheme="minorEastAsia" w:cstheme="minorEastAsia"/>
                <w:color w:val="auto"/>
                <w:sz w:val="21"/>
                <w:szCs w:val="21"/>
                <w:highlight w:val="none"/>
              </w:rPr>
            </w:pPr>
          </w:p>
          <w:p w14:paraId="375F8873">
            <w:pPr>
              <w:spacing w:line="269" w:lineRule="auto"/>
              <w:rPr>
                <w:rFonts w:hint="eastAsia" w:asciiTheme="minorEastAsia" w:hAnsiTheme="minorEastAsia" w:eastAsiaTheme="minorEastAsia" w:cstheme="minorEastAsia"/>
                <w:color w:val="auto"/>
                <w:sz w:val="21"/>
                <w:szCs w:val="21"/>
                <w:highlight w:val="none"/>
              </w:rPr>
            </w:pPr>
          </w:p>
          <w:p w14:paraId="75150E9B">
            <w:pPr>
              <w:pStyle w:val="60"/>
              <w:spacing w:before="81" w:line="218" w:lineRule="auto"/>
              <w:ind w:left="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投标报价</w:t>
            </w:r>
          </w:p>
        </w:tc>
        <w:tc>
          <w:tcPr>
            <w:tcW w:w="8642" w:type="dxa"/>
            <w:gridSpan w:val="2"/>
            <w:vAlign w:val="top"/>
          </w:tcPr>
          <w:p w14:paraId="05BD3DAB">
            <w:pPr>
              <w:pStyle w:val="60"/>
              <w:spacing w:before="109" w:line="218" w:lineRule="auto"/>
              <w:ind w:left="21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(1)确定最高投标限价下浮系数n:用1～21号球分别代表一个下浮系数，由评</w:t>
            </w:r>
          </w:p>
          <w:p w14:paraId="4E683563">
            <w:pPr>
              <w:pStyle w:val="60"/>
              <w:spacing w:before="104" w:line="270" w:lineRule="auto"/>
              <w:ind w:left="81" w:firstLine="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委代表从这21个号码中随机抽取3次，抽</w:t>
            </w:r>
            <w:r>
              <w:rPr>
                <w:rFonts w:hint="eastAsia" w:asciiTheme="minorEastAsia" w:hAnsiTheme="minorEastAsia" w:eastAsiaTheme="minorEastAsia" w:cstheme="minorEastAsia"/>
                <w:color w:val="auto"/>
                <w:sz w:val="21"/>
                <w:szCs w:val="21"/>
                <w:highlight w:val="none"/>
              </w:rPr>
              <w:t>出的号球不参与下次抽取，每次抽取1</w:t>
            </w:r>
            <w:r>
              <w:rPr>
                <w:rFonts w:hint="eastAsia" w:asciiTheme="minorEastAsia" w:hAnsiTheme="minorEastAsia" w:eastAsiaTheme="minorEastAsia" w:cstheme="minorEastAsia"/>
                <w:color w:val="auto"/>
                <w:spacing w:val="-7"/>
                <w:sz w:val="21"/>
                <w:szCs w:val="21"/>
                <w:highlight w:val="none"/>
              </w:rPr>
              <w:t>个号码，所抽取的3个号码对应下浮系数的算术平均值作为最高投标限价下浮系数</w:t>
            </w:r>
            <w:r>
              <w:rPr>
                <w:rFonts w:hint="eastAsia" w:asciiTheme="minorEastAsia" w:hAnsiTheme="minorEastAsia" w:eastAsiaTheme="minorEastAsia" w:cstheme="minorEastAsia"/>
                <w:color w:val="auto"/>
                <w:spacing w:val="-1"/>
                <w:sz w:val="21"/>
                <w:szCs w:val="21"/>
                <w:highlight w:val="none"/>
              </w:rPr>
              <w:t>n。具体号码对应的下浮系数可参考下表。</w:t>
            </w:r>
          </w:p>
          <w:tbl>
            <w:tblPr>
              <w:tblStyle w:val="63"/>
              <w:tblW w:w="7896" w:type="dxa"/>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9"/>
              <w:gridCol w:w="831"/>
              <w:gridCol w:w="871"/>
              <w:gridCol w:w="871"/>
              <w:gridCol w:w="881"/>
              <w:gridCol w:w="901"/>
              <w:gridCol w:w="929"/>
              <w:gridCol w:w="1033"/>
            </w:tblGrid>
            <w:tr w14:paraId="3CB6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579" w:type="dxa"/>
                  <w:vAlign w:val="top"/>
                </w:tcPr>
                <w:p w14:paraId="0967CBF4">
                  <w:pPr>
                    <w:pStyle w:val="60"/>
                    <w:spacing w:before="76"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号球</w:t>
                  </w:r>
                </w:p>
              </w:tc>
              <w:tc>
                <w:tcPr>
                  <w:tcW w:w="831" w:type="dxa"/>
                  <w:vAlign w:val="top"/>
                </w:tcPr>
                <w:p w14:paraId="22C40BBD">
                  <w:pPr>
                    <w:pStyle w:val="60"/>
                    <w:spacing w:before="100" w:line="209" w:lineRule="auto"/>
                    <w:ind w:left="3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71" w:type="dxa"/>
                  <w:vAlign w:val="top"/>
                </w:tcPr>
                <w:p w14:paraId="32FA9F57">
                  <w:pPr>
                    <w:pStyle w:val="60"/>
                    <w:spacing w:before="100" w:line="209" w:lineRule="auto"/>
                    <w:ind w:left="3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871" w:type="dxa"/>
                  <w:vAlign w:val="top"/>
                </w:tcPr>
                <w:p w14:paraId="0FD861D1">
                  <w:pPr>
                    <w:pStyle w:val="60"/>
                    <w:spacing w:before="100" w:line="209" w:lineRule="auto"/>
                    <w:ind w:left="3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81" w:type="dxa"/>
                  <w:vAlign w:val="top"/>
                </w:tcPr>
                <w:p w14:paraId="484C64DA">
                  <w:pPr>
                    <w:pStyle w:val="60"/>
                    <w:spacing w:before="100" w:line="209" w:lineRule="auto"/>
                    <w:ind w:left="3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901" w:type="dxa"/>
                  <w:vAlign w:val="top"/>
                </w:tcPr>
                <w:p w14:paraId="3D466511">
                  <w:pPr>
                    <w:pStyle w:val="60"/>
                    <w:spacing w:before="100" w:line="209" w:lineRule="auto"/>
                    <w:ind w:left="3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929" w:type="dxa"/>
                  <w:vAlign w:val="top"/>
                </w:tcPr>
                <w:p w14:paraId="022F3514">
                  <w:pPr>
                    <w:pStyle w:val="60"/>
                    <w:spacing w:before="100" w:line="209" w:lineRule="auto"/>
                    <w:ind w:left="3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033" w:type="dxa"/>
                  <w:vAlign w:val="top"/>
                </w:tcPr>
                <w:p w14:paraId="31ECD552">
                  <w:pPr>
                    <w:pStyle w:val="60"/>
                    <w:spacing w:before="100" w:line="209" w:lineRule="auto"/>
                    <w:ind w:left="44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r>
            <w:tr w14:paraId="3813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579" w:type="dxa"/>
                  <w:vAlign w:val="top"/>
                </w:tcPr>
                <w:p w14:paraId="0EFDF4D8">
                  <w:pPr>
                    <w:pStyle w:val="60"/>
                    <w:spacing w:before="121" w:line="219" w:lineRule="auto"/>
                    <w:ind w:left="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下浮系数(%)</w:t>
                  </w:r>
                </w:p>
              </w:tc>
              <w:tc>
                <w:tcPr>
                  <w:tcW w:w="831" w:type="dxa"/>
                  <w:vAlign w:val="top"/>
                </w:tcPr>
                <w:p w14:paraId="2D0F56ED">
                  <w:pPr>
                    <w:pStyle w:val="60"/>
                    <w:spacing w:before="145" w:line="239" w:lineRule="auto"/>
                    <w:ind w:left="2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0.0</w:t>
                  </w:r>
                </w:p>
              </w:tc>
              <w:tc>
                <w:tcPr>
                  <w:tcW w:w="871" w:type="dxa"/>
                  <w:vAlign w:val="top"/>
                </w:tcPr>
                <w:p w14:paraId="15E8B233">
                  <w:pPr>
                    <w:pStyle w:val="60"/>
                    <w:spacing w:before="145" w:line="239" w:lineRule="auto"/>
                    <w:ind w:left="24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0.1</w:t>
                  </w:r>
                </w:p>
              </w:tc>
              <w:tc>
                <w:tcPr>
                  <w:tcW w:w="871" w:type="dxa"/>
                  <w:vAlign w:val="top"/>
                </w:tcPr>
                <w:p w14:paraId="0A85222B">
                  <w:pPr>
                    <w:pStyle w:val="60"/>
                    <w:spacing w:before="145" w:line="239" w:lineRule="auto"/>
                    <w:ind w:left="2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0.2</w:t>
                  </w:r>
                </w:p>
              </w:tc>
              <w:tc>
                <w:tcPr>
                  <w:tcW w:w="881" w:type="dxa"/>
                  <w:vAlign w:val="top"/>
                </w:tcPr>
                <w:p w14:paraId="6414A7F6">
                  <w:pPr>
                    <w:pStyle w:val="60"/>
                    <w:spacing w:before="145" w:line="239" w:lineRule="auto"/>
                    <w:ind w:left="2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0.3</w:t>
                  </w:r>
                </w:p>
              </w:tc>
              <w:tc>
                <w:tcPr>
                  <w:tcW w:w="901" w:type="dxa"/>
                  <w:vAlign w:val="top"/>
                </w:tcPr>
                <w:p w14:paraId="153DC4E4">
                  <w:pPr>
                    <w:pStyle w:val="60"/>
                    <w:spacing w:before="145" w:line="239" w:lineRule="auto"/>
                    <w:ind w:left="2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0.4</w:t>
                  </w:r>
                </w:p>
              </w:tc>
              <w:tc>
                <w:tcPr>
                  <w:tcW w:w="929" w:type="dxa"/>
                  <w:vAlign w:val="top"/>
                </w:tcPr>
                <w:p w14:paraId="5A80C6B8">
                  <w:pPr>
                    <w:pStyle w:val="60"/>
                    <w:spacing w:before="145" w:line="239" w:lineRule="auto"/>
                    <w:ind w:left="2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0.5</w:t>
                  </w:r>
                </w:p>
              </w:tc>
              <w:tc>
                <w:tcPr>
                  <w:tcW w:w="1033" w:type="dxa"/>
                  <w:vAlign w:val="top"/>
                </w:tcPr>
                <w:p w14:paraId="1B0BD4D0">
                  <w:pPr>
                    <w:pStyle w:val="60"/>
                    <w:spacing w:before="145" w:line="239" w:lineRule="auto"/>
                    <w:ind w:left="3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0.6</w:t>
                  </w:r>
                </w:p>
              </w:tc>
            </w:tr>
            <w:tr w14:paraId="4447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79" w:type="dxa"/>
                  <w:vAlign w:val="top"/>
                </w:tcPr>
                <w:p w14:paraId="6E2FB2D7">
                  <w:pPr>
                    <w:pStyle w:val="60"/>
                    <w:spacing w:before="104" w:line="210"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号球</w:t>
                  </w:r>
                </w:p>
              </w:tc>
              <w:tc>
                <w:tcPr>
                  <w:tcW w:w="831" w:type="dxa"/>
                  <w:vAlign w:val="top"/>
                </w:tcPr>
                <w:p w14:paraId="22F697BA">
                  <w:pPr>
                    <w:pStyle w:val="60"/>
                    <w:spacing w:before="168" w:line="163" w:lineRule="auto"/>
                    <w:ind w:left="3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871" w:type="dxa"/>
                  <w:vAlign w:val="top"/>
                </w:tcPr>
                <w:p w14:paraId="630A0D48">
                  <w:pPr>
                    <w:pStyle w:val="60"/>
                    <w:spacing w:before="108" w:line="207" w:lineRule="auto"/>
                    <w:ind w:left="3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871" w:type="dxa"/>
                  <w:vAlign w:val="top"/>
                </w:tcPr>
                <w:p w14:paraId="46BA5597">
                  <w:pPr>
                    <w:pStyle w:val="60"/>
                    <w:spacing w:before="168" w:line="163" w:lineRule="auto"/>
                    <w:ind w:left="30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881" w:type="dxa"/>
                  <w:vAlign w:val="top"/>
                </w:tcPr>
                <w:p w14:paraId="19A1C0AE">
                  <w:pPr>
                    <w:pStyle w:val="60"/>
                    <w:spacing w:before="168" w:line="163" w:lineRule="auto"/>
                    <w:ind w:lef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901" w:type="dxa"/>
                  <w:vAlign w:val="top"/>
                </w:tcPr>
                <w:p w14:paraId="4405ADE1">
                  <w:pPr>
                    <w:pStyle w:val="60"/>
                    <w:spacing w:before="108" w:line="207" w:lineRule="auto"/>
                    <w:ind w:left="3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12</w:t>
                  </w:r>
                </w:p>
              </w:tc>
              <w:tc>
                <w:tcPr>
                  <w:tcW w:w="929" w:type="dxa"/>
                  <w:vAlign w:val="top"/>
                </w:tcPr>
                <w:p w14:paraId="6A75450B">
                  <w:pPr>
                    <w:pStyle w:val="60"/>
                    <w:spacing w:before="108" w:line="207" w:lineRule="auto"/>
                    <w:ind w:left="3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033" w:type="dxa"/>
                  <w:vAlign w:val="top"/>
                </w:tcPr>
                <w:p w14:paraId="76CE6FF8">
                  <w:pPr>
                    <w:pStyle w:val="60"/>
                    <w:spacing w:before="168" w:line="163" w:lineRule="auto"/>
                    <w:ind w:left="3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r>
            <w:tr w14:paraId="30C6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579" w:type="dxa"/>
                  <w:vAlign w:val="top"/>
                </w:tcPr>
                <w:p w14:paraId="33F29D87">
                  <w:pPr>
                    <w:pStyle w:val="60"/>
                    <w:spacing w:before="184" w:line="219" w:lineRule="auto"/>
                    <w:ind w:left="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下浮系数(%)</w:t>
                  </w:r>
                </w:p>
              </w:tc>
              <w:tc>
                <w:tcPr>
                  <w:tcW w:w="831" w:type="dxa"/>
                  <w:vAlign w:val="top"/>
                </w:tcPr>
                <w:p w14:paraId="5E7FD3F1">
                  <w:pPr>
                    <w:pStyle w:val="60"/>
                    <w:spacing w:before="229" w:line="198" w:lineRule="auto"/>
                    <w:ind w:left="2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0.7</w:t>
                  </w:r>
                </w:p>
              </w:tc>
              <w:tc>
                <w:tcPr>
                  <w:tcW w:w="871" w:type="dxa"/>
                  <w:vAlign w:val="top"/>
                </w:tcPr>
                <w:p w14:paraId="55273385">
                  <w:pPr>
                    <w:pStyle w:val="60"/>
                    <w:spacing w:before="229" w:line="198" w:lineRule="auto"/>
                    <w:ind w:left="24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0.8</w:t>
                  </w:r>
                </w:p>
              </w:tc>
              <w:tc>
                <w:tcPr>
                  <w:tcW w:w="871" w:type="dxa"/>
                  <w:vAlign w:val="top"/>
                </w:tcPr>
                <w:p w14:paraId="78198581">
                  <w:pPr>
                    <w:pStyle w:val="60"/>
                    <w:spacing w:before="219" w:line="206" w:lineRule="auto"/>
                    <w:ind w:left="2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0.9</w:t>
                  </w:r>
                </w:p>
              </w:tc>
              <w:tc>
                <w:tcPr>
                  <w:tcW w:w="881" w:type="dxa"/>
                  <w:vAlign w:val="top"/>
                </w:tcPr>
                <w:p w14:paraId="270DF77F">
                  <w:pPr>
                    <w:pStyle w:val="60"/>
                    <w:spacing w:before="209" w:line="213" w:lineRule="auto"/>
                    <w:ind w:left="2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1.0</w:t>
                  </w:r>
                </w:p>
              </w:tc>
              <w:tc>
                <w:tcPr>
                  <w:tcW w:w="901" w:type="dxa"/>
                  <w:vAlign w:val="top"/>
                </w:tcPr>
                <w:p w14:paraId="0E704B40">
                  <w:pPr>
                    <w:pStyle w:val="60"/>
                    <w:spacing w:before="229" w:line="198" w:lineRule="auto"/>
                    <w:ind w:left="2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1.1</w:t>
                  </w:r>
                </w:p>
              </w:tc>
              <w:tc>
                <w:tcPr>
                  <w:tcW w:w="929" w:type="dxa"/>
                  <w:vAlign w:val="top"/>
                </w:tcPr>
                <w:p w14:paraId="31603046">
                  <w:pPr>
                    <w:pStyle w:val="60"/>
                    <w:spacing w:before="229" w:line="198" w:lineRule="auto"/>
                    <w:ind w:left="2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1.2</w:t>
                  </w:r>
                </w:p>
              </w:tc>
              <w:tc>
                <w:tcPr>
                  <w:tcW w:w="1033" w:type="dxa"/>
                  <w:vAlign w:val="top"/>
                </w:tcPr>
                <w:p w14:paraId="01EB8662">
                  <w:pPr>
                    <w:pStyle w:val="60"/>
                    <w:spacing w:before="229" w:line="198" w:lineRule="auto"/>
                    <w:ind w:left="3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1.3</w:t>
                  </w:r>
                </w:p>
              </w:tc>
            </w:tr>
            <w:tr w14:paraId="6605A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79" w:type="dxa"/>
                  <w:vAlign w:val="top"/>
                </w:tcPr>
                <w:p w14:paraId="36809018">
                  <w:pPr>
                    <w:pStyle w:val="60"/>
                    <w:spacing w:before="77"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号球</w:t>
                  </w:r>
                </w:p>
              </w:tc>
              <w:tc>
                <w:tcPr>
                  <w:tcW w:w="831" w:type="dxa"/>
                  <w:vAlign w:val="top"/>
                </w:tcPr>
                <w:p w14:paraId="08ECB2B7">
                  <w:pPr>
                    <w:pStyle w:val="60"/>
                    <w:spacing w:before="131" w:line="182" w:lineRule="auto"/>
                    <w:ind w:left="2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871" w:type="dxa"/>
                  <w:vAlign w:val="top"/>
                </w:tcPr>
                <w:p w14:paraId="689DB9E8">
                  <w:pPr>
                    <w:pStyle w:val="60"/>
                    <w:spacing w:before="131" w:line="182" w:lineRule="auto"/>
                    <w:ind w:left="3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16</w:t>
                  </w:r>
                </w:p>
              </w:tc>
              <w:tc>
                <w:tcPr>
                  <w:tcW w:w="871" w:type="dxa"/>
                  <w:vAlign w:val="top"/>
                </w:tcPr>
                <w:p w14:paraId="357CE937">
                  <w:pPr>
                    <w:pStyle w:val="60"/>
                    <w:spacing w:before="131" w:line="182" w:lineRule="auto"/>
                    <w:ind w:left="30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881" w:type="dxa"/>
                  <w:vAlign w:val="top"/>
                </w:tcPr>
                <w:p w14:paraId="0638B65B">
                  <w:pPr>
                    <w:pStyle w:val="60"/>
                    <w:spacing w:before="161" w:line="160" w:lineRule="auto"/>
                    <w:ind w:lef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901" w:type="dxa"/>
                  <w:vAlign w:val="top"/>
                </w:tcPr>
                <w:p w14:paraId="5F5EE758">
                  <w:pPr>
                    <w:pStyle w:val="60"/>
                    <w:spacing w:before="101" w:line="204" w:lineRule="auto"/>
                    <w:ind w:left="3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929" w:type="dxa"/>
                  <w:vAlign w:val="top"/>
                </w:tcPr>
                <w:p w14:paraId="2D769940">
                  <w:pPr>
                    <w:pStyle w:val="60"/>
                    <w:spacing w:before="101" w:line="204" w:lineRule="auto"/>
                    <w:ind w:left="3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20</w:t>
                  </w:r>
                </w:p>
              </w:tc>
              <w:tc>
                <w:tcPr>
                  <w:tcW w:w="1033" w:type="dxa"/>
                  <w:vAlign w:val="top"/>
                </w:tcPr>
                <w:p w14:paraId="3777F22C">
                  <w:pPr>
                    <w:pStyle w:val="60"/>
                    <w:spacing w:before="131" w:line="182" w:lineRule="auto"/>
                    <w:ind w:left="3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21</w:t>
                  </w:r>
                </w:p>
              </w:tc>
            </w:tr>
            <w:tr w14:paraId="7FA07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79" w:type="dxa"/>
                  <w:vAlign w:val="top"/>
                </w:tcPr>
                <w:p w14:paraId="154BAF9C">
                  <w:pPr>
                    <w:pStyle w:val="60"/>
                    <w:spacing w:before="138" w:line="219" w:lineRule="auto"/>
                    <w:ind w:left="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下浮系数(%)</w:t>
                  </w:r>
                </w:p>
              </w:tc>
              <w:tc>
                <w:tcPr>
                  <w:tcW w:w="831" w:type="dxa"/>
                  <w:vAlign w:val="top"/>
                </w:tcPr>
                <w:p w14:paraId="616A6F5E">
                  <w:pPr>
                    <w:pStyle w:val="60"/>
                    <w:spacing w:before="223" w:line="199" w:lineRule="auto"/>
                    <w:ind w:left="2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1.4</w:t>
                  </w:r>
                </w:p>
              </w:tc>
              <w:tc>
                <w:tcPr>
                  <w:tcW w:w="871" w:type="dxa"/>
                  <w:vAlign w:val="top"/>
                </w:tcPr>
                <w:p w14:paraId="27339454">
                  <w:pPr>
                    <w:pStyle w:val="60"/>
                    <w:spacing w:before="223" w:line="199" w:lineRule="auto"/>
                    <w:ind w:left="24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1.5</w:t>
                  </w:r>
                </w:p>
              </w:tc>
              <w:tc>
                <w:tcPr>
                  <w:tcW w:w="871" w:type="dxa"/>
                  <w:vAlign w:val="top"/>
                </w:tcPr>
                <w:p w14:paraId="1C2450F1">
                  <w:pPr>
                    <w:pStyle w:val="60"/>
                    <w:spacing w:before="162" w:line="239" w:lineRule="auto"/>
                    <w:ind w:left="2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1.6</w:t>
                  </w:r>
                </w:p>
              </w:tc>
              <w:tc>
                <w:tcPr>
                  <w:tcW w:w="881" w:type="dxa"/>
                  <w:vAlign w:val="top"/>
                </w:tcPr>
                <w:p w14:paraId="7CC406C0">
                  <w:pPr>
                    <w:pStyle w:val="60"/>
                    <w:spacing w:before="223" w:line="199" w:lineRule="auto"/>
                    <w:ind w:left="2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1.7</w:t>
                  </w:r>
                </w:p>
              </w:tc>
              <w:tc>
                <w:tcPr>
                  <w:tcW w:w="901" w:type="dxa"/>
                  <w:vAlign w:val="top"/>
                </w:tcPr>
                <w:p w14:paraId="404D882D">
                  <w:pPr>
                    <w:pStyle w:val="60"/>
                    <w:spacing w:before="212" w:line="207" w:lineRule="auto"/>
                    <w:ind w:left="2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1.8</w:t>
                  </w:r>
                </w:p>
              </w:tc>
              <w:tc>
                <w:tcPr>
                  <w:tcW w:w="929" w:type="dxa"/>
                  <w:vAlign w:val="top"/>
                </w:tcPr>
                <w:p w14:paraId="5428730A">
                  <w:pPr>
                    <w:pStyle w:val="60"/>
                    <w:spacing w:before="212" w:line="207" w:lineRule="auto"/>
                    <w:ind w:left="2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1.9</w:t>
                  </w:r>
                </w:p>
              </w:tc>
              <w:tc>
                <w:tcPr>
                  <w:tcW w:w="1033" w:type="dxa"/>
                  <w:vAlign w:val="top"/>
                </w:tcPr>
                <w:p w14:paraId="3DFC718E">
                  <w:pPr>
                    <w:pStyle w:val="60"/>
                    <w:spacing w:before="212" w:line="207" w:lineRule="auto"/>
                    <w:ind w:left="3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r>
          </w:tbl>
          <w:p w14:paraId="3AAB78BB">
            <w:pPr>
              <w:pStyle w:val="60"/>
              <w:spacing w:before="103" w:line="203" w:lineRule="auto"/>
              <w:ind w:left="21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(2)评标基准价D=最高投标限价×(1-n)</w:t>
            </w:r>
          </w:p>
        </w:tc>
      </w:tr>
      <w:tr w14:paraId="7F8A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2802" w:hRule="atLeast"/>
        </w:trPr>
        <w:tc>
          <w:tcPr>
            <w:tcW w:w="1378" w:type="dxa"/>
            <w:vAlign w:val="top"/>
          </w:tcPr>
          <w:p w14:paraId="3D061E6E">
            <w:pPr>
              <w:spacing w:line="299" w:lineRule="auto"/>
              <w:rPr>
                <w:rFonts w:hint="eastAsia" w:asciiTheme="minorEastAsia" w:hAnsiTheme="minorEastAsia" w:eastAsiaTheme="minorEastAsia" w:cstheme="minorEastAsia"/>
                <w:color w:val="auto"/>
                <w:sz w:val="21"/>
                <w:szCs w:val="21"/>
                <w:highlight w:val="none"/>
              </w:rPr>
            </w:pPr>
          </w:p>
          <w:p w14:paraId="31CEC17C">
            <w:pPr>
              <w:spacing w:line="299" w:lineRule="auto"/>
              <w:rPr>
                <w:rFonts w:hint="eastAsia" w:asciiTheme="minorEastAsia" w:hAnsiTheme="minorEastAsia" w:eastAsiaTheme="minorEastAsia" w:cstheme="minorEastAsia"/>
                <w:color w:val="auto"/>
                <w:sz w:val="21"/>
                <w:szCs w:val="21"/>
                <w:highlight w:val="none"/>
              </w:rPr>
            </w:pPr>
          </w:p>
          <w:p w14:paraId="2DAF1948">
            <w:pPr>
              <w:spacing w:line="300" w:lineRule="auto"/>
              <w:rPr>
                <w:rFonts w:hint="eastAsia" w:asciiTheme="minorEastAsia" w:hAnsiTheme="minorEastAsia" w:eastAsiaTheme="minorEastAsia" w:cstheme="minorEastAsia"/>
                <w:color w:val="auto"/>
                <w:sz w:val="21"/>
                <w:szCs w:val="21"/>
                <w:highlight w:val="none"/>
              </w:rPr>
            </w:pPr>
          </w:p>
          <w:p w14:paraId="4CA22DA5">
            <w:pPr>
              <w:pStyle w:val="60"/>
              <w:spacing w:before="81" w:line="343" w:lineRule="auto"/>
              <w:ind w:left="286" w:leftChars="30" w:right="208" w:hanging="214" w:hanging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投标报价</w:t>
            </w:r>
            <w:r>
              <w:rPr>
                <w:rFonts w:hint="eastAsia" w:asciiTheme="minorEastAsia" w:hAnsiTheme="minorEastAsia" w:eastAsiaTheme="minorEastAsia" w:cstheme="minorEastAsia"/>
                <w:color w:val="auto"/>
                <w:spacing w:val="2"/>
                <w:sz w:val="21"/>
                <w:szCs w:val="21"/>
                <w:highlight w:val="none"/>
                <w:lang w:val="en-US" w:eastAsia="zh-CN"/>
              </w:rPr>
              <w:t>得</w:t>
            </w:r>
            <w:r>
              <w:rPr>
                <w:rFonts w:hint="eastAsia" w:asciiTheme="minorEastAsia" w:hAnsiTheme="minorEastAsia" w:eastAsiaTheme="minorEastAsia" w:cstheme="minorEastAsia"/>
                <w:color w:val="auto"/>
                <w:spacing w:val="3"/>
                <w:sz w:val="21"/>
                <w:szCs w:val="21"/>
                <w:highlight w:val="none"/>
              </w:rPr>
              <w:t>分M3</w:t>
            </w:r>
          </w:p>
        </w:tc>
        <w:tc>
          <w:tcPr>
            <w:tcW w:w="8642" w:type="dxa"/>
            <w:gridSpan w:val="2"/>
            <w:vAlign w:val="top"/>
          </w:tcPr>
          <w:p w14:paraId="09765F01">
            <w:pPr>
              <w:pStyle w:val="60"/>
              <w:spacing w:before="41" w:line="343" w:lineRule="auto"/>
              <w:ind w:left="81" w:firstLine="48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采用内插法计算某投标人的投标报价得分M</w:t>
            </w:r>
            <w:r>
              <w:rPr>
                <w:rFonts w:hint="eastAsia" w:asciiTheme="minorEastAsia" w:hAnsiTheme="minorEastAsia" w:eastAsiaTheme="minorEastAsia" w:cstheme="minorEastAsia"/>
                <w:color w:val="auto"/>
                <w:spacing w:val="-1"/>
                <w:sz w:val="21"/>
                <w:szCs w:val="21"/>
                <w:highlight w:val="none"/>
              </w:rPr>
              <w:t>3,即当投标人的投标总价等于评</w:t>
            </w:r>
            <w:r>
              <w:rPr>
                <w:rFonts w:hint="eastAsia" w:asciiTheme="minorEastAsia" w:hAnsiTheme="minorEastAsia" w:eastAsiaTheme="minorEastAsia" w:cstheme="minorEastAsia"/>
                <w:color w:val="auto"/>
                <w:spacing w:val="-7"/>
                <w:sz w:val="21"/>
                <w:szCs w:val="21"/>
                <w:highlight w:val="none"/>
              </w:rPr>
              <w:t>标基准价时得满分，每高于评标基准价一个百分点扣1分，每低于评标基准价一个</w:t>
            </w:r>
            <w:r>
              <w:rPr>
                <w:rFonts w:hint="eastAsia" w:asciiTheme="minorEastAsia" w:hAnsiTheme="minorEastAsia" w:eastAsiaTheme="minorEastAsia" w:cstheme="minorEastAsia"/>
                <w:color w:val="auto"/>
                <w:spacing w:val="1"/>
                <w:sz w:val="21"/>
                <w:szCs w:val="21"/>
                <w:highlight w:val="none"/>
              </w:rPr>
              <w:t>百分点扣0.5分，扣完为止。公式如下：</w:t>
            </w:r>
          </w:p>
          <w:p w14:paraId="17BF3837">
            <w:pPr>
              <w:pStyle w:val="60"/>
              <w:spacing w:line="215" w:lineRule="auto"/>
              <w:ind w:left="5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M3=投标报价满分一(|Di—D|÷D)×100×E</w:t>
            </w:r>
          </w:p>
          <w:p w14:paraId="55EEABC5">
            <w:pPr>
              <w:pStyle w:val="60"/>
              <w:spacing w:before="198" w:line="320" w:lineRule="auto"/>
              <w:ind w:left="91" w:right="135" w:firstLine="46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式中：D为评标基准价，Di为某投标人的投标总价；E为扣分因子。当Di&gt;D</w:t>
            </w:r>
            <w:r>
              <w:rPr>
                <w:rFonts w:hint="eastAsia" w:asciiTheme="minorEastAsia" w:hAnsiTheme="minorEastAsia" w:eastAsiaTheme="minorEastAsia" w:cstheme="minorEastAsia"/>
                <w:color w:val="auto"/>
                <w:spacing w:val="1"/>
                <w:sz w:val="21"/>
                <w:szCs w:val="21"/>
                <w:highlight w:val="none"/>
              </w:rPr>
              <w:t>时，E=1;当</w:t>
            </w:r>
            <w:r>
              <w:rPr>
                <w:rFonts w:hint="eastAsia" w:asciiTheme="minorEastAsia" w:hAnsiTheme="minorEastAsia" w:eastAsiaTheme="minorEastAsia" w:cstheme="minorEastAsia"/>
                <w:color w:val="auto"/>
                <w:sz w:val="21"/>
                <w:szCs w:val="21"/>
                <w:highlight w:val="none"/>
              </w:rPr>
              <w:t>Di</w:t>
            </w:r>
            <w:r>
              <w:rPr>
                <w:rFonts w:hint="eastAsia" w:asciiTheme="minorEastAsia" w:hAnsiTheme="minorEastAsia" w:eastAsiaTheme="minorEastAsia" w:cstheme="minorEastAsia"/>
                <w:color w:val="auto"/>
                <w:spacing w:val="1"/>
                <w:sz w:val="21"/>
                <w:szCs w:val="21"/>
                <w:highlight w:val="none"/>
              </w:rPr>
              <w:t>&lt;D时，E=0.5。</w:t>
            </w:r>
          </w:p>
        </w:tc>
      </w:tr>
    </w:tbl>
    <w:p w14:paraId="41DD3881">
      <w:pPr>
        <w:widowControl w:val="0"/>
        <w:shd w:val="clear" w:color="auto" w:fill="auto"/>
        <w:adjustRightInd w:val="0"/>
        <w:spacing w:line="360" w:lineRule="atLeast"/>
        <w:jc w:val="left"/>
        <w:textAlignment w:val="baseline"/>
        <w:rPr>
          <w:rFonts w:ascii="宋体" w:hAnsi="Times New Roman" w:eastAsia="宋体" w:cs="Times New Roman"/>
          <w:color w:val="auto"/>
          <w:kern w:val="0"/>
          <w:sz w:val="24"/>
          <w:highlight w:val="none"/>
          <w:lang w:val="en-US" w:eastAsia="zh-CN" w:bidi="ar-SA"/>
        </w:rPr>
      </w:pPr>
    </w:p>
    <w:p w14:paraId="1CE0F2D3">
      <w:pPr>
        <w:spacing w:before="132" w:line="230" w:lineRule="auto"/>
        <w:ind w:left="585"/>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b w:val="0"/>
          <w:bCs w:val="0"/>
          <w:snapToGrid w:val="0"/>
          <w:color w:val="auto"/>
          <w:kern w:val="0"/>
          <w:sz w:val="22"/>
          <w:szCs w:val="15"/>
          <w:highlight w:val="none"/>
        </w:rPr>
        <w:t>注：</w:t>
      </w:r>
    </w:p>
    <w:p w14:paraId="5789E298">
      <w:pPr>
        <w:pStyle w:val="8"/>
        <w:spacing w:before="115" w:line="219" w:lineRule="auto"/>
        <w:ind w:left="58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1"/>
          <w:sz w:val="22"/>
          <w:szCs w:val="22"/>
          <w:highlight w:val="none"/>
        </w:rPr>
        <w:t>1.评分如出现小数点，则保留小数点后两位，第三</w:t>
      </w:r>
      <w:r>
        <w:rPr>
          <w:rFonts w:hint="eastAsia" w:asciiTheme="minorEastAsia" w:hAnsiTheme="minorEastAsia" w:eastAsiaTheme="minorEastAsia" w:cstheme="minorEastAsia"/>
          <w:color w:val="auto"/>
          <w:spacing w:val="10"/>
          <w:sz w:val="22"/>
          <w:szCs w:val="22"/>
          <w:highlight w:val="none"/>
        </w:rPr>
        <w:t>位四舍五入。</w:t>
      </w:r>
    </w:p>
    <w:p w14:paraId="5BE668EF">
      <w:pPr>
        <w:shd w:val="clear" w:color="auto" w:fill="auto"/>
        <w:wordWrap w:val="0"/>
        <w:adjustRightInd w:val="0"/>
        <w:snapToGrid w:val="0"/>
        <w:spacing w:line="440" w:lineRule="exact"/>
        <w:jc w:val="both"/>
        <w:rPr>
          <w:rFonts w:hint="eastAsia" w:ascii="Times New Roman"/>
          <w:b/>
          <w:bCs/>
          <w:snapToGrid w:val="0"/>
          <w:color w:val="auto"/>
          <w:kern w:val="0"/>
          <w:sz w:val="30"/>
          <w:highlight w:val="none"/>
        </w:rPr>
      </w:pPr>
    </w:p>
    <w:p w14:paraId="220E4A6C">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784384C8">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567D8184">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0241C5B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3DD0768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41AD5CE3">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73F8FB6F">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16ABE4B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54BEB31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3ADD80BC">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766297A7">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371E63F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20319CE6">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1E326174">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3432CFF9">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2E27734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15E15025">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0CC946E3">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46013E59">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14ACC3B0">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p>
    <w:p w14:paraId="2AEDDB4A">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r>
        <w:rPr>
          <w:rFonts w:hint="eastAsia" w:ascii="Times New Roman" w:hAnsi="Times New Roman" w:eastAsia="宋体" w:cs="Times New Roman"/>
          <w:b/>
          <w:bCs/>
          <w:snapToGrid w:val="0"/>
          <w:color w:val="auto"/>
          <w:kern w:val="0"/>
          <w:sz w:val="36"/>
          <w:szCs w:val="36"/>
          <w:highlight w:val="none"/>
        </w:rPr>
        <w:t>表2 项目监理机构其他人员需求表</w:t>
      </w:r>
    </w:p>
    <w:tbl>
      <w:tblPr>
        <w:tblStyle w:val="63"/>
        <w:tblpPr w:leftFromText="180" w:rightFromText="180" w:vertAnchor="text" w:horzAnchor="page" w:tblpX="1519" w:tblpY="327"/>
        <w:tblOverlap w:val="never"/>
        <w:tblW w:w="533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3"/>
        <w:gridCol w:w="2201"/>
        <w:gridCol w:w="1580"/>
        <w:gridCol w:w="4466"/>
      </w:tblGrid>
      <w:tr w14:paraId="0BAF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000" w:type="pct"/>
            <w:gridSpan w:val="4"/>
            <w:vAlign w:val="top"/>
          </w:tcPr>
          <w:p w14:paraId="641D0291">
            <w:pPr>
              <w:pStyle w:val="60"/>
              <w:spacing w:before="71" w:line="219" w:lineRule="auto"/>
              <w:ind w:left="2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lang w:eastAsia="zh-CN"/>
              </w:rPr>
              <w:t>（</w:t>
            </w:r>
            <w:r>
              <w:rPr>
                <w:rFonts w:hint="eastAsia" w:asciiTheme="minorEastAsia" w:hAnsiTheme="minorEastAsia" w:eastAsiaTheme="minorEastAsia" w:cstheme="minorEastAsia"/>
                <w:b/>
                <w:bCs/>
                <w:color w:val="auto"/>
                <w:spacing w:val="-3"/>
                <w:sz w:val="21"/>
                <w:szCs w:val="21"/>
                <w:highlight w:val="none"/>
              </w:rPr>
              <w:t>除总监理工程师</w:t>
            </w:r>
            <w:r>
              <w:rPr>
                <w:rFonts w:hint="eastAsia" w:asciiTheme="minorEastAsia" w:hAnsiTheme="minorEastAsia" w:eastAsiaTheme="minorEastAsia" w:cstheme="minorEastAsia"/>
                <w:b/>
                <w:bCs/>
                <w:color w:val="auto"/>
                <w:spacing w:val="-3"/>
                <w:sz w:val="21"/>
                <w:szCs w:val="21"/>
                <w:highlight w:val="none"/>
                <w:lang w:eastAsia="zh-CN"/>
              </w:rPr>
              <w:t>）</w:t>
            </w:r>
            <w:r>
              <w:rPr>
                <w:rFonts w:hint="eastAsia" w:asciiTheme="minorEastAsia" w:hAnsiTheme="minorEastAsia" w:eastAsiaTheme="minorEastAsia" w:cstheme="minorEastAsia"/>
                <w:b/>
                <w:bCs/>
                <w:color w:val="auto"/>
                <w:spacing w:val="-3"/>
                <w:sz w:val="21"/>
                <w:szCs w:val="21"/>
                <w:highlight w:val="none"/>
              </w:rPr>
              <w:t>监理人员：共3人</w:t>
            </w:r>
          </w:p>
        </w:tc>
      </w:tr>
      <w:tr w14:paraId="4F32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632" w:type="pct"/>
            <w:vAlign w:val="top"/>
          </w:tcPr>
          <w:p w14:paraId="00A6C8FB">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职务</w:t>
            </w:r>
          </w:p>
        </w:tc>
        <w:tc>
          <w:tcPr>
            <w:tcW w:w="1165" w:type="pct"/>
            <w:vAlign w:val="top"/>
          </w:tcPr>
          <w:p w14:paraId="41C7975C">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专业要求</w:t>
            </w:r>
          </w:p>
        </w:tc>
        <w:tc>
          <w:tcPr>
            <w:tcW w:w="837" w:type="pct"/>
            <w:vAlign w:val="top"/>
          </w:tcPr>
          <w:p w14:paraId="628B9B99">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数量要求</w:t>
            </w:r>
          </w:p>
        </w:tc>
        <w:tc>
          <w:tcPr>
            <w:tcW w:w="2364" w:type="pct"/>
            <w:vAlign w:val="top"/>
          </w:tcPr>
          <w:p w14:paraId="41DDA3EE">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持证要求</w:t>
            </w:r>
          </w:p>
        </w:tc>
      </w:tr>
      <w:tr w14:paraId="494EB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9" w:hRule="atLeast"/>
        </w:trPr>
        <w:tc>
          <w:tcPr>
            <w:tcW w:w="632" w:type="pct"/>
            <w:vAlign w:val="center"/>
          </w:tcPr>
          <w:p w14:paraId="3D5C158A">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专业监理工程师</w:t>
            </w:r>
          </w:p>
        </w:tc>
        <w:tc>
          <w:tcPr>
            <w:tcW w:w="1165" w:type="pct"/>
            <w:vAlign w:val="center"/>
          </w:tcPr>
          <w:p w14:paraId="743B90EF">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市政公用工程专业</w:t>
            </w:r>
          </w:p>
        </w:tc>
        <w:tc>
          <w:tcPr>
            <w:tcW w:w="837" w:type="pct"/>
            <w:vAlign w:val="center"/>
          </w:tcPr>
          <w:p w14:paraId="0DD50E6C">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1</w:t>
            </w:r>
          </w:p>
        </w:tc>
        <w:tc>
          <w:tcPr>
            <w:tcW w:w="2364" w:type="pct"/>
            <w:vAlign w:val="center"/>
          </w:tcPr>
          <w:p w14:paraId="1C6D75A7">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符合以下3种情形之一均可：</w:t>
            </w:r>
          </w:p>
          <w:p w14:paraId="38F00423">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1.具备所需专业注册监理工程师执业资格，持有效的注册证书；</w:t>
            </w:r>
          </w:p>
          <w:p w14:paraId="3470DF9C">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2.具备工程类注册执业资格，并经监理业务培训。持有效的注册证书、省级建设行政主管部门或其授权的组织(机构)颁发的岗位证书；</w:t>
            </w:r>
          </w:p>
          <w:p w14:paraId="07AD10D2">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3.具备中级及以上专业技术职称，并经监理业务培训。持有效的职称证书、省级建设行政主管部门或其授权的组织(机构)颁发的岗位</w:t>
            </w:r>
            <w:r>
              <w:rPr>
                <w:rFonts w:hint="eastAsia" w:asciiTheme="minorEastAsia" w:hAnsiTheme="minorEastAsia" w:eastAsiaTheme="minorEastAsia" w:cstheme="minorEastAsia"/>
                <w:color w:val="auto"/>
                <w:spacing w:val="3"/>
                <w:sz w:val="21"/>
                <w:szCs w:val="21"/>
                <w:highlight w:val="none"/>
                <w:lang w:val="en-US" w:eastAsia="zh-CN"/>
              </w:rPr>
              <w:t>证</w:t>
            </w:r>
            <w:r>
              <w:rPr>
                <w:rFonts w:hint="eastAsia" w:asciiTheme="minorEastAsia" w:hAnsiTheme="minorEastAsia" w:eastAsiaTheme="minorEastAsia" w:cstheme="minorEastAsia"/>
                <w:color w:val="auto"/>
                <w:spacing w:val="3"/>
                <w:sz w:val="21"/>
                <w:szCs w:val="21"/>
                <w:highlight w:val="none"/>
              </w:rPr>
              <w:t>书。</w:t>
            </w:r>
          </w:p>
          <w:p w14:paraId="04E14513">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注：专业类别以注册执业证书或专业监理工程师证书或职称证书或毕业证所列明的专业</w:t>
            </w:r>
            <w:r>
              <w:rPr>
                <w:rFonts w:hint="eastAsia" w:asciiTheme="minorEastAsia" w:hAnsiTheme="minorEastAsia" w:eastAsiaTheme="minorEastAsia" w:cstheme="minorEastAsia"/>
                <w:color w:val="auto"/>
                <w:spacing w:val="3"/>
                <w:sz w:val="21"/>
                <w:szCs w:val="21"/>
                <w:highlight w:val="none"/>
                <w:lang w:val="en-US" w:eastAsia="zh-CN"/>
              </w:rPr>
              <w:t>为</w:t>
            </w:r>
            <w:r>
              <w:rPr>
                <w:rFonts w:hint="eastAsia" w:asciiTheme="minorEastAsia" w:hAnsiTheme="minorEastAsia" w:eastAsiaTheme="minorEastAsia" w:cstheme="minorEastAsia"/>
                <w:color w:val="auto"/>
                <w:spacing w:val="3"/>
                <w:sz w:val="21"/>
                <w:szCs w:val="21"/>
                <w:highlight w:val="none"/>
              </w:rPr>
              <w:t>准。</w:t>
            </w:r>
          </w:p>
        </w:tc>
      </w:tr>
      <w:tr w14:paraId="791B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632" w:type="pct"/>
            <w:vAlign w:val="center"/>
          </w:tcPr>
          <w:p w14:paraId="31AD5A90">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监理员</w:t>
            </w:r>
          </w:p>
        </w:tc>
        <w:tc>
          <w:tcPr>
            <w:tcW w:w="1165" w:type="pct"/>
            <w:vAlign w:val="center"/>
          </w:tcPr>
          <w:p w14:paraId="4B0E8AA5">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具备岗位证书(有效期内)</w:t>
            </w:r>
          </w:p>
        </w:tc>
        <w:tc>
          <w:tcPr>
            <w:tcW w:w="837" w:type="pct"/>
            <w:vAlign w:val="center"/>
          </w:tcPr>
          <w:p w14:paraId="7DC477A9">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1</w:t>
            </w:r>
          </w:p>
        </w:tc>
        <w:tc>
          <w:tcPr>
            <w:tcW w:w="2364" w:type="pct"/>
            <w:vAlign w:val="center"/>
          </w:tcPr>
          <w:p w14:paraId="49EB7FB3">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经监理业务培训，持有效的省级建设行政主管部门或其授权的组织(机构)颁发的岗位证书。</w:t>
            </w:r>
          </w:p>
        </w:tc>
      </w:tr>
      <w:tr w14:paraId="2A9A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632" w:type="pct"/>
            <w:vAlign w:val="center"/>
          </w:tcPr>
          <w:p w14:paraId="259F15D6">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安全监理员</w:t>
            </w:r>
          </w:p>
        </w:tc>
        <w:tc>
          <w:tcPr>
            <w:tcW w:w="1165" w:type="pct"/>
            <w:vAlign w:val="center"/>
          </w:tcPr>
          <w:p w14:paraId="1A447112">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具备岗位证书(有效期内)</w:t>
            </w:r>
          </w:p>
        </w:tc>
        <w:tc>
          <w:tcPr>
            <w:tcW w:w="837" w:type="pct"/>
            <w:vAlign w:val="center"/>
          </w:tcPr>
          <w:p w14:paraId="1E5340B3">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1</w:t>
            </w:r>
          </w:p>
        </w:tc>
        <w:tc>
          <w:tcPr>
            <w:tcW w:w="2364" w:type="pct"/>
            <w:vAlign w:val="center"/>
          </w:tcPr>
          <w:p w14:paraId="5B68B6A7">
            <w:pPr>
              <w:pStyle w:val="60"/>
              <w:spacing w:before="161" w:line="220" w:lineRule="auto"/>
              <w:ind w:left="74"/>
              <w:jc w:val="left"/>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经监理业务培训，持有效的省级建设行政主管部门或其授权的组织(机构)颁发的岗位证书。</w:t>
            </w:r>
          </w:p>
        </w:tc>
      </w:tr>
      <w:tr w14:paraId="2BA5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798" w:type="pct"/>
            <w:gridSpan w:val="2"/>
            <w:vAlign w:val="top"/>
          </w:tcPr>
          <w:p w14:paraId="5BA4D853">
            <w:pPr>
              <w:pStyle w:val="60"/>
              <w:spacing w:before="121" w:line="221" w:lineRule="auto"/>
              <w:ind w:left="167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合计</w:t>
            </w:r>
          </w:p>
        </w:tc>
        <w:tc>
          <w:tcPr>
            <w:tcW w:w="837" w:type="pct"/>
            <w:vAlign w:val="center"/>
          </w:tcPr>
          <w:p w14:paraId="5ADFF46E">
            <w:pPr>
              <w:pStyle w:val="60"/>
              <w:spacing w:before="161" w:line="220" w:lineRule="auto"/>
              <w:ind w:left="74"/>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3</w:t>
            </w:r>
          </w:p>
        </w:tc>
        <w:tc>
          <w:tcPr>
            <w:tcW w:w="2364" w:type="pct"/>
            <w:vAlign w:val="top"/>
          </w:tcPr>
          <w:p w14:paraId="7C517180">
            <w:pPr>
              <w:rPr>
                <w:rFonts w:hint="eastAsia" w:asciiTheme="minorEastAsia" w:hAnsiTheme="minorEastAsia" w:eastAsiaTheme="minorEastAsia" w:cstheme="minorEastAsia"/>
                <w:color w:val="auto"/>
                <w:sz w:val="21"/>
                <w:szCs w:val="21"/>
                <w:highlight w:val="none"/>
              </w:rPr>
            </w:pPr>
          </w:p>
        </w:tc>
      </w:tr>
    </w:tbl>
    <w:p w14:paraId="2599B915">
      <w:pPr>
        <w:pStyle w:val="29"/>
        <w:shd w:val="clear" w:color="auto" w:fill="auto"/>
        <w:rPr>
          <w:color w:val="auto"/>
          <w:highlight w:val="none"/>
        </w:rPr>
      </w:pPr>
    </w:p>
    <w:p w14:paraId="6BA1DD8E">
      <w:pPr>
        <w:shd w:val="clear" w:color="auto" w:fill="auto"/>
        <w:ind w:left="-240" w:leftChars="-100" w:firstLine="239" w:firstLineChars="109"/>
        <w:rPr>
          <w:rFonts w:hint="eastAsia" w:ascii="Times New Roman" w:cs="黑体"/>
          <w:color w:val="auto"/>
          <w:sz w:val="22"/>
          <w:szCs w:val="22"/>
          <w:highlight w:val="none"/>
        </w:rPr>
      </w:pPr>
    </w:p>
    <w:p w14:paraId="5A4ADFB1">
      <w:pPr>
        <w:shd w:val="clear" w:color="auto" w:fill="auto"/>
        <w:ind w:left="-240" w:leftChars="-100" w:firstLine="228" w:firstLineChars="109"/>
        <w:rPr>
          <w:rFonts w:hint="eastAsia" w:hAnsi="宋体" w:cs="宋体"/>
          <w:color w:val="auto"/>
          <w:sz w:val="30"/>
          <w:highlight w:val="none"/>
        </w:rPr>
      </w:pPr>
      <w:r>
        <w:rPr>
          <w:rFonts w:hint="eastAsia" w:ascii="Times New Roman" w:cs="黑体"/>
          <w:color w:val="auto"/>
          <w:sz w:val="21"/>
          <w:szCs w:val="21"/>
          <w:highlight w:val="none"/>
        </w:rPr>
        <w:t>注：拟委派的监理机构其他人员不作为形式评审、资格评审、响应性评审的审查内容，只作为综合评分的评审依据。</w:t>
      </w:r>
    </w:p>
    <w:p w14:paraId="454A54B3">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15.5.2 </w:t>
      </w:r>
      <w:r>
        <w:rPr>
          <w:rFonts w:hint="eastAsia" w:asciiTheme="minorEastAsia" w:hAnsiTheme="minorEastAsia" w:eastAsiaTheme="minorEastAsia" w:cstheme="minorEastAsia"/>
          <w:snapToGrid w:val="0"/>
          <w:color w:val="auto"/>
          <w:kern w:val="0"/>
          <w:sz w:val="21"/>
          <w:szCs w:val="21"/>
          <w:highlight w:val="none"/>
        </w:rPr>
        <w:t>否决投标说明</w:t>
      </w:r>
    </w:p>
    <w:p w14:paraId="07EB5ADA">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详细评审阶段否决投标的全部条件，在本章第四节“否决投标条件”第</w:t>
      </w:r>
      <w:r>
        <w:rPr>
          <w:rFonts w:hint="eastAsia" w:asciiTheme="minorEastAsia" w:hAnsiTheme="minorEastAsia" w:eastAsiaTheme="minorEastAsia" w:cstheme="minorEastAsia"/>
          <w:b/>
          <w:bCs/>
          <w:snapToGrid w:val="0"/>
          <w:color w:val="auto"/>
          <w:kern w:val="0"/>
          <w:sz w:val="21"/>
          <w:szCs w:val="21"/>
          <w:highlight w:val="none"/>
        </w:rPr>
        <w:t>4</w:t>
      </w:r>
      <w:r>
        <w:rPr>
          <w:rFonts w:hint="eastAsia" w:asciiTheme="minorEastAsia" w:hAnsiTheme="minorEastAsia" w:eastAsiaTheme="minorEastAsia" w:cstheme="minorEastAsia"/>
          <w:snapToGrid w:val="0"/>
          <w:color w:val="auto"/>
          <w:kern w:val="0"/>
          <w:sz w:val="21"/>
          <w:szCs w:val="21"/>
          <w:highlight w:val="none"/>
        </w:rPr>
        <w:t>条中集中列示。投标人有其中所列任何一种情形的，由评标委员会否决其投标。经详细评审后，若所有投标均被否决，招标人应当依法重新招标。</w:t>
      </w:r>
    </w:p>
    <w:p w14:paraId="0FE1B33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注：投标人在详细评审阶段根据评分方法提供的佐证材料，其合法性、有效性和准确性不符合要求的，有关评分因素的评分按相应评分标准处理，但不否决投标。</w:t>
      </w:r>
    </w:p>
    <w:p w14:paraId="7662531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kern w:val="0"/>
          <w:sz w:val="21"/>
          <w:szCs w:val="21"/>
          <w:highlight w:val="none"/>
        </w:rPr>
      </w:pPr>
    </w:p>
    <w:p w14:paraId="6E286819">
      <w:pPr>
        <w:shd w:val="clear" w:color="auto" w:fill="auto"/>
        <w:wordWrap w:val="0"/>
        <w:adjustRightInd w:val="0"/>
        <w:snapToGrid w:val="0"/>
        <w:spacing w:line="440" w:lineRule="exact"/>
        <w:ind w:firstLine="422" w:firstLineChars="200"/>
        <w:outlineLvl w:val="2"/>
        <w:rPr>
          <w:rFonts w:hint="eastAsia" w:asciiTheme="minorEastAsia" w:hAnsiTheme="minorEastAsia" w:eastAsiaTheme="minorEastAsia" w:cstheme="minorEastAsia"/>
          <w:b/>
          <w:snapToGrid w:val="0"/>
          <w:color w:val="auto"/>
          <w:kern w:val="0"/>
          <w:sz w:val="21"/>
          <w:szCs w:val="21"/>
          <w:highlight w:val="none"/>
        </w:rPr>
      </w:pPr>
      <w:bookmarkStart w:id="248" w:name="_Toc13843"/>
      <w:bookmarkStart w:id="249" w:name="_Toc338"/>
      <w:bookmarkStart w:id="250" w:name="_Toc8670"/>
      <w:bookmarkStart w:id="251" w:name="_Toc1392"/>
      <w:bookmarkStart w:id="252" w:name="_Toc7085"/>
      <w:bookmarkStart w:id="253" w:name="_Toc14248"/>
      <w:bookmarkStart w:id="254" w:name="_Toc3115"/>
      <w:bookmarkStart w:id="255" w:name="_Toc19462"/>
      <w:bookmarkStart w:id="256" w:name="_Toc286"/>
      <w:bookmarkStart w:id="257" w:name="_Toc5306"/>
      <w:r>
        <w:rPr>
          <w:rFonts w:hint="eastAsia" w:asciiTheme="minorEastAsia" w:hAnsiTheme="minorEastAsia" w:eastAsiaTheme="minorEastAsia" w:cstheme="minorEastAsia"/>
          <w:b/>
          <w:snapToGrid w:val="0"/>
          <w:color w:val="auto"/>
          <w:kern w:val="0"/>
          <w:sz w:val="21"/>
          <w:szCs w:val="21"/>
          <w:highlight w:val="none"/>
        </w:rPr>
        <w:t>16．推荐中标候选人</w:t>
      </w:r>
      <w:bookmarkEnd w:id="248"/>
      <w:bookmarkEnd w:id="249"/>
      <w:bookmarkEnd w:id="250"/>
      <w:bookmarkEnd w:id="251"/>
      <w:bookmarkEnd w:id="252"/>
      <w:bookmarkEnd w:id="253"/>
      <w:bookmarkEnd w:id="254"/>
      <w:bookmarkEnd w:id="255"/>
      <w:bookmarkEnd w:id="256"/>
      <w:bookmarkEnd w:id="257"/>
    </w:p>
    <w:p w14:paraId="507964E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16.1</w:t>
      </w:r>
      <w:r>
        <w:rPr>
          <w:rFonts w:hint="eastAsia" w:asciiTheme="minorEastAsia" w:hAnsiTheme="minorEastAsia" w:eastAsiaTheme="minorEastAsia" w:cstheme="minorEastAsia"/>
          <w:snapToGrid w:val="0"/>
          <w:color w:val="auto"/>
          <w:kern w:val="0"/>
          <w:sz w:val="21"/>
          <w:szCs w:val="21"/>
          <w:highlight w:val="none"/>
        </w:rPr>
        <w:t xml:space="preserve"> 确定排名</w:t>
      </w:r>
    </w:p>
    <w:p w14:paraId="0C55CCE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5851A0E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16.2</w:t>
      </w:r>
      <w:r>
        <w:rPr>
          <w:rFonts w:hint="eastAsia" w:asciiTheme="minorEastAsia" w:hAnsiTheme="minorEastAsia" w:eastAsiaTheme="minorEastAsia" w:cstheme="minorEastAsia"/>
          <w:snapToGrid w:val="0"/>
          <w:color w:val="auto"/>
          <w:kern w:val="0"/>
          <w:sz w:val="21"/>
          <w:szCs w:val="21"/>
          <w:highlight w:val="none"/>
        </w:rPr>
        <w:t xml:space="preserve"> 推荐方法</w:t>
      </w:r>
    </w:p>
    <w:p w14:paraId="457D111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（1）有效投标人数量达到或超过3个的，评标委员会将前三名投标人作为中标候选人向招标人推荐，并标明排列顺序。</w:t>
      </w:r>
    </w:p>
    <w:p w14:paraId="0B1E7CD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i/>
          <w:i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r>
        <w:rPr>
          <w:rFonts w:hint="eastAsia" w:asciiTheme="minorEastAsia" w:hAnsiTheme="minorEastAsia" w:eastAsiaTheme="minorEastAsia" w:cstheme="minorEastAsia"/>
          <w:b w:val="0"/>
          <w:bCs w:val="0"/>
          <w:snapToGrid w:val="0"/>
          <w:color w:val="auto"/>
          <w:kern w:val="0"/>
          <w:sz w:val="21"/>
          <w:szCs w:val="21"/>
          <w:highlight w:val="none"/>
        </w:rPr>
        <w:t>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44CB4D8">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16.3</w:t>
      </w:r>
      <w:r>
        <w:rPr>
          <w:rFonts w:hint="eastAsia" w:asciiTheme="minorEastAsia" w:hAnsiTheme="minorEastAsia" w:eastAsiaTheme="minorEastAsia" w:cstheme="minorEastAsia"/>
          <w:snapToGrid w:val="0"/>
          <w:color w:val="auto"/>
          <w:kern w:val="0"/>
          <w:sz w:val="21"/>
          <w:szCs w:val="21"/>
          <w:highlight w:val="none"/>
        </w:rPr>
        <w:t xml:space="preserve"> 评标委员会完成评标后，应向招标人提交由全体评标委员会成员签字的评标报告和中标候选人名单。</w:t>
      </w:r>
    </w:p>
    <w:p w14:paraId="19A5C52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0D238D89">
      <w:pPr>
        <w:shd w:val="clear" w:color="auto" w:fill="auto"/>
        <w:wordWrap w:val="0"/>
        <w:adjustRightInd w:val="0"/>
        <w:snapToGrid w:val="0"/>
        <w:spacing w:line="440" w:lineRule="exact"/>
        <w:ind w:firstLine="422" w:firstLineChars="200"/>
        <w:outlineLvl w:val="2"/>
        <w:rPr>
          <w:rFonts w:hint="eastAsia" w:asciiTheme="minorEastAsia" w:hAnsiTheme="minorEastAsia" w:eastAsiaTheme="minorEastAsia" w:cstheme="minorEastAsia"/>
          <w:snapToGrid w:val="0"/>
          <w:color w:val="auto"/>
          <w:kern w:val="0"/>
          <w:sz w:val="21"/>
          <w:szCs w:val="21"/>
          <w:highlight w:val="none"/>
        </w:rPr>
      </w:pPr>
      <w:bookmarkStart w:id="258" w:name="_Toc14955"/>
      <w:bookmarkStart w:id="259" w:name="_Toc26760"/>
      <w:bookmarkStart w:id="260" w:name="_Toc3318"/>
      <w:bookmarkStart w:id="261" w:name="_Toc1471"/>
      <w:bookmarkStart w:id="262" w:name="_Toc9762"/>
      <w:bookmarkStart w:id="263" w:name="_Toc15400"/>
      <w:bookmarkStart w:id="264" w:name="_Toc2181"/>
      <w:bookmarkStart w:id="265" w:name="_Toc24833"/>
      <w:bookmarkStart w:id="266" w:name="_Toc5634"/>
      <w:bookmarkStart w:id="267" w:name="_Toc13727"/>
      <w:r>
        <w:rPr>
          <w:rFonts w:hint="eastAsia" w:asciiTheme="minorEastAsia" w:hAnsiTheme="minorEastAsia" w:eastAsiaTheme="minorEastAsia" w:cstheme="minorEastAsia"/>
          <w:b/>
          <w:snapToGrid w:val="0"/>
          <w:color w:val="auto"/>
          <w:kern w:val="0"/>
          <w:sz w:val="21"/>
          <w:szCs w:val="21"/>
          <w:highlight w:val="none"/>
        </w:rPr>
        <w:t>17．中标候选人公示</w:t>
      </w:r>
      <w:bookmarkEnd w:id="258"/>
      <w:bookmarkEnd w:id="259"/>
      <w:bookmarkEnd w:id="260"/>
      <w:bookmarkEnd w:id="261"/>
      <w:bookmarkEnd w:id="262"/>
      <w:bookmarkEnd w:id="263"/>
      <w:bookmarkEnd w:id="264"/>
      <w:bookmarkEnd w:id="265"/>
      <w:bookmarkEnd w:id="266"/>
      <w:bookmarkEnd w:id="267"/>
    </w:p>
    <w:p w14:paraId="5EC1C19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17.</w:t>
      </w:r>
      <w:r>
        <w:rPr>
          <w:rFonts w:hint="eastAsia" w:asciiTheme="minorEastAsia" w:hAnsiTheme="minorEastAsia" w:eastAsiaTheme="minorEastAsia" w:cstheme="minorEastAsia"/>
          <w:b/>
          <w:bCs/>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进行公示，公示期不得少于3天。</w:t>
      </w:r>
    </w:p>
    <w:p w14:paraId="2B9CA94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17.</w:t>
      </w:r>
      <w:r>
        <w:rPr>
          <w:rFonts w:hint="eastAsia" w:asciiTheme="minorEastAsia" w:hAnsiTheme="minorEastAsia" w:eastAsiaTheme="minorEastAsia" w:cstheme="minorEastAsia"/>
          <w:b/>
          <w:bCs/>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w:t>
      </w:r>
      <w:r>
        <w:rPr>
          <w:rFonts w:hint="eastAsia" w:asciiTheme="minorEastAsia" w:hAnsiTheme="minorEastAsia" w:eastAsiaTheme="minorEastAsia" w:cstheme="minorEastAsia"/>
          <w:snapToGrid w:val="0"/>
          <w:color w:val="auto"/>
          <w:kern w:val="0"/>
          <w:sz w:val="21"/>
          <w:szCs w:val="21"/>
          <w:highlight w:val="none"/>
          <w:lang w:val="en-US" w:eastAsia="zh-CN"/>
        </w:rPr>
        <w:t>发改</w:t>
      </w:r>
      <w:r>
        <w:rPr>
          <w:rFonts w:hint="eastAsia" w:asciiTheme="minorEastAsia" w:hAnsiTheme="minorEastAsia" w:eastAsiaTheme="minorEastAsia" w:cstheme="minorEastAsia"/>
          <w:snapToGrid w:val="0"/>
          <w:color w:val="auto"/>
          <w:kern w:val="0"/>
          <w:sz w:val="21"/>
          <w:szCs w:val="21"/>
          <w:highlight w:val="none"/>
        </w:rPr>
        <w:t>〔202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44</w:t>
      </w:r>
      <w:r>
        <w:rPr>
          <w:rFonts w:hint="eastAsia" w:asciiTheme="minorEastAsia" w:hAnsiTheme="minorEastAsia" w:eastAsiaTheme="minorEastAsia" w:cstheme="minorEastAsia"/>
          <w:snapToGrid w:val="0"/>
          <w:color w:val="auto"/>
          <w:kern w:val="0"/>
          <w:sz w:val="21"/>
          <w:szCs w:val="21"/>
          <w:highlight w:val="none"/>
        </w:rPr>
        <w:t>号）执行。</w:t>
      </w:r>
    </w:p>
    <w:p w14:paraId="6E6743D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17.</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0D19BDC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9298BE8">
      <w:pPr>
        <w:shd w:val="clear" w:color="auto" w:fill="auto"/>
        <w:wordWrap w:val="0"/>
        <w:adjustRightInd w:val="0"/>
        <w:snapToGrid w:val="0"/>
        <w:spacing w:line="440" w:lineRule="exact"/>
        <w:outlineLvl w:val="1"/>
        <w:rPr>
          <w:rFonts w:hint="eastAsia" w:asciiTheme="minorEastAsia" w:hAnsiTheme="minorEastAsia" w:eastAsiaTheme="minorEastAsia" w:cstheme="minorEastAsia"/>
          <w:snapToGrid w:val="0"/>
          <w:color w:val="auto"/>
          <w:kern w:val="0"/>
          <w:sz w:val="21"/>
          <w:szCs w:val="21"/>
          <w:highlight w:val="none"/>
        </w:rPr>
      </w:pPr>
      <w:bookmarkStart w:id="268" w:name="_Toc29477"/>
      <w:bookmarkStart w:id="269" w:name="_Toc21370"/>
      <w:bookmarkStart w:id="270" w:name="_Toc32043"/>
      <w:bookmarkStart w:id="271" w:name="_Toc21901"/>
      <w:bookmarkStart w:id="272" w:name="_Toc17249"/>
      <w:bookmarkStart w:id="273" w:name="_Toc32311"/>
      <w:bookmarkStart w:id="274" w:name="_Toc30086"/>
      <w:bookmarkStart w:id="275" w:name="_Toc9979"/>
      <w:bookmarkStart w:id="276" w:name="_Toc2045"/>
      <w:bookmarkStart w:id="277" w:name="_Toc11463"/>
      <w:r>
        <w:rPr>
          <w:rFonts w:hint="eastAsia" w:asciiTheme="minorEastAsia" w:hAnsiTheme="minorEastAsia" w:eastAsiaTheme="minorEastAsia" w:cstheme="minorEastAsia"/>
          <w:b/>
          <w:bCs/>
          <w:snapToGrid w:val="0"/>
          <w:color w:val="auto"/>
          <w:kern w:val="0"/>
          <w:sz w:val="21"/>
          <w:szCs w:val="21"/>
          <w:highlight w:val="none"/>
        </w:rPr>
        <w:t>第四节 否决投标条件</w:t>
      </w:r>
      <w:bookmarkEnd w:id="268"/>
      <w:bookmarkEnd w:id="269"/>
      <w:bookmarkEnd w:id="270"/>
      <w:bookmarkEnd w:id="271"/>
      <w:bookmarkEnd w:id="272"/>
      <w:bookmarkEnd w:id="273"/>
      <w:bookmarkEnd w:id="274"/>
      <w:bookmarkEnd w:id="275"/>
      <w:bookmarkEnd w:id="276"/>
      <w:bookmarkEnd w:id="277"/>
    </w:p>
    <w:p w14:paraId="1A68E576">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本节所集中列示的否决投标条件，是本章第三节“投标人须知正文”的组成部分，是对本章第三节所规定的否决投标条件的总结和补充。</w:t>
      </w:r>
      <w:r>
        <w:rPr>
          <w:rFonts w:hint="eastAsia" w:asciiTheme="minorEastAsia" w:hAnsiTheme="minorEastAsia" w:eastAsiaTheme="minorEastAsia" w:cstheme="minorEastAsia"/>
          <w:b/>
          <w:bCs/>
          <w:snapToGrid w:val="0"/>
          <w:color w:val="auto"/>
          <w:kern w:val="0"/>
          <w:sz w:val="21"/>
          <w:szCs w:val="21"/>
          <w:highlight w:val="none"/>
        </w:rPr>
        <w:t>投标人未有列入本节情形的，评标时一律不得否决其投标。</w:t>
      </w:r>
      <w:r>
        <w:rPr>
          <w:rFonts w:hint="eastAsia" w:asciiTheme="minorEastAsia" w:hAnsiTheme="minorEastAsia" w:eastAsiaTheme="minorEastAsia" w:cstheme="minorEastAsia"/>
          <w:snapToGrid w:val="0"/>
          <w:color w:val="auto"/>
          <w:kern w:val="0"/>
          <w:sz w:val="21"/>
          <w:szCs w:val="21"/>
          <w:highlight w:val="none"/>
        </w:rPr>
        <w:t>本节所称“规定”均指招标文件的规定。</w:t>
      </w:r>
    </w:p>
    <w:p w14:paraId="202F4ABF">
      <w:pPr>
        <w:shd w:val="clear" w:color="auto" w:fill="auto"/>
        <w:wordWrap w:val="0"/>
        <w:adjustRightInd w:val="0"/>
        <w:snapToGrid w:val="0"/>
        <w:spacing w:line="440" w:lineRule="exact"/>
        <w:ind w:firstLine="480"/>
        <w:outlineLvl w:val="2"/>
        <w:rPr>
          <w:rFonts w:hint="eastAsia" w:asciiTheme="minorEastAsia" w:hAnsiTheme="minorEastAsia" w:eastAsiaTheme="minorEastAsia" w:cstheme="minorEastAsia"/>
          <w:snapToGrid w:val="0"/>
          <w:color w:val="auto"/>
          <w:kern w:val="0"/>
          <w:sz w:val="21"/>
          <w:szCs w:val="21"/>
          <w:highlight w:val="none"/>
        </w:rPr>
      </w:pPr>
      <w:bookmarkStart w:id="278" w:name="_Toc5419"/>
      <w:bookmarkStart w:id="279" w:name="_Toc26916"/>
      <w:bookmarkStart w:id="280" w:name="_Toc29216"/>
      <w:bookmarkStart w:id="281" w:name="_Toc5725"/>
      <w:bookmarkStart w:id="282" w:name="_Toc29575"/>
      <w:bookmarkStart w:id="283" w:name="_Toc32629"/>
      <w:bookmarkStart w:id="284" w:name="_Toc1612"/>
      <w:bookmarkStart w:id="285" w:name="_Toc10295"/>
      <w:bookmarkStart w:id="286" w:name="_Toc26846"/>
      <w:bookmarkStart w:id="287" w:name="_Toc30404"/>
      <w:r>
        <w:rPr>
          <w:rFonts w:hint="eastAsia" w:asciiTheme="minorEastAsia" w:hAnsiTheme="minorEastAsia" w:eastAsiaTheme="minorEastAsia" w:cstheme="minorEastAsia"/>
          <w:b/>
          <w:bCs/>
          <w:snapToGrid w:val="0"/>
          <w:color w:val="auto"/>
          <w:kern w:val="0"/>
          <w:sz w:val="21"/>
          <w:szCs w:val="21"/>
          <w:highlight w:val="none"/>
        </w:rPr>
        <w:t>1．资格评审环节</w:t>
      </w:r>
      <w:bookmarkEnd w:id="278"/>
      <w:bookmarkEnd w:id="279"/>
      <w:bookmarkEnd w:id="280"/>
      <w:bookmarkEnd w:id="281"/>
      <w:bookmarkEnd w:id="282"/>
      <w:bookmarkEnd w:id="283"/>
      <w:bookmarkEnd w:id="284"/>
      <w:bookmarkEnd w:id="285"/>
      <w:bookmarkEnd w:id="286"/>
      <w:bookmarkEnd w:id="287"/>
    </w:p>
    <w:p w14:paraId="36E51FEC">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投标人有下列情形之一的，评标委员会应否决其投标。被否决的投标，不进入形式评审环节。</w:t>
      </w:r>
    </w:p>
    <w:p w14:paraId="5E9A9BFF">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（1）有本章第三节第</w:t>
      </w:r>
      <w:r>
        <w:rPr>
          <w:rFonts w:hint="eastAsia" w:asciiTheme="minorEastAsia" w:hAnsiTheme="minorEastAsia" w:eastAsiaTheme="minorEastAsia" w:cstheme="minorEastAsia"/>
          <w:b/>
          <w:bCs/>
          <w:snapToGrid w:val="0"/>
          <w:color w:val="auto"/>
          <w:kern w:val="0"/>
          <w:sz w:val="21"/>
          <w:szCs w:val="21"/>
          <w:highlight w:val="none"/>
        </w:rPr>
        <w:t>2.4</w:t>
      </w:r>
      <w:r>
        <w:rPr>
          <w:rFonts w:hint="eastAsia" w:asciiTheme="minorEastAsia" w:hAnsiTheme="minorEastAsia" w:eastAsiaTheme="minorEastAsia" w:cstheme="minorEastAsia"/>
          <w:snapToGrid w:val="0"/>
          <w:color w:val="auto"/>
          <w:kern w:val="0"/>
          <w:sz w:val="21"/>
          <w:szCs w:val="21"/>
          <w:highlight w:val="none"/>
        </w:rPr>
        <w:t>条“禁止投标条款”规定的任何一种情形；</w:t>
      </w:r>
    </w:p>
    <w:p w14:paraId="283089C7">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（2）投标人资质不符合规定的；</w:t>
      </w:r>
    </w:p>
    <w:p w14:paraId="00C94D60">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（3）投标人名称与营业执照、资质证书上的企业名称相互不一致的；其资质证书不是由住房城乡建设主管部门颁发的；营业执照、资质证书被吊销、暂扣或不在有效期内的；</w:t>
      </w:r>
    </w:p>
    <w:p w14:paraId="1C33B875">
      <w:pPr>
        <w:shd w:val="clear" w:color="auto" w:fill="auto"/>
        <w:wordWrap w:val="0"/>
        <w:adjustRightInd w:val="0"/>
        <w:snapToGrid w:val="0"/>
        <w:spacing w:line="440" w:lineRule="exact"/>
        <w:ind w:firstLine="48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注：投标人已经工商变更，但其企业资质证书的企业名称未完成变更的，不得否决其投标；投标人营业执照、资质证书之间登记的信息不一致，应当允许投标人澄清，不得直接否决其投标。</w:t>
      </w:r>
    </w:p>
    <w:p w14:paraId="047C7D4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不得否决其投标。</w:t>
      </w:r>
    </w:p>
    <w:p w14:paraId="778538B5">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4）投标文件中拟委派的总监理工程师与《开标一览表》不一致的；拟委派的总监理工程师的条件不符合规定的；擅自修改、遗漏《总监理工程师任职声明》实质性内容的；拟委派的总监理工程师现阶段有担任其他在施建设工程项目总监理工程师职务，但《总监理工程师任职项目情况表》未经任职项目建设单位盖章同意、又未提交任职项目建设单位另行出具的书面同意意见的；</w:t>
      </w:r>
    </w:p>
    <w:p w14:paraId="2B6A8EEA">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（5）拟委派的总监理工程师的注册证书不是住房和城乡建设主管部门颁发的，或注册单位与投标人不一致的，或不在有效期内的；</w:t>
      </w:r>
    </w:p>
    <w:p w14:paraId="4D35A7C2">
      <w:pPr>
        <w:shd w:val="clear" w:color="auto" w:fill="auto"/>
        <w:wordWrap w:val="0"/>
        <w:adjustRightInd w:val="0"/>
        <w:snapToGrid w:val="0"/>
        <w:spacing w:line="440" w:lineRule="exact"/>
        <w:ind w:firstLine="48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注：投标人已经工商变更，但其员工执业资格注册证书的注册单位名称未完成变更的，不得否决其投标。</w:t>
      </w:r>
    </w:p>
    <w:p w14:paraId="48DF2F74">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（6）招标文件规定不接受联合体投标，但以联合体投标的；</w:t>
      </w:r>
    </w:p>
    <w:p w14:paraId="0424C2F1">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（7）投标人为外省企业，但未提供“进粤企业和人员诚信信息登记平台”企业信息情况的。</w:t>
      </w:r>
    </w:p>
    <w:p w14:paraId="7B212226">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p>
    <w:p w14:paraId="4FEC5286">
      <w:pPr>
        <w:shd w:val="clear" w:color="auto" w:fill="auto"/>
        <w:wordWrap w:val="0"/>
        <w:adjustRightInd w:val="0"/>
        <w:snapToGrid w:val="0"/>
        <w:spacing w:line="440" w:lineRule="exact"/>
        <w:ind w:firstLine="480"/>
        <w:outlineLvl w:val="2"/>
        <w:rPr>
          <w:rFonts w:hint="eastAsia" w:asciiTheme="minorEastAsia" w:hAnsiTheme="minorEastAsia" w:eastAsiaTheme="minorEastAsia" w:cstheme="minorEastAsia"/>
          <w:snapToGrid w:val="0"/>
          <w:color w:val="auto"/>
          <w:kern w:val="0"/>
          <w:sz w:val="21"/>
          <w:szCs w:val="21"/>
          <w:highlight w:val="none"/>
        </w:rPr>
      </w:pPr>
      <w:bookmarkStart w:id="288" w:name="_Toc27998"/>
      <w:bookmarkStart w:id="289" w:name="_Toc7175"/>
      <w:bookmarkStart w:id="290" w:name="_Toc23556"/>
      <w:bookmarkStart w:id="291" w:name="_Toc26678"/>
      <w:bookmarkStart w:id="292" w:name="_Toc18817"/>
      <w:bookmarkStart w:id="293" w:name="_Toc25976"/>
      <w:bookmarkStart w:id="294" w:name="_Toc27039"/>
      <w:bookmarkStart w:id="295" w:name="_Toc629"/>
      <w:bookmarkStart w:id="296" w:name="_Toc19550"/>
      <w:bookmarkStart w:id="297" w:name="_Toc29817"/>
      <w:r>
        <w:rPr>
          <w:rFonts w:hint="eastAsia" w:asciiTheme="minorEastAsia" w:hAnsiTheme="minorEastAsia" w:eastAsiaTheme="minorEastAsia" w:cstheme="minorEastAsia"/>
          <w:b/>
          <w:bCs/>
          <w:snapToGrid w:val="0"/>
          <w:color w:val="auto"/>
          <w:kern w:val="0"/>
          <w:sz w:val="21"/>
          <w:szCs w:val="21"/>
          <w:highlight w:val="none"/>
        </w:rPr>
        <w:t>2．形式评审环节</w:t>
      </w:r>
      <w:bookmarkEnd w:id="288"/>
      <w:bookmarkEnd w:id="289"/>
      <w:bookmarkEnd w:id="290"/>
      <w:bookmarkEnd w:id="291"/>
      <w:bookmarkEnd w:id="292"/>
      <w:bookmarkEnd w:id="293"/>
      <w:bookmarkEnd w:id="294"/>
      <w:bookmarkEnd w:id="295"/>
      <w:bookmarkEnd w:id="296"/>
      <w:bookmarkEnd w:id="297"/>
    </w:p>
    <w:p w14:paraId="7A6AAD82">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投标人有下列情形之一的，评标委员会应否决其投标。被否决的投标，不进入响应性评审环节。</w:t>
      </w:r>
    </w:p>
    <w:p w14:paraId="76BAA64C">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（8）投标文件的分册组成不符合规定的；</w:t>
      </w:r>
    </w:p>
    <w:p w14:paraId="27ECFB3B">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（9）本章第三节第</w:t>
      </w:r>
      <w:r>
        <w:rPr>
          <w:rFonts w:hint="eastAsia" w:asciiTheme="minorEastAsia" w:hAnsiTheme="minorEastAsia" w:eastAsiaTheme="minorEastAsia" w:cstheme="minorEastAsia"/>
          <w:b/>
          <w:bCs/>
          <w:snapToGrid w:val="0"/>
          <w:color w:val="auto"/>
          <w:kern w:val="0"/>
          <w:sz w:val="21"/>
          <w:szCs w:val="21"/>
          <w:highlight w:val="none"/>
        </w:rPr>
        <w:t>10.2.2</w:t>
      </w:r>
      <w:r>
        <w:rPr>
          <w:rFonts w:hint="eastAsia" w:asciiTheme="minorEastAsia" w:hAnsiTheme="minorEastAsia" w:eastAsiaTheme="minorEastAsia" w:cstheme="minorEastAsia"/>
          <w:snapToGrid w:val="0"/>
          <w:color w:val="auto"/>
          <w:kern w:val="0"/>
          <w:sz w:val="21"/>
          <w:szCs w:val="21"/>
          <w:highlight w:val="none"/>
        </w:rPr>
        <w:t>目、第</w:t>
      </w:r>
      <w:r>
        <w:rPr>
          <w:rFonts w:hint="eastAsia" w:asciiTheme="minorEastAsia" w:hAnsiTheme="minorEastAsia" w:eastAsiaTheme="minorEastAsia" w:cstheme="minorEastAsia"/>
          <w:b/>
          <w:bCs/>
          <w:snapToGrid w:val="0"/>
          <w:color w:val="auto"/>
          <w:kern w:val="0"/>
          <w:sz w:val="21"/>
          <w:szCs w:val="21"/>
          <w:highlight w:val="none"/>
        </w:rPr>
        <w:t>10.3.3</w:t>
      </w:r>
      <w:r>
        <w:rPr>
          <w:rFonts w:hint="eastAsia" w:asciiTheme="minorEastAsia" w:hAnsiTheme="minorEastAsia" w:eastAsiaTheme="minorEastAsia" w:cstheme="minorEastAsia"/>
          <w:snapToGrid w:val="0"/>
          <w:color w:val="auto"/>
          <w:kern w:val="0"/>
          <w:sz w:val="21"/>
          <w:szCs w:val="21"/>
          <w:highlight w:val="none"/>
        </w:rPr>
        <w:t>目中规定的“所有投标人均应提供”的组成内容（包括该组成内容的所附资料）中，任何一项有缺漏的；</w:t>
      </w:r>
    </w:p>
    <w:p w14:paraId="3AF1FEA7">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（10）关键字迹模糊、无法辨认，</w:t>
      </w:r>
      <w:r>
        <w:rPr>
          <w:rFonts w:hint="eastAsia" w:asciiTheme="minorEastAsia" w:hAnsiTheme="minorEastAsia" w:eastAsiaTheme="minorEastAsia" w:cstheme="minorEastAsia"/>
          <w:b/>
          <w:bCs/>
          <w:snapToGrid w:val="0"/>
          <w:color w:val="auto"/>
          <w:kern w:val="0"/>
          <w:sz w:val="21"/>
          <w:szCs w:val="21"/>
          <w:highlight w:val="none"/>
        </w:rPr>
        <w:t>且该种过错将导致评标委员会无法作出投标文件是否响应招标文件实质性要求的</w:t>
      </w:r>
      <w:r>
        <w:rPr>
          <w:rFonts w:hint="eastAsia" w:asciiTheme="minorEastAsia" w:hAnsiTheme="minorEastAsia" w:eastAsiaTheme="minorEastAsia" w:cstheme="minorEastAsia"/>
          <w:snapToGrid w:val="0"/>
          <w:color w:val="auto"/>
          <w:kern w:val="0"/>
          <w:sz w:val="21"/>
          <w:szCs w:val="21"/>
          <w:highlight w:val="none"/>
        </w:rPr>
        <w:t>；出现手工涂改、行间插字或删除，但未加盖单位章或由投标人的法定代表人或其委托代理人签字确认的；</w:t>
      </w:r>
    </w:p>
    <w:p w14:paraId="320DFC90">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（11）投标文件未按规定签字、盖章的；</w:t>
      </w:r>
    </w:p>
    <w:p w14:paraId="0E6BD934">
      <w:pPr>
        <w:shd w:val="clear" w:color="auto" w:fill="auto"/>
        <w:wordWrap w:val="0"/>
        <w:adjustRightInd w:val="0"/>
        <w:snapToGrid w:val="0"/>
        <w:spacing w:line="440" w:lineRule="exact"/>
        <w:ind w:firstLine="480"/>
        <w:outlineLvl w:val="2"/>
        <w:rPr>
          <w:rFonts w:hint="eastAsia" w:asciiTheme="minorEastAsia" w:hAnsiTheme="minorEastAsia" w:eastAsiaTheme="minorEastAsia" w:cstheme="minorEastAsia"/>
          <w:b/>
          <w:bCs/>
          <w:snapToGrid w:val="0"/>
          <w:color w:val="auto"/>
          <w:kern w:val="0"/>
          <w:sz w:val="21"/>
          <w:szCs w:val="21"/>
          <w:highlight w:val="none"/>
        </w:rPr>
      </w:pPr>
      <w:bookmarkStart w:id="298" w:name="_Toc2266"/>
      <w:bookmarkStart w:id="299" w:name="_Toc2157"/>
      <w:bookmarkStart w:id="300" w:name="_Toc6320"/>
      <w:bookmarkStart w:id="301" w:name="_Toc15146"/>
      <w:bookmarkStart w:id="302" w:name="_Toc13541"/>
      <w:bookmarkStart w:id="303" w:name="_Toc18248"/>
      <w:bookmarkStart w:id="304" w:name="_Toc10256"/>
      <w:bookmarkStart w:id="305" w:name="_Toc15131"/>
      <w:bookmarkStart w:id="306" w:name="_Toc12483"/>
      <w:bookmarkStart w:id="307" w:name="_Toc5389"/>
      <w:r>
        <w:rPr>
          <w:rFonts w:hint="eastAsia" w:asciiTheme="minorEastAsia" w:hAnsiTheme="minorEastAsia" w:eastAsiaTheme="minorEastAsia" w:cstheme="minorEastAsia"/>
          <w:b/>
          <w:bCs/>
          <w:snapToGrid w:val="0"/>
          <w:color w:val="auto"/>
          <w:kern w:val="0"/>
          <w:sz w:val="21"/>
          <w:szCs w:val="21"/>
          <w:highlight w:val="none"/>
        </w:rPr>
        <w:t>3．响应性评审环节</w:t>
      </w:r>
      <w:bookmarkEnd w:id="298"/>
      <w:bookmarkEnd w:id="299"/>
      <w:bookmarkEnd w:id="300"/>
      <w:bookmarkEnd w:id="301"/>
      <w:bookmarkEnd w:id="302"/>
      <w:bookmarkEnd w:id="303"/>
      <w:bookmarkEnd w:id="304"/>
      <w:bookmarkEnd w:id="305"/>
      <w:bookmarkEnd w:id="306"/>
      <w:bookmarkEnd w:id="307"/>
    </w:p>
    <w:p w14:paraId="66D945EF">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投标人有下列情形之一的，评标委员会应否决其投标。被否决的投标，不进入详细评审阶段。</w:t>
      </w:r>
    </w:p>
    <w:p w14:paraId="71118981">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（12）投标有效期、服务期限不符合规定的；擅自修改、遗漏《投标函》《各项承诺一览表》实质性内容的；</w:t>
      </w:r>
    </w:p>
    <w:p w14:paraId="0508665F">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（13）出现两个或两个以上投标总价的（同一个投标总价大、小写不一致的除外）；投标总价超出最高投标限价的；</w:t>
      </w:r>
    </w:p>
    <w:p w14:paraId="5115A59F">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（14）在监理大纲评审中，评标委员会认定监理及相关服务的范围、内容、目标不符合规定的；质量、进度、造价监理措施明显不符合国家和省市现行有关规范、规定、标准，</w:t>
      </w:r>
      <w:r>
        <w:rPr>
          <w:rFonts w:hint="eastAsia" w:asciiTheme="minorEastAsia" w:hAnsiTheme="minorEastAsia" w:eastAsiaTheme="minorEastAsia" w:cstheme="minorEastAsia"/>
          <w:b/>
          <w:bCs/>
          <w:snapToGrid w:val="0"/>
          <w:color w:val="auto"/>
          <w:kern w:val="0"/>
          <w:sz w:val="21"/>
          <w:szCs w:val="21"/>
          <w:highlight w:val="none"/>
        </w:rPr>
        <w:t>且该种过错将导致“三控制”目标无法实现的</w:t>
      </w:r>
      <w:r>
        <w:rPr>
          <w:rFonts w:hint="eastAsia" w:asciiTheme="minorEastAsia" w:hAnsiTheme="minorEastAsia" w:eastAsiaTheme="minorEastAsia" w:cstheme="minorEastAsia"/>
          <w:snapToGrid w:val="0"/>
          <w:color w:val="auto"/>
          <w:kern w:val="0"/>
          <w:sz w:val="21"/>
          <w:szCs w:val="21"/>
          <w:highlight w:val="none"/>
        </w:rPr>
        <w:t>。</w:t>
      </w:r>
    </w:p>
    <w:p w14:paraId="5D6FEC1E">
      <w:pPr>
        <w:shd w:val="clear" w:color="auto" w:fill="auto"/>
        <w:wordWrap w:val="0"/>
        <w:adjustRightInd w:val="0"/>
        <w:snapToGrid w:val="0"/>
        <w:spacing w:line="440" w:lineRule="exact"/>
        <w:ind w:firstLine="480"/>
        <w:outlineLvl w:val="2"/>
        <w:rPr>
          <w:rFonts w:hint="eastAsia" w:asciiTheme="minorEastAsia" w:hAnsiTheme="minorEastAsia" w:eastAsiaTheme="minorEastAsia" w:cstheme="minorEastAsia"/>
          <w:b/>
          <w:bCs/>
          <w:snapToGrid w:val="0"/>
          <w:color w:val="auto"/>
          <w:kern w:val="0"/>
          <w:sz w:val="21"/>
          <w:szCs w:val="21"/>
          <w:highlight w:val="none"/>
        </w:rPr>
      </w:pPr>
      <w:bookmarkStart w:id="308" w:name="_Toc3133"/>
      <w:bookmarkStart w:id="309" w:name="_Toc24207"/>
      <w:bookmarkStart w:id="310" w:name="_Toc8804"/>
      <w:bookmarkStart w:id="311" w:name="_Toc4460"/>
      <w:bookmarkStart w:id="312" w:name="_Toc32705"/>
      <w:bookmarkStart w:id="313" w:name="_Toc2561"/>
      <w:bookmarkStart w:id="314" w:name="_Toc14330"/>
      <w:bookmarkStart w:id="315" w:name="_Toc25582"/>
      <w:bookmarkStart w:id="316" w:name="_Toc13293"/>
      <w:bookmarkStart w:id="317" w:name="_Toc29576"/>
      <w:r>
        <w:rPr>
          <w:rFonts w:hint="eastAsia" w:asciiTheme="minorEastAsia" w:hAnsiTheme="minorEastAsia" w:eastAsiaTheme="minorEastAsia" w:cstheme="minorEastAsia"/>
          <w:b/>
          <w:bCs/>
          <w:snapToGrid w:val="0"/>
          <w:color w:val="auto"/>
          <w:kern w:val="0"/>
          <w:sz w:val="21"/>
          <w:szCs w:val="21"/>
          <w:highlight w:val="none"/>
        </w:rPr>
        <w:t>4．其他</w:t>
      </w:r>
      <w:bookmarkEnd w:id="308"/>
      <w:bookmarkEnd w:id="309"/>
      <w:bookmarkEnd w:id="310"/>
      <w:bookmarkEnd w:id="311"/>
      <w:bookmarkEnd w:id="312"/>
      <w:bookmarkEnd w:id="313"/>
      <w:bookmarkEnd w:id="314"/>
      <w:bookmarkEnd w:id="315"/>
      <w:bookmarkEnd w:id="316"/>
      <w:bookmarkEnd w:id="317"/>
    </w:p>
    <w:p w14:paraId="793762E0">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在任何评标环节（或阶段），投标人有下列情形之一的，评标委员会应否决其投标。被否决的投标，不进入下一环节（或阶段）。</w:t>
      </w:r>
    </w:p>
    <w:p w14:paraId="68393B86">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（15）不按评标委员会要求澄清、说明或补正的；</w:t>
      </w:r>
    </w:p>
    <w:p w14:paraId="7F7E70EC">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（16）有下列情形之一，被评标委员会认定属于串通投标的：</w:t>
      </w:r>
    </w:p>
    <w:p w14:paraId="1CA28F5F">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①不同投标人的投标文件两处以上（含两处）错、漏一致；</w:t>
      </w:r>
    </w:p>
    <w:p w14:paraId="0F346808">
      <w:pPr>
        <w:shd w:val="clear" w:color="auto" w:fill="auto"/>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②不同投标人的投标各项报价存在异常一致或者呈规律性变化；</w:t>
      </w:r>
    </w:p>
    <w:p w14:paraId="3D62F04A">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③不同投标人的投标文件由同一单位或者同一个人编制；</w:t>
      </w:r>
    </w:p>
    <w:p w14:paraId="619B9A92">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④不同投标人的投标文件中投标资料（包括电子资料）相互混装或项目班子成员出现同一人；</w:t>
      </w:r>
    </w:p>
    <w:p w14:paraId="51761536">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⑤不同投标人的投标文件由同一电脑编制；</w:t>
      </w:r>
    </w:p>
    <w:p w14:paraId="41FA6D96">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⑥不同投标人的投标保证由同一企业或同一账户资金缴纳；</w:t>
      </w:r>
    </w:p>
    <w:p w14:paraId="06D521F3">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⑦不同投标人委托同一个人或注册在同一家企业的注册人员或同一家企业为其投标提供投标咨询、商务报价、技术咨询（招标项目本身要求采用专有技术的除外）等服务。</w:t>
      </w:r>
    </w:p>
    <w:bookmarkEnd w:id="247"/>
    <w:p w14:paraId="49AFF608">
      <w:pPr>
        <w:shd w:val="clear" w:color="auto" w:fill="auto"/>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06371461">
      <w:pPr>
        <w:shd w:val="clear" w:color="auto" w:fill="auto"/>
        <w:wordWrap w:val="0"/>
        <w:adjustRightInd w:val="0"/>
        <w:snapToGrid w:val="0"/>
        <w:spacing w:line="440" w:lineRule="exact"/>
        <w:jc w:val="center"/>
        <w:outlineLvl w:val="0"/>
        <w:rPr>
          <w:rFonts w:hint="eastAsia" w:asciiTheme="minorEastAsia" w:hAnsiTheme="minorEastAsia" w:eastAsiaTheme="minorEastAsia" w:cstheme="minorEastAsia"/>
          <w:b/>
          <w:snapToGrid w:val="0"/>
          <w:color w:val="auto"/>
          <w:kern w:val="0"/>
          <w:sz w:val="21"/>
          <w:szCs w:val="21"/>
          <w:highlight w:val="none"/>
        </w:rPr>
      </w:pPr>
      <w:bookmarkStart w:id="318" w:name="_Hlt112206772"/>
      <w:bookmarkEnd w:id="318"/>
      <w:bookmarkStart w:id="319" w:name="_Hlt87952408"/>
      <w:bookmarkEnd w:id="319"/>
      <w:bookmarkStart w:id="320" w:name="_Hlt69669771"/>
      <w:bookmarkEnd w:id="320"/>
      <w:bookmarkStart w:id="321" w:name="_Hlt70150994"/>
      <w:bookmarkEnd w:id="321"/>
      <w:bookmarkStart w:id="322" w:name="_Toc20451"/>
      <w:bookmarkStart w:id="323" w:name="_Toc20848"/>
      <w:bookmarkStart w:id="324" w:name="_Hlt69698741"/>
      <w:bookmarkStart w:id="325" w:name="_Toc28161"/>
      <w:bookmarkStart w:id="326" w:name="_Toc28847"/>
      <w:bookmarkStart w:id="327" w:name="_Toc13342"/>
      <w:bookmarkStart w:id="328" w:name="_Hlt69698722"/>
      <w:bookmarkStart w:id="329" w:name="_Toc20600"/>
      <w:bookmarkStart w:id="330" w:name="_Toc15398"/>
      <w:bookmarkStart w:id="331" w:name="_Toc12800"/>
      <w:bookmarkStart w:id="332" w:name="_Toc16530"/>
      <w:bookmarkStart w:id="333" w:name="_Toc12363"/>
      <w:bookmarkStart w:id="334" w:name="_Hlt69698769"/>
      <w:bookmarkStart w:id="335" w:name="_Toc11069"/>
      <w:r>
        <w:rPr>
          <w:rFonts w:hint="eastAsia" w:asciiTheme="minorEastAsia" w:hAnsiTheme="minorEastAsia" w:eastAsiaTheme="minorEastAsia" w:cstheme="minorEastAsia"/>
          <w:b/>
          <w:snapToGrid w:val="0"/>
          <w:color w:val="auto"/>
          <w:kern w:val="0"/>
          <w:sz w:val="21"/>
          <w:szCs w:val="21"/>
          <w:highlight w:val="none"/>
        </w:rPr>
        <w:t>第</w:t>
      </w:r>
      <w:bookmarkStart w:id="336" w:name="_Hlt69669171"/>
      <w:bookmarkEnd w:id="336"/>
      <w:r>
        <w:rPr>
          <w:rFonts w:hint="eastAsia" w:asciiTheme="minorEastAsia" w:hAnsiTheme="minorEastAsia" w:eastAsiaTheme="minorEastAsia" w:cstheme="minorEastAsia"/>
          <w:b/>
          <w:snapToGrid w:val="0"/>
          <w:color w:val="auto"/>
          <w:kern w:val="0"/>
          <w:sz w:val="21"/>
          <w:szCs w:val="21"/>
          <w:highlight w:val="none"/>
        </w:rPr>
        <w:t>二章</w:t>
      </w:r>
      <w:bookmarkStart w:id="337" w:name="_Hlt87793839"/>
      <w:bookmarkEnd w:id="337"/>
      <w:r>
        <w:rPr>
          <w:rFonts w:hint="eastAsia" w:asciiTheme="minorEastAsia" w:hAnsiTheme="minorEastAsia" w:eastAsiaTheme="minorEastAsia" w:cstheme="minorEastAsia"/>
          <w:b/>
          <w:snapToGrid w:val="0"/>
          <w:color w:val="auto"/>
          <w:kern w:val="0"/>
          <w:sz w:val="21"/>
          <w:szCs w:val="21"/>
          <w:highlight w:val="none"/>
        </w:rPr>
        <w:t xml:space="preserve"> 中标人须知</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FF9BA04">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1．中标通知书</w:t>
      </w:r>
    </w:p>
    <w:p w14:paraId="4C816B2E">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94EFCC8">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p>
    <w:p w14:paraId="27251E4F">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2．中标结果公示</w:t>
      </w:r>
    </w:p>
    <w:p w14:paraId="14FADA01">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中标通知书发出后15日内，招标人应将中标结果在广东省招标投标监管网（http://zbtb.gd.gov.cn）及全国公共资源交易平台（广东省·韶关市）（https://ygp.gdzwfw.gov.cn/ggzy-portal/#/440200/index）进行公示。</w:t>
      </w:r>
    </w:p>
    <w:p w14:paraId="79EF6EDC">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p>
    <w:p w14:paraId="035EDB7A">
      <w:pPr>
        <w:shd w:val="clear" w:color="auto" w:fill="auto"/>
        <w:wordWrap w:val="0"/>
        <w:adjustRightInd w:val="0"/>
        <w:snapToGrid w:val="0"/>
        <w:spacing w:line="440" w:lineRule="exact"/>
        <w:ind w:firstLine="562"/>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3．履约保证</w:t>
      </w:r>
    </w:p>
    <w:p w14:paraId="70A0E76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3.1 中标人须在领取中标通知书之日起</w:t>
      </w:r>
      <w:r>
        <w:rPr>
          <w:rFonts w:hint="eastAsia" w:asciiTheme="minorEastAsia" w:hAnsiTheme="minorEastAsia" w:eastAsiaTheme="minorEastAsia" w:cstheme="minorEastAsia"/>
          <w:snapToGrid w:val="0"/>
          <w:color w:val="auto"/>
          <w:kern w:val="0"/>
          <w:sz w:val="21"/>
          <w:szCs w:val="21"/>
          <w:highlight w:val="none"/>
          <w:u w:val="single"/>
        </w:rPr>
        <w:t>10</w:t>
      </w:r>
      <w:r>
        <w:rPr>
          <w:rFonts w:hint="eastAsia" w:asciiTheme="minorEastAsia" w:hAnsiTheme="minorEastAsia" w:eastAsiaTheme="minorEastAsia" w:cstheme="minorEastAsia"/>
          <w:snapToGrid w:val="0"/>
          <w:color w:val="auto"/>
          <w:kern w:val="0"/>
          <w:sz w:val="21"/>
          <w:szCs w:val="21"/>
          <w:highlight w:val="none"/>
        </w:rPr>
        <w:t>个工作日内、签订合同前提交金额为中标</w:t>
      </w:r>
      <w:r>
        <w:rPr>
          <w:rFonts w:hint="eastAsia" w:asciiTheme="minorEastAsia" w:hAnsiTheme="minorEastAsia" w:eastAsiaTheme="minorEastAsia" w:cstheme="minorEastAsia"/>
          <w:snapToGrid w:val="0"/>
          <w:color w:val="auto"/>
          <w:kern w:val="0"/>
          <w:sz w:val="21"/>
          <w:szCs w:val="21"/>
          <w:highlight w:val="none"/>
          <w:u w:val="single"/>
        </w:rPr>
        <w:t xml:space="preserve">价 </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的履约保证。</w:t>
      </w:r>
    </w:p>
    <w:p w14:paraId="7CC1875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3.2 履约保证的形式包括履约保证金、履约保证担保、履约保证保险三种，由中标人自主选择。</w:t>
      </w:r>
    </w:p>
    <w:p w14:paraId="7A0FB0A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0756121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采用履约保证担保的，中标人应提交有效的银行电子保函，银行电子保函的有效期应当自合同生效之日起至项目通过竣工验收之日后28天止。中标人必须在履约保证担保截止时间（以建设工程交易系统提示为准）前，使用工程建设交易系统完成网上办理电子保函。</w:t>
      </w:r>
    </w:p>
    <w:p w14:paraId="3F2D987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项目通过竣工验收之日后28天止的有效期不得短于投标有效期。</w:t>
      </w:r>
    </w:p>
    <w:p w14:paraId="485FC14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3.3 中标人在工程建设交易系统约定的时间内未提交履约保证的，视其放弃中标，并由招标人通报建设行政管理部门。</w:t>
      </w:r>
    </w:p>
    <w:p w14:paraId="35549F4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3.4 在工程实施过程中，如果承包人（即招标阶段的中标人，下同）由于自身的资金、技术、质量、非不可抗力等原因给发包人（即招标阶段的招标人，下同）造成经济损失，发包人有权扣划相应金额的履约保证。</w:t>
      </w:r>
    </w:p>
    <w:p w14:paraId="2BAC827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3.5 项目通过竣工验收之日后28天内，由发包人工程建设交易系统内进行履约保证金退回操作，将履约保证（履约保证金不计利息）原路退还给承包人。</w:t>
      </w:r>
    </w:p>
    <w:p w14:paraId="32CDFA3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2221441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4．合同订立</w:t>
      </w:r>
    </w:p>
    <w:p w14:paraId="23AC3E7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4.1</w:t>
      </w:r>
      <w:r>
        <w:rPr>
          <w:rFonts w:hint="eastAsia" w:asciiTheme="minorEastAsia" w:hAnsiTheme="minorEastAsia" w:eastAsiaTheme="minorEastAsia" w:cstheme="minorEastAsia"/>
          <w:snapToGrid w:val="0"/>
          <w:color w:val="auto"/>
          <w:kern w:val="0"/>
          <w:sz w:val="21"/>
          <w:szCs w:val="21"/>
          <w:highlight w:val="none"/>
        </w:rPr>
        <w:t xml:space="preserve"> 招标人应当自中标通知书发出之日起</w:t>
      </w:r>
      <w:r>
        <w:rPr>
          <w:rFonts w:hint="eastAsia" w:asciiTheme="minorEastAsia" w:hAnsiTheme="minorEastAsia" w:eastAsiaTheme="minorEastAsia" w:cstheme="minorEastAsia"/>
          <w:snapToGrid w:val="0"/>
          <w:color w:val="auto"/>
          <w:kern w:val="0"/>
          <w:sz w:val="21"/>
          <w:szCs w:val="21"/>
          <w:highlight w:val="none"/>
          <w:u w:val="single"/>
        </w:rPr>
        <w:t xml:space="preserve"> 30 </w:t>
      </w:r>
      <w:r>
        <w:rPr>
          <w:rFonts w:hint="eastAsia" w:asciiTheme="minorEastAsia" w:hAnsiTheme="minorEastAsia" w:eastAsiaTheme="minorEastAsia" w:cstheme="minorEastAsia"/>
          <w:snapToGrid w:val="0"/>
          <w:color w:val="auto"/>
          <w:kern w:val="0"/>
          <w:sz w:val="21"/>
          <w:szCs w:val="21"/>
          <w:highlight w:val="none"/>
        </w:rPr>
        <w:t>日内，按照招标文件、中标人的投标文件与中标人订立书面合同。</w:t>
      </w:r>
    </w:p>
    <w:p w14:paraId="1A621AE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4.2</w:t>
      </w:r>
      <w:r>
        <w:rPr>
          <w:rFonts w:hint="eastAsia" w:asciiTheme="minorEastAsia" w:hAnsiTheme="minorEastAsia" w:eastAsiaTheme="minorEastAsia" w:cstheme="minorEastAsia"/>
          <w:snapToGrid w:val="0"/>
          <w:color w:val="auto"/>
          <w:kern w:val="0"/>
          <w:sz w:val="21"/>
          <w:szCs w:val="21"/>
          <w:highlight w:val="none"/>
        </w:rPr>
        <w:t xml:space="preserve"> 合同的标的、质量、履行期限条款和合同的价款、风险分担等主要条款，应当与招标文件、中标人的投标文件的内容一致。中标人在签订合同时不得向招标人提出附加条件。</w:t>
      </w:r>
    </w:p>
    <w:p w14:paraId="6004CCD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4.3</w:t>
      </w:r>
      <w:r>
        <w:rPr>
          <w:rFonts w:hint="eastAsia" w:asciiTheme="minorEastAsia" w:hAnsiTheme="minorEastAsia" w:eastAsiaTheme="minorEastAsia" w:cstheme="minorEastAsia"/>
          <w:snapToGrid w:val="0"/>
          <w:color w:val="auto"/>
          <w:kern w:val="0"/>
          <w:sz w:val="21"/>
          <w:szCs w:val="21"/>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876DEE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4.4</w:t>
      </w:r>
      <w:r>
        <w:rPr>
          <w:rFonts w:hint="eastAsia" w:asciiTheme="minorEastAsia" w:hAnsiTheme="minorEastAsia" w:eastAsiaTheme="minorEastAsia" w:cstheme="minorEastAsia"/>
          <w:snapToGrid w:val="0"/>
          <w:color w:val="auto"/>
          <w:kern w:val="0"/>
          <w:sz w:val="21"/>
          <w:szCs w:val="21"/>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3858568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387B773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5．放弃中标的处理</w:t>
      </w:r>
    </w:p>
    <w:p w14:paraId="57CBB03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5.1</w:t>
      </w:r>
      <w:r>
        <w:rPr>
          <w:rFonts w:hint="eastAsia" w:asciiTheme="minorEastAsia" w:hAnsiTheme="minorEastAsia" w:eastAsiaTheme="minorEastAsia" w:cstheme="minorEastAsia"/>
          <w:snapToGrid w:val="0"/>
          <w:color w:val="auto"/>
          <w:kern w:val="0"/>
          <w:sz w:val="21"/>
          <w:szCs w:val="21"/>
          <w:highlight w:val="none"/>
        </w:rPr>
        <w:t xml:space="preserve"> 中标人</w:t>
      </w:r>
      <w:r>
        <w:rPr>
          <w:rFonts w:hint="eastAsia" w:asciiTheme="minorEastAsia" w:hAnsiTheme="minorEastAsia" w:eastAsiaTheme="minorEastAsia" w:cstheme="minorEastAsia"/>
          <w:snapToGrid w:val="0"/>
          <w:color w:val="auto"/>
          <w:sz w:val="21"/>
          <w:szCs w:val="21"/>
          <w:highlight w:val="none"/>
        </w:rPr>
        <w:t>无正当理由放弃中标的，</w:t>
      </w:r>
      <w:r>
        <w:rPr>
          <w:rFonts w:hint="eastAsia" w:asciiTheme="minorEastAsia" w:hAnsiTheme="minorEastAsia" w:eastAsiaTheme="minorEastAsia" w:cstheme="minorEastAsia"/>
          <w:snapToGrid w:val="0"/>
          <w:color w:val="auto"/>
          <w:kern w:val="0"/>
          <w:sz w:val="21"/>
          <w:szCs w:val="21"/>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heme="minorEastAsia" w:hAnsiTheme="minorEastAsia" w:eastAsiaTheme="minorEastAsia" w:cstheme="minorEastAsia"/>
          <w:bCs/>
          <w:snapToGrid w:val="0"/>
          <w:color w:val="auto"/>
          <w:kern w:val="0"/>
          <w:sz w:val="21"/>
          <w:szCs w:val="21"/>
          <w:highlight w:val="none"/>
        </w:rPr>
        <w:t>因此种情况造成招标人重新招标的</w:t>
      </w:r>
      <w:r>
        <w:rPr>
          <w:rFonts w:hint="eastAsia" w:asciiTheme="minorEastAsia" w:hAnsiTheme="minorEastAsia" w:eastAsiaTheme="minorEastAsia" w:cstheme="minorEastAsia"/>
          <w:snapToGrid w:val="0"/>
          <w:color w:val="auto"/>
          <w:kern w:val="0"/>
          <w:sz w:val="21"/>
          <w:szCs w:val="21"/>
          <w:highlight w:val="none"/>
        </w:rPr>
        <w:t>，招标人可不接受该弃标人再次投标。同时，招标人应将该弃标人的失信行为向行政监督部门报告。</w:t>
      </w:r>
    </w:p>
    <w:p w14:paraId="1A390D5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5.2</w:t>
      </w:r>
      <w:r>
        <w:rPr>
          <w:rFonts w:hint="eastAsia" w:asciiTheme="minorEastAsia" w:hAnsiTheme="minorEastAsia" w:eastAsiaTheme="minorEastAsia" w:cstheme="minorEastAsia"/>
          <w:snapToGrid w:val="0"/>
          <w:color w:val="auto"/>
          <w:kern w:val="0"/>
          <w:sz w:val="21"/>
          <w:szCs w:val="21"/>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98551E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6．分包</w:t>
      </w:r>
    </w:p>
    <w:p w14:paraId="5D83D9D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合同范围内的监理服务严禁分包，一经发现，委托人有权解除合同，由此引起的一切经济损失和法律责任由监理人自行承担。</w:t>
      </w:r>
    </w:p>
    <w:p w14:paraId="3EBF00D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59B3EE7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7</w:t>
      </w:r>
      <w:r>
        <w:rPr>
          <w:rFonts w:hint="eastAsia" w:asciiTheme="minorEastAsia" w:hAnsiTheme="minorEastAsia" w:eastAsiaTheme="minorEastAsia" w:cstheme="minorEastAsia"/>
          <w:b/>
          <w:bCs/>
          <w:snapToGrid w:val="0"/>
          <w:color w:val="auto"/>
          <w:kern w:val="0"/>
          <w:sz w:val="21"/>
          <w:szCs w:val="21"/>
          <w:highlight w:val="none"/>
        </w:rPr>
        <w:t>．监理服务期限</w:t>
      </w:r>
    </w:p>
    <w:p w14:paraId="21DE546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7</w:t>
      </w: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rPr>
        <w:t xml:space="preserve"> 本工程监理服务期限为：监理服务期从监理合同签订之日起计，至本工程缺陷责任保修期结束且本工程结算金额经政府主管部门审定且双方的责任义务履行完毕时止。</w:t>
      </w:r>
    </w:p>
    <w:p w14:paraId="02CCF42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7</w:t>
      </w:r>
      <w:r>
        <w:rPr>
          <w:rFonts w:hint="eastAsia" w:asciiTheme="minorEastAsia" w:hAnsiTheme="minorEastAsia" w:eastAsiaTheme="minorEastAsia" w:cstheme="minorEastAsia"/>
          <w:b/>
          <w:bCs/>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rPr>
        <w:t xml:space="preserve"> 当满足专用合同条款约定的开始监理条件时，招标人应提前7天向中标人发出开始监理通知。监理服务期限自开始监理通知中载明的开始监理日期起计算。</w:t>
      </w:r>
    </w:p>
    <w:p w14:paraId="1A949E21">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p>
    <w:p w14:paraId="1AD97EC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w:t>
      </w:r>
      <w:r>
        <w:rPr>
          <w:rFonts w:hint="eastAsia" w:asciiTheme="minorEastAsia" w:hAnsiTheme="minorEastAsia" w:eastAsiaTheme="minorEastAsia" w:cstheme="minorEastAsia"/>
          <w:b/>
          <w:bCs/>
          <w:snapToGrid w:val="0"/>
          <w:color w:val="auto"/>
          <w:kern w:val="0"/>
          <w:sz w:val="21"/>
          <w:szCs w:val="21"/>
          <w:highlight w:val="none"/>
        </w:rPr>
        <w:t>．项目监理机构</w:t>
      </w:r>
    </w:p>
    <w:p w14:paraId="5B0294F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w:t>
      </w: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rPr>
        <w:t xml:space="preserve"> 监理人派驻项目监理机构的人员必须为其投标文件确定的人员，否则委托人有权解除合同。</w:t>
      </w:r>
    </w:p>
    <w:p w14:paraId="6A24A798">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w:t>
      </w:r>
      <w:r>
        <w:rPr>
          <w:rFonts w:hint="eastAsia" w:asciiTheme="minorEastAsia" w:hAnsiTheme="minorEastAsia" w:eastAsiaTheme="minorEastAsia" w:cstheme="minorEastAsia"/>
          <w:b/>
          <w:bCs/>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416A23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kern w:val="0"/>
          <w:sz w:val="21"/>
          <w:szCs w:val="21"/>
          <w:highlight w:val="none"/>
        </w:rPr>
      </w:pPr>
    </w:p>
    <w:p w14:paraId="0B568FC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lang w:val="en-US" w:eastAsia="zh-CN"/>
        </w:rPr>
        <w:t>9</w:t>
      </w:r>
      <w:r>
        <w:rPr>
          <w:rFonts w:hint="eastAsia" w:asciiTheme="minorEastAsia" w:hAnsiTheme="minorEastAsia" w:eastAsiaTheme="minorEastAsia" w:cstheme="minorEastAsia"/>
          <w:b/>
          <w:snapToGrid w:val="0"/>
          <w:color w:val="auto"/>
          <w:kern w:val="0"/>
          <w:sz w:val="21"/>
          <w:szCs w:val="21"/>
          <w:highlight w:val="none"/>
        </w:rPr>
        <w:t>．安全防护</w:t>
      </w:r>
    </w:p>
    <w:p w14:paraId="3082EC8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监理人应按照安全监理有关规定，采取严格、科学的安全防护措施，确保监理人员人身安全，承担由于自身安全防护措施不力所造成的安全事故责任和发生的费用。</w:t>
      </w:r>
    </w:p>
    <w:p w14:paraId="359D8E3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08BB32F9">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1</w:t>
      </w:r>
      <w:r>
        <w:rPr>
          <w:rFonts w:hint="eastAsia" w:asciiTheme="minorEastAsia" w:hAnsiTheme="minorEastAsia" w:eastAsiaTheme="minorEastAsia" w:cstheme="minorEastAsia"/>
          <w:b/>
          <w:snapToGrid w:val="0"/>
          <w:color w:val="auto"/>
          <w:kern w:val="0"/>
          <w:sz w:val="21"/>
          <w:szCs w:val="21"/>
          <w:highlight w:val="none"/>
          <w:lang w:val="en-US" w:eastAsia="zh-CN"/>
        </w:rPr>
        <w:t>0</w:t>
      </w:r>
      <w:r>
        <w:rPr>
          <w:rFonts w:hint="eastAsia" w:asciiTheme="minorEastAsia" w:hAnsiTheme="minorEastAsia" w:eastAsiaTheme="minorEastAsia" w:cstheme="minorEastAsia"/>
          <w:b/>
          <w:snapToGrid w:val="0"/>
          <w:color w:val="auto"/>
          <w:kern w:val="0"/>
          <w:sz w:val="21"/>
          <w:szCs w:val="21"/>
          <w:highlight w:val="none"/>
        </w:rPr>
        <w:t>．接受监督</w:t>
      </w:r>
    </w:p>
    <w:p w14:paraId="1F33D78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监理人应严格按照法律、法规以及</w:t>
      </w:r>
      <w:r>
        <w:rPr>
          <w:rFonts w:hint="eastAsia" w:asciiTheme="minorEastAsia" w:hAnsiTheme="minorEastAsia" w:eastAsiaTheme="minorEastAsia" w:cstheme="minorEastAsia"/>
          <w:bCs/>
          <w:snapToGrid w:val="0"/>
          <w:color w:val="auto"/>
          <w:kern w:val="0"/>
          <w:sz w:val="21"/>
          <w:szCs w:val="21"/>
          <w:highlight w:val="none"/>
        </w:rPr>
        <w:t>《建设工程监理规范》（GB/T 50319—2013）有关规定实施监理，同时须</w:t>
      </w:r>
      <w:r>
        <w:rPr>
          <w:rFonts w:hint="eastAsia" w:asciiTheme="minorEastAsia" w:hAnsiTheme="minorEastAsia" w:eastAsiaTheme="minorEastAsia" w:cstheme="minorEastAsia"/>
          <w:snapToGrid w:val="0"/>
          <w:color w:val="auto"/>
          <w:kern w:val="0"/>
          <w:sz w:val="21"/>
          <w:szCs w:val="21"/>
          <w:highlight w:val="none"/>
        </w:rPr>
        <w:t>服从委托人以及建设行政主管部门对监理工作全方位的监督，及时将监理大纲、监理规划、监理实施细则等监理文件报委托人审查备案。</w:t>
      </w:r>
    </w:p>
    <w:p w14:paraId="021F36BD">
      <w:pPr>
        <w:shd w:val="clear" w:color="auto" w:fill="auto"/>
        <w:wordWrap w:val="0"/>
        <w:adjustRightInd w:val="0"/>
        <w:snapToGrid w:val="0"/>
        <w:spacing w:line="440" w:lineRule="exact"/>
        <w:ind w:firstLine="560"/>
        <w:rPr>
          <w:rFonts w:hint="eastAsia" w:asciiTheme="minorEastAsia" w:hAnsiTheme="minorEastAsia" w:eastAsiaTheme="minorEastAsia" w:cstheme="minorEastAsia"/>
          <w:bCs/>
          <w:snapToGrid w:val="0"/>
          <w:color w:val="auto"/>
          <w:kern w:val="0"/>
          <w:sz w:val="21"/>
          <w:szCs w:val="21"/>
          <w:highlight w:val="none"/>
        </w:rPr>
      </w:pPr>
    </w:p>
    <w:p w14:paraId="2113427B">
      <w:pPr>
        <w:shd w:val="clear" w:color="auto" w:fill="auto"/>
        <w:wordWrap w:val="0"/>
        <w:adjustRightInd w:val="0"/>
        <w:snapToGrid w:val="0"/>
        <w:spacing w:line="440" w:lineRule="exact"/>
        <w:ind w:firstLine="56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1</w:t>
      </w:r>
      <w:r>
        <w:rPr>
          <w:rFonts w:hint="eastAsia" w:asciiTheme="minorEastAsia" w:hAnsiTheme="minorEastAsia" w:eastAsiaTheme="minorEastAsia" w:cstheme="minorEastAsia"/>
          <w:b/>
          <w:snapToGrid w:val="0"/>
          <w:color w:val="auto"/>
          <w:kern w:val="0"/>
          <w:sz w:val="21"/>
          <w:szCs w:val="21"/>
          <w:highlight w:val="none"/>
          <w:lang w:val="en-US" w:eastAsia="zh-CN"/>
        </w:rPr>
        <w:t>1</w:t>
      </w:r>
      <w:r>
        <w:rPr>
          <w:rFonts w:hint="eastAsia" w:asciiTheme="minorEastAsia" w:hAnsiTheme="minorEastAsia" w:eastAsiaTheme="minorEastAsia" w:cstheme="minorEastAsia"/>
          <w:b/>
          <w:snapToGrid w:val="0"/>
          <w:color w:val="auto"/>
          <w:kern w:val="0"/>
          <w:sz w:val="21"/>
          <w:szCs w:val="21"/>
          <w:highlight w:val="none"/>
        </w:rPr>
        <w:t>．监理档案移交</w:t>
      </w:r>
    </w:p>
    <w:p w14:paraId="0923F8E0">
      <w:pPr>
        <w:shd w:val="clear" w:color="auto" w:fill="auto"/>
        <w:wordWrap w:val="0"/>
        <w:adjustRightInd w:val="0"/>
        <w:snapToGrid w:val="0"/>
        <w:spacing w:line="440" w:lineRule="exact"/>
        <w:ind w:firstLine="56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工程竣工验收后，监理人应向委托人提交一式</w:t>
      </w:r>
      <w:r>
        <w:rPr>
          <w:rFonts w:hint="eastAsia" w:asciiTheme="minorEastAsia" w:hAnsiTheme="minorEastAsia" w:eastAsiaTheme="minorEastAsia" w:cstheme="minorEastAsia"/>
          <w:bCs/>
          <w:snapToGrid w:val="0"/>
          <w:color w:val="auto"/>
          <w:kern w:val="0"/>
          <w:sz w:val="21"/>
          <w:szCs w:val="21"/>
          <w:highlight w:val="none"/>
          <w:u w:val="single"/>
        </w:rPr>
        <w:t xml:space="preserve"> 八 </w:t>
      </w:r>
      <w:r>
        <w:rPr>
          <w:rFonts w:hint="eastAsia" w:asciiTheme="minorEastAsia" w:hAnsiTheme="minorEastAsia" w:eastAsiaTheme="minorEastAsia" w:cstheme="minorEastAsia"/>
          <w:bCs/>
          <w:snapToGrid w:val="0"/>
          <w:color w:val="auto"/>
          <w:kern w:val="0"/>
          <w:sz w:val="21"/>
          <w:szCs w:val="21"/>
          <w:highlight w:val="none"/>
        </w:rPr>
        <w:t>份符合《建设工程监理规范》（GB/T 50319—2013）</w:t>
      </w:r>
      <w:r>
        <w:rPr>
          <w:rFonts w:hint="eastAsia" w:asciiTheme="minorEastAsia" w:hAnsiTheme="minorEastAsia" w:eastAsiaTheme="minorEastAsia" w:cstheme="minorEastAsia"/>
          <w:bCs/>
          <w:snapToGrid w:val="0"/>
          <w:color w:val="auto"/>
          <w:kern w:val="0"/>
          <w:sz w:val="21"/>
          <w:szCs w:val="21"/>
          <w:highlight w:val="none"/>
          <w:lang w:val="en-US" w:eastAsia="zh-CN"/>
        </w:rPr>
        <w:t>以及</w:t>
      </w:r>
      <w:r>
        <w:rPr>
          <w:rFonts w:hint="eastAsia" w:asciiTheme="minorEastAsia" w:hAnsiTheme="minorEastAsia" w:eastAsiaTheme="minorEastAsia" w:cstheme="minorEastAsia"/>
          <w:bCs/>
          <w:snapToGrid w:val="0"/>
          <w:color w:val="auto"/>
          <w:kern w:val="0"/>
          <w:sz w:val="21"/>
          <w:szCs w:val="21"/>
          <w:highlight w:val="none"/>
        </w:rPr>
        <w:t>《韶关市城市建设档案管理办法》要求的监理档案。</w:t>
      </w:r>
    </w:p>
    <w:p w14:paraId="66BECC02">
      <w:pPr>
        <w:shd w:val="clear" w:color="auto" w:fill="auto"/>
        <w:wordWrap w:val="0"/>
        <w:adjustRightInd w:val="0"/>
        <w:snapToGrid w:val="0"/>
        <w:spacing w:line="440" w:lineRule="exact"/>
        <w:ind w:firstLine="560"/>
        <w:rPr>
          <w:rFonts w:hint="eastAsia" w:asciiTheme="minorEastAsia" w:hAnsiTheme="minorEastAsia" w:eastAsiaTheme="minorEastAsia" w:cstheme="minorEastAsia"/>
          <w:bCs/>
          <w:snapToGrid w:val="0"/>
          <w:color w:val="auto"/>
          <w:kern w:val="0"/>
          <w:sz w:val="21"/>
          <w:szCs w:val="21"/>
          <w:highlight w:val="none"/>
        </w:rPr>
      </w:pPr>
    </w:p>
    <w:p w14:paraId="65F2A007">
      <w:pPr>
        <w:shd w:val="clear" w:color="auto" w:fill="auto"/>
        <w:wordWrap w:val="0"/>
        <w:adjustRightInd w:val="0"/>
        <w:snapToGrid w:val="0"/>
        <w:spacing w:line="440" w:lineRule="exact"/>
        <w:ind w:firstLine="560"/>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b/>
          <w:bCs/>
          <w:snapToGrid w:val="0"/>
          <w:color w:val="auto"/>
          <w:kern w:val="0"/>
          <w:sz w:val="21"/>
          <w:szCs w:val="21"/>
          <w:highlight w:val="none"/>
          <w:lang w:val="en-US" w:eastAsia="zh-CN"/>
        </w:rPr>
        <w:t>2</w:t>
      </w:r>
      <w:r>
        <w:rPr>
          <w:rFonts w:hint="eastAsia" w:asciiTheme="minorEastAsia" w:hAnsiTheme="minorEastAsia" w:eastAsiaTheme="minorEastAsia" w:cstheme="minorEastAsia"/>
          <w:b/>
          <w:snapToGrid w:val="0"/>
          <w:color w:val="auto"/>
          <w:kern w:val="0"/>
          <w:sz w:val="21"/>
          <w:szCs w:val="21"/>
          <w:highlight w:val="none"/>
        </w:rPr>
        <w:t>．不良行为处理</w:t>
      </w:r>
    </w:p>
    <w:p w14:paraId="481FC2AB">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7E5008AB">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（1）转让监理业务的；</w:t>
      </w:r>
    </w:p>
    <w:p w14:paraId="53192B35">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（2）非原参加投标中标的总监理工程师负责组织监理或在实施过程中擅自更换总监理工程师的、项目监理机构的其他监理人员与中标文件确定的人员不相符的；</w:t>
      </w:r>
    </w:p>
    <w:p w14:paraId="4FB84135">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（3）与建设单位、施工单位串通，签认虚假工程量或工程造价的；</w:t>
      </w:r>
    </w:p>
    <w:p w14:paraId="2A5B0ED3">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（4）现场监理不到位的；</w:t>
      </w:r>
    </w:p>
    <w:p w14:paraId="613EAB83">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（5）非本人资格证书注册单位从事监理工作的；</w:t>
      </w:r>
    </w:p>
    <w:p w14:paraId="41C2160F">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（6）总监理工程师承担超过三项工程监理任务的；</w:t>
      </w:r>
    </w:p>
    <w:p w14:paraId="5F33F5F9">
      <w:pPr>
        <w:pStyle w:val="54"/>
        <w:shd w:val="clear" w:color="auto" w:fill="auto"/>
        <w:wordWrap w:val="0"/>
        <w:adjustRightInd w:val="0"/>
        <w:snapToGrid w:val="0"/>
        <w:spacing w:line="44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（7）违反有关法律、法规、规章规定的其它行为。</w:t>
      </w:r>
    </w:p>
    <w:p w14:paraId="5A8C49B9">
      <w:pPr>
        <w:pStyle w:val="47"/>
        <w:numPr>
          <w:ilvl w:val="0"/>
          <w:numId w:val="0"/>
        </w:numPr>
        <w:shd w:val="clear" w:color="auto" w:fill="auto"/>
        <w:wordWrap w:val="0"/>
        <w:adjustRightInd w:val="0"/>
        <w:snapToGrid w:val="0"/>
        <w:spacing w:line="440" w:lineRule="exact"/>
        <w:rPr>
          <w:rFonts w:hint="eastAsia" w:asciiTheme="minorEastAsia" w:hAnsiTheme="minorEastAsia" w:eastAsiaTheme="minorEastAsia" w:cstheme="minorEastAsia"/>
          <w:b/>
          <w:bCs/>
          <w:snapToGrid w:val="0"/>
          <w:color w:val="auto"/>
          <w:kern w:val="0"/>
          <w:sz w:val="21"/>
          <w:szCs w:val="21"/>
          <w:highlight w:val="none"/>
          <w:lang w:val="en-US" w:eastAsia="zh-CN"/>
        </w:rPr>
      </w:pPr>
    </w:p>
    <w:p w14:paraId="499C9924">
      <w:pPr>
        <w:pStyle w:val="47"/>
        <w:numPr>
          <w:ilvl w:val="0"/>
          <w:numId w:val="0"/>
        </w:num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14.</w:t>
      </w:r>
      <w:r>
        <w:rPr>
          <w:rFonts w:hint="eastAsia" w:asciiTheme="minorEastAsia" w:hAnsiTheme="minorEastAsia" w:eastAsiaTheme="minorEastAsia" w:cstheme="minorEastAsia"/>
          <w:b/>
          <w:bCs/>
          <w:snapToGrid w:val="0"/>
          <w:color w:val="auto"/>
          <w:kern w:val="0"/>
          <w:sz w:val="21"/>
          <w:szCs w:val="21"/>
          <w:highlight w:val="none"/>
        </w:rPr>
        <w:t>其他事项</w:t>
      </w:r>
    </w:p>
    <w:p w14:paraId="33C1081C">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bookmarkStart w:id="338" w:name="_Toc19507"/>
      <w:bookmarkStart w:id="339" w:name="_Hlt69698765"/>
      <w:bookmarkStart w:id="340" w:name="_Toc23491"/>
      <w:bookmarkStart w:id="341" w:name="_Hlt69698713"/>
      <w:bookmarkStart w:id="342" w:name="_Toc28684"/>
      <w:bookmarkStart w:id="343" w:name="_Toc16162"/>
      <w:bookmarkStart w:id="344" w:name="_Toc6731"/>
      <w:bookmarkStart w:id="345" w:name="_Toc16510"/>
      <w:bookmarkStart w:id="346" w:name="_Toc16389"/>
      <w:bookmarkStart w:id="347" w:name="_Toc7302"/>
      <w:bookmarkStart w:id="348" w:name="_Toc26868"/>
      <w:bookmarkStart w:id="349" w:name="_Toc12639"/>
      <w:bookmarkStart w:id="350" w:name="_Toc24108"/>
      <w:bookmarkStart w:id="351" w:name="_Hlt69698776"/>
      <w:bookmarkStart w:id="352" w:name="_Toc28918"/>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14.1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若由于监理单位的过错或失职，对委托人造成损失的，监理人必须依法承担赔偿责任。</w:t>
      </w:r>
    </w:p>
    <w:p w14:paraId="5FB83C27">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14.2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本工程质量必须达到合格标准。若因监理人原因，工程在竣工验收或分部工程验收时没有达到此标准，监理人按监理合同价款（指监理结算价款）的10％向委托人缴纳质量违约金。</w:t>
      </w:r>
    </w:p>
    <w:p w14:paraId="185EF3AA">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14.3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监理人必须按投标文件中的服务承诺条款履行合同。</w:t>
      </w:r>
    </w:p>
    <w:p w14:paraId="6A191A75">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14.4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监理人在监理期间应严格遵守国家、省、市有关防火、爆破和监理安全以及文明监理、深夜监理、环卫城管等规定，建立规章制度和防护措施。否则，由此造成的经济和法律责任，均由监理人负责。</w:t>
      </w:r>
    </w:p>
    <w:p w14:paraId="04D02167">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14.5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监理人应按安全监理的要求，采取严格科学的安全措施，确保监理安全和第三者的安全，承担由于自身安全措施不力所造成的事故责任和发生的费用。</w:t>
      </w:r>
    </w:p>
    <w:p w14:paraId="79DCB8BE">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14.6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49DF758">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14.7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监理人须服从委托人及政府工程质量监督部门对监理工程全方位的监督，监理资料应及时报送委托人审查备案。</w:t>
      </w:r>
    </w:p>
    <w:p w14:paraId="6D663987">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14.8</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监理人在施工过程中若发生现场签证时，按委托人签证管理办法执行。</w:t>
      </w:r>
    </w:p>
    <w:p w14:paraId="7E1BE9DC">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14.9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10EBE220">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14.10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监理人若在韶关市无固定服务场所和固定专业负责人的，则在合同签订后尽快完成驻韶固定办公场所办理和安排固定项目负责人及其他相关监理人员驻韶办公。</w:t>
      </w:r>
    </w:p>
    <w:p w14:paraId="56E49CCF">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 xml:space="preserve">14.11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拟派驻现场的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w:t>
      </w:r>
    </w:p>
    <w:p w14:paraId="12E28154">
      <w:pPr>
        <w:shd w:val="clear" w:color="auto" w:fill="auto"/>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14.12</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监理单位应在开工前向业主方提交派驻现场监理人员名单。</w:t>
      </w:r>
    </w:p>
    <w:p w14:paraId="02114FBC">
      <w:pPr>
        <w:shd w:val="clear" w:color="auto" w:fill="auto"/>
        <w:rPr>
          <w:rFonts w:hint="eastAsia" w:asciiTheme="minorEastAsia" w:hAnsiTheme="minorEastAsia" w:eastAsiaTheme="minorEastAsia" w:cstheme="minorEastAsia"/>
          <w:color w:val="auto"/>
          <w:sz w:val="21"/>
          <w:szCs w:val="21"/>
          <w:highlight w:val="none"/>
        </w:rPr>
      </w:pPr>
    </w:p>
    <w:p w14:paraId="48A1B3A3">
      <w:pPr>
        <w:pStyle w:val="2"/>
        <w:shd w:val="clear" w:color="auto" w:fill="auto"/>
        <w:tabs>
          <w:tab w:val="left" w:pos="885"/>
        </w:tabs>
        <w:wordWrap w:val="0"/>
        <w:autoSpaceDE/>
        <w:autoSpaceDN/>
        <w:snapToGrid w:val="0"/>
        <w:spacing w:line="440" w:lineRule="exact"/>
        <w:ind w:left="885" w:hanging="885"/>
        <w:jc w:val="center"/>
        <w:rPr>
          <w:rFonts w:hint="eastAsia" w:asciiTheme="minorEastAsia" w:hAnsiTheme="minorEastAsia" w:eastAsiaTheme="minorEastAsia" w:cstheme="minorEastAsia"/>
          <w:b/>
          <w:snapToGrid w:val="0"/>
          <w:color w:val="auto"/>
          <w:sz w:val="21"/>
          <w:szCs w:val="21"/>
          <w:highlight w:val="none"/>
        </w:rPr>
      </w:pPr>
      <w:bookmarkStart w:id="353" w:name="_Toc15860"/>
      <w:r>
        <w:rPr>
          <w:rFonts w:hint="eastAsia" w:asciiTheme="minorEastAsia" w:hAnsiTheme="minorEastAsia" w:eastAsiaTheme="minorEastAsia" w:cstheme="minorEastAsia"/>
          <w:b/>
          <w:snapToGrid w:val="0"/>
          <w:color w:val="auto"/>
          <w:sz w:val="21"/>
          <w:szCs w:val="21"/>
          <w:highlight w:val="none"/>
          <w:lang w:val="en-US" w:eastAsia="zh-CN"/>
        </w:rPr>
        <w:br w:type="page"/>
      </w:r>
      <w:bookmarkEnd w:id="353"/>
      <w:bookmarkStart w:id="354" w:name="_Toc4502"/>
      <w:r>
        <w:rPr>
          <w:rFonts w:hint="eastAsia" w:asciiTheme="minorEastAsia" w:hAnsiTheme="minorEastAsia" w:eastAsiaTheme="minorEastAsia" w:cstheme="minorEastAsia"/>
          <w:b/>
          <w:snapToGrid w:val="0"/>
          <w:color w:val="auto"/>
          <w:sz w:val="21"/>
          <w:szCs w:val="21"/>
          <w:highlight w:val="none"/>
        </w:rPr>
        <w:t>第三章</w:t>
      </w:r>
      <w:bookmarkStart w:id="355" w:name="_Hlt87793831"/>
      <w:bookmarkEnd w:id="355"/>
      <w:r>
        <w:rPr>
          <w:rFonts w:hint="eastAsia" w:asciiTheme="minorEastAsia" w:hAnsiTheme="minorEastAsia" w:eastAsiaTheme="minorEastAsia" w:cstheme="minorEastAsia"/>
          <w:b/>
          <w:snapToGrid w:val="0"/>
          <w:color w:val="auto"/>
          <w:sz w:val="21"/>
          <w:szCs w:val="21"/>
          <w:highlight w:val="none"/>
        </w:rPr>
        <w:t xml:space="preserve"> 拟签订合同的主要条款</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4"/>
      <w:bookmarkStart w:id="356" w:name="_Toc2688"/>
      <w:bookmarkStart w:id="357" w:name="_Toc326916629"/>
      <w:bookmarkStart w:id="358" w:name="_Toc322793288"/>
    </w:p>
    <w:bookmarkEnd w:id="356"/>
    <w:bookmarkEnd w:id="357"/>
    <w:bookmarkEnd w:id="358"/>
    <w:p w14:paraId="50337BA8">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p>
    <w:p w14:paraId="38D2EE5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1．现场办公条件</w:t>
      </w:r>
    </w:p>
    <w:p w14:paraId="10ADA6C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w:t>
      </w:r>
      <w:r>
        <w:rPr>
          <w:rFonts w:hint="eastAsia" w:asciiTheme="minorEastAsia" w:hAnsiTheme="minorEastAsia" w:eastAsiaTheme="minorEastAsia" w:cstheme="minorEastAsia"/>
          <w:snapToGrid w:val="0"/>
          <w:color w:val="auto"/>
          <w:kern w:val="0"/>
          <w:sz w:val="21"/>
          <w:szCs w:val="21"/>
          <w:highlight w:val="none"/>
        </w:rPr>
        <w:t xml:space="preserve"> 监理人的办公、休息场所不得与承包人混用。所需场所、水电网络接入由委托人征求监理人意见后，与承包人协调明确，但费用（若有）由监理人支付。监理人所需场所的数量及其面积应与工程规模、特点相匹配，并应满足监理工作正常运作的需要。</w:t>
      </w:r>
    </w:p>
    <w:p w14:paraId="156D959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w:t>
      </w:r>
      <w:r>
        <w:rPr>
          <w:rFonts w:hint="eastAsia" w:asciiTheme="minorEastAsia" w:hAnsiTheme="minorEastAsia" w:eastAsiaTheme="minorEastAsia" w:cstheme="minorEastAsia"/>
          <w:snapToGrid w:val="0"/>
          <w:color w:val="auto"/>
          <w:kern w:val="0"/>
          <w:sz w:val="21"/>
          <w:szCs w:val="21"/>
          <w:highlight w:val="none"/>
        </w:rPr>
        <w:t xml:space="preserve"> 监理人应按照工程需要，自行配备以下的设施、设备：</w:t>
      </w:r>
    </w:p>
    <w:p w14:paraId="1D17161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（1）办公桌椅、文件柜、床铺被褥、供冷采暖设施等办公和生活设施；</w:t>
      </w:r>
    </w:p>
    <w:p w14:paraId="4135D3C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（2）电脑、投影、打印机、复印机、传真机等办公设备及其耗材；</w:t>
      </w:r>
    </w:p>
    <w:p w14:paraId="3235927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（3）拍摄、录音、录像等取证器材；</w:t>
      </w:r>
    </w:p>
    <w:p w14:paraId="14780E8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（4）信息化管理软件或系统；</w:t>
      </w:r>
    </w:p>
    <w:p w14:paraId="06C5A0B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（5）通信和交通工具；</w:t>
      </w:r>
    </w:p>
    <w:p w14:paraId="574CBC9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（6）本工程必备的规范标准、图集等书籍手册；</w:t>
      </w:r>
    </w:p>
    <w:p w14:paraId="72BE2BF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（7）安全帽、安全鞋、安全手套、安全服装、手电筒等安全防护用具；</w:t>
      </w:r>
    </w:p>
    <w:p w14:paraId="697B869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打卡 / </w:t>
      </w:r>
      <w:r>
        <w:rPr>
          <w:rFonts w:hint="eastAsia" w:asciiTheme="minorEastAsia" w:hAnsiTheme="minorEastAsia" w:eastAsiaTheme="minorEastAsia" w:cstheme="minorEastAsia"/>
          <w:snapToGrid w:val="0"/>
          <w:color w:val="auto"/>
          <w:kern w:val="0"/>
          <w:sz w:val="21"/>
          <w:szCs w:val="21"/>
          <w:highlight w:val="none"/>
          <w:u w:val="single"/>
        </w:rPr>
        <w:t>指纹识别</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 </w:t>
      </w:r>
      <w:r>
        <w:rPr>
          <w:rFonts w:hint="eastAsia" w:asciiTheme="minorEastAsia" w:hAnsiTheme="minorEastAsia" w:eastAsiaTheme="minorEastAsia" w:cstheme="minorEastAsia"/>
          <w:snapToGrid w:val="0"/>
          <w:color w:val="auto"/>
          <w:kern w:val="0"/>
          <w:sz w:val="21"/>
          <w:szCs w:val="21"/>
          <w:highlight w:val="none"/>
          <w:u w:val="single"/>
        </w:rPr>
        <w:t xml:space="preserve">人脸识别 </w:t>
      </w:r>
      <w:r>
        <w:rPr>
          <w:rFonts w:hint="eastAsia" w:asciiTheme="minorEastAsia" w:hAnsiTheme="minorEastAsia" w:eastAsiaTheme="minorEastAsia" w:cstheme="minorEastAsia"/>
          <w:snapToGrid w:val="0"/>
          <w:color w:val="auto"/>
          <w:kern w:val="0"/>
          <w:sz w:val="21"/>
          <w:szCs w:val="21"/>
          <w:highlight w:val="none"/>
        </w:rPr>
        <w:t>考勤设备考勤设备；</w:t>
      </w:r>
    </w:p>
    <w:p w14:paraId="5F8B25B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w:t>
      </w:r>
      <w:r>
        <w:rPr>
          <w:rFonts w:hint="eastAsia" w:asciiTheme="minorEastAsia" w:hAnsiTheme="minorEastAsia" w:eastAsiaTheme="minorEastAsia" w:cstheme="minorEastAsia"/>
          <w:snapToGrid w:val="0"/>
          <w:color w:val="auto"/>
          <w:kern w:val="0"/>
          <w:sz w:val="21"/>
          <w:szCs w:val="21"/>
          <w:highlight w:val="none"/>
        </w:rPr>
        <w:t>）配备满足用于监理现场抽检所用的试验设备和仪器；</w:t>
      </w:r>
    </w:p>
    <w:p w14:paraId="54F2665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其他与监理工作有关的设备与用品。</w:t>
      </w:r>
    </w:p>
    <w:p w14:paraId="4A27A2F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221EF7B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2．酬金</w:t>
      </w:r>
    </w:p>
    <w:p w14:paraId="4B6930F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2.1</w:t>
      </w:r>
      <w:r>
        <w:rPr>
          <w:rFonts w:hint="eastAsia" w:asciiTheme="minorEastAsia" w:hAnsiTheme="minorEastAsia" w:eastAsiaTheme="minorEastAsia" w:cstheme="minorEastAsia"/>
          <w:snapToGrid w:val="0"/>
          <w:color w:val="auto"/>
          <w:kern w:val="0"/>
          <w:sz w:val="21"/>
          <w:szCs w:val="21"/>
          <w:highlight w:val="none"/>
        </w:rPr>
        <w:t xml:space="preserve"> “酬金”指监理人履行本合同义务，委托人按照本合同约定（包括按照合同约定进行的变更和调整）给付监理人的金额。</w:t>
      </w:r>
    </w:p>
    <w:p w14:paraId="3EDF9C62">
      <w:pPr>
        <w:keepNext w:val="0"/>
        <w:keepLines w:val="0"/>
        <w:widowControl w:val="0"/>
        <w:suppressLineNumbers w:val="0"/>
        <w:shd w:val="clear" w:color="auto" w:fill="auto"/>
        <w:wordWrap w:val="0"/>
        <w:adjustRightInd w:val="0"/>
        <w:snapToGrid w:val="0"/>
        <w:spacing w:before="0" w:beforeAutospacing="0" w:after="0" w:afterAutospacing="0" w:line="440" w:lineRule="exact"/>
        <w:ind w:left="0" w:right="0"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2.2</w:t>
      </w:r>
      <w:r>
        <w:rPr>
          <w:rFonts w:hint="eastAsia" w:asciiTheme="minorEastAsia" w:hAnsiTheme="minorEastAsia" w:eastAsiaTheme="minorEastAsia" w:cstheme="minorEastAsia"/>
          <w:snapToGrid w:val="0"/>
          <w:color w:val="auto"/>
          <w:kern w:val="0"/>
          <w:sz w:val="21"/>
          <w:szCs w:val="21"/>
          <w:highlight w:val="none"/>
        </w:rPr>
        <w:t xml:space="preserve"> 酬金结算原则：</w:t>
      </w:r>
      <w:r>
        <w:rPr>
          <w:rFonts w:hint="eastAsia" w:asciiTheme="minorEastAsia" w:hAnsiTheme="minorEastAsia" w:eastAsiaTheme="minorEastAsia" w:cstheme="minorEastAsia"/>
          <w:snapToGrid w:val="0"/>
          <w:color w:val="auto"/>
          <w:kern w:val="0"/>
          <w:sz w:val="21"/>
          <w:szCs w:val="21"/>
          <w:highlight w:val="none"/>
          <w:u w:val="single"/>
          <w:lang w:val="en-US" w:eastAsia="zh-CN"/>
        </w:rPr>
        <w:t>监理服务费结算价在项目的合同价范围内按实结算，即：监理服务费结算以施工结算价为基数乘以监理人中标取费费率计算的结算价进行结算，其中施工最终结算价以韶关市浈江区财政局投资评审中心审定为准，且最终监理服务费结算价不得超过合同价，即中标价</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18E4721E">
      <w:pPr>
        <w:pStyle w:val="33"/>
        <w:shd w:val="clear" w:color="auto" w:fill="auto"/>
        <w:jc w:val="left"/>
        <w:rPr>
          <w:rFonts w:hint="eastAsia" w:asciiTheme="minorEastAsia" w:hAnsiTheme="minorEastAsia" w:eastAsiaTheme="minorEastAsia" w:cstheme="minorEastAsia"/>
          <w:color w:val="auto"/>
          <w:sz w:val="21"/>
          <w:szCs w:val="21"/>
          <w:highlight w:val="none"/>
        </w:rPr>
      </w:pPr>
    </w:p>
    <w:p w14:paraId="440740A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3．酬金发票</w:t>
      </w:r>
    </w:p>
    <w:p w14:paraId="0552F385">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委托人每次支付酬金前，监理人均应提供有效的增值税</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普通/专用</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none"/>
        </w:rPr>
        <w:t xml:space="preserve">发票。如果监理人无法提供符合要求的酬金发票，由此造成的相应损失由监理人承担。 </w:t>
      </w:r>
    </w:p>
    <w:p w14:paraId="245E58CA">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p>
    <w:p w14:paraId="30ADD6D7">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4．违约责任</w:t>
      </w:r>
    </w:p>
    <w:p w14:paraId="04AE3B09">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4.1</w:t>
      </w:r>
      <w:r>
        <w:rPr>
          <w:rFonts w:hint="eastAsia" w:asciiTheme="minorEastAsia" w:hAnsiTheme="minorEastAsia" w:eastAsiaTheme="minorEastAsia" w:cstheme="minorEastAsia"/>
          <w:snapToGrid w:val="0"/>
          <w:color w:val="auto"/>
          <w:kern w:val="0"/>
          <w:sz w:val="21"/>
          <w:szCs w:val="21"/>
          <w:highlight w:val="none"/>
        </w:rPr>
        <w:t xml:space="preserve"> 监理人的违约责任</w:t>
      </w:r>
    </w:p>
    <w:p w14:paraId="51BD8CD6">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监理人未履行本合同义务的，应承担相应的责任。</w:t>
      </w:r>
    </w:p>
    <w:p w14:paraId="78723766">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4.1.1</w:t>
      </w:r>
      <w:r>
        <w:rPr>
          <w:rFonts w:hint="eastAsia" w:asciiTheme="minorEastAsia" w:hAnsiTheme="minorEastAsia" w:eastAsiaTheme="minorEastAsia" w:cstheme="minorEastAsia"/>
          <w:snapToGrid w:val="0"/>
          <w:color w:val="auto"/>
          <w:kern w:val="0"/>
          <w:sz w:val="21"/>
          <w:szCs w:val="21"/>
          <w:highlight w:val="none"/>
        </w:rPr>
        <w:t xml:space="preserve"> 因监理人违反本合同约定给委托人造成损失的，监理人应当赔偿委托人损失。</w:t>
      </w:r>
    </w:p>
    <w:p w14:paraId="5012226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监理人赔偿金额按下列方法确定：</w:t>
      </w:r>
      <w:r>
        <w:rPr>
          <w:rFonts w:hint="eastAsia" w:asciiTheme="minorEastAsia" w:hAnsiTheme="minorEastAsia" w:eastAsiaTheme="minorEastAsia" w:cstheme="minorEastAsia"/>
          <w:snapToGrid w:val="0"/>
          <w:color w:val="auto"/>
          <w:kern w:val="0"/>
          <w:sz w:val="21"/>
          <w:szCs w:val="21"/>
          <w:highlight w:val="none"/>
          <w:u w:val="single"/>
        </w:rPr>
        <w:t>按本章第8条执行</w:t>
      </w:r>
      <w:r>
        <w:rPr>
          <w:rFonts w:hint="eastAsia" w:asciiTheme="minorEastAsia" w:hAnsiTheme="minorEastAsia" w:eastAsiaTheme="minorEastAsia" w:cstheme="minorEastAsia"/>
          <w:snapToGrid w:val="0"/>
          <w:color w:val="auto"/>
          <w:kern w:val="0"/>
          <w:sz w:val="21"/>
          <w:szCs w:val="21"/>
          <w:highlight w:val="none"/>
        </w:rPr>
        <w:t>。</w:t>
      </w:r>
    </w:p>
    <w:p w14:paraId="6BF8499F">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监理人承担部分赔偿责任的，其承担赔偿金额由双方协商确定。</w:t>
      </w:r>
    </w:p>
    <w:p w14:paraId="3EE32203">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4.1.2</w:t>
      </w:r>
      <w:r>
        <w:rPr>
          <w:rFonts w:hint="eastAsia" w:asciiTheme="minorEastAsia" w:hAnsiTheme="minorEastAsia" w:eastAsiaTheme="minorEastAsia" w:cstheme="minorEastAsia"/>
          <w:snapToGrid w:val="0"/>
          <w:color w:val="auto"/>
          <w:kern w:val="0"/>
          <w:sz w:val="21"/>
          <w:szCs w:val="21"/>
          <w:highlight w:val="none"/>
        </w:rPr>
        <w:t xml:space="preserve"> 监理人向委托人的索赔不成立时，监理人应赔偿委托人由此发生的费用。</w:t>
      </w:r>
    </w:p>
    <w:p w14:paraId="3E4C319E">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4.2</w:t>
      </w:r>
      <w:r>
        <w:rPr>
          <w:rFonts w:hint="eastAsia" w:asciiTheme="minorEastAsia" w:hAnsiTheme="minorEastAsia" w:eastAsiaTheme="minorEastAsia" w:cstheme="minorEastAsia"/>
          <w:snapToGrid w:val="0"/>
          <w:color w:val="auto"/>
          <w:kern w:val="0"/>
          <w:sz w:val="21"/>
          <w:szCs w:val="21"/>
          <w:highlight w:val="none"/>
        </w:rPr>
        <w:t xml:space="preserve"> 委托人的违约责任</w:t>
      </w:r>
    </w:p>
    <w:p w14:paraId="1BD5DC3E">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委托人未履行本合同义务的，应承担相应的责任。</w:t>
      </w:r>
    </w:p>
    <w:p w14:paraId="6945D884">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4.2.1</w:t>
      </w:r>
      <w:r>
        <w:rPr>
          <w:rFonts w:hint="eastAsia" w:asciiTheme="minorEastAsia" w:hAnsiTheme="minorEastAsia" w:eastAsiaTheme="minorEastAsia" w:cstheme="minorEastAsia"/>
          <w:snapToGrid w:val="0"/>
          <w:color w:val="auto"/>
          <w:kern w:val="0"/>
          <w:sz w:val="21"/>
          <w:szCs w:val="21"/>
          <w:highlight w:val="none"/>
        </w:rPr>
        <w:t xml:space="preserve"> 委托人违反本合同约定造成监理人损失的，委托人应予以赔偿。</w:t>
      </w:r>
    </w:p>
    <w:p w14:paraId="17C026C7">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4.2.2</w:t>
      </w:r>
      <w:r>
        <w:rPr>
          <w:rFonts w:hint="eastAsia" w:asciiTheme="minorEastAsia" w:hAnsiTheme="minorEastAsia" w:eastAsiaTheme="minorEastAsia" w:cstheme="minorEastAsia"/>
          <w:snapToGrid w:val="0"/>
          <w:color w:val="auto"/>
          <w:kern w:val="0"/>
          <w:sz w:val="21"/>
          <w:szCs w:val="21"/>
          <w:highlight w:val="none"/>
        </w:rPr>
        <w:t xml:space="preserve"> 委托人向监理人的索赔不成立时，应赔偿监理人由此引起的费用。</w:t>
      </w:r>
    </w:p>
    <w:p w14:paraId="0CCA63F7">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4.3</w:t>
      </w:r>
      <w:r>
        <w:rPr>
          <w:rFonts w:hint="eastAsia" w:asciiTheme="minorEastAsia" w:hAnsiTheme="minorEastAsia" w:eastAsiaTheme="minorEastAsia" w:cstheme="minorEastAsia"/>
          <w:snapToGrid w:val="0"/>
          <w:color w:val="auto"/>
          <w:kern w:val="0"/>
          <w:sz w:val="21"/>
          <w:szCs w:val="21"/>
          <w:highlight w:val="none"/>
        </w:rPr>
        <w:t xml:space="preserve"> 除外责任</w:t>
      </w:r>
    </w:p>
    <w:p w14:paraId="0EB28D01">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因非监理人的原因，且监理人无过错，发生工程质量事故、安全事故、工期延误等造成的损失，监理人不承担赔偿责任。</w:t>
      </w:r>
    </w:p>
    <w:p w14:paraId="1846A1DE">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因不可抗力导致本合同全部或部分不能履行时，双方各自承担其因此而造成的损失、损害。</w:t>
      </w:r>
    </w:p>
    <w:p w14:paraId="0F3B76B2">
      <w:pPr>
        <w:shd w:val="clear" w:color="auto" w:fill="auto"/>
        <w:wordWrap w:val="0"/>
        <w:adjustRightInd w:val="0"/>
        <w:snapToGrid w:val="0"/>
        <w:spacing w:line="440" w:lineRule="exact"/>
        <w:ind w:firstLine="560"/>
        <w:rPr>
          <w:rFonts w:hint="eastAsia" w:asciiTheme="minorEastAsia" w:hAnsiTheme="minorEastAsia" w:eastAsiaTheme="minorEastAsia" w:cstheme="minorEastAsia"/>
          <w:snapToGrid w:val="0"/>
          <w:color w:val="auto"/>
          <w:kern w:val="0"/>
          <w:sz w:val="21"/>
          <w:szCs w:val="21"/>
          <w:highlight w:val="none"/>
        </w:rPr>
      </w:pPr>
    </w:p>
    <w:p w14:paraId="07DF1C90">
      <w:pPr>
        <w:shd w:val="clear" w:color="auto" w:fill="auto"/>
        <w:wordWrap w:val="0"/>
        <w:adjustRightInd w:val="0"/>
        <w:snapToGrid w:val="0"/>
        <w:spacing w:line="360" w:lineRule="auto"/>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5．支付</w:t>
      </w:r>
    </w:p>
    <w:p w14:paraId="5D2FF58B">
      <w:pPr>
        <w:shd w:val="clear" w:color="auto" w:fill="auto"/>
        <w:wordWrap w:val="0"/>
        <w:adjustRightInd w:val="0"/>
        <w:snapToGrid w:val="0"/>
        <w:spacing w:line="360" w:lineRule="auto"/>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5.1</w:t>
      </w:r>
      <w:r>
        <w:rPr>
          <w:rFonts w:hint="eastAsia" w:asciiTheme="minorEastAsia" w:hAnsiTheme="minorEastAsia" w:eastAsiaTheme="minorEastAsia" w:cstheme="minorEastAsia"/>
          <w:snapToGrid w:val="0"/>
          <w:color w:val="auto"/>
          <w:kern w:val="0"/>
          <w:sz w:val="21"/>
          <w:szCs w:val="21"/>
          <w:highlight w:val="none"/>
        </w:rPr>
        <w:t xml:space="preserve"> 支付货币</w:t>
      </w:r>
    </w:p>
    <w:p w14:paraId="2C61A3A4">
      <w:pPr>
        <w:shd w:val="clear" w:color="auto" w:fill="auto"/>
        <w:wordWrap w:val="0"/>
        <w:adjustRightInd w:val="0"/>
        <w:snapToGrid w:val="0"/>
        <w:spacing w:line="360" w:lineRule="auto"/>
        <w:ind w:firstLine="56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酬金均以人民币支付。</w:t>
      </w:r>
    </w:p>
    <w:p w14:paraId="08A22CC5">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5.2</w:t>
      </w:r>
      <w:r>
        <w:rPr>
          <w:rFonts w:hint="eastAsia" w:asciiTheme="minorEastAsia" w:hAnsiTheme="minorEastAsia" w:eastAsiaTheme="minorEastAsia" w:cstheme="minorEastAsia"/>
          <w:snapToGrid w:val="0"/>
          <w:color w:val="auto"/>
          <w:kern w:val="0"/>
          <w:sz w:val="21"/>
          <w:szCs w:val="21"/>
          <w:highlight w:val="none"/>
        </w:rPr>
        <w:t xml:space="preserve"> 支付申请</w:t>
      </w:r>
    </w:p>
    <w:p w14:paraId="558012A0">
      <w:pPr>
        <w:shd w:val="clear" w:color="auto" w:fill="auto"/>
        <w:wordWrap w:val="0"/>
        <w:adjustRightInd w:val="0"/>
        <w:snapToGrid w:val="0"/>
        <w:spacing w:line="360" w:lineRule="auto"/>
        <w:ind w:firstLine="420" w:firstLineChars="20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监理人应在本合同约定的每次应付款时间的7天前，向委托人提交支付申请书。支付</w:t>
      </w:r>
      <w:r>
        <w:rPr>
          <w:rFonts w:hint="eastAsia" w:asciiTheme="minorEastAsia" w:hAnsiTheme="minorEastAsia" w:eastAsiaTheme="minorEastAsia" w:cstheme="minorEastAsia"/>
          <w:b w:val="0"/>
          <w:bCs w:val="0"/>
          <w:snapToGrid w:val="0"/>
          <w:color w:val="auto"/>
          <w:kern w:val="0"/>
          <w:sz w:val="21"/>
          <w:szCs w:val="21"/>
          <w:highlight w:val="none"/>
        </w:rPr>
        <w:t>申请书应当说明当期应付款总额，并列出当期应支付的款项及其金额。</w:t>
      </w:r>
    </w:p>
    <w:p w14:paraId="063C9149">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b w:val="0"/>
          <w:bCs w:val="0"/>
          <w:snapToGrid w:val="0"/>
          <w:color w:val="auto"/>
          <w:kern w:val="0"/>
          <w:sz w:val="21"/>
          <w:szCs w:val="21"/>
          <w:highlight w:val="yellow"/>
        </w:rPr>
      </w:pPr>
      <w:r>
        <w:rPr>
          <w:rFonts w:hint="eastAsia" w:asciiTheme="minorEastAsia" w:hAnsiTheme="minorEastAsia" w:eastAsiaTheme="minorEastAsia" w:cstheme="minorEastAsia"/>
          <w:b/>
          <w:bCs/>
          <w:snapToGrid w:val="0"/>
          <w:color w:val="auto"/>
          <w:kern w:val="0"/>
          <w:sz w:val="21"/>
          <w:szCs w:val="21"/>
          <w:highlight w:val="yellow"/>
          <w:lang w:val="en-US" w:eastAsia="zh-CN"/>
        </w:rPr>
        <w:t>5.3</w:t>
      </w:r>
      <w:r>
        <w:rPr>
          <w:rFonts w:hint="eastAsia" w:asciiTheme="minorEastAsia" w:hAnsiTheme="minorEastAsia" w:eastAsiaTheme="minorEastAsia" w:cstheme="minorEastAsia"/>
          <w:b w:val="0"/>
          <w:bCs w:val="0"/>
          <w:snapToGrid w:val="0"/>
          <w:color w:val="auto"/>
          <w:kern w:val="0"/>
          <w:sz w:val="21"/>
          <w:szCs w:val="21"/>
          <w:highlight w:val="yellow"/>
        </w:rPr>
        <w:t xml:space="preserve"> 本工程</w:t>
      </w:r>
      <w:r>
        <w:rPr>
          <w:rFonts w:hint="eastAsia" w:asciiTheme="minorEastAsia" w:hAnsiTheme="minorEastAsia" w:eastAsiaTheme="minorEastAsia" w:cstheme="minorEastAsia"/>
          <w:b w:val="0"/>
          <w:bCs w:val="0"/>
          <w:snapToGrid w:val="0"/>
          <w:color w:val="auto"/>
          <w:kern w:val="0"/>
          <w:sz w:val="21"/>
          <w:szCs w:val="21"/>
          <w:highlight w:val="yellow"/>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yellow"/>
          <w:u w:val="single"/>
          <w:lang w:val="en-US" w:eastAsia="zh-CN"/>
        </w:rPr>
        <w:t>不</w:t>
      </w:r>
      <w:r>
        <w:rPr>
          <w:rFonts w:hint="eastAsia" w:asciiTheme="minorEastAsia" w:hAnsiTheme="minorEastAsia" w:eastAsiaTheme="minorEastAsia" w:cstheme="minorEastAsia"/>
          <w:b w:val="0"/>
          <w:bCs w:val="0"/>
          <w:snapToGrid w:val="0"/>
          <w:color w:val="auto"/>
          <w:kern w:val="0"/>
          <w:sz w:val="21"/>
          <w:szCs w:val="21"/>
          <w:highlight w:val="yellow"/>
          <w:u w:val="single"/>
        </w:rPr>
        <w:t xml:space="preserve">支付 </w:t>
      </w:r>
      <w:r>
        <w:rPr>
          <w:rFonts w:hint="eastAsia" w:asciiTheme="minorEastAsia" w:hAnsiTheme="minorEastAsia" w:eastAsiaTheme="minorEastAsia" w:cstheme="minorEastAsia"/>
          <w:b w:val="0"/>
          <w:bCs w:val="0"/>
          <w:snapToGrid w:val="0"/>
          <w:color w:val="auto"/>
          <w:kern w:val="0"/>
          <w:sz w:val="21"/>
          <w:szCs w:val="21"/>
          <w:highlight w:val="yellow"/>
          <w:lang w:eastAsia="zh-CN"/>
        </w:rPr>
        <w:t>监理</w:t>
      </w:r>
      <w:r>
        <w:rPr>
          <w:rFonts w:hint="eastAsia" w:asciiTheme="minorEastAsia" w:hAnsiTheme="minorEastAsia" w:eastAsiaTheme="minorEastAsia" w:cstheme="minorEastAsia"/>
          <w:b w:val="0"/>
          <w:bCs w:val="0"/>
          <w:snapToGrid w:val="0"/>
          <w:color w:val="auto"/>
          <w:kern w:val="0"/>
          <w:sz w:val="21"/>
          <w:szCs w:val="21"/>
          <w:highlight w:val="yellow"/>
        </w:rPr>
        <w:t>预付款。</w:t>
      </w:r>
    </w:p>
    <w:p w14:paraId="49E8AA93">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snapToGrid w:val="0"/>
          <w:color w:val="auto"/>
          <w:kern w:val="0"/>
          <w:sz w:val="21"/>
          <w:szCs w:val="21"/>
          <w:highlight w:val="yellow"/>
          <w:lang w:val="en-US" w:eastAsia="zh-CN" w:bidi="ar-SA"/>
        </w:rPr>
      </w:pPr>
      <w:r>
        <w:rPr>
          <w:rFonts w:hint="eastAsia" w:asciiTheme="minorEastAsia" w:hAnsiTheme="minorEastAsia" w:eastAsiaTheme="minorEastAsia" w:cstheme="minorEastAsia"/>
          <w:b/>
          <w:bCs/>
          <w:snapToGrid w:val="0"/>
          <w:color w:val="auto"/>
          <w:kern w:val="0"/>
          <w:sz w:val="21"/>
          <w:szCs w:val="21"/>
          <w:highlight w:val="yellow"/>
          <w:lang w:val="en-US" w:eastAsia="zh-CN" w:bidi="ar-SA"/>
        </w:rPr>
        <w:t>5.4</w:t>
      </w:r>
      <w:r>
        <w:rPr>
          <w:rFonts w:hint="eastAsia" w:asciiTheme="minorEastAsia" w:hAnsiTheme="minorEastAsia" w:eastAsiaTheme="minorEastAsia" w:cstheme="minorEastAsia"/>
          <w:snapToGrid w:val="0"/>
          <w:color w:val="auto"/>
          <w:kern w:val="0"/>
          <w:sz w:val="21"/>
          <w:szCs w:val="21"/>
          <w:highlight w:val="yellow"/>
          <w:lang w:val="en-US" w:eastAsia="zh-CN" w:bidi="ar-SA"/>
        </w:rPr>
        <w:t xml:space="preserve"> 施工过程中按工程进度支付监理费，分两次支付，每次按合同价款的50%支付。</w:t>
      </w:r>
    </w:p>
    <w:p w14:paraId="429E1564">
      <w:pPr>
        <w:shd w:val="clear" w:color="auto" w:fill="auto"/>
        <w:wordWrap w:val="0"/>
        <w:adjustRightInd w:val="0"/>
        <w:snapToGrid w:val="0"/>
        <w:spacing w:line="360" w:lineRule="auto"/>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5.5</w:t>
      </w:r>
      <w:r>
        <w:rPr>
          <w:rFonts w:hint="eastAsia" w:asciiTheme="minorEastAsia" w:hAnsiTheme="minorEastAsia" w:eastAsiaTheme="minorEastAsia" w:cstheme="minorEastAsia"/>
          <w:snapToGrid w:val="0"/>
          <w:color w:val="auto"/>
          <w:kern w:val="0"/>
          <w:sz w:val="21"/>
          <w:szCs w:val="21"/>
          <w:highlight w:val="none"/>
        </w:rPr>
        <w:t>竣工验收合格备案后，经</w:t>
      </w:r>
      <w:r>
        <w:rPr>
          <w:rFonts w:hint="eastAsia" w:asciiTheme="minorEastAsia" w:hAnsiTheme="minorEastAsia" w:eastAsiaTheme="minorEastAsia" w:cstheme="minorEastAsia"/>
          <w:snapToGrid w:val="0"/>
          <w:color w:val="auto"/>
          <w:kern w:val="0"/>
          <w:sz w:val="21"/>
          <w:szCs w:val="21"/>
          <w:highlight w:val="none"/>
          <w:lang w:val="en-US" w:eastAsia="zh-CN"/>
        </w:rPr>
        <w:t>浈</w:t>
      </w:r>
      <w:r>
        <w:rPr>
          <w:rFonts w:hint="eastAsia" w:asciiTheme="minorEastAsia" w:hAnsiTheme="minorEastAsia" w:eastAsiaTheme="minorEastAsia" w:cstheme="minorEastAsia"/>
          <w:snapToGrid w:val="0"/>
          <w:color w:val="auto"/>
          <w:kern w:val="0"/>
          <w:sz w:val="21"/>
          <w:szCs w:val="21"/>
          <w:highlight w:val="none"/>
        </w:rPr>
        <w:t>江区财政局投资评审中心结算定案后支付至监理结算价的97%；</w:t>
      </w:r>
    </w:p>
    <w:p w14:paraId="42D8D40E">
      <w:pPr>
        <w:widowControl w:val="0"/>
        <w:shd w:val="clear" w:color="auto" w:fill="auto"/>
        <w:adjustRightInd w:val="0"/>
        <w:spacing w:line="360" w:lineRule="auto"/>
        <w:ind w:firstLine="422" w:firstLineChars="200"/>
        <w:jc w:val="left"/>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5.6</w:t>
      </w:r>
      <w:r>
        <w:rPr>
          <w:rFonts w:hint="eastAsia" w:asciiTheme="minorEastAsia" w:hAnsiTheme="minorEastAsia" w:eastAsiaTheme="minorEastAsia" w:cstheme="minorEastAsia"/>
          <w:bCs/>
          <w:snapToGrid w:val="0"/>
          <w:color w:val="auto"/>
          <w:kern w:val="0"/>
          <w:sz w:val="21"/>
          <w:szCs w:val="21"/>
          <w:highlight w:val="none"/>
          <w:lang w:val="en-US" w:eastAsia="zh-CN" w:bidi="ar-SA"/>
        </w:rPr>
        <w:t xml:space="preserve">剩余 </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t>3 %</w:t>
      </w:r>
      <w:r>
        <w:rPr>
          <w:rFonts w:hint="eastAsia" w:asciiTheme="minorEastAsia" w:hAnsiTheme="minorEastAsia" w:eastAsiaTheme="minorEastAsia" w:cstheme="minorEastAsia"/>
          <w:bCs/>
          <w:snapToGrid w:val="0"/>
          <w:color w:val="auto"/>
          <w:kern w:val="0"/>
          <w:sz w:val="21"/>
          <w:szCs w:val="21"/>
          <w:highlight w:val="none"/>
          <w:lang w:val="en-US" w:eastAsia="zh-CN" w:bidi="ar-SA"/>
        </w:rPr>
        <w:t xml:space="preserve"> 转为工程质量保证金，承包人提交了等额质量保证担保或质量保证保险的，于次月一次性结清合同价格。本招标项目缺陷责任期为</w:t>
      </w:r>
      <w:r>
        <w:rPr>
          <w:rFonts w:hint="eastAsia" w:asciiTheme="minorEastAsia" w:hAnsiTheme="minorEastAsia" w:eastAsiaTheme="minorEastAsia" w:cstheme="minorEastAsia"/>
          <w:bCs/>
          <w:snapToGrid w:val="0"/>
          <w:color w:val="auto"/>
          <w:kern w:val="0"/>
          <w:sz w:val="21"/>
          <w:szCs w:val="21"/>
          <w:highlight w:val="none"/>
          <w:u w:val="single"/>
          <w:lang w:val="en-US" w:eastAsia="zh-CN" w:bidi="ar-SA"/>
        </w:rPr>
        <w:t xml:space="preserve"> 1 </w:t>
      </w:r>
      <w:r>
        <w:rPr>
          <w:rFonts w:hint="eastAsia" w:asciiTheme="minorEastAsia" w:hAnsiTheme="minorEastAsia" w:eastAsiaTheme="minorEastAsia" w:cstheme="minorEastAsia"/>
          <w:bCs/>
          <w:snapToGrid w:val="0"/>
          <w:color w:val="auto"/>
          <w:kern w:val="0"/>
          <w:sz w:val="21"/>
          <w:szCs w:val="21"/>
          <w:highlight w:val="none"/>
          <w:lang w:val="en-US" w:eastAsia="zh-CN" w:bidi="ar-SA"/>
        </w:rPr>
        <w:t>年（自通过竣工验收之日起计）。</w:t>
      </w:r>
      <w:r>
        <w:rPr>
          <w:rFonts w:hint="eastAsia" w:asciiTheme="minorEastAsia" w:hAnsiTheme="minorEastAsia" w:eastAsiaTheme="minorEastAsia" w:cstheme="minorEastAsia"/>
          <w:snapToGrid w:val="0"/>
          <w:color w:val="auto"/>
          <w:kern w:val="0"/>
          <w:sz w:val="21"/>
          <w:szCs w:val="21"/>
          <w:highlight w:val="none"/>
          <w:lang w:val="en-US" w:eastAsia="zh-CN" w:bidi="ar-SA"/>
        </w:rPr>
        <w:t>缺陷责任期到期后，承包人向发包人申请退还质量保证。</w:t>
      </w:r>
    </w:p>
    <w:p w14:paraId="03D6E38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6．合同生效、变更、暂停、解除与终止</w:t>
      </w:r>
    </w:p>
    <w:p w14:paraId="0162CA7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6.1</w:t>
      </w:r>
      <w:r>
        <w:rPr>
          <w:rFonts w:hint="eastAsia" w:asciiTheme="minorEastAsia" w:hAnsiTheme="minorEastAsia" w:eastAsiaTheme="minorEastAsia" w:cstheme="minorEastAsia"/>
          <w:snapToGrid w:val="0"/>
          <w:color w:val="auto"/>
          <w:kern w:val="0"/>
          <w:sz w:val="21"/>
          <w:szCs w:val="21"/>
          <w:highlight w:val="none"/>
        </w:rPr>
        <w:t xml:space="preserve"> 生效</w:t>
      </w:r>
    </w:p>
    <w:p w14:paraId="3643977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委托人和监理人的法定代表人或其授权代理人在协议书上签字并盖单位章后本合同生效。</w:t>
      </w:r>
    </w:p>
    <w:p w14:paraId="4ABCC32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w:t>
      </w:r>
      <w:r>
        <w:rPr>
          <w:rFonts w:hint="eastAsia" w:asciiTheme="minorEastAsia" w:hAnsiTheme="minorEastAsia" w:eastAsiaTheme="minorEastAsia" w:cstheme="minorEastAsia"/>
          <w:snapToGrid w:val="0"/>
          <w:color w:val="auto"/>
          <w:kern w:val="0"/>
          <w:sz w:val="21"/>
          <w:szCs w:val="21"/>
          <w:highlight w:val="none"/>
        </w:rPr>
        <w:t xml:space="preserve"> 变更</w:t>
      </w:r>
    </w:p>
    <w:p w14:paraId="32985A0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6.2.1</w:t>
      </w:r>
      <w:r>
        <w:rPr>
          <w:rFonts w:hint="eastAsia" w:asciiTheme="minorEastAsia" w:hAnsiTheme="minorEastAsia" w:eastAsiaTheme="minorEastAsia" w:cstheme="minorEastAsia"/>
          <w:snapToGrid w:val="0"/>
          <w:color w:val="auto"/>
          <w:kern w:val="0"/>
          <w:sz w:val="21"/>
          <w:szCs w:val="21"/>
          <w:highlight w:val="none"/>
        </w:rPr>
        <w:t xml:space="preserve"> 任何一方提出变更请求时，双方经协商一致后可进行变更。</w:t>
      </w:r>
    </w:p>
    <w:p w14:paraId="36EDD28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6.2.2</w:t>
      </w:r>
      <w:r>
        <w:rPr>
          <w:rFonts w:hint="eastAsia" w:asciiTheme="minorEastAsia" w:hAnsiTheme="minorEastAsia" w:eastAsiaTheme="minorEastAsia" w:cstheme="minorEastAsia"/>
          <w:b w:val="0"/>
          <w:bCs w:val="0"/>
          <w:snapToGrid w:val="0"/>
          <w:color w:val="auto"/>
          <w:kern w:val="0"/>
          <w:sz w:val="21"/>
          <w:szCs w:val="21"/>
          <w:highlight w:val="none"/>
        </w:rPr>
        <w:t>除不可抗力外，因非监理人原因导致监理人履行合同期限延长、内容增加时，监理人应当将此情况与可能产生的影响及时通知委托人。增加的监理工作时间、工作内容应视为附加工作。</w:t>
      </w:r>
    </w:p>
    <w:p w14:paraId="1B7A631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 w:val="0"/>
          <w:bCs w:val="0"/>
          <w:snapToGrid w:val="0"/>
          <w:color w:val="auto"/>
          <w:kern w:val="0"/>
          <w:sz w:val="21"/>
          <w:szCs w:val="21"/>
          <w:highlight w:val="none"/>
        </w:rPr>
        <w:t>发生以上情形的附加工作酬金的确定方法为：项目建设期间，即使出现缓建或停建事件导致监理工期延长，不另增加监理服务费。</w:t>
      </w:r>
    </w:p>
    <w:p w14:paraId="16BF7BF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6.2.3</w:t>
      </w:r>
      <w:r>
        <w:rPr>
          <w:rFonts w:hint="eastAsia" w:asciiTheme="minorEastAsia" w:hAnsiTheme="minorEastAsia" w:eastAsiaTheme="minorEastAsia" w:cstheme="minorEastAsia"/>
          <w:snapToGrid w:val="0"/>
          <w:color w:val="auto"/>
          <w:kern w:val="0"/>
          <w:sz w:val="21"/>
          <w:szCs w:val="21"/>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255E46C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发生以上情形的附加工作酬金的确定方法为：</w:t>
      </w:r>
      <w:r>
        <w:rPr>
          <w:rFonts w:hint="eastAsia" w:asciiTheme="minorEastAsia" w:hAnsiTheme="minorEastAsia" w:eastAsiaTheme="minorEastAsia" w:cstheme="minorEastAsia"/>
          <w:snapToGrid w:val="0"/>
          <w:color w:val="auto"/>
          <w:kern w:val="0"/>
          <w:sz w:val="21"/>
          <w:szCs w:val="21"/>
          <w:highlight w:val="none"/>
          <w:u w:val="single"/>
        </w:rPr>
        <w:t>项目建设期间，即使出现缓建或停建事件导致监理工期延长，不另增加监理服务费</w:t>
      </w:r>
      <w:r>
        <w:rPr>
          <w:rFonts w:hint="eastAsia" w:asciiTheme="minorEastAsia" w:hAnsiTheme="minorEastAsia" w:eastAsiaTheme="minorEastAsia" w:cstheme="minorEastAsia"/>
          <w:snapToGrid w:val="0"/>
          <w:color w:val="auto"/>
          <w:kern w:val="0"/>
          <w:sz w:val="21"/>
          <w:szCs w:val="21"/>
          <w:highlight w:val="none"/>
        </w:rPr>
        <w:t>。</w:t>
      </w:r>
    </w:p>
    <w:p w14:paraId="29E5BF9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6.2.4</w:t>
      </w:r>
      <w:r>
        <w:rPr>
          <w:rFonts w:hint="eastAsia" w:asciiTheme="minorEastAsia" w:hAnsiTheme="minorEastAsia" w:eastAsiaTheme="minorEastAsia" w:cstheme="minorEastAsia"/>
          <w:snapToGrid w:val="0"/>
          <w:color w:val="auto"/>
          <w:kern w:val="0"/>
          <w:sz w:val="21"/>
          <w:szCs w:val="21"/>
          <w:highlight w:val="none"/>
        </w:rPr>
        <w:t xml:space="preserve"> 合同签订后，遇有与工程相关的法律法规、标准颁布或修订的，双方应遵照执行。由此引起监理与相关服务的范围、时间、酬金变化的，双方应通过协商进行相应调整。</w:t>
      </w:r>
    </w:p>
    <w:p w14:paraId="006F902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6.2.</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 xml:space="preserve"> 因工程规模、监理范围的变化导致监理人的正常工作量减少时，按减少工作量的比例从协议书约定的正常工作酬金中扣减相同比例的酬金。</w:t>
      </w:r>
    </w:p>
    <w:p w14:paraId="6C33824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w:t>
      </w:r>
      <w:r>
        <w:rPr>
          <w:rFonts w:hint="eastAsia" w:asciiTheme="minorEastAsia" w:hAnsiTheme="minorEastAsia" w:eastAsiaTheme="minorEastAsia" w:cstheme="minorEastAsia"/>
          <w:snapToGrid w:val="0"/>
          <w:color w:val="auto"/>
          <w:kern w:val="0"/>
          <w:sz w:val="21"/>
          <w:szCs w:val="21"/>
          <w:highlight w:val="none"/>
        </w:rPr>
        <w:t xml:space="preserve"> 暂停与解除</w:t>
      </w:r>
    </w:p>
    <w:p w14:paraId="2347EE6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除双方协商一致可以解除本合同外，当一方无正当理由未履行本合同约定的义务时，另一方可以根据本合同约定暂停履行本合同直至解除本合同。</w:t>
      </w:r>
    </w:p>
    <w:p w14:paraId="1B924A4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6.3.1</w:t>
      </w:r>
      <w:r>
        <w:rPr>
          <w:rFonts w:hint="eastAsia" w:asciiTheme="minorEastAsia" w:hAnsiTheme="minorEastAsia" w:eastAsiaTheme="minorEastAsia" w:cstheme="minorEastAsia"/>
          <w:snapToGrid w:val="0"/>
          <w:color w:val="auto"/>
          <w:kern w:val="0"/>
          <w:sz w:val="21"/>
          <w:szCs w:val="21"/>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713DCC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因解除本合同或解除监理人的部分义务导致监理人遭受的损失，除依法可以免除责任的情况外，应由委托人予以补偿，补偿金额由双方协商确定。解除本合同的协议必须采取书面形式，协议未达成之前，本合同仍然有效。</w:t>
      </w:r>
    </w:p>
    <w:p w14:paraId="400551B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6.3.2</w:t>
      </w:r>
      <w:r>
        <w:rPr>
          <w:rFonts w:hint="eastAsia" w:asciiTheme="minorEastAsia" w:hAnsiTheme="minorEastAsia" w:eastAsiaTheme="minorEastAsia" w:cstheme="minorEastAsia"/>
          <w:snapToGrid w:val="0"/>
          <w:color w:val="auto"/>
          <w:kern w:val="0"/>
          <w:sz w:val="21"/>
          <w:szCs w:val="21"/>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487A30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6.3.3</w:t>
      </w:r>
      <w:r>
        <w:rPr>
          <w:rFonts w:hint="eastAsia" w:asciiTheme="minorEastAsia" w:hAnsiTheme="minorEastAsia" w:eastAsiaTheme="minorEastAsia" w:cstheme="minorEastAsia"/>
          <w:snapToGrid w:val="0"/>
          <w:color w:val="auto"/>
          <w:kern w:val="0"/>
          <w:sz w:val="21"/>
          <w:szCs w:val="21"/>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heme="minorEastAsia" w:hAnsiTheme="minorEastAsia" w:eastAsiaTheme="minorEastAsia" w:cstheme="minorEastAsia"/>
          <w:b/>
          <w:bCs/>
          <w:snapToGrid w:val="0"/>
          <w:color w:val="auto"/>
          <w:kern w:val="0"/>
          <w:sz w:val="21"/>
          <w:szCs w:val="21"/>
          <w:highlight w:val="none"/>
        </w:rPr>
        <w:t>4.1</w:t>
      </w:r>
      <w:r>
        <w:rPr>
          <w:rFonts w:hint="eastAsia" w:asciiTheme="minorEastAsia" w:hAnsiTheme="minorEastAsia" w:eastAsiaTheme="minorEastAsia" w:cstheme="minorEastAsia"/>
          <w:snapToGrid w:val="0"/>
          <w:color w:val="auto"/>
          <w:kern w:val="0"/>
          <w:sz w:val="21"/>
          <w:szCs w:val="21"/>
          <w:highlight w:val="none"/>
        </w:rPr>
        <w:t>条约定的责任。</w:t>
      </w:r>
    </w:p>
    <w:p w14:paraId="0ABC16AF">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w:t>
      </w:r>
      <w:r>
        <w:rPr>
          <w:rFonts w:hint="eastAsia" w:asciiTheme="minorEastAsia" w:hAnsiTheme="minorEastAsia" w:eastAsiaTheme="minorEastAsia" w:cstheme="minorEastAsia"/>
          <w:b/>
          <w:bCs/>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 xml:space="preserve"> 因不可抗力致使本合同部分或全部不能履行时，一方应立即通知另一方，可暂停或解除本合同。</w:t>
      </w:r>
    </w:p>
    <w:p w14:paraId="7E7B865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6.3.</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 xml:space="preserve"> 本合同解除后，本合同约定的有关结算、清理、争议解决方式的条件仍然有效。</w:t>
      </w:r>
    </w:p>
    <w:p w14:paraId="72D4ABB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6.4</w:t>
      </w:r>
      <w:r>
        <w:rPr>
          <w:rFonts w:hint="eastAsia" w:asciiTheme="minorEastAsia" w:hAnsiTheme="minorEastAsia" w:eastAsiaTheme="minorEastAsia" w:cstheme="minorEastAsia"/>
          <w:snapToGrid w:val="0"/>
          <w:color w:val="auto"/>
          <w:kern w:val="0"/>
          <w:sz w:val="21"/>
          <w:szCs w:val="21"/>
          <w:highlight w:val="none"/>
        </w:rPr>
        <w:t xml:space="preserve"> 终止</w:t>
      </w:r>
    </w:p>
    <w:p w14:paraId="4BAF069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以下条件全部满足时，本合同即告终止：</w:t>
      </w:r>
    </w:p>
    <w:p w14:paraId="6FD7964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（1）监理人完成本合同约定的全部工作；</w:t>
      </w:r>
    </w:p>
    <w:p w14:paraId="7A60941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（2）委托人与监理人结清并支付全部酬金。</w:t>
      </w:r>
    </w:p>
    <w:p w14:paraId="086D9C4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7FB9EE2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7．争议解决</w:t>
      </w:r>
    </w:p>
    <w:p w14:paraId="011EBC9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7.1</w:t>
      </w:r>
      <w:r>
        <w:rPr>
          <w:rFonts w:hint="eastAsia" w:asciiTheme="minorEastAsia" w:hAnsiTheme="minorEastAsia" w:eastAsiaTheme="minorEastAsia" w:cstheme="minorEastAsia"/>
          <w:snapToGrid w:val="0"/>
          <w:color w:val="auto"/>
          <w:kern w:val="0"/>
          <w:sz w:val="21"/>
          <w:szCs w:val="21"/>
          <w:highlight w:val="none"/>
        </w:rPr>
        <w:t xml:space="preserve"> 协商</w:t>
      </w:r>
    </w:p>
    <w:p w14:paraId="334CE21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双方应本着诚信原则协商解决彼此间的争议。</w:t>
      </w:r>
    </w:p>
    <w:p w14:paraId="39B4469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7.2</w:t>
      </w:r>
      <w:r>
        <w:rPr>
          <w:rFonts w:hint="eastAsia" w:asciiTheme="minorEastAsia" w:hAnsiTheme="minorEastAsia" w:eastAsiaTheme="minorEastAsia" w:cstheme="minorEastAsia"/>
          <w:snapToGrid w:val="0"/>
          <w:color w:val="auto"/>
          <w:kern w:val="0"/>
          <w:sz w:val="21"/>
          <w:szCs w:val="21"/>
          <w:highlight w:val="none"/>
        </w:rPr>
        <w:t xml:space="preserve"> 调解</w:t>
      </w:r>
    </w:p>
    <w:p w14:paraId="5ED301B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如果双方不能在14天内或双方商定的其他时间内解决本合同争议，可以将其提交给</w:t>
      </w:r>
      <w:r>
        <w:rPr>
          <w:rFonts w:hint="eastAsia" w:asciiTheme="minorEastAsia" w:hAnsiTheme="minorEastAsia" w:eastAsiaTheme="minorEastAsia" w:cstheme="minorEastAsia"/>
          <w:snapToGrid w:val="0"/>
          <w:color w:val="auto"/>
          <w:kern w:val="0"/>
          <w:sz w:val="21"/>
          <w:szCs w:val="21"/>
          <w:highlight w:val="none"/>
          <w:u w:val="single"/>
        </w:rPr>
        <w:t xml:space="preserve"> 合同备案部门或事后达成协议的调解人 </w:t>
      </w:r>
      <w:r>
        <w:rPr>
          <w:rFonts w:hint="eastAsia" w:asciiTheme="minorEastAsia" w:hAnsiTheme="minorEastAsia" w:eastAsiaTheme="minorEastAsia" w:cstheme="minorEastAsia"/>
          <w:snapToGrid w:val="0"/>
          <w:color w:val="auto"/>
          <w:kern w:val="0"/>
          <w:sz w:val="21"/>
          <w:szCs w:val="21"/>
          <w:highlight w:val="none"/>
        </w:rPr>
        <w:t>进行调解。</w:t>
      </w:r>
    </w:p>
    <w:p w14:paraId="51C967F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7.3</w:t>
      </w:r>
      <w:r>
        <w:rPr>
          <w:rFonts w:hint="eastAsia" w:asciiTheme="minorEastAsia" w:hAnsiTheme="minorEastAsia" w:eastAsiaTheme="minorEastAsia" w:cstheme="minorEastAsia"/>
          <w:snapToGrid w:val="0"/>
          <w:color w:val="auto"/>
          <w:kern w:val="0"/>
          <w:sz w:val="21"/>
          <w:szCs w:val="21"/>
          <w:highlight w:val="none"/>
        </w:rPr>
        <w:t xml:space="preserve"> 仲裁或诉讼</w:t>
      </w:r>
    </w:p>
    <w:p w14:paraId="768756C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双方均有权不经调解直接向专用条件约定的仲裁机构申请仲裁或向有管辖权的人民法院提起诉讼。</w:t>
      </w:r>
    </w:p>
    <w:p w14:paraId="3668B3E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本合同争议的最终解决方式为下列第</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2</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种方式：</w:t>
      </w:r>
    </w:p>
    <w:p w14:paraId="36AB909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（1）提请</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项目所在地</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仲裁委员会进行仲裁。</w:t>
      </w:r>
    </w:p>
    <w:p w14:paraId="4503788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（2）向</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项目所在地</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人民法院提起诉讼。</w:t>
      </w:r>
    </w:p>
    <w:p w14:paraId="4A818A9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2162708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8．监理</w:t>
      </w:r>
      <w:r>
        <w:rPr>
          <w:rFonts w:hint="eastAsia" w:asciiTheme="minorEastAsia" w:hAnsiTheme="minorEastAsia" w:eastAsiaTheme="minorEastAsia" w:cstheme="minorEastAsia"/>
          <w:b/>
          <w:bCs/>
          <w:snapToGrid w:val="0"/>
          <w:color w:val="auto"/>
          <w:kern w:val="0"/>
          <w:sz w:val="21"/>
          <w:szCs w:val="21"/>
          <w:highlight w:val="none"/>
          <w:lang w:val="en-US" w:eastAsia="zh-CN"/>
        </w:rPr>
        <w:t>人</w:t>
      </w:r>
      <w:r>
        <w:rPr>
          <w:rFonts w:hint="eastAsia" w:asciiTheme="minorEastAsia" w:hAnsiTheme="minorEastAsia" w:eastAsiaTheme="minorEastAsia" w:cstheme="minorEastAsia"/>
          <w:b/>
          <w:bCs/>
          <w:snapToGrid w:val="0"/>
          <w:color w:val="auto"/>
          <w:kern w:val="0"/>
          <w:sz w:val="21"/>
          <w:szCs w:val="21"/>
          <w:highlight w:val="none"/>
        </w:rPr>
        <w:t>违约及违约责任条款</w:t>
      </w:r>
    </w:p>
    <w:p w14:paraId="61CDBC39">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 违约及违约责任</w:t>
      </w:r>
    </w:p>
    <w:p w14:paraId="43BAD85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8.1.1</w:t>
      </w:r>
      <w:r>
        <w:rPr>
          <w:rFonts w:hint="eastAsia" w:asciiTheme="minorEastAsia" w:hAnsiTheme="minorEastAsia" w:eastAsiaTheme="minorEastAsia" w:cstheme="minorEastAsia"/>
          <w:snapToGrid w:val="0"/>
          <w:color w:val="auto"/>
          <w:kern w:val="0"/>
          <w:sz w:val="21"/>
          <w:szCs w:val="21"/>
          <w:highlight w:val="none"/>
        </w:rPr>
        <w:t>通常情况下，监理人不能按合同履行其义务和职责，因工作过失或渎职而造成了工程的经济和工期损失，为监理人违约，监理人应当赔偿经济损失，并承担相关的行政、法律责任。在本监理合同中，双方约定将监理人违约范围适当扩大，增加两种视为监理人违约的情况，一是监理人未按约定履行其义务工作时，即使未造成损失，</w:t>
      </w:r>
      <w:r>
        <w:rPr>
          <w:rFonts w:hint="eastAsia" w:asciiTheme="minorEastAsia" w:hAnsiTheme="minorEastAsia" w:eastAsiaTheme="minorEastAsia" w:cstheme="minorEastAsia"/>
          <w:snapToGrid w:val="0"/>
          <w:color w:val="auto"/>
          <w:kern w:val="0"/>
          <w:sz w:val="21"/>
          <w:szCs w:val="21"/>
          <w:highlight w:val="none"/>
          <w:lang w:eastAsia="zh-CN"/>
        </w:rPr>
        <w:t>亦</w:t>
      </w:r>
      <w:r>
        <w:rPr>
          <w:rFonts w:hint="eastAsia" w:asciiTheme="minorEastAsia" w:hAnsiTheme="minorEastAsia" w:eastAsiaTheme="minorEastAsia" w:cstheme="minorEastAsia"/>
          <w:snapToGrid w:val="0"/>
          <w:color w:val="auto"/>
          <w:kern w:val="0"/>
          <w:sz w:val="21"/>
          <w:szCs w:val="21"/>
          <w:highlight w:val="none"/>
        </w:rPr>
        <w:t xml:space="preserve">视为监理人违约；二是监理目标未能达标，无论主要原因是什么，视为监理人违约。故本附件将监理人违约分为监理不良行为、监理过失、监理渎职及监理不达标四大情形造成的违约，这四种违约情形及违约责任的承担作如下规定： </w:t>
      </w:r>
    </w:p>
    <w:p w14:paraId="460DB04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2</w:t>
      </w:r>
      <w:r>
        <w:rPr>
          <w:rFonts w:hint="eastAsia" w:asciiTheme="minorEastAsia" w:hAnsiTheme="minorEastAsia" w:eastAsiaTheme="minorEastAsia" w:cstheme="minorEastAsia"/>
          <w:b/>
          <w:bCs/>
          <w:snapToGrid w:val="0"/>
          <w:color w:val="auto"/>
          <w:kern w:val="0"/>
          <w:sz w:val="21"/>
          <w:szCs w:val="21"/>
          <w:highlight w:val="none"/>
        </w:rPr>
        <w:t xml:space="preserve"> 监理违约行为一览表</w:t>
      </w:r>
    </w:p>
    <w:p w14:paraId="683DC03A">
      <w:pPr>
        <w:pStyle w:val="33"/>
        <w:shd w:val="clear" w:color="auto" w:fill="auto"/>
        <w:rPr>
          <w:rFonts w:hint="eastAsia" w:asciiTheme="minorEastAsia" w:hAnsiTheme="minorEastAsia" w:eastAsiaTheme="minorEastAsia" w:cstheme="minorEastAsia"/>
          <w:color w:val="auto"/>
          <w:sz w:val="21"/>
          <w:szCs w:val="21"/>
          <w:highlight w:val="none"/>
          <w:lang w:val="en-US" w:eastAsia="zh-CN"/>
        </w:rPr>
      </w:pPr>
    </w:p>
    <w:p w14:paraId="4F3EACF3">
      <w:pPr>
        <w:pStyle w:val="33"/>
        <w:shd w:val="clear" w:color="auto" w:fil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监理违约行为一览表</w:t>
      </w:r>
      <w:r>
        <w:rPr>
          <w:rFonts w:hint="eastAsia" w:asciiTheme="minorEastAsia" w:hAnsiTheme="minorEastAsia" w:eastAsiaTheme="minorEastAsia" w:cstheme="minorEastAsia"/>
          <w:color w:val="auto"/>
          <w:sz w:val="21"/>
          <w:szCs w:val="21"/>
          <w:highlight w:val="none"/>
        </w:rPr>
        <w:t xml:space="preserve"> </w:t>
      </w:r>
    </w:p>
    <w:p w14:paraId="16ACD6BD">
      <w:pPr>
        <w:pStyle w:val="33"/>
        <w:shd w:val="clear" w:color="auto" w:fill="auto"/>
        <w:rPr>
          <w:rFonts w:hint="eastAsia" w:asciiTheme="minorEastAsia" w:hAnsiTheme="minorEastAsia" w:eastAsiaTheme="minorEastAsia" w:cstheme="minorEastAsia"/>
          <w:color w:val="auto"/>
          <w:sz w:val="21"/>
          <w:szCs w:val="21"/>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019"/>
        <w:gridCol w:w="1931"/>
        <w:gridCol w:w="1636"/>
      </w:tblGrid>
      <w:tr w14:paraId="7378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36" w:type="dxa"/>
          </w:tcPr>
          <w:p w14:paraId="33916E83">
            <w:pPr>
              <w:pStyle w:val="33"/>
              <w:shd w:val="clear" w:color="auto" w:fill="auto"/>
              <w:rPr>
                <w:rFonts w:hint="eastAsia" w:asciiTheme="minorEastAsia" w:hAnsiTheme="minorEastAsia" w:eastAsiaTheme="minorEastAsia" w:cstheme="minorEastAsia"/>
                <w:b/>
                <w:bCs w:val="0"/>
                <w:color w:val="auto"/>
                <w:sz w:val="21"/>
                <w:szCs w:val="21"/>
                <w:highlight w:val="none"/>
                <w:vertAlign w:val="baseline"/>
                <w:lang w:eastAsia="zh-CN"/>
              </w:rPr>
            </w:pPr>
            <w:r>
              <w:rPr>
                <w:rFonts w:hint="eastAsia" w:asciiTheme="minorEastAsia" w:hAnsiTheme="minorEastAsia" w:eastAsiaTheme="minorEastAsia" w:cstheme="minorEastAsia"/>
                <w:b/>
                <w:bCs w:val="0"/>
                <w:color w:val="auto"/>
                <w:sz w:val="21"/>
                <w:szCs w:val="21"/>
                <w:highlight w:val="none"/>
                <w:vertAlign w:val="baseline"/>
                <w:lang w:eastAsia="zh-CN"/>
              </w:rPr>
              <w:t>序号</w:t>
            </w:r>
          </w:p>
        </w:tc>
        <w:tc>
          <w:tcPr>
            <w:tcW w:w="4019" w:type="dxa"/>
          </w:tcPr>
          <w:p w14:paraId="1A184995">
            <w:pPr>
              <w:pStyle w:val="33"/>
              <w:shd w:val="clear" w:color="auto" w:fill="auto"/>
              <w:rPr>
                <w:rFonts w:hint="eastAsia" w:asciiTheme="minorEastAsia" w:hAnsiTheme="minorEastAsia" w:eastAsiaTheme="minorEastAsia" w:cstheme="minorEastAsia"/>
                <w:b/>
                <w:bCs w:val="0"/>
                <w:color w:val="auto"/>
                <w:sz w:val="21"/>
                <w:szCs w:val="21"/>
                <w:highlight w:val="none"/>
                <w:vertAlign w:val="baseline"/>
                <w:lang w:eastAsia="zh-CN"/>
              </w:rPr>
            </w:pPr>
            <w:r>
              <w:rPr>
                <w:rFonts w:hint="eastAsia" w:asciiTheme="minorEastAsia" w:hAnsiTheme="minorEastAsia" w:eastAsiaTheme="minorEastAsia" w:cstheme="minorEastAsia"/>
                <w:b/>
                <w:bCs w:val="0"/>
                <w:color w:val="auto"/>
                <w:sz w:val="21"/>
                <w:szCs w:val="21"/>
                <w:highlight w:val="none"/>
                <w:vertAlign w:val="baseline"/>
                <w:lang w:eastAsia="zh-CN"/>
              </w:rPr>
              <w:t>违约行为</w:t>
            </w:r>
          </w:p>
        </w:tc>
        <w:tc>
          <w:tcPr>
            <w:tcW w:w="1931" w:type="dxa"/>
          </w:tcPr>
          <w:p w14:paraId="51084AF9">
            <w:pPr>
              <w:pStyle w:val="33"/>
              <w:shd w:val="clear" w:color="auto" w:fill="auto"/>
              <w:rPr>
                <w:rFonts w:hint="eastAsia" w:asciiTheme="minorEastAsia" w:hAnsiTheme="minorEastAsia" w:eastAsiaTheme="minorEastAsia" w:cstheme="minorEastAsia"/>
                <w:b/>
                <w:bCs w:val="0"/>
                <w:color w:val="auto"/>
                <w:sz w:val="21"/>
                <w:szCs w:val="21"/>
                <w:highlight w:val="none"/>
                <w:vertAlign w:val="baseline"/>
                <w:lang w:eastAsia="zh-CN"/>
              </w:rPr>
            </w:pPr>
            <w:r>
              <w:rPr>
                <w:rFonts w:hint="eastAsia" w:asciiTheme="minorEastAsia" w:hAnsiTheme="minorEastAsia" w:eastAsiaTheme="minorEastAsia" w:cstheme="minorEastAsia"/>
                <w:b/>
                <w:bCs w:val="0"/>
                <w:color w:val="auto"/>
                <w:sz w:val="21"/>
                <w:szCs w:val="21"/>
                <w:highlight w:val="none"/>
                <w:vertAlign w:val="baseline"/>
                <w:lang w:eastAsia="zh-CN"/>
              </w:rPr>
              <w:t>违约金额</w:t>
            </w:r>
          </w:p>
        </w:tc>
        <w:tc>
          <w:tcPr>
            <w:tcW w:w="1636" w:type="dxa"/>
          </w:tcPr>
          <w:p w14:paraId="4BC7B9E5">
            <w:pPr>
              <w:pStyle w:val="33"/>
              <w:shd w:val="clear" w:color="auto" w:fill="auto"/>
              <w:rPr>
                <w:rFonts w:hint="eastAsia" w:asciiTheme="minorEastAsia" w:hAnsiTheme="minorEastAsia" w:eastAsiaTheme="minorEastAsia" w:cstheme="minorEastAsia"/>
                <w:b/>
                <w:bCs w:val="0"/>
                <w:color w:val="auto"/>
                <w:sz w:val="21"/>
                <w:szCs w:val="21"/>
                <w:highlight w:val="none"/>
                <w:vertAlign w:val="baseline"/>
                <w:lang w:eastAsia="zh-CN"/>
              </w:rPr>
            </w:pPr>
            <w:r>
              <w:rPr>
                <w:rFonts w:hint="eastAsia" w:asciiTheme="minorEastAsia" w:hAnsiTheme="minorEastAsia" w:eastAsiaTheme="minorEastAsia" w:cstheme="minorEastAsia"/>
                <w:b/>
                <w:bCs w:val="0"/>
                <w:color w:val="auto"/>
                <w:sz w:val="21"/>
                <w:szCs w:val="21"/>
                <w:highlight w:val="none"/>
                <w:vertAlign w:val="baseline"/>
                <w:lang w:eastAsia="zh-CN"/>
              </w:rPr>
              <w:t>备注</w:t>
            </w:r>
          </w:p>
        </w:tc>
      </w:tr>
      <w:tr w14:paraId="456C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14:paraId="15FB996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1"/>
                <w:szCs w:val="21"/>
                <w:highlight w:val="none"/>
                <w:vertAlign w:val="baseline"/>
                <w:lang w:val="en-US" w:eastAsia="zh-CN"/>
              </w:rPr>
            </w:pPr>
            <w:r>
              <w:rPr>
                <w:rFonts w:hint="eastAsia" w:asciiTheme="minorEastAsia" w:hAnsiTheme="minorEastAsia" w:eastAsiaTheme="minorEastAsia" w:cstheme="minorEastAsia"/>
                <w:b/>
                <w:bCs w:val="0"/>
                <w:color w:val="auto"/>
                <w:sz w:val="21"/>
                <w:szCs w:val="21"/>
                <w:highlight w:val="none"/>
                <w:vertAlign w:val="baseline"/>
                <w:lang w:val="en-US" w:eastAsia="zh-CN"/>
              </w:rPr>
              <w:t>一</w:t>
            </w:r>
          </w:p>
        </w:tc>
        <w:tc>
          <w:tcPr>
            <w:tcW w:w="4019" w:type="dxa"/>
          </w:tcPr>
          <w:p w14:paraId="36D4588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val="0"/>
                <w:color w:val="auto"/>
                <w:sz w:val="21"/>
                <w:szCs w:val="21"/>
                <w:highlight w:val="none"/>
                <w:vertAlign w:val="baseline"/>
              </w:rPr>
            </w:pPr>
            <w:r>
              <w:rPr>
                <w:rFonts w:hint="eastAsia" w:asciiTheme="minorEastAsia" w:hAnsiTheme="minorEastAsia" w:eastAsiaTheme="minorEastAsia" w:cstheme="minorEastAsia"/>
                <w:b/>
                <w:bCs w:val="0"/>
                <w:color w:val="auto"/>
                <w:sz w:val="21"/>
                <w:szCs w:val="21"/>
                <w:highlight w:val="none"/>
                <w:vertAlign w:val="baseline"/>
              </w:rPr>
              <w:t>监理不良行为违约</w:t>
            </w:r>
          </w:p>
        </w:tc>
        <w:tc>
          <w:tcPr>
            <w:tcW w:w="1931" w:type="dxa"/>
            <w:vAlign w:val="center"/>
          </w:tcPr>
          <w:p w14:paraId="77399D4D">
            <w:pPr>
              <w:pStyle w:val="33"/>
              <w:shd w:val="clear" w:color="auto" w:fill="auto"/>
              <w:jc w:val="center"/>
              <w:rPr>
                <w:rFonts w:hint="eastAsia" w:asciiTheme="minorEastAsia" w:hAnsiTheme="minorEastAsia" w:eastAsiaTheme="minorEastAsia" w:cstheme="minorEastAsia"/>
                <w:b w:val="0"/>
                <w:bCs/>
                <w:color w:val="auto"/>
                <w:sz w:val="21"/>
                <w:szCs w:val="21"/>
                <w:highlight w:val="none"/>
                <w:vertAlign w:val="baseline"/>
              </w:rPr>
            </w:pPr>
          </w:p>
        </w:tc>
        <w:tc>
          <w:tcPr>
            <w:tcW w:w="1636" w:type="dxa"/>
          </w:tcPr>
          <w:p w14:paraId="6F1BD906">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3C9A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13C8E9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w:t>
            </w:r>
          </w:p>
        </w:tc>
        <w:tc>
          <w:tcPr>
            <w:tcW w:w="4019" w:type="dxa"/>
            <w:shd w:val="clear" w:color="auto" w:fill="auto"/>
            <w:vAlign w:val="top"/>
          </w:tcPr>
          <w:p w14:paraId="6B2A5B4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cstheme="minorEastAsia"/>
                <w:b w:val="0"/>
                <w:bCs/>
                <w:color w:val="auto"/>
                <w:kern w:val="2"/>
                <w:sz w:val="21"/>
                <w:szCs w:val="21"/>
                <w:highlight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rPr>
              <w:t>本项目对驻场监理人员实施考勤，</w:t>
            </w:r>
            <w:r>
              <w:rPr>
                <w:rFonts w:hint="eastAsia" w:asciiTheme="minorEastAsia" w:hAnsiTheme="minorEastAsia" w:eastAsiaTheme="minorEastAsia" w:cstheme="minorEastAsia"/>
                <w:b w:val="0"/>
                <w:bCs/>
                <w:color w:val="auto"/>
                <w:sz w:val="21"/>
                <w:szCs w:val="21"/>
                <w:highlight w:val="none"/>
                <w:lang w:val="en-US" w:eastAsia="zh-CN"/>
              </w:rPr>
              <w:t>需</w:t>
            </w:r>
            <w:r>
              <w:rPr>
                <w:rFonts w:hint="eastAsia" w:asciiTheme="minorEastAsia" w:hAnsiTheme="minorEastAsia" w:eastAsiaTheme="minorEastAsia" w:cstheme="minorEastAsia"/>
                <w:b w:val="0"/>
                <w:bCs/>
                <w:color w:val="auto"/>
                <w:sz w:val="21"/>
                <w:szCs w:val="21"/>
                <w:highlight w:val="none"/>
              </w:rPr>
              <w:t>每</w:t>
            </w:r>
            <w:r>
              <w:rPr>
                <w:rFonts w:hint="eastAsia" w:asciiTheme="minorEastAsia" w:hAnsiTheme="minorEastAsia" w:eastAsiaTheme="minorEastAsia" w:cstheme="minorEastAsia"/>
                <w:b w:val="0"/>
                <w:bCs/>
                <w:color w:val="auto"/>
                <w:sz w:val="21"/>
                <w:szCs w:val="21"/>
                <w:highlight w:val="none"/>
                <w:lang w:val="en-US" w:eastAsia="zh-CN"/>
              </w:rPr>
              <w:t>日到场，每缺勤一天，监理员需扣除违约金。</w:t>
            </w:r>
          </w:p>
        </w:tc>
        <w:tc>
          <w:tcPr>
            <w:tcW w:w="1931" w:type="dxa"/>
            <w:shd w:val="clear" w:color="auto" w:fill="auto"/>
            <w:vAlign w:val="center"/>
          </w:tcPr>
          <w:p w14:paraId="20116888">
            <w:pPr>
              <w:pStyle w:val="33"/>
              <w:shd w:val="clear" w:color="auto" w:fill="auto"/>
              <w:jc w:val="center"/>
              <w:rPr>
                <w:rFonts w:hint="eastAsia" w:asciiTheme="minorEastAsia" w:hAnsiTheme="minorEastAsia" w:eastAsiaTheme="minorEastAsia" w:cstheme="minorEastAsia"/>
                <w:b w:val="0"/>
                <w:bCs/>
                <w:color w:val="auto"/>
                <w:kern w:val="2"/>
                <w:sz w:val="21"/>
                <w:szCs w:val="21"/>
                <w:highlight w:val="none"/>
                <w:u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u w:val="none"/>
              </w:rPr>
              <w:t>¥</w:t>
            </w:r>
            <w:r>
              <w:rPr>
                <w:rFonts w:hint="eastAsia" w:asciiTheme="minorEastAsia" w:hAnsiTheme="minorEastAsia" w:eastAsiaTheme="minorEastAsia" w:cstheme="minorEastAsia"/>
                <w:b w:val="0"/>
                <w:bCs/>
                <w:color w:val="auto"/>
                <w:sz w:val="21"/>
                <w:szCs w:val="21"/>
                <w:highlight w:val="none"/>
                <w:u w:val="none"/>
                <w:lang w:val="en-US" w:eastAsia="zh-CN"/>
              </w:rPr>
              <w:t>3</w:t>
            </w:r>
            <w:r>
              <w:rPr>
                <w:rFonts w:hint="eastAsia" w:asciiTheme="minorEastAsia" w:hAnsiTheme="minorEastAsia" w:eastAsiaTheme="minorEastAsia" w:cstheme="minorEastAsia"/>
                <w:b w:val="0"/>
                <w:bCs/>
                <w:color w:val="auto"/>
                <w:sz w:val="21"/>
                <w:szCs w:val="21"/>
                <w:highlight w:val="none"/>
                <w:u w:val="none"/>
              </w:rPr>
              <w:t>000元</w:t>
            </w:r>
            <w:r>
              <w:rPr>
                <w:rFonts w:hint="eastAsia" w:asciiTheme="minorEastAsia" w:hAnsiTheme="minorEastAsia" w:eastAsiaTheme="minorEastAsia" w:cstheme="minorEastAsia"/>
                <w:b w:val="0"/>
                <w:bCs/>
                <w:color w:val="auto"/>
                <w:sz w:val="21"/>
                <w:szCs w:val="21"/>
                <w:highlight w:val="none"/>
                <w:u w:val="none"/>
                <w:lang w:val="en-US" w:eastAsia="zh-CN"/>
              </w:rPr>
              <w:t>/天</w:t>
            </w:r>
          </w:p>
        </w:tc>
        <w:tc>
          <w:tcPr>
            <w:tcW w:w="1636" w:type="dxa"/>
            <w:shd w:val="clear" w:color="auto" w:fill="auto"/>
            <w:vAlign w:val="top"/>
          </w:tcPr>
          <w:p w14:paraId="06597FFE">
            <w:pPr>
              <w:pStyle w:val="33"/>
              <w:shd w:val="clear" w:color="auto" w:fill="auto"/>
              <w:jc w:val="both"/>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p>
        </w:tc>
      </w:tr>
      <w:tr w14:paraId="40C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8C1233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2</w:t>
            </w:r>
          </w:p>
        </w:tc>
        <w:tc>
          <w:tcPr>
            <w:tcW w:w="4019" w:type="dxa"/>
            <w:shd w:val="clear" w:color="auto" w:fill="auto"/>
            <w:vAlign w:val="top"/>
          </w:tcPr>
          <w:p w14:paraId="708A091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rPr>
              <w:t>其他监理人员必须按配备要求在现场驻场监理，离开项目现场必须经委托人书面同意，如委托人发现监理人员非正常离岗</w:t>
            </w:r>
          </w:p>
        </w:tc>
        <w:tc>
          <w:tcPr>
            <w:tcW w:w="1931" w:type="dxa"/>
            <w:shd w:val="clear" w:color="auto" w:fill="auto"/>
            <w:vAlign w:val="center"/>
          </w:tcPr>
          <w:p w14:paraId="388A0AD0">
            <w:pPr>
              <w:pStyle w:val="33"/>
              <w:shd w:val="clear" w:color="auto" w:fill="auto"/>
              <w:jc w:val="center"/>
              <w:rPr>
                <w:rFonts w:hint="eastAsia" w:asciiTheme="minorEastAsia" w:hAnsiTheme="minorEastAsia" w:eastAsiaTheme="minorEastAsia" w:cstheme="minorEastAsia"/>
                <w:b w:val="0"/>
                <w:bCs/>
                <w:color w:val="auto"/>
                <w:kern w:val="2"/>
                <w:sz w:val="21"/>
                <w:szCs w:val="21"/>
                <w:highlight w:val="none"/>
                <w:u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u w:val="none"/>
              </w:rPr>
              <w:t>¥</w:t>
            </w:r>
            <w:r>
              <w:rPr>
                <w:rFonts w:hint="eastAsia" w:asciiTheme="minorEastAsia" w:hAnsiTheme="minorEastAsia" w:eastAsiaTheme="minorEastAsia" w:cstheme="minorEastAsia"/>
                <w:b w:val="0"/>
                <w:bCs/>
                <w:color w:val="auto"/>
                <w:sz w:val="21"/>
                <w:szCs w:val="21"/>
                <w:highlight w:val="none"/>
                <w:u w:val="none"/>
                <w:lang w:val="en-US" w:eastAsia="zh-CN"/>
              </w:rPr>
              <w:t>5</w:t>
            </w:r>
            <w:r>
              <w:rPr>
                <w:rFonts w:hint="eastAsia" w:asciiTheme="minorEastAsia" w:hAnsiTheme="minorEastAsia" w:eastAsiaTheme="minorEastAsia" w:cstheme="minorEastAsia"/>
                <w:b w:val="0"/>
                <w:bCs/>
                <w:color w:val="auto"/>
                <w:sz w:val="21"/>
                <w:szCs w:val="21"/>
                <w:highlight w:val="none"/>
                <w:u w:val="none"/>
              </w:rPr>
              <w:t>00元</w:t>
            </w:r>
            <w:r>
              <w:rPr>
                <w:rFonts w:hint="eastAsia" w:asciiTheme="minorEastAsia" w:hAnsiTheme="minorEastAsia" w:eastAsiaTheme="minorEastAsia" w:cstheme="minorEastAsia"/>
                <w:b w:val="0"/>
                <w:bCs/>
                <w:color w:val="auto"/>
                <w:sz w:val="21"/>
                <w:szCs w:val="21"/>
                <w:highlight w:val="none"/>
                <w:u w:val="none"/>
                <w:lang w:val="en-US" w:eastAsia="zh-CN"/>
              </w:rPr>
              <w:t>/次</w:t>
            </w:r>
          </w:p>
        </w:tc>
        <w:tc>
          <w:tcPr>
            <w:tcW w:w="1636" w:type="dxa"/>
            <w:shd w:val="clear" w:color="auto" w:fill="auto"/>
            <w:vAlign w:val="top"/>
          </w:tcPr>
          <w:p w14:paraId="3F281D35">
            <w:pPr>
              <w:pStyle w:val="33"/>
              <w:shd w:val="clear" w:color="auto" w:fill="auto"/>
              <w:jc w:val="both"/>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p>
        </w:tc>
      </w:tr>
      <w:tr w14:paraId="20F7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25BE2F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3</w:t>
            </w:r>
          </w:p>
        </w:tc>
        <w:tc>
          <w:tcPr>
            <w:tcW w:w="4019" w:type="dxa"/>
            <w:shd w:val="clear" w:color="auto" w:fill="auto"/>
            <w:vAlign w:val="top"/>
          </w:tcPr>
          <w:p w14:paraId="7081C3D3">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rPr>
              <w:t>同一问题未能按时整改，每重复一次</w:t>
            </w:r>
          </w:p>
        </w:tc>
        <w:tc>
          <w:tcPr>
            <w:tcW w:w="1931" w:type="dxa"/>
            <w:shd w:val="clear" w:color="auto" w:fill="auto"/>
            <w:vAlign w:val="center"/>
          </w:tcPr>
          <w:p w14:paraId="73988D40">
            <w:pPr>
              <w:pStyle w:val="33"/>
              <w:shd w:val="clear" w:color="auto" w:fill="auto"/>
              <w:jc w:val="center"/>
              <w:rPr>
                <w:rFonts w:hint="eastAsia" w:asciiTheme="minorEastAsia" w:hAnsiTheme="minorEastAsia" w:eastAsiaTheme="minorEastAsia" w:cstheme="minorEastAsia"/>
                <w:b w:val="0"/>
                <w:bCs/>
                <w:color w:val="auto"/>
                <w:kern w:val="2"/>
                <w:sz w:val="21"/>
                <w:szCs w:val="21"/>
                <w:highlight w:val="none"/>
                <w:u w:val="none"/>
                <w:vertAlign w:val="baseline"/>
                <w:lang w:val="en-US" w:eastAsia="zh-CN" w:bidi="ar-SA"/>
              </w:rPr>
            </w:pPr>
            <w:r>
              <w:rPr>
                <w:rFonts w:hint="eastAsia" w:asciiTheme="minorEastAsia" w:hAnsiTheme="minorEastAsia" w:eastAsiaTheme="minorEastAsia" w:cstheme="minorEastAsia"/>
                <w:b w:val="0"/>
                <w:bCs/>
                <w:color w:val="auto"/>
                <w:sz w:val="21"/>
                <w:szCs w:val="21"/>
                <w:highlight w:val="none"/>
                <w:u w:val="none"/>
              </w:rPr>
              <w:t>¥</w:t>
            </w:r>
            <w:r>
              <w:rPr>
                <w:rFonts w:hint="eastAsia" w:asciiTheme="minorEastAsia" w:hAnsiTheme="minorEastAsia" w:eastAsiaTheme="minorEastAsia" w:cstheme="minorEastAsia"/>
                <w:b w:val="0"/>
                <w:bCs/>
                <w:color w:val="auto"/>
                <w:sz w:val="21"/>
                <w:szCs w:val="21"/>
                <w:highlight w:val="none"/>
                <w:u w:val="none"/>
                <w:lang w:val="en-US" w:eastAsia="zh-CN"/>
              </w:rPr>
              <w:t>1</w:t>
            </w:r>
            <w:r>
              <w:rPr>
                <w:rFonts w:hint="eastAsia" w:asciiTheme="minorEastAsia" w:hAnsiTheme="minorEastAsia" w:eastAsiaTheme="minorEastAsia" w:cstheme="minorEastAsia"/>
                <w:b w:val="0"/>
                <w:bCs/>
                <w:color w:val="auto"/>
                <w:sz w:val="21"/>
                <w:szCs w:val="21"/>
                <w:highlight w:val="none"/>
                <w:u w:val="none"/>
              </w:rPr>
              <w:t>000元</w:t>
            </w:r>
            <w:r>
              <w:rPr>
                <w:rFonts w:hint="eastAsia" w:asciiTheme="minorEastAsia" w:hAnsiTheme="minorEastAsia" w:eastAsiaTheme="minorEastAsia" w:cstheme="minorEastAsia"/>
                <w:b w:val="0"/>
                <w:bCs/>
                <w:color w:val="auto"/>
                <w:sz w:val="21"/>
                <w:szCs w:val="21"/>
                <w:highlight w:val="none"/>
                <w:u w:val="none"/>
                <w:lang w:val="en-US" w:eastAsia="zh-CN"/>
              </w:rPr>
              <w:t>/次</w:t>
            </w:r>
          </w:p>
        </w:tc>
        <w:tc>
          <w:tcPr>
            <w:tcW w:w="1636" w:type="dxa"/>
            <w:shd w:val="clear" w:color="auto" w:fill="auto"/>
            <w:vAlign w:val="top"/>
          </w:tcPr>
          <w:p w14:paraId="17185EBD">
            <w:pPr>
              <w:pStyle w:val="33"/>
              <w:shd w:val="clear" w:color="auto" w:fill="auto"/>
              <w:jc w:val="both"/>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p>
        </w:tc>
      </w:tr>
      <w:tr w14:paraId="5700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D8CF03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4</w:t>
            </w:r>
          </w:p>
        </w:tc>
        <w:tc>
          <w:tcPr>
            <w:tcW w:w="4019" w:type="dxa"/>
            <w:shd w:val="clear" w:color="auto" w:fill="auto"/>
            <w:vAlign w:val="top"/>
          </w:tcPr>
          <w:p w14:paraId="37F4B6B2">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投标人必须充分考虑总监的履职能力和可行性，充分评估总监的身体健康状况及合同约定服务期限，监理人原则上不得更换总监，若监理人提出《广东省住房和城乡建设厅关于建设工程项目招标中标后监督检查的办法》（粤建市〔2009〕8号第九条所述除外情形之</w:t>
            </w:r>
            <w:r>
              <w:rPr>
                <w:rFonts w:hint="eastAsia" w:asciiTheme="minorEastAsia" w:hAnsiTheme="minorEastAsia" w:eastAsiaTheme="minorEastAsia" w:cstheme="minorEastAsia"/>
                <w:b w:val="0"/>
                <w:bCs/>
                <w:color w:val="auto"/>
                <w:sz w:val="21"/>
                <w:szCs w:val="21"/>
                <w:highlight w:val="none"/>
                <w:lang w:eastAsia="zh-CN"/>
              </w:rPr>
              <w:t>一</w:t>
            </w:r>
            <w:r>
              <w:rPr>
                <w:rFonts w:hint="eastAsia" w:asciiTheme="minorEastAsia" w:hAnsiTheme="minorEastAsia" w:eastAsiaTheme="minorEastAsia" w:cstheme="minorEastAsia"/>
                <w:b w:val="0"/>
                <w:bCs/>
                <w:color w:val="auto"/>
                <w:sz w:val="21"/>
                <w:szCs w:val="21"/>
                <w:highlight w:val="none"/>
              </w:rPr>
              <w:t>需变更更换总监的</w:t>
            </w:r>
          </w:p>
        </w:tc>
        <w:tc>
          <w:tcPr>
            <w:tcW w:w="1931" w:type="dxa"/>
            <w:shd w:val="clear" w:color="auto" w:fill="auto"/>
            <w:vAlign w:val="center"/>
          </w:tcPr>
          <w:p w14:paraId="4CC54999">
            <w:pPr>
              <w:pStyle w:val="33"/>
              <w:shd w:val="clear" w:color="auto" w:fill="auto"/>
              <w:jc w:val="center"/>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sz w:val="21"/>
                <w:szCs w:val="21"/>
                <w:highlight w:val="none"/>
                <w:u w:val="none"/>
                <w:lang w:val="en-US" w:eastAsia="zh-CN"/>
              </w:rPr>
              <w:t>合同价的2%</w:t>
            </w:r>
          </w:p>
        </w:tc>
        <w:tc>
          <w:tcPr>
            <w:tcW w:w="1636" w:type="dxa"/>
            <w:shd w:val="clear" w:color="auto" w:fill="auto"/>
            <w:vAlign w:val="top"/>
          </w:tcPr>
          <w:p w14:paraId="7B739F0B">
            <w:pPr>
              <w:pStyle w:val="33"/>
              <w:shd w:val="clear" w:color="auto" w:fill="auto"/>
              <w:jc w:val="both"/>
              <w:rPr>
                <w:rFonts w:hint="eastAsia" w:asciiTheme="minorEastAsia" w:hAnsiTheme="minorEastAsia" w:eastAsiaTheme="minorEastAsia" w:cstheme="minorEastAsia"/>
                <w:b w:val="0"/>
                <w:bCs/>
                <w:color w:val="auto"/>
                <w:kern w:val="2"/>
                <w:sz w:val="21"/>
                <w:szCs w:val="21"/>
                <w:highlight w:val="none"/>
                <w:vertAlign w:val="baseline"/>
                <w:lang w:val="en-US" w:eastAsia="zh-CN" w:bidi="ar-SA"/>
              </w:rPr>
            </w:pPr>
          </w:p>
        </w:tc>
      </w:tr>
      <w:tr w14:paraId="418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708CE4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1"/>
                <w:szCs w:val="21"/>
                <w:highlight w:val="none"/>
                <w:vertAlign w:val="baseline"/>
                <w:lang w:val="en-US" w:eastAsia="zh-CN"/>
              </w:rPr>
            </w:pPr>
            <w:r>
              <w:rPr>
                <w:rFonts w:hint="eastAsia" w:asciiTheme="minorEastAsia" w:hAnsiTheme="minorEastAsia" w:eastAsiaTheme="minorEastAsia" w:cstheme="minorEastAsia"/>
                <w:b/>
                <w:bCs w:val="0"/>
                <w:color w:val="auto"/>
                <w:sz w:val="21"/>
                <w:szCs w:val="21"/>
                <w:highlight w:val="none"/>
                <w:vertAlign w:val="baseline"/>
                <w:lang w:val="en-US" w:eastAsia="zh-CN"/>
              </w:rPr>
              <w:t>二</w:t>
            </w:r>
          </w:p>
        </w:tc>
        <w:tc>
          <w:tcPr>
            <w:tcW w:w="4019" w:type="dxa"/>
          </w:tcPr>
          <w:p w14:paraId="2993A273">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lang w:eastAsia="zh-CN"/>
              </w:rPr>
              <w:t>监理过失</w:t>
            </w:r>
            <w:r>
              <w:rPr>
                <w:rFonts w:hint="eastAsia" w:asciiTheme="minorEastAsia" w:hAnsiTheme="minorEastAsia" w:eastAsiaTheme="minorEastAsia" w:cstheme="minorEastAsia"/>
                <w:b/>
                <w:bCs w:val="0"/>
                <w:color w:val="auto"/>
                <w:sz w:val="21"/>
                <w:szCs w:val="21"/>
                <w:highlight w:val="none"/>
              </w:rPr>
              <w:t>事件违约</w:t>
            </w:r>
          </w:p>
        </w:tc>
        <w:tc>
          <w:tcPr>
            <w:tcW w:w="1931" w:type="dxa"/>
            <w:vAlign w:val="center"/>
          </w:tcPr>
          <w:p w14:paraId="6CEEB137">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lang w:val="en-US" w:eastAsia="zh-CN"/>
              </w:rPr>
            </w:pPr>
          </w:p>
        </w:tc>
        <w:tc>
          <w:tcPr>
            <w:tcW w:w="1636" w:type="dxa"/>
          </w:tcPr>
          <w:p w14:paraId="2B2D3C8D">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037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7E8F74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w:t>
            </w:r>
          </w:p>
        </w:tc>
        <w:tc>
          <w:tcPr>
            <w:tcW w:w="4019" w:type="dxa"/>
          </w:tcPr>
          <w:p w14:paraId="39535A1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①委托人发现施工中存在问题，而监理人未发现的；②监理人发现施工中存在的问题，但未督促发现勘察、设计、施工单位整改或整改不到位的（以监理人发出的整改通知和发现勘察、设计、施工单位回复及监理复查意见为准）；③监理人三次及以上发出整改通知发现勘察</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设计</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施工单位未能给予响应的，但监理人未能采取果断措施的</w:t>
            </w:r>
          </w:p>
        </w:tc>
        <w:tc>
          <w:tcPr>
            <w:tcW w:w="1931" w:type="dxa"/>
            <w:vAlign w:val="center"/>
          </w:tcPr>
          <w:p w14:paraId="4E925BA9">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u w:val="single"/>
                <w:lang w:val="en-US" w:eastAsia="zh-CN"/>
              </w:rPr>
              <w:t>¥1000元/次</w:t>
            </w:r>
          </w:p>
        </w:tc>
        <w:tc>
          <w:tcPr>
            <w:tcW w:w="1636" w:type="dxa"/>
          </w:tcPr>
          <w:p w14:paraId="15E835E5">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0A05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E18EA5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1"/>
                <w:szCs w:val="21"/>
                <w:highlight w:val="none"/>
                <w:vertAlign w:val="baseline"/>
                <w:lang w:val="en-US" w:eastAsia="zh-CN"/>
              </w:rPr>
            </w:pPr>
            <w:r>
              <w:rPr>
                <w:rFonts w:hint="eastAsia" w:asciiTheme="minorEastAsia" w:hAnsiTheme="minorEastAsia" w:eastAsiaTheme="minorEastAsia" w:cstheme="minorEastAsia"/>
                <w:b/>
                <w:bCs w:val="0"/>
                <w:color w:val="auto"/>
                <w:sz w:val="21"/>
                <w:szCs w:val="21"/>
                <w:highlight w:val="none"/>
                <w:vertAlign w:val="baseline"/>
                <w:lang w:val="en-US" w:eastAsia="zh-CN"/>
              </w:rPr>
              <w:t>三</w:t>
            </w:r>
          </w:p>
        </w:tc>
        <w:tc>
          <w:tcPr>
            <w:tcW w:w="4019" w:type="dxa"/>
          </w:tcPr>
          <w:p w14:paraId="2AA5E27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监理渎职事件违约</w:t>
            </w:r>
          </w:p>
        </w:tc>
        <w:tc>
          <w:tcPr>
            <w:tcW w:w="1931" w:type="dxa"/>
            <w:vAlign w:val="center"/>
          </w:tcPr>
          <w:p w14:paraId="5D16BDEC">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lang w:val="en-US" w:eastAsia="zh-CN"/>
              </w:rPr>
            </w:pPr>
          </w:p>
        </w:tc>
        <w:tc>
          <w:tcPr>
            <w:tcW w:w="1636" w:type="dxa"/>
          </w:tcPr>
          <w:p w14:paraId="2AC33454">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3F18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936" w:type="dxa"/>
            <w:vAlign w:val="center"/>
          </w:tcPr>
          <w:p w14:paraId="262C29A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w:t>
            </w:r>
          </w:p>
        </w:tc>
        <w:tc>
          <w:tcPr>
            <w:tcW w:w="4019" w:type="dxa"/>
          </w:tcPr>
          <w:p w14:paraId="64E53D08">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2"/>
                <w:sz w:val="21"/>
                <w:szCs w:val="21"/>
                <w:highlight w:val="none"/>
                <w:lang w:val="en-US" w:eastAsia="zh-CN" w:bidi="ar-SA"/>
              </w:rPr>
              <w:t>监理人必须加强对监理人员职业操守、廉政建设的培训和教育，本项目监理人员利用职业身份“吃、拿、卡、要”或有其他违反职业操守及廉政建设相关规定的，一经查实，监理人应立即清退该监理人员，并承担1次非常严重违约责任</w:t>
            </w:r>
          </w:p>
        </w:tc>
        <w:tc>
          <w:tcPr>
            <w:tcW w:w="1931" w:type="dxa"/>
            <w:vAlign w:val="center"/>
          </w:tcPr>
          <w:p w14:paraId="2C0A9361">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u w:val="single"/>
              </w:rPr>
              <w:t>¥</w:t>
            </w:r>
            <w:r>
              <w:rPr>
                <w:rFonts w:hint="eastAsia" w:asciiTheme="minorEastAsia" w:hAnsiTheme="minorEastAsia" w:eastAsiaTheme="minorEastAsia" w:cstheme="minorEastAsia"/>
                <w:b w:val="0"/>
                <w:bCs/>
                <w:color w:val="auto"/>
                <w:sz w:val="21"/>
                <w:szCs w:val="21"/>
                <w:highlight w:val="none"/>
                <w:u w:val="single"/>
                <w:lang w:val="en-US" w:eastAsia="zh-CN"/>
              </w:rPr>
              <w:t>5</w:t>
            </w:r>
            <w:r>
              <w:rPr>
                <w:rFonts w:hint="eastAsia" w:asciiTheme="minorEastAsia" w:hAnsiTheme="minorEastAsia" w:eastAsiaTheme="minorEastAsia" w:cstheme="minorEastAsia"/>
                <w:b w:val="0"/>
                <w:bCs/>
                <w:color w:val="auto"/>
                <w:sz w:val="21"/>
                <w:szCs w:val="21"/>
                <w:highlight w:val="none"/>
                <w:u w:val="single"/>
              </w:rPr>
              <w:t>000元</w:t>
            </w:r>
            <w:r>
              <w:rPr>
                <w:rFonts w:hint="eastAsia" w:asciiTheme="minorEastAsia" w:hAnsiTheme="minorEastAsia" w:eastAsiaTheme="minorEastAsia" w:cstheme="minorEastAsia"/>
                <w:b w:val="0"/>
                <w:bCs/>
                <w:color w:val="auto"/>
                <w:sz w:val="21"/>
                <w:szCs w:val="21"/>
                <w:highlight w:val="none"/>
                <w:u w:val="single"/>
                <w:lang w:val="en-US" w:eastAsia="zh-CN"/>
              </w:rPr>
              <w:t>/次</w:t>
            </w:r>
          </w:p>
        </w:tc>
        <w:tc>
          <w:tcPr>
            <w:tcW w:w="1636" w:type="dxa"/>
          </w:tcPr>
          <w:p w14:paraId="1F30314E">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4C95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8D20AA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2</w:t>
            </w:r>
          </w:p>
        </w:tc>
        <w:tc>
          <w:tcPr>
            <w:tcW w:w="4019" w:type="dxa"/>
          </w:tcPr>
          <w:p w14:paraId="1882587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①</w:t>
            </w:r>
            <w:r>
              <w:rPr>
                <w:rFonts w:hint="eastAsia" w:asciiTheme="minorEastAsia" w:hAnsiTheme="minorEastAsia" w:eastAsiaTheme="minorEastAsia" w:cstheme="minorEastAsia"/>
                <w:b w:val="0"/>
                <w:bCs/>
                <w:color w:val="auto"/>
                <w:sz w:val="21"/>
                <w:szCs w:val="21"/>
                <w:highlight w:val="none"/>
              </w:rPr>
              <w:t>向委托人及承包人推销材料、设备，或以倾向性、排他性变相推销</w:t>
            </w:r>
            <w:r>
              <w:rPr>
                <w:rFonts w:hint="eastAsia" w:asciiTheme="minorEastAsia" w:hAnsiTheme="minorEastAsia" w:eastAsiaTheme="minorEastAsia" w:cstheme="minorEastAsia"/>
                <w:b w:val="0"/>
                <w:bCs/>
                <w:color w:val="auto"/>
                <w:sz w:val="21"/>
                <w:szCs w:val="21"/>
                <w:highlight w:val="none"/>
                <w:lang w:eastAsia="zh-CN"/>
              </w:rPr>
              <w:t>；②</w:t>
            </w:r>
            <w:r>
              <w:rPr>
                <w:rFonts w:hint="eastAsia" w:asciiTheme="minorEastAsia" w:hAnsiTheme="minorEastAsia" w:eastAsiaTheme="minorEastAsia" w:cstheme="minorEastAsia"/>
                <w:b w:val="0"/>
                <w:bCs/>
                <w:color w:val="auto"/>
                <w:sz w:val="21"/>
                <w:szCs w:val="21"/>
                <w:highlight w:val="none"/>
              </w:rPr>
              <w:t>与承包人串通，对不合格材料、产品、工程进行包庇及验收</w:t>
            </w:r>
            <w:r>
              <w:rPr>
                <w:rFonts w:hint="eastAsia" w:asciiTheme="minorEastAsia" w:hAnsiTheme="minorEastAsia" w:eastAsiaTheme="minorEastAsia" w:cstheme="minorEastAsia"/>
                <w:b w:val="0"/>
                <w:bCs/>
                <w:color w:val="auto"/>
                <w:sz w:val="21"/>
                <w:szCs w:val="21"/>
                <w:highlight w:val="none"/>
                <w:lang w:eastAsia="zh-CN"/>
              </w:rPr>
              <w:t>；③</w:t>
            </w:r>
            <w:r>
              <w:rPr>
                <w:rFonts w:hint="eastAsia" w:asciiTheme="minorEastAsia" w:hAnsiTheme="minorEastAsia" w:eastAsiaTheme="minorEastAsia" w:cstheme="minorEastAsia"/>
                <w:b w:val="0"/>
                <w:bCs/>
                <w:color w:val="auto"/>
                <w:sz w:val="21"/>
                <w:szCs w:val="21"/>
                <w:highlight w:val="none"/>
              </w:rPr>
              <w:t>与承包人串通，对材料用量、工程量进行虚假签认</w:t>
            </w:r>
            <w:r>
              <w:rPr>
                <w:rFonts w:hint="eastAsia" w:asciiTheme="minorEastAsia" w:hAnsiTheme="minorEastAsia" w:eastAsiaTheme="minorEastAsia" w:cstheme="minorEastAsia"/>
                <w:b w:val="0"/>
                <w:bCs/>
                <w:color w:val="auto"/>
                <w:sz w:val="21"/>
                <w:szCs w:val="21"/>
                <w:highlight w:val="none"/>
                <w:lang w:eastAsia="zh-CN"/>
              </w:rPr>
              <w:t>；④</w:t>
            </w:r>
            <w:r>
              <w:rPr>
                <w:rFonts w:hint="eastAsia" w:asciiTheme="minorEastAsia" w:hAnsiTheme="minorEastAsia" w:eastAsiaTheme="minorEastAsia" w:cstheme="minorEastAsia"/>
                <w:b w:val="0"/>
                <w:bCs/>
                <w:color w:val="auto"/>
                <w:sz w:val="21"/>
                <w:szCs w:val="21"/>
                <w:highlight w:val="none"/>
              </w:rPr>
              <w:t>与承包人串通，不合理提高施工难度及增加材料用量，以增大施工费用，获取不正当收益</w:t>
            </w:r>
            <w:r>
              <w:rPr>
                <w:rFonts w:hint="eastAsia" w:asciiTheme="minorEastAsia" w:hAnsiTheme="minorEastAsia" w:eastAsiaTheme="minorEastAsia" w:cstheme="minorEastAsia"/>
                <w:b w:val="0"/>
                <w:bCs/>
                <w:color w:val="auto"/>
                <w:sz w:val="21"/>
                <w:szCs w:val="21"/>
                <w:highlight w:val="none"/>
                <w:lang w:eastAsia="zh-CN"/>
              </w:rPr>
              <w:t>；⑤</w:t>
            </w:r>
            <w:r>
              <w:rPr>
                <w:rFonts w:hint="eastAsia" w:asciiTheme="minorEastAsia" w:hAnsiTheme="minorEastAsia" w:eastAsiaTheme="minorEastAsia" w:cstheme="minorEastAsia"/>
                <w:b w:val="0"/>
                <w:bCs/>
                <w:color w:val="auto"/>
                <w:sz w:val="21"/>
                <w:szCs w:val="21"/>
                <w:highlight w:val="none"/>
              </w:rPr>
              <w:t>接受承包人的请吃送礼或变相受礼</w:t>
            </w:r>
            <w:r>
              <w:rPr>
                <w:rFonts w:hint="eastAsia" w:asciiTheme="minorEastAsia" w:hAnsiTheme="minorEastAsia" w:eastAsiaTheme="minorEastAsia" w:cstheme="minorEastAsia"/>
                <w:b w:val="0"/>
                <w:bCs/>
                <w:color w:val="auto"/>
                <w:sz w:val="21"/>
                <w:szCs w:val="21"/>
                <w:highlight w:val="none"/>
                <w:lang w:eastAsia="zh-CN"/>
              </w:rPr>
              <w:t>；⑥</w:t>
            </w:r>
            <w:r>
              <w:rPr>
                <w:rFonts w:hint="eastAsia" w:asciiTheme="minorEastAsia" w:hAnsiTheme="minorEastAsia" w:eastAsiaTheme="minorEastAsia" w:cstheme="minorEastAsia"/>
                <w:b w:val="0"/>
                <w:bCs/>
                <w:color w:val="auto"/>
                <w:sz w:val="21"/>
                <w:szCs w:val="21"/>
                <w:highlight w:val="none"/>
              </w:rPr>
              <w:t>向承包人介绍分包或推销材料、设备等</w:t>
            </w:r>
            <w:r>
              <w:rPr>
                <w:rFonts w:hint="eastAsia" w:asciiTheme="minorEastAsia" w:hAnsiTheme="minorEastAsia" w:eastAsiaTheme="minorEastAsia" w:cstheme="minorEastAsia"/>
                <w:b w:val="0"/>
                <w:bCs/>
                <w:color w:val="auto"/>
                <w:sz w:val="21"/>
                <w:szCs w:val="21"/>
                <w:highlight w:val="none"/>
                <w:lang w:eastAsia="zh-CN"/>
              </w:rPr>
              <w:t>；⑦</w:t>
            </w:r>
            <w:r>
              <w:rPr>
                <w:rFonts w:hint="eastAsia" w:asciiTheme="minorEastAsia" w:hAnsiTheme="minorEastAsia" w:eastAsiaTheme="minorEastAsia" w:cstheme="minorEastAsia"/>
                <w:b w:val="0"/>
                <w:bCs/>
                <w:color w:val="auto"/>
                <w:sz w:val="21"/>
                <w:szCs w:val="21"/>
                <w:highlight w:val="none"/>
              </w:rPr>
              <w:t>故意刁难承包人以谋取私利，损害委托人的合法利益</w:t>
            </w:r>
            <w:r>
              <w:rPr>
                <w:rFonts w:hint="eastAsia" w:asciiTheme="minorEastAsia" w:hAnsiTheme="minorEastAsia" w:eastAsiaTheme="minorEastAsia" w:cstheme="minorEastAsia"/>
                <w:b w:val="0"/>
                <w:bCs/>
                <w:color w:val="auto"/>
                <w:sz w:val="21"/>
                <w:szCs w:val="21"/>
                <w:highlight w:val="none"/>
                <w:lang w:eastAsia="zh-CN"/>
              </w:rPr>
              <w:t>；⑧</w:t>
            </w:r>
            <w:r>
              <w:rPr>
                <w:rFonts w:hint="eastAsia" w:asciiTheme="minorEastAsia" w:hAnsiTheme="minorEastAsia" w:eastAsiaTheme="minorEastAsia" w:cstheme="minorEastAsia"/>
                <w:b w:val="0"/>
                <w:bCs/>
                <w:color w:val="auto"/>
                <w:sz w:val="21"/>
                <w:szCs w:val="21"/>
                <w:highlight w:val="none"/>
                <w:lang w:val="en-US" w:eastAsia="zh-CN"/>
              </w:rPr>
              <w:t>其他可鉴定为严重违约行为。</w:t>
            </w:r>
          </w:p>
        </w:tc>
        <w:tc>
          <w:tcPr>
            <w:tcW w:w="1931" w:type="dxa"/>
            <w:vAlign w:val="center"/>
          </w:tcPr>
          <w:p w14:paraId="3346C4BD">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lang w:val="en-US" w:eastAsia="zh-CN"/>
              </w:rPr>
            </w:pPr>
            <w:r>
              <w:rPr>
                <w:rFonts w:hint="eastAsia" w:asciiTheme="minorEastAsia" w:hAnsiTheme="minorEastAsia" w:eastAsiaTheme="minorEastAsia" w:cstheme="minorEastAsia"/>
                <w:b w:val="0"/>
                <w:bCs/>
                <w:color w:val="auto"/>
                <w:sz w:val="21"/>
                <w:szCs w:val="21"/>
                <w:highlight w:val="none"/>
                <w:u w:val="single"/>
              </w:rPr>
              <w:t>¥</w:t>
            </w:r>
            <w:r>
              <w:rPr>
                <w:rFonts w:hint="eastAsia" w:asciiTheme="minorEastAsia" w:hAnsiTheme="minorEastAsia" w:eastAsiaTheme="minorEastAsia" w:cstheme="minorEastAsia"/>
                <w:b w:val="0"/>
                <w:bCs/>
                <w:color w:val="auto"/>
                <w:sz w:val="21"/>
                <w:szCs w:val="21"/>
                <w:highlight w:val="none"/>
                <w:u w:val="single"/>
                <w:lang w:val="en-US" w:eastAsia="zh-CN"/>
              </w:rPr>
              <w:t>5</w:t>
            </w:r>
            <w:r>
              <w:rPr>
                <w:rFonts w:hint="eastAsia" w:asciiTheme="minorEastAsia" w:hAnsiTheme="minorEastAsia" w:eastAsiaTheme="minorEastAsia" w:cstheme="minorEastAsia"/>
                <w:b w:val="0"/>
                <w:bCs/>
                <w:color w:val="auto"/>
                <w:sz w:val="21"/>
                <w:szCs w:val="21"/>
                <w:highlight w:val="none"/>
                <w:u w:val="single"/>
              </w:rPr>
              <w:t>000元</w:t>
            </w:r>
            <w:r>
              <w:rPr>
                <w:rFonts w:hint="eastAsia" w:asciiTheme="minorEastAsia" w:hAnsiTheme="minorEastAsia" w:eastAsiaTheme="minorEastAsia" w:cstheme="minorEastAsia"/>
                <w:b w:val="0"/>
                <w:bCs/>
                <w:color w:val="auto"/>
                <w:sz w:val="21"/>
                <w:szCs w:val="21"/>
                <w:highlight w:val="none"/>
                <w:u w:val="single"/>
                <w:lang w:val="en-US" w:eastAsia="zh-CN"/>
              </w:rPr>
              <w:t>/次</w:t>
            </w:r>
          </w:p>
        </w:tc>
        <w:tc>
          <w:tcPr>
            <w:tcW w:w="1636" w:type="dxa"/>
          </w:tcPr>
          <w:p w14:paraId="16DCA537">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4702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318EAC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val="0"/>
                <w:color w:val="auto"/>
                <w:sz w:val="21"/>
                <w:szCs w:val="21"/>
                <w:highlight w:val="none"/>
                <w:vertAlign w:val="baseline"/>
                <w:lang w:val="en-US" w:eastAsia="zh-CN"/>
              </w:rPr>
            </w:pPr>
            <w:r>
              <w:rPr>
                <w:rFonts w:hint="eastAsia" w:asciiTheme="minorEastAsia" w:hAnsiTheme="minorEastAsia" w:eastAsiaTheme="minorEastAsia" w:cstheme="minorEastAsia"/>
                <w:b/>
                <w:bCs w:val="0"/>
                <w:color w:val="auto"/>
                <w:sz w:val="21"/>
                <w:szCs w:val="21"/>
                <w:highlight w:val="none"/>
                <w:vertAlign w:val="baseline"/>
                <w:lang w:val="en-US" w:eastAsia="zh-CN"/>
              </w:rPr>
              <w:t>四</w:t>
            </w:r>
          </w:p>
        </w:tc>
        <w:tc>
          <w:tcPr>
            <w:tcW w:w="4019" w:type="dxa"/>
          </w:tcPr>
          <w:p w14:paraId="5D796705">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lang w:eastAsia="zh-CN"/>
              </w:rPr>
              <w:t>监理不达标违约</w:t>
            </w:r>
          </w:p>
        </w:tc>
        <w:tc>
          <w:tcPr>
            <w:tcW w:w="1931" w:type="dxa"/>
            <w:vAlign w:val="center"/>
          </w:tcPr>
          <w:p w14:paraId="444238E7">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rPr>
            </w:pPr>
          </w:p>
        </w:tc>
        <w:tc>
          <w:tcPr>
            <w:tcW w:w="1636" w:type="dxa"/>
          </w:tcPr>
          <w:p w14:paraId="0617713A">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6CF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2A3474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w:t>
            </w:r>
          </w:p>
        </w:tc>
        <w:tc>
          <w:tcPr>
            <w:tcW w:w="4019" w:type="dxa"/>
          </w:tcPr>
          <w:p w14:paraId="461444CE">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工程竣工验收质量未达到施工合同等级要求的</w:t>
            </w:r>
          </w:p>
        </w:tc>
        <w:tc>
          <w:tcPr>
            <w:tcW w:w="1931" w:type="dxa"/>
            <w:vAlign w:val="center"/>
          </w:tcPr>
          <w:p w14:paraId="75E5A018">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u w:val="single"/>
              </w:rPr>
              <w:t>5％</w:t>
            </w:r>
          </w:p>
        </w:tc>
        <w:tc>
          <w:tcPr>
            <w:tcW w:w="1636" w:type="dxa"/>
          </w:tcPr>
          <w:p w14:paraId="02EDEB7B">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337F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C5F532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2</w:t>
            </w:r>
          </w:p>
        </w:tc>
        <w:tc>
          <w:tcPr>
            <w:tcW w:w="4019" w:type="dxa"/>
          </w:tcPr>
          <w:p w14:paraId="3CC06B51">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监理人未按要求配备用于监理现场抽检所用的试验设备和仪器的（如不具备条件的须委托有相应资质的单位进行现场检测），无条件在整改期内达到要求为止，</w:t>
            </w:r>
            <w:r>
              <w:rPr>
                <w:rFonts w:hint="eastAsia" w:asciiTheme="minorEastAsia" w:hAnsiTheme="minorEastAsia" w:eastAsiaTheme="minorEastAsia" w:cstheme="minorEastAsia"/>
                <w:b w:val="0"/>
                <w:bCs/>
                <w:color w:val="auto"/>
                <w:sz w:val="21"/>
                <w:szCs w:val="21"/>
                <w:highlight w:val="none"/>
                <w:lang w:eastAsia="zh-CN"/>
              </w:rPr>
              <w:t>未在整改期内</w:t>
            </w:r>
            <w:r>
              <w:rPr>
                <w:rFonts w:hint="eastAsia" w:asciiTheme="minorEastAsia" w:hAnsiTheme="minorEastAsia" w:eastAsiaTheme="minorEastAsia" w:cstheme="minorEastAsia"/>
                <w:b w:val="0"/>
                <w:bCs/>
                <w:color w:val="auto"/>
                <w:sz w:val="21"/>
                <w:szCs w:val="21"/>
                <w:highlight w:val="none"/>
              </w:rPr>
              <w:t>配备</w:t>
            </w:r>
          </w:p>
        </w:tc>
        <w:tc>
          <w:tcPr>
            <w:tcW w:w="1931" w:type="dxa"/>
            <w:vAlign w:val="center"/>
          </w:tcPr>
          <w:p w14:paraId="6EF484C0">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¥2000元/天</w:t>
            </w:r>
          </w:p>
        </w:tc>
        <w:tc>
          <w:tcPr>
            <w:tcW w:w="1636" w:type="dxa"/>
          </w:tcPr>
          <w:p w14:paraId="0D433301">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0696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6762F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3</w:t>
            </w:r>
          </w:p>
        </w:tc>
        <w:tc>
          <w:tcPr>
            <w:tcW w:w="4019" w:type="dxa"/>
          </w:tcPr>
          <w:p w14:paraId="778B602E">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工程未能按期竣工验收通过</w:t>
            </w:r>
          </w:p>
        </w:tc>
        <w:tc>
          <w:tcPr>
            <w:tcW w:w="1931" w:type="dxa"/>
            <w:vAlign w:val="center"/>
          </w:tcPr>
          <w:p w14:paraId="59ED9B1C">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u w:val="single"/>
                <w:lang w:val="en-US" w:eastAsia="zh-CN"/>
              </w:rPr>
              <w:t>2</w:t>
            </w:r>
            <w:r>
              <w:rPr>
                <w:rFonts w:hint="eastAsia" w:asciiTheme="minorEastAsia" w:hAnsiTheme="minorEastAsia" w:eastAsiaTheme="minorEastAsia" w:cstheme="minorEastAsia"/>
                <w:b w:val="0"/>
                <w:bCs/>
                <w:color w:val="auto"/>
                <w:sz w:val="21"/>
                <w:szCs w:val="21"/>
                <w:highlight w:val="none"/>
                <w:u w:val="single"/>
              </w:rPr>
              <w:t>％</w:t>
            </w:r>
          </w:p>
        </w:tc>
        <w:tc>
          <w:tcPr>
            <w:tcW w:w="1636" w:type="dxa"/>
          </w:tcPr>
          <w:p w14:paraId="1A94584E">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2E14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0670F4F">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4</w:t>
            </w:r>
          </w:p>
        </w:tc>
        <w:tc>
          <w:tcPr>
            <w:tcW w:w="4019" w:type="dxa"/>
          </w:tcPr>
          <w:p w14:paraId="0F12294D">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引起变更造成投资规模增加</w:t>
            </w:r>
            <w:r>
              <w:rPr>
                <w:rFonts w:hint="eastAsia" w:asciiTheme="minorEastAsia" w:hAnsiTheme="minorEastAsia" w:eastAsiaTheme="minorEastAsia" w:cstheme="minorEastAsia"/>
                <w:b w:val="0"/>
                <w:bCs/>
                <w:color w:val="auto"/>
                <w:sz w:val="21"/>
                <w:szCs w:val="21"/>
                <w:highlight w:val="none"/>
                <w:lang w:val="en-US" w:eastAsia="zh-CN"/>
              </w:rPr>
              <w:t>10%以上的</w:t>
            </w:r>
          </w:p>
        </w:tc>
        <w:tc>
          <w:tcPr>
            <w:tcW w:w="1931" w:type="dxa"/>
            <w:vAlign w:val="center"/>
          </w:tcPr>
          <w:p w14:paraId="69DF3107">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合同价款的20%</w:t>
            </w:r>
          </w:p>
        </w:tc>
        <w:tc>
          <w:tcPr>
            <w:tcW w:w="1636" w:type="dxa"/>
          </w:tcPr>
          <w:p w14:paraId="4293300D">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41C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C6630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5</w:t>
            </w:r>
          </w:p>
        </w:tc>
        <w:tc>
          <w:tcPr>
            <w:tcW w:w="4019" w:type="dxa"/>
          </w:tcPr>
          <w:p w14:paraId="754870A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引起变更造成投资规模增加</w:t>
            </w:r>
            <w:r>
              <w:rPr>
                <w:rFonts w:hint="eastAsia" w:asciiTheme="minorEastAsia" w:hAnsiTheme="minorEastAsia" w:eastAsiaTheme="minorEastAsia" w:cstheme="minorEastAsia"/>
                <w:b w:val="0"/>
                <w:bCs/>
                <w:color w:val="auto"/>
                <w:sz w:val="21"/>
                <w:szCs w:val="21"/>
                <w:highlight w:val="none"/>
                <w:lang w:val="en-US" w:eastAsia="zh-CN"/>
              </w:rPr>
              <w:t>15%以上的</w:t>
            </w:r>
          </w:p>
        </w:tc>
        <w:tc>
          <w:tcPr>
            <w:tcW w:w="1931" w:type="dxa"/>
            <w:vAlign w:val="center"/>
          </w:tcPr>
          <w:p w14:paraId="31480B5A">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0%</w:t>
            </w:r>
          </w:p>
        </w:tc>
        <w:tc>
          <w:tcPr>
            <w:tcW w:w="1636" w:type="dxa"/>
          </w:tcPr>
          <w:p w14:paraId="14D54EF4">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4AB2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939F61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6</w:t>
            </w:r>
          </w:p>
        </w:tc>
        <w:tc>
          <w:tcPr>
            <w:tcW w:w="4019" w:type="dxa"/>
          </w:tcPr>
          <w:p w14:paraId="67D12A2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引起变更造成投资规模增加</w:t>
            </w:r>
            <w:r>
              <w:rPr>
                <w:rFonts w:hint="eastAsia" w:asciiTheme="minorEastAsia" w:hAnsiTheme="minorEastAsia" w:eastAsiaTheme="minorEastAsia" w:cstheme="minorEastAsia"/>
                <w:b w:val="0"/>
                <w:bCs/>
                <w:color w:val="auto"/>
                <w:sz w:val="21"/>
                <w:szCs w:val="21"/>
                <w:highlight w:val="none"/>
                <w:lang w:val="en-US" w:eastAsia="zh-CN"/>
              </w:rPr>
              <w:t>20%以上的</w:t>
            </w:r>
          </w:p>
        </w:tc>
        <w:tc>
          <w:tcPr>
            <w:tcW w:w="1931" w:type="dxa"/>
            <w:vAlign w:val="center"/>
          </w:tcPr>
          <w:p w14:paraId="1D56FD42">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0%</w:t>
            </w:r>
          </w:p>
        </w:tc>
        <w:tc>
          <w:tcPr>
            <w:tcW w:w="1636" w:type="dxa"/>
          </w:tcPr>
          <w:p w14:paraId="0D4AFECF">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4A19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EB7B5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7</w:t>
            </w:r>
          </w:p>
        </w:tc>
        <w:tc>
          <w:tcPr>
            <w:tcW w:w="4019" w:type="dxa"/>
          </w:tcPr>
          <w:p w14:paraId="397FD458">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被上级主管部门通报批评、被新闻媒体曝光的</w:t>
            </w:r>
          </w:p>
        </w:tc>
        <w:tc>
          <w:tcPr>
            <w:tcW w:w="1931" w:type="dxa"/>
            <w:vAlign w:val="center"/>
          </w:tcPr>
          <w:p w14:paraId="5FC67B10">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1</w:t>
            </w:r>
            <w:r>
              <w:rPr>
                <w:rFonts w:hint="eastAsia" w:asciiTheme="minorEastAsia" w:hAnsiTheme="minorEastAsia" w:eastAsiaTheme="minorEastAsia" w:cstheme="minorEastAsia"/>
                <w:b w:val="0"/>
                <w:bCs/>
                <w:color w:val="auto"/>
                <w:sz w:val="21"/>
                <w:szCs w:val="21"/>
                <w:highlight w:val="none"/>
              </w:rPr>
              <w:t>%</w:t>
            </w:r>
          </w:p>
        </w:tc>
        <w:tc>
          <w:tcPr>
            <w:tcW w:w="1636" w:type="dxa"/>
          </w:tcPr>
          <w:p w14:paraId="7CFC6E1E">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3A3E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609ABA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8</w:t>
            </w:r>
          </w:p>
        </w:tc>
        <w:tc>
          <w:tcPr>
            <w:tcW w:w="4019" w:type="dxa"/>
          </w:tcPr>
          <w:p w14:paraId="5C5C129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发生安全事故隐瞒不报、谎报或者拖延报告期限的</w:t>
            </w:r>
          </w:p>
        </w:tc>
        <w:tc>
          <w:tcPr>
            <w:tcW w:w="1931" w:type="dxa"/>
            <w:vAlign w:val="center"/>
          </w:tcPr>
          <w:p w14:paraId="0940A759">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w:t>
            </w:r>
          </w:p>
        </w:tc>
        <w:tc>
          <w:tcPr>
            <w:tcW w:w="1636" w:type="dxa"/>
          </w:tcPr>
          <w:p w14:paraId="1CC47910">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546E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165F3D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9</w:t>
            </w:r>
          </w:p>
        </w:tc>
        <w:tc>
          <w:tcPr>
            <w:tcW w:w="4019" w:type="dxa"/>
          </w:tcPr>
          <w:p w14:paraId="6190749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发生较大以上安全质量事故（按国家及合同有关规定界定）的</w:t>
            </w:r>
          </w:p>
        </w:tc>
        <w:tc>
          <w:tcPr>
            <w:tcW w:w="1931" w:type="dxa"/>
            <w:vAlign w:val="center"/>
          </w:tcPr>
          <w:p w14:paraId="0739D60E">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10</w:t>
            </w:r>
            <w:r>
              <w:rPr>
                <w:rFonts w:hint="eastAsia" w:asciiTheme="minorEastAsia" w:hAnsiTheme="minorEastAsia" w:eastAsiaTheme="minorEastAsia" w:cstheme="minorEastAsia"/>
                <w:b w:val="0"/>
                <w:bCs/>
                <w:color w:val="auto"/>
                <w:sz w:val="21"/>
                <w:szCs w:val="21"/>
                <w:highlight w:val="none"/>
              </w:rPr>
              <w:t>%</w:t>
            </w:r>
          </w:p>
        </w:tc>
        <w:tc>
          <w:tcPr>
            <w:tcW w:w="1636" w:type="dxa"/>
          </w:tcPr>
          <w:p w14:paraId="42E4AE48">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66F0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BEDD2D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10</w:t>
            </w:r>
          </w:p>
        </w:tc>
        <w:tc>
          <w:tcPr>
            <w:tcW w:w="4019" w:type="dxa"/>
          </w:tcPr>
          <w:p w14:paraId="74735FB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监理人应保证每</w:t>
            </w:r>
            <w:r>
              <w:rPr>
                <w:rFonts w:hint="eastAsia" w:asciiTheme="minorEastAsia" w:hAnsiTheme="minorEastAsia" w:eastAsiaTheme="minorEastAsia" w:cstheme="minorEastAsia"/>
                <w:b w:val="0"/>
                <w:bCs/>
                <w:color w:val="auto"/>
                <w:sz w:val="21"/>
                <w:szCs w:val="21"/>
                <w:highlight w:val="none"/>
                <w:lang w:eastAsia="zh-CN"/>
              </w:rPr>
              <w:t>期</w:t>
            </w:r>
            <w:r>
              <w:rPr>
                <w:rFonts w:hint="eastAsia" w:asciiTheme="minorEastAsia" w:hAnsiTheme="minorEastAsia" w:eastAsiaTheme="minorEastAsia" w:cstheme="minorEastAsia"/>
                <w:b w:val="0"/>
                <w:bCs/>
                <w:color w:val="auto"/>
                <w:sz w:val="21"/>
                <w:szCs w:val="21"/>
                <w:highlight w:val="none"/>
              </w:rPr>
              <w:t>进度计量（价）数据的</w:t>
            </w:r>
            <w:r>
              <w:rPr>
                <w:rFonts w:hint="eastAsia" w:asciiTheme="minorEastAsia" w:hAnsiTheme="minorEastAsia" w:eastAsiaTheme="minorEastAsia" w:cstheme="minorEastAsia"/>
                <w:b w:val="0"/>
                <w:bCs/>
                <w:color w:val="auto"/>
                <w:sz w:val="21"/>
                <w:szCs w:val="21"/>
                <w:highlight w:val="none"/>
                <w:lang w:eastAsia="zh-CN"/>
              </w:rPr>
              <w:t>真实性、</w:t>
            </w:r>
            <w:r>
              <w:rPr>
                <w:rFonts w:hint="eastAsia" w:asciiTheme="minorEastAsia" w:hAnsiTheme="minorEastAsia" w:eastAsiaTheme="minorEastAsia" w:cstheme="minorEastAsia"/>
                <w:b w:val="0"/>
                <w:bCs/>
                <w:color w:val="auto"/>
                <w:sz w:val="21"/>
                <w:szCs w:val="21"/>
                <w:highlight w:val="none"/>
              </w:rPr>
              <w:t>准确性，如发生计量（价）误差＞5%</w:t>
            </w:r>
            <w:r>
              <w:rPr>
                <w:rFonts w:hint="eastAsia" w:asciiTheme="minorEastAsia" w:hAnsiTheme="minorEastAsia" w:eastAsiaTheme="minorEastAsia" w:cstheme="minorEastAsia"/>
                <w:b w:val="0"/>
                <w:bCs/>
                <w:color w:val="auto"/>
                <w:sz w:val="21"/>
                <w:szCs w:val="21"/>
                <w:highlight w:val="none"/>
                <w:lang w:eastAsia="zh-CN"/>
              </w:rPr>
              <w:t>（以委托人聘请的第三方造价咨询公司审核计量（价）作为对比）</w:t>
            </w:r>
            <w:r>
              <w:rPr>
                <w:rFonts w:hint="eastAsia" w:asciiTheme="minorEastAsia" w:hAnsiTheme="minorEastAsia" w:eastAsiaTheme="minorEastAsia" w:cstheme="minorEastAsia"/>
                <w:b w:val="0"/>
                <w:bCs/>
                <w:color w:val="auto"/>
                <w:sz w:val="21"/>
                <w:szCs w:val="21"/>
                <w:highlight w:val="none"/>
              </w:rPr>
              <w:t>，则视为监理人违约一次，</w:t>
            </w:r>
          </w:p>
        </w:tc>
        <w:tc>
          <w:tcPr>
            <w:tcW w:w="1931" w:type="dxa"/>
            <w:vAlign w:val="center"/>
          </w:tcPr>
          <w:p w14:paraId="2D6573C0">
            <w:pPr>
              <w:pStyle w:val="33"/>
              <w:shd w:val="clear" w:color="auto" w:fill="auto"/>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none"/>
              </w:rPr>
              <w:t>¥</w:t>
            </w:r>
            <w:r>
              <w:rPr>
                <w:rFonts w:hint="eastAsia" w:asciiTheme="minorEastAsia" w:hAnsiTheme="minorEastAsia" w:eastAsiaTheme="minorEastAsia" w:cstheme="minorEastAsia"/>
                <w:b w:val="0"/>
                <w:bCs/>
                <w:color w:val="auto"/>
                <w:sz w:val="21"/>
                <w:szCs w:val="21"/>
                <w:highlight w:val="none"/>
                <w:u w:val="none"/>
                <w:lang w:val="en-US" w:eastAsia="zh-CN"/>
              </w:rPr>
              <w:t>2</w:t>
            </w:r>
            <w:r>
              <w:rPr>
                <w:rFonts w:hint="eastAsia" w:asciiTheme="minorEastAsia" w:hAnsiTheme="minorEastAsia" w:eastAsiaTheme="minorEastAsia" w:cstheme="minorEastAsia"/>
                <w:b w:val="0"/>
                <w:bCs/>
                <w:color w:val="auto"/>
                <w:sz w:val="21"/>
                <w:szCs w:val="21"/>
                <w:highlight w:val="none"/>
                <w:u w:val="none"/>
              </w:rPr>
              <w:t>000元/次</w:t>
            </w:r>
          </w:p>
        </w:tc>
        <w:tc>
          <w:tcPr>
            <w:tcW w:w="1636" w:type="dxa"/>
          </w:tcPr>
          <w:p w14:paraId="3D92AC03">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7993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430CC0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11</w:t>
            </w:r>
          </w:p>
        </w:tc>
        <w:tc>
          <w:tcPr>
            <w:tcW w:w="4019" w:type="dxa"/>
          </w:tcPr>
          <w:p w14:paraId="6E16F00E">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w:t>
            </w:r>
            <w:r>
              <w:rPr>
                <w:rFonts w:hint="eastAsia" w:asciiTheme="minorEastAsia" w:hAnsiTheme="minorEastAsia" w:eastAsiaTheme="minorEastAsia" w:cstheme="minorEastAsia"/>
                <w:b w:val="0"/>
                <w:bCs/>
                <w:color w:val="auto"/>
                <w:sz w:val="21"/>
                <w:szCs w:val="21"/>
                <w:highlight w:val="none"/>
              </w:rPr>
              <w:t>分项工期延误日数占该项总工期的</w:t>
            </w:r>
            <w:r>
              <w:rPr>
                <w:rFonts w:hint="eastAsia" w:asciiTheme="minorEastAsia" w:hAnsiTheme="minorEastAsia" w:eastAsiaTheme="minorEastAsia" w:cstheme="minorEastAsia"/>
                <w:b w:val="0"/>
                <w:bCs/>
                <w:color w:val="auto"/>
                <w:sz w:val="21"/>
                <w:szCs w:val="21"/>
                <w:highlight w:val="none"/>
                <w:lang w:val="en-US" w:eastAsia="zh-CN"/>
              </w:rPr>
              <w:t>10</w:t>
            </w:r>
            <w:r>
              <w:rPr>
                <w:rFonts w:hint="eastAsia" w:asciiTheme="minorEastAsia" w:hAnsiTheme="minorEastAsia" w:eastAsiaTheme="minorEastAsia" w:cstheme="minorEastAsia"/>
                <w:b w:val="0"/>
                <w:bCs/>
                <w:color w:val="auto"/>
                <w:sz w:val="21"/>
                <w:szCs w:val="21"/>
                <w:highlight w:val="none"/>
              </w:rPr>
              <w:t>%时</w:t>
            </w:r>
          </w:p>
        </w:tc>
        <w:tc>
          <w:tcPr>
            <w:tcW w:w="1931" w:type="dxa"/>
            <w:vAlign w:val="center"/>
          </w:tcPr>
          <w:p w14:paraId="77DF6439">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合同价款的20%</w:t>
            </w:r>
          </w:p>
        </w:tc>
        <w:tc>
          <w:tcPr>
            <w:tcW w:w="1636" w:type="dxa"/>
          </w:tcPr>
          <w:p w14:paraId="1F9AB805">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56A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7DA064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12</w:t>
            </w:r>
          </w:p>
        </w:tc>
        <w:tc>
          <w:tcPr>
            <w:tcW w:w="4019" w:type="dxa"/>
          </w:tcPr>
          <w:p w14:paraId="2F9589FE">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w:t>
            </w:r>
            <w:r>
              <w:rPr>
                <w:rFonts w:hint="eastAsia" w:asciiTheme="minorEastAsia" w:hAnsiTheme="minorEastAsia" w:eastAsiaTheme="minorEastAsia" w:cstheme="minorEastAsia"/>
                <w:b w:val="0"/>
                <w:bCs/>
                <w:color w:val="auto"/>
                <w:sz w:val="21"/>
                <w:szCs w:val="21"/>
                <w:highlight w:val="none"/>
              </w:rPr>
              <w:t>分项工期延误日数占该项总工期的</w:t>
            </w:r>
            <w:r>
              <w:rPr>
                <w:rFonts w:hint="eastAsia" w:asciiTheme="minorEastAsia" w:hAnsiTheme="minorEastAsia" w:eastAsiaTheme="minorEastAsia" w:cstheme="minorEastAsia"/>
                <w:b w:val="0"/>
                <w:bCs/>
                <w:color w:val="auto"/>
                <w:sz w:val="21"/>
                <w:szCs w:val="21"/>
                <w:highlight w:val="none"/>
                <w:lang w:val="en-US" w:eastAsia="zh-CN"/>
              </w:rPr>
              <w:t>20</w:t>
            </w:r>
            <w:r>
              <w:rPr>
                <w:rFonts w:hint="eastAsia" w:asciiTheme="minorEastAsia" w:hAnsiTheme="minorEastAsia" w:eastAsiaTheme="minorEastAsia" w:cstheme="minorEastAsia"/>
                <w:b w:val="0"/>
                <w:bCs/>
                <w:color w:val="auto"/>
                <w:sz w:val="21"/>
                <w:szCs w:val="21"/>
                <w:highlight w:val="none"/>
              </w:rPr>
              <w:t>%时</w:t>
            </w:r>
          </w:p>
        </w:tc>
        <w:tc>
          <w:tcPr>
            <w:tcW w:w="1931" w:type="dxa"/>
            <w:vAlign w:val="center"/>
          </w:tcPr>
          <w:p w14:paraId="12DAF19B">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0%</w:t>
            </w:r>
          </w:p>
        </w:tc>
        <w:tc>
          <w:tcPr>
            <w:tcW w:w="1636" w:type="dxa"/>
          </w:tcPr>
          <w:p w14:paraId="595DC141">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60C0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238EC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13</w:t>
            </w:r>
          </w:p>
        </w:tc>
        <w:tc>
          <w:tcPr>
            <w:tcW w:w="4019" w:type="dxa"/>
          </w:tcPr>
          <w:p w14:paraId="0884F12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w:t>
            </w:r>
            <w:r>
              <w:rPr>
                <w:rFonts w:hint="eastAsia" w:asciiTheme="minorEastAsia" w:hAnsiTheme="minorEastAsia" w:eastAsiaTheme="minorEastAsia" w:cstheme="minorEastAsia"/>
                <w:b w:val="0"/>
                <w:bCs/>
                <w:color w:val="auto"/>
                <w:sz w:val="21"/>
                <w:szCs w:val="21"/>
                <w:highlight w:val="none"/>
              </w:rPr>
              <w:t>分项工期延误日数占该项总工期的</w:t>
            </w:r>
            <w:r>
              <w:rPr>
                <w:rFonts w:hint="eastAsia" w:asciiTheme="minorEastAsia" w:hAnsiTheme="minorEastAsia" w:eastAsiaTheme="minorEastAsia" w:cstheme="minorEastAsia"/>
                <w:b w:val="0"/>
                <w:bCs/>
                <w:color w:val="auto"/>
                <w:sz w:val="21"/>
                <w:szCs w:val="21"/>
                <w:highlight w:val="none"/>
                <w:lang w:val="en-US" w:eastAsia="zh-CN"/>
              </w:rPr>
              <w:t>30</w:t>
            </w:r>
            <w:r>
              <w:rPr>
                <w:rFonts w:hint="eastAsia" w:asciiTheme="minorEastAsia" w:hAnsiTheme="minorEastAsia" w:eastAsiaTheme="minorEastAsia" w:cstheme="minorEastAsia"/>
                <w:b w:val="0"/>
                <w:bCs/>
                <w:color w:val="auto"/>
                <w:sz w:val="21"/>
                <w:szCs w:val="21"/>
                <w:highlight w:val="none"/>
              </w:rPr>
              <w:t>%时</w:t>
            </w:r>
          </w:p>
        </w:tc>
        <w:tc>
          <w:tcPr>
            <w:tcW w:w="1931" w:type="dxa"/>
            <w:vAlign w:val="center"/>
          </w:tcPr>
          <w:p w14:paraId="72AD188B">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合同价款的</w:t>
            </w: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0%</w:t>
            </w:r>
          </w:p>
        </w:tc>
        <w:tc>
          <w:tcPr>
            <w:tcW w:w="1636" w:type="dxa"/>
          </w:tcPr>
          <w:p w14:paraId="12F9F2B1">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53F3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A0F637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14</w:t>
            </w:r>
          </w:p>
        </w:tc>
        <w:tc>
          <w:tcPr>
            <w:tcW w:w="4019" w:type="dxa"/>
          </w:tcPr>
          <w:p w14:paraId="4A28373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因监理单位</w:t>
            </w:r>
            <w:r>
              <w:rPr>
                <w:rFonts w:hint="eastAsia" w:asciiTheme="minorEastAsia" w:hAnsiTheme="minorEastAsia" w:eastAsiaTheme="minorEastAsia" w:cstheme="minorEastAsia"/>
                <w:b w:val="0"/>
                <w:bCs/>
                <w:color w:val="auto"/>
                <w:sz w:val="21"/>
                <w:szCs w:val="21"/>
                <w:highlight w:val="none"/>
              </w:rPr>
              <w:t>责任</w:t>
            </w:r>
            <w:r>
              <w:rPr>
                <w:rFonts w:hint="eastAsia" w:asciiTheme="minorEastAsia" w:hAnsiTheme="minorEastAsia" w:eastAsiaTheme="minorEastAsia" w:cstheme="minorEastAsia"/>
                <w:b w:val="0"/>
                <w:bCs/>
                <w:color w:val="auto"/>
                <w:sz w:val="21"/>
                <w:szCs w:val="21"/>
                <w:highlight w:val="none"/>
                <w:lang w:eastAsia="zh-CN"/>
              </w:rPr>
              <w:t>引起</w:t>
            </w:r>
            <w:r>
              <w:rPr>
                <w:rFonts w:hint="eastAsia" w:asciiTheme="minorEastAsia" w:hAnsiTheme="minorEastAsia" w:eastAsiaTheme="minorEastAsia" w:cstheme="minorEastAsia"/>
                <w:b w:val="0"/>
                <w:bCs/>
                <w:color w:val="auto"/>
                <w:sz w:val="21"/>
                <w:szCs w:val="21"/>
                <w:highlight w:val="none"/>
              </w:rPr>
              <w:t>分项工期延误日数占该项总工期的50%时</w:t>
            </w:r>
          </w:p>
        </w:tc>
        <w:tc>
          <w:tcPr>
            <w:tcW w:w="1931" w:type="dxa"/>
            <w:vAlign w:val="center"/>
          </w:tcPr>
          <w:p w14:paraId="7B7F22AA">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eastAsia="zh-CN"/>
              </w:rPr>
              <w:t>合同价款的</w:t>
            </w:r>
            <w:r>
              <w:rPr>
                <w:rFonts w:hint="eastAsia" w:asciiTheme="minorEastAsia" w:hAnsiTheme="minorEastAsia" w:eastAsiaTheme="minorEastAsia" w:cstheme="minorEastAsia"/>
                <w:b w:val="0"/>
                <w:bCs/>
                <w:color w:val="auto"/>
                <w:sz w:val="21"/>
                <w:szCs w:val="21"/>
                <w:highlight w:val="none"/>
                <w:u w:val="none"/>
                <w:lang w:val="en-US" w:eastAsia="zh-CN"/>
              </w:rPr>
              <w:t>1%/天，发包人有权解除合同</w:t>
            </w:r>
          </w:p>
        </w:tc>
        <w:tc>
          <w:tcPr>
            <w:tcW w:w="1636" w:type="dxa"/>
          </w:tcPr>
          <w:p w14:paraId="0557F78C">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0D6A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37204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15</w:t>
            </w:r>
          </w:p>
        </w:tc>
        <w:tc>
          <w:tcPr>
            <w:tcW w:w="4019" w:type="dxa"/>
          </w:tcPr>
          <w:p w14:paraId="05A2D5A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因监理人责任导致工程竣工</w:t>
            </w:r>
            <w:r>
              <w:rPr>
                <w:rFonts w:hint="eastAsia" w:asciiTheme="minorEastAsia" w:hAnsiTheme="minorEastAsia" w:eastAsiaTheme="minorEastAsia" w:cstheme="minorEastAsia"/>
                <w:b w:val="0"/>
                <w:bCs/>
                <w:color w:val="auto"/>
                <w:sz w:val="21"/>
                <w:szCs w:val="21"/>
                <w:highlight w:val="none"/>
                <w:lang w:eastAsia="zh-CN"/>
              </w:rPr>
              <w:t>拖延</w:t>
            </w:r>
          </w:p>
        </w:tc>
        <w:tc>
          <w:tcPr>
            <w:tcW w:w="1931" w:type="dxa"/>
            <w:vAlign w:val="center"/>
          </w:tcPr>
          <w:p w14:paraId="1CAF15AF">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none"/>
                <w:lang w:eastAsia="zh-CN"/>
              </w:rPr>
            </w:pPr>
            <w:r>
              <w:rPr>
                <w:rFonts w:hint="eastAsia" w:asciiTheme="minorEastAsia" w:hAnsiTheme="minorEastAsia" w:eastAsiaTheme="minorEastAsia" w:cstheme="minorEastAsia"/>
                <w:b w:val="0"/>
                <w:bCs/>
                <w:color w:val="auto"/>
                <w:sz w:val="21"/>
                <w:szCs w:val="21"/>
                <w:highlight w:val="none"/>
                <w:u w:val="none"/>
                <w:lang w:eastAsia="zh-CN"/>
              </w:rPr>
              <w:t>合同价款的</w:t>
            </w:r>
            <w:r>
              <w:rPr>
                <w:rFonts w:hint="eastAsia" w:asciiTheme="minorEastAsia" w:hAnsiTheme="minorEastAsia" w:eastAsiaTheme="minorEastAsia" w:cstheme="minorEastAsia"/>
                <w:b w:val="0"/>
                <w:bCs/>
                <w:color w:val="auto"/>
                <w:sz w:val="21"/>
                <w:szCs w:val="21"/>
                <w:highlight w:val="none"/>
                <w:u w:val="none"/>
                <w:lang w:val="en-US" w:eastAsia="zh-CN"/>
              </w:rPr>
              <w:t>1%/天</w:t>
            </w:r>
          </w:p>
        </w:tc>
        <w:tc>
          <w:tcPr>
            <w:tcW w:w="1636" w:type="dxa"/>
          </w:tcPr>
          <w:p w14:paraId="32ACD14E">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021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5637A1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16</w:t>
            </w:r>
          </w:p>
        </w:tc>
        <w:tc>
          <w:tcPr>
            <w:tcW w:w="4019" w:type="dxa"/>
          </w:tcPr>
          <w:p w14:paraId="53022AC3">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snapToGrid w:val="0"/>
                <w:color w:val="auto"/>
                <w:kern w:val="0"/>
                <w:sz w:val="21"/>
                <w:szCs w:val="21"/>
                <w:highlight w:val="none"/>
              </w:rPr>
              <w:t>监理</w:t>
            </w:r>
            <w:r>
              <w:rPr>
                <w:rFonts w:hint="eastAsia" w:asciiTheme="minorEastAsia" w:hAnsiTheme="minorEastAsia" w:eastAsiaTheme="minorEastAsia" w:cstheme="minorEastAsia"/>
                <w:b w:val="0"/>
                <w:bCs/>
                <w:snapToGrid w:val="0"/>
                <w:color w:val="auto"/>
                <w:kern w:val="0"/>
                <w:sz w:val="21"/>
                <w:szCs w:val="21"/>
                <w:highlight w:val="none"/>
                <w:lang w:eastAsia="zh-CN"/>
              </w:rPr>
              <w:t>人</w:t>
            </w:r>
            <w:r>
              <w:rPr>
                <w:rFonts w:hint="eastAsia" w:asciiTheme="minorEastAsia" w:hAnsiTheme="minorEastAsia" w:eastAsiaTheme="minorEastAsia" w:cstheme="minorEastAsia"/>
                <w:b w:val="0"/>
                <w:bCs/>
                <w:snapToGrid w:val="0"/>
                <w:color w:val="auto"/>
                <w:kern w:val="0"/>
                <w:sz w:val="21"/>
                <w:szCs w:val="21"/>
                <w:highlight w:val="none"/>
              </w:rPr>
              <w:t>应在每月28日前向委托人报审下月的监理人员名单及监理工作计划</w:t>
            </w:r>
            <w:r>
              <w:rPr>
                <w:rFonts w:hint="eastAsia" w:asciiTheme="minorEastAsia" w:hAnsiTheme="minorEastAsia" w:eastAsiaTheme="minorEastAsia" w:cstheme="minorEastAsia"/>
                <w:b w:val="0"/>
                <w:bCs/>
                <w:snapToGrid w:val="0"/>
                <w:color w:val="auto"/>
                <w:kern w:val="0"/>
                <w:sz w:val="21"/>
                <w:szCs w:val="21"/>
                <w:highlight w:val="none"/>
                <w:lang w:eastAsia="zh-CN"/>
              </w:rPr>
              <w:t>、月报（含下个月投资计划）</w:t>
            </w:r>
            <w:r>
              <w:rPr>
                <w:rFonts w:hint="eastAsia" w:asciiTheme="minorEastAsia" w:hAnsiTheme="minorEastAsia" w:eastAsiaTheme="minorEastAsia" w:cstheme="minorEastAsia"/>
                <w:b w:val="0"/>
                <w:bCs/>
                <w:snapToGrid w:val="0"/>
                <w:color w:val="auto"/>
                <w:kern w:val="0"/>
                <w:sz w:val="21"/>
                <w:szCs w:val="21"/>
                <w:highlight w:val="none"/>
              </w:rPr>
              <w:t>。如未按时提交，每推迟一天</w:t>
            </w:r>
          </w:p>
        </w:tc>
        <w:tc>
          <w:tcPr>
            <w:tcW w:w="1931" w:type="dxa"/>
            <w:vAlign w:val="center"/>
          </w:tcPr>
          <w:p w14:paraId="6FE5774B">
            <w:pPr>
              <w:pStyle w:val="33"/>
              <w:shd w:val="clear" w:color="auto" w:fill="auto"/>
              <w:jc w:val="center"/>
              <w:rPr>
                <w:rFonts w:hint="eastAsia" w:asciiTheme="minorEastAsia" w:hAnsiTheme="minorEastAsia" w:eastAsiaTheme="minorEastAsia" w:cstheme="minorEastAsia"/>
                <w:b w:val="0"/>
                <w:bCs/>
                <w:color w:val="auto"/>
                <w:sz w:val="21"/>
                <w:szCs w:val="21"/>
                <w:highlight w:val="none"/>
                <w:u w:val="none"/>
                <w:lang w:eastAsia="zh-CN"/>
              </w:rPr>
            </w:pPr>
            <w:r>
              <w:rPr>
                <w:rFonts w:hint="eastAsia" w:asciiTheme="minorEastAsia" w:hAnsiTheme="minorEastAsia" w:eastAsiaTheme="minorEastAsia" w:cstheme="minorEastAsia"/>
                <w:b w:val="0"/>
                <w:bCs/>
                <w:snapToGrid w:val="0"/>
                <w:color w:val="auto"/>
                <w:kern w:val="0"/>
                <w:sz w:val="21"/>
                <w:szCs w:val="21"/>
                <w:highlight w:val="none"/>
                <w:u w:val="none"/>
              </w:rPr>
              <w:t>¥</w:t>
            </w:r>
            <w:r>
              <w:rPr>
                <w:rFonts w:hint="eastAsia" w:asciiTheme="minorEastAsia" w:hAnsiTheme="minorEastAsia" w:eastAsiaTheme="minorEastAsia" w:cstheme="minorEastAsia"/>
                <w:b w:val="0"/>
                <w:bCs/>
                <w:snapToGrid w:val="0"/>
                <w:color w:val="auto"/>
                <w:kern w:val="0"/>
                <w:sz w:val="21"/>
                <w:szCs w:val="21"/>
                <w:highlight w:val="none"/>
                <w:u w:val="none"/>
                <w:lang w:val="en-US" w:eastAsia="zh-CN"/>
              </w:rPr>
              <w:t>2</w:t>
            </w:r>
            <w:r>
              <w:rPr>
                <w:rFonts w:hint="eastAsia" w:asciiTheme="minorEastAsia" w:hAnsiTheme="minorEastAsia" w:eastAsiaTheme="minorEastAsia" w:cstheme="minorEastAsia"/>
                <w:b w:val="0"/>
                <w:bCs/>
                <w:snapToGrid w:val="0"/>
                <w:color w:val="auto"/>
                <w:kern w:val="0"/>
                <w:sz w:val="21"/>
                <w:szCs w:val="21"/>
                <w:highlight w:val="none"/>
                <w:u w:val="none"/>
              </w:rPr>
              <w:t>000元/天</w:t>
            </w:r>
          </w:p>
        </w:tc>
        <w:tc>
          <w:tcPr>
            <w:tcW w:w="1636" w:type="dxa"/>
          </w:tcPr>
          <w:p w14:paraId="3231BA2C">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3B19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13945E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17</w:t>
            </w:r>
          </w:p>
        </w:tc>
        <w:tc>
          <w:tcPr>
            <w:tcW w:w="4019" w:type="dxa"/>
          </w:tcPr>
          <w:p w14:paraId="3C778279">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napToGrid w:val="0"/>
                <w:color w:val="auto"/>
                <w:kern w:val="0"/>
                <w:sz w:val="21"/>
                <w:szCs w:val="21"/>
                <w:highlight w:val="none"/>
              </w:rPr>
            </w:pPr>
            <w:r>
              <w:rPr>
                <w:rFonts w:hint="eastAsia" w:asciiTheme="minorEastAsia" w:hAnsiTheme="minorEastAsia" w:eastAsiaTheme="minorEastAsia" w:cstheme="minorEastAsia"/>
                <w:b w:val="0"/>
                <w:bCs/>
                <w:snapToGrid w:val="0"/>
                <w:color w:val="auto"/>
                <w:kern w:val="0"/>
                <w:sz w:val="21"/>
                <w:szCs w:val="21"/>
                <w:highlight w:val="none"/>
              </w:rPr>
              <w:t>监理</w:t>
            </w:r>
            <w:r>
              <w:rPr>
                <w:rFonts w:hint="eastAsia" w:asciiTheme="minorEastAsia" w:hAnsiTheme="minorEastAsia" w:eastAsiaTheme="minorEastAsia" w:cstheme="minorEastAsia"/>
                <w:b w:val="0"/>
                <w:bCs/>
                <w:snapToGrid w:val="0"/>
                <w:color w:val="auto"/>
                <w:kern w:val="0"/>
                <w:sz w:val="21"/>
                <w:szCs w:val="21"/>
                <w:highlight w:val="none"/>
                <w:lang w:eastAsia="zh-CN"/>
              </w:rPr>
              <w:t>人</w:t>
            </w:r>
            <w:r>
              <w:rPr>
                <w:rFonts w:hint="eastAsia" w:asciiTheme="minorEastAsia" w:hAnsiTheme="minorEastAsia" w:eastAsiaTheme="minorEastAsia" w:cstheme="minorEastAsia"/>
                <w:b w:val="0"/>
                <w:bCs/>
                <w:snapToGrid w:val="0"/>
                <w:color w:val="auto"/>
                <w:kern w:val="0"/>
                <w:sz w:val="21"/>
                <w:szCs w:val="21"/>
                <w:highlight w:val="none"/>
              </w:rPr>
              <w:t>根据委托人与施工单位签订的施工合同所约定的工程进度关键节点进行考核，在考核节点后的5天内提交考核报告，报告每逾期一天</w:t>
            </w:r>
          </w:p>
        </w:tc>
        <w:tc>
          <w:tcPr>
            <w:tcW w:w="1931" w:type="dxa"/>
            <w:vAlign w:val="center"/>
          </w:tcPr>
          <w:p w14:paraId="2C8ED98A">
            <w:pPr>
              <w:pStyle w:val="33"/>
              <w:shd w:val="clear" w:color="auto" w:fill="auto"/>
              <w:jc w:val="center"/>
              <w:rPr>
                <w:rFonts w:hint="eastAsia" w:asciiTheme="minorEastAsia" w:hAnsiTheme="minorEastAsia" w:eastAsiaTheme="minorEastAsia" w:cstheme="minorEastAsia"/>
                <w:b w:val="0"/>
                <w:bCs/>
                <w:snapToGrid w:val="0"/>
                <w:color w:val="auto"/>
                <w:kern w:val="0"/>
                <w:sz w:val="21"/>
                <w:szCs w:val="21"/>
                <w:highlight w:val="none"/>
                <w:u w:val="single"/>
              </w:rPr>
            </w:pPr>
            <w:r>
              <w:rPr>
                <w:rFonts w:hint="eastAsia" w:asciiTheme="minorEastAsia" w:hAnsiTheme="minorEastAsia" w:eastAsiaTheme="minorEastAsia" w:cstheme="minorEastAsia"/>
                <w:b w:val="0"/>
                <w:bCs/>
                <w:snapToGrid w:val="0"/>
                <w:color w:val="auto"/>
                <w:kern w:val="0"/>
                <w:sz w:val="21"/>
                <w:szCs w:val="21"/>
                <w:highlight w:val="none"/>
                <w:u w:val="none"/>
              </w:rPr>
              <w:t>¥1000元/天</w:t>
            </w:r>
          </w:p>
        </w:tc>
        <w:tc>
          <w:tcPr>
            <w:tcW w:w="1636" w:type="dxa"/>
          </w:tcPr>
          <w:p w14:paraId="474F163B">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r w14:paraId="1A1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6DE772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auto"/>
                <w:sz w:val="21"/>
                <w:szCs w:val="21"/>
                <w:highlight w:val="none"/>
                <w:vertAlign w:val="baseline"/>
                <w:lang w:val="en-US" w:eastAsia="zh-CN"/>
              </w:rPr>
            </w:pPr>
            <w:r>
              <w:rPr>
                <w:rFonts w:hint="eastAsia" w:asciiTheme="minorEastAsia" w:hAnsiTheme="minorEastAsia" w:eastAsiaTheme="minorEastAsia" w:cstheme="minorEastAsia"/>
                <w:b w:val="0"/>
                <w:bCs/>
                <w:color w:val="auto"/>
                <w:sz w:val="21"/>
                <w:szCs w:val="21"/>
                <w:highlight w:val="none"/>
                <w:vertAlign w:val="baseline"/>
                <w:lang w:val="en-US" w:eastAsia="zh-CN"/>
              </w:rPr>
              <w:t>18</w:t>
            </w:r>
          </w:p>
        </w:tc>
        <w:tc>
          <w:tcPr>
            <w:tcW w:w="4019" w:type="dxa"/>
          </w:tcPr>
          <w:p w14:paraId="05C8A26C">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snapToGrid w:val="0"/>
                <w:color w:val="auto"/>
                <w:kern w:val="0"/>
                <w:sz w:val="21"/>
                <w:szCs w:val="21"/>
                <w:highlight w:val="none"/>
              </w:rPr>
            </w:pPr>
            <w:r>
              <w:rPr>
                <w:rFonts w:hint="eastAsia" w:asciiTheme="minorEastAsia" w:hAnsiTheme="minorEastAsia" w:eastAsiaTheme="minorEastAsia" w:cstheme="minorEastAsia"/>
                <w:b w:val="0"/>
                <w:bCs/>
                <w:snapToGrid w:val="0"/>
                <w:color w:val="auto"/>
                <w:kern w:val="0"/>
                <w:sz w:val="21"/>
                <w:szCs w:val="21"/>
                <w:highlight w:val="none"/>
              </w:rPr>
              <w:t>监理</w:t>
            </w:r>
            <w:r>
              <w:rPr>
                <w:rFonts w:hint="eastAsia" w:asciiTheme="minorEastAsia" w:hAnsiTheme="minorEastAsia" w:eastAsiaTheme="minorEastAsia" w:cstheme="minorEastAsia"/>
                <w:b w:val="0"/>
                <w:bCs/>
                <w:snapToGrid w:val="0"/>
                <w:color w:val="auto"/>
                <w:kern w:val="0"/>
                <w:sz w:val="21"/>
                <w:szCs w:val="21"/>
                <w:highlight w:val="none"/>
                <w:lang w:eastAsia="zh-CN"/>
              </w:rPr>
              <w:t>人</w:t>
            </w:r>
            <w:r>
              <w:rPr>
                <w:rFonts w:hint="eastAsia" w:asciiTheme="minorEastAsia" w:hAnsiTheme="minorEastAsia" w:eastAsiaTheme="minorEastAsia" w:cstheme="minorEastAsia"/>
                <w:b w:val="0"/>
                <w:bCs/>
                <w:snapToGrid w:val="0"/>
                <w:color w:val="auto"/>
                <w:kern w:val="0"/>
                <w:sz w:val="21"/>
                <w:szCs w:val="21"/>
                <w:highlight w:val="none"/>
              </w:rPr>
              <w:t>应根据招标文件及</w:t>
            </w:r>
            <w:r>
              <w:rPr>
                <w:rFonts w:hint="eastAsia" w:asciiTheme="minorEastAsia" w:hAnsiTheme="minorEastAsia" w:eastAsiaTheme="minorEastAsia" w:cstheme="minorEastAsia"/>
                <w:b w:val="0"/>
                <w:bCs/>
                <w:snapToGrid w:val="0"/>
                <w:color w:val="auto"/>
                <w:kern w:val="0"/>
                <w:sz w:val="21"/>
                <w:szCs w:val="21"/>
                <w:highlight w:val="none"/>
                <w:lang w:eastAsia="zh-CN"/>
              </w:rPr>
              <w:t>承包</w:t>
            </w:r>
            <w:r>
              <w:rPr>
                <w:rFonts w:hint="eastAsia" w:asciiTheme="minorEastAsia" w:hAnsiTheme="minorEastAsia" w:eastAsiaTheme="minorEastAsia" w:cstheme="minorEastAsia"/>
                <w:b w:val="0"/>
                <w:bCs/>
                <w:snapToGrid w:val="0"/>
                <w:color w:val="auto"/>
                <w:kern w:val="0"/>
                <w:sz w:val="21"/>
                <w:szCs w:val="21"/>
                <w:highlight w:val="none"/>
              </w:rPr>
              <w:t>合同对</w:t>
            </w:r>
            <w:r>
              <w:rPr>
                <w:rFonts w:hint="eastAsia" w:asciiTheme="minorEastAsia" w:hAnsiTheme="minorEastAsia" w:eastAsiaTheme="minorEastAsia" w:cstheme="minorEastAsia"/>
                <w:b w:val="0"/>
                <w:bCs/>
                <w:snapToGrid w:val="0"/>
                <w:color w:val="auto"/>
                <w:kern w:val="0"/>
                <w:sz w:val="21"/>
                <w:szCs w:val="21"/>
                <w:highlight w:val="none"/>
                <w:lang w:eastAsia="zh-CN"/>
              </w:rPr>
              <w:t>承包单位</w:t>
            </w:r>
            <w:r>
              <w:rPr>
                <w:rFonts w:hint="eastAsia" w:asciiTheme="minorEastAsia" w:hAnsiTheme="minorEastAsia" w:eastAsiaTheme="minorEastAsia" w:cstheme="minorEastAsia"/>
                <w:b w:val="0"/>
                <w:bCs/>
                <w:snapToGrid w:val="0"/>
                <w:color w:val="auto"/>
                <w:kern w:val="0"/>
                <w:sz w:val="21"/>
                <w:szCs w:val="21"/>
                <w:highlight w:val="none"/>
              </w:rPr>
              <w:t>履约情况（人员到位情况、进度节点控制、质量控制、造价控制、违约情况等）进行考核，对于出现进度、质量等不达标或其他违约的情况及时发出整改通知及相应违约处罚单，并于每月5日前将上月考核相关资料整理提交委托人备案，若监理未按相关要求执行视为监理违约</w:t>
            </w:r>
          </w:p>
        </w:tc>
        <w:tc>
          <w:tcPr>
            <w:tcW w:w="1931" w:type="dxa"/>
            <w:vAlign w:val="center"/>
          </w:tcPr>
          <w:p w14:paraId="6214C067">
            <w:pPr>
              <w:pStyle w:val="33"/>
              <w:shd w:val="clear" w:color="auto" w:fill="auto"/>
              <w:jc w:val="center"/>
              <w:rPr>
                <w:rFonts w:hint="eastAsia" w:asciiTheme="minorEastAsia" w:hAnsiTheme="minorEastAsia" w:eastAsiaTheme="minorEastAsia" w:cstheme="minorEastAsia"/>
                <w:b w:val="0"/>
                <w:bCs/>
                <w:snapToGrid w:val="0"/>
                <w:color w:val="auto"/>
                <w:kern w:val="0"/>
                <w:sz w:val="21"/>
                <w:szCs w:val="21"/>
                <w:highlight w:val="none"/>
                <w:u w:val="single"/>
              </w:rPr>
            </w:pPr>
            <w:r>
              <w:rPr>
                <w:rFonts w:hint="eastAsia" w:asciiTheme="minorEastAsia" w:hAnsiTheme="minorEastAsia" w:eastAsiaTheme="minorEastAsia" w:cstheme="minorEastAsia"/>
                <w:b w:val="0"/>
                <w:bCs/>
                <w:snapToGrid w:val="0"/>
                <w:color w:val="auto"/>
                <w:kern w:val="0"/>
                <w:sz w:val="21"/>
                <w:szCs w:val="21"/>
                <w:highlight w:val="none"/>
                <w:u w:val="none"/>
              </w:rPr>
              <w:t>¥1000元/天</w:t>
            </w:r>
          </w:p>
        </w:tc>
        <w:tc>
          <w:tcPr>
            <w:tcW w:w="1636" w:type="dxa"/>
          </w:tcPr>
          <w:p w14:paraId="61A6BC1A">
            <w:pPr>
              <w:pStyle w:val="33"/>
              <w:shd w:val="clear" w:color="auto" w:fill="auto"/>
              <w:jc w:val="both"/>
              <w:rPr>
                <w:rFonts w:hint="eastAsia" w:asciiTheme="minorEastAsia" w:hAnsiTheme="minorEastAsia" w:eastAsiaTheme="minorEastAsia" w:cstheme="minorEastAsia"/>
                <w:b w:val="0"/>
                <w:bCs/>
                <w:color w:val="auto"/>
                <w:sz w:val="21"/>
                <w:szCs w:val="21"/>
                <w:highlight w:val="none"/>
                <w:vertAlign w:val="baseline"/>
              </w:rPr>
            </w:pPr>
          </w:p>
        </w:tc>
      </w:tr>
    </w:tbl>
    <w:p w14:paraId="43220E9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 xml:space="preserve"> 监理违约的处理程序</w:t>
      </w:r>
    </w:p>
    <w:p w14:paraId="57F83D6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8.1</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 xml:space="preserve">.1 </w:t>
      </w:r>
      <w:r>
        <w:rPr>
          <w:rFonts w:hint="eastAsia" w:asciiTheme="minorEastAsia" w:hAnsiTheme="minorEastAsia" w:eastAsiaTheme="minorEastAsia" w:cstheme="minorEastAsia"/>
          <w:b w:val="0"/>
          <w:bCs w:val="0"/>
          <w:snapToGrid w:val="0"/>
          <w:color w:val="auto"/>
          <w:kern w:val="0"/>
          <w:sz w:val="21"/>
          <w:szCs w:val="21"/>
          <w:highlight w:val="none"/>
        </w:rPr>
        <w:t>由委托人管理人员在“监理行为记录档案”中将监理人的具体违约情况记录，并将记录内容书面告知监理人。</w:t>
      </w:r>
    </w:p>
    <w:p w14:paraId="5B21305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2</w:t>
      </w:r>
      <w:r>
        <w:rPr>
          <w:rFonts w:hint="eastAsia" w:asciiTheme="minorEastAsia" w:hAnsiTheme="minorEastAsia" w:eastAsiaTheme="minorEastAsia" w:cstheme="minorEastAsia"/>
          <w:b/>
          <w:bCs/>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rPr>
        <w:t>委托人不定期将有关监理人的违约情况以记录、通知、会议纪要等书面形式通知监理人，指明其未能履约的内容和委托人要求其承担违约责任的等级。</w:t>
      </w:r>
    </w:p>
    <w:p w14:paraId="77F9E02B">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rPr>
        <w:t>监理人收到书面处理通知后，如有足够证据证明不应由其承担违约责任的，应在收到违约处理决定后3个工作日内以书面形式向委托人提出异议并附上有关证据，委托人在收到监理人的异议后15个工作日内审核完毕且作出书面决定并通知监理人。否则书面通知则作为处理决定。</w:t>
      </w:r>
    </w:p>
    <w:p w14:paraId="49D7B7B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4</w:t>
      </w:r>
      <w:r>
        <w:rPr>
          <w:rFonts w:hint="eastAsia" w:asciiTheme="minorEastAsia" w:hAnsiTheme="minorEastAsia" w:eastAsiaTheme="minorEastAsia" w:cstheme="minorEastAsia"/>
          <w:b/>
          <w:bCs/>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rPr>
        <w:t>委托人将进一步将监理人执行国家强制性规范、标准和履行合同、招投标文件义务的情况（包括但不限于由委托人组织的考核、考评通报、违约责任处理决定等）再报当地建设行政主管部门并在媒体上公开披露。</w:t>
      </w:r>
    </w:p>
    <w:p w14:paraId="639F98C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rPr>
        <w:t>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25C9D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8.1.</w:t>
      </w:r>
      <w:r>
        <w:rPr>
          <w:rFonts w:hint="eastAsia" w:asciiTheme="minorEastAsia" w:hAnsiTheme="minorEastAsia" w:eastAsiaTheme="minorEastAsia" w:cstheme="minorEastAsia"/>
          <w:b/>
          <w:bCs/>
          <w:snapToGrid w:val="0"/>
          <w:color w:val="auto"/>
          <w:kern w:val="0"/>
          <w:sz w:val="21"/>
          <w:szCs w:val="21"/>
          <w:highlight w:val="none"/>
          <w:lang w:val="en-US" w:eastAsia="zh-CN"/>
        </w:rPr>
        <w:t>3</w:t>
      </w:r>
      <w:r>
        <w:rPr>
          <w:rFonts w:hint="eastAsia" w:asciiTheme="minorEastAsia" w:hAnsiTheme="minorEastAsia" w:eastAsiaTheme="minorEastAsia" w:cstheme="minorEastAsia"/>
          <w:b/>
          <w:bCs/>
          <w:snapToGrid w:val="0"/>
          <w:color w:val="auto"/>
          <w:kern w:val="0"/>
          <w:sz w:val="21"/>
          <w:szCs w:val="21"/>
          <w:highlight w:val="none"/>
        </w:rPr>
        <w:t>.</w:t>
      </w:r>
      <w:r>
        <w:rPr>
          <w:rFonts w:hint="eastAsia" w:asciiTheme="minorEastAsia" w:hAnsiTheme="minorEastAsia" w:eastAsiaTheme="minorEastAsia" w:cstheme="minorEastAsia"/>
          <w:b/>
          <w:bCs/>
          <w:snapToGrid w:val="0"/>
          <w:color w:val="auto"/>
          <w:kern w:val="0"/>
          <w:sz w:val="21"/>
          <w:szCs w:val="21"/>
          <w:highlight w:val="none"/>
          <w:lang w:val="en-US" w:eastAsia="zh-CN"/>
        </w:rPr>
        <w:t>6</w:t>
      </w:r>
      <w:r>
        <w:rPr>
          <w:rFonts w:hint="eastAsia" w:asciiTheme="minorEastAsia" w:hAnsiTheme="minorEastAsia" w:eastAsiaTheme="minorEastAsia" w:cstheme="minorEastAsia"/>
          <w:b/>
          <w:bCs/>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rPr>
        <w:t>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7C83DC2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 工程质量、造价、进度控制及安全生产管理</w:t>
      </w:r>
    </w:p>
    <w:p w14:paraId="5FF87EE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8.2.1 工程质量控制：</w:t>
      </w:r>
    </w:p>
    <w:p w14:paraId="3E3DF55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 </w:t>
      </w:r>
      <w:r>
        <w:rPr>
          <w:rFonts w:hint="eastAsia" w:asciiTheme="minorEastAsia" w:hAnsiTheme="minorEastAsia" w:eastAsiaTheme="minorEastAsia" w:cstheme="minorEastAsia"/>
          <w:snapToGrid w:val="0"/>
          <w:color w:val="auto"/>
          <w:kern w:val="0"/>
          <w:sz w:val="21"/>
          <w:szCs w:val="21"/>
          <w:highlight w:val="none"/>
        </w:rPr>
        <w:t>工程开工前，项目监理机构应审查施工单位现场的质量管理组织机构、管理制度及专职管理人员和特种作业人员的资格。</w:t>
      </w:r>
    </w:p>
    <w:p w14:paraId="1300760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8.2.1.2 </w:t>
      </w:r>
      <w:r>
        <w:rPr>
          <w:rFonts w:hint="eastAsia" w:asciiTheme="minorEastAsia" w:hAnsiTheme="minorEastAsia" w:eastAsiaTheme="minorEastAsia" w:cstheme="minorEastAsia"/>
          <w:snapToGrid w:val="0"/>
          <w:color w:val="auto"/>
          <w:kern w:val="0"/>
          <w:sz w:val="21"/>
          <w:szCs w:val="21"/>
          <w:highlight w:val="none"/>
        </w:rPr>
        <w:t>总监理工程师应组织专业监理工程师审查施工单位报审的施工方案，符合要求后应予以签认。施工方案审查应包括下列基本内容：</w:t>
      </w:r>
    </w:p>
    <w:p w14:paraId="4D3CFF5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（1）编审程序应符合相关规定。</w:t>
      </w:r>
    </w:p>
    <w:p w14:paraId="452940F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（2）工程质量保证措施应符合有关标准。</w:t>
      </w:r>
    </w:p>
    <w:p w14:paraId="186D8E0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8.2.1.3 </w:t>
      </w:r>
      <w:r>
        <w:rPr>
          <w:rFonts w:hint="eastAsia" w:asciiTheme="minorEastAsia" w:hAnsiTheme="minorEastAsia" w:eastAsiaTheme="minorEastAsia" w:cstheme="minorEastAsia"/>
          <w:snapToGrid w:val="0"/>
          <w:color w:val="auto"/>
          <w:kern w:val="0"/>
          <w:sz w:val="21"/>
          <w:szCs w:val="21"/>
          <w:highlight w:val="none"/>
        </w:rPr>
        <w:t>施工方案报审表应按相应规范的要求填写。</w:t>
      </w:r>
    </w:p>
    <w:p w14:paraId="0D1F834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8.2.1.4 </w:t>
      </w:r>
      <w:r>
        <w:rPr>
          <w:rFonts w:hint="eastAsia" w:asciiTheme="minorEastAsia" w:hAnsiTheme="minorEastAsia" w:eastAsiaTheme="minorEastAsia" w:cstheme="minorEastAsia"/>
          <w:snapToGrid w:val="0"/>
          <w:color w:val="auto"/>
          <w:kern w:val="0"/>
          <w:sz w:val="21"/>
          <w:szCs w:val="21"/>
          <w:highlight w:val="none"/>
        </w:rPr>
        <w:t>专业监理工程师应审查施工单位报送的新材料、新工艺、新技术、新设备的质量认证材料和相关验收标准的适用性，必要时，应要求施工单位组织专题论证，审查合格后报总监理工程师签认。</w:t>
      </w:r>
    </w:p>
    <w:p w14:paraId="76044BF2">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8.2.1.5 </w:t>
      </w:r>
      <w:r>
        <w:rPr>
          <w:rFonts w:hint="eastAsia" w:asciiTheme="minorEastAsia" w:hAnsiTheme="minorEastAsia" w:eastAsiaTheme="minorEastAsia" w:cstheme="minorEastAsia"/>
          <w:snapToGrid w:val="0"/>
          <w:color w:val="auto"/>
          <w:kern w:val="0"/>
          <w:sz w:val="21"/>
          <w:szCs w:val="21"/>
          <w:highlight w:val="none"/>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3B335577">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（1）施工单位测量人员的资格证书及测量设备检定证书。</w:t>
      </w:r>
    </w:p>
    <w:p w14:paraId="12648C8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（2）施工平面控制网、高程控制网和临时水准点的测量成果及控制桩的保护措施。</w:t>
      </w:r>
    </w:p>
    <w:p w14:paraId="279ECB4E">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8.2.1.6 </w:t>
      </w:r>
      <w:r>
        <w:rPr>
          <w:rFonts w:hint="eastAsia" w:asciiTheme="minorEastAsia" w:hAnsiTheme="minorEastAsia" w:eastAsiaTheme="minorEastAsia" w:cstheme="minorEastAsia"/>
          <w:snapToGrid w:val="0"/>
          <w:color w:val="auto"/>
          <w:kern w:val="0"/>
          <w:sz w:val="21"/>
          <w:szCs w:val="21"/>
          <w:highlight w:val="none"/>
        </w:rPr>
        <w:t>施工控制测量成果报验表应按相应规范的要求填写。</w:t>
      </w:r>
    </w:p>
    <w:p w14:paraId="3E59086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8.2.1.7 </w:t>
      </w:r>
      <w:r>
        <w:rPr>
          <w:rFonts w:hint="eastAsia" w:asciiTheme="minorEastAsia" w:hAnsiTheme="minorEastAsia" w:eastAsiaTheme="minorEastAsia" w:cstheme="minorEastAsia"/>
          <w:snapToGrid w:val="0"/>
          <w:color w:val="auto"/>
          <w:kern w:val="0"/>
          <w:sz w:val="21"/>
          <w:szCs w:val="21"/>
          <w:highlight w:val="none"/>
        </w:rPr>
        <w:t>专业监理工程师应检查施工单位为工程提供服务的试验室。</w:t>
      </w:r>
    </w:p>
    <w:p w14:paraId="77A551B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试验室的检查应包括下列内容：</w:t>
      </w:r>
    </w:p>
    <w:p w14:paraId="1FF1634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（1）试验室的资质等级及试验范围。</w:t>
      </w:r>
    </w:p>
    <w:p w14:paraId="11F06D59">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（2）法定计量部门对试验设备出具的计量检定证明。</w:t>
      </w:r>
    </w:p>
    <w:p w14:paraId="3FFCE4E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（3）试验室管理制度。</w:t>
      </w:r>
    </w:p>
    <w:p w14:paraId="40DBD72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（4）试验人员资格证书。</w:t>
      </w:r>
    </w:p>
    <w:p w14:paraId="1D8EFE1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8.2.1.8 </w:t>
      </w:r>
      <w:r>
        <w:rPr>
          <w:rFonts w:hint="eastAsia" w:asciiTheme="minorEastAsia" w:hAnsiTheme="minorEastAsia" w:eastAsiaTheme="minorEastAsia" w:cstheme="minorEastAsia"/>
          <w:snapToGrid w:val="0"/>
          <w:color w:val="auto"/>
          <w:kern w:val="0"/>
          <w:sz w:val="21"/>
          <w:szCs w:val="21"/>
          <w:highlight w:val="none"/>
        </w:rPr>
        <w:t>施工单位的试验室报审表应按相应规范的要求填写。</w:t>
      </w:r>
    </w:p>
    <w:p w14:paraId="7A38E37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8.2.1.9 </w:t>
      </w:r>
      <w:r>
        <w:rPr>
          <w:rFonts w:hint="eastAsia" w:asciiTheme="minorEastAsia" w:hAnsiTheme="minorEastAsia" w:eastAsiaTheme="minorEastAsia" w:cstheme="minorEastAsia"/>
          <w:snapToGrid w:val="0"/>
          <w:color w:val="auto"/>
          <w:kern w:val="0"/>
          <w:sz w:val="21"/>
          <w:szCs w:val="21"/>
          <w:highlight w:val="none"/>
        </w:rPr>
        <w:t>项目监理机构应审查施工单位</w:t>
      </w:r>
      <w:r>
        <w:rPr>
          <w:rFonts w:hint="eastAsia" w:asciiTheme="minorEastAsia" w:hAnsiTheme="minorEastAsia" w:eastAsiaTheme="minorEastAsia" w:cstheme="minorEastAsia"/>
          <w:snapToGrid w:val="0"/>
          <w:color w:val="auto"/>
          <w:kern w:val="0"/>
          <w:sz w:val="21"/>
          <w:szCs w:val="21"/>
          <w:highlight w:val="none"/>
          <w:lang w:eastAsia="zh-CN"/>
        </w:rPr>
        <w:t>及发包人委托的第三方检测机构</w:t>
      </w:r>
      <w:r>
        <w:rPr>
          <w:rFonts w:hint="eastAsia" w:asciiTheme="minorEastAsia" w:hAnsiTheme="minorEastAsia" w:eastAsiaTheme="minorEastAsia" w:cstheme="minorEastAsia"/>
          <w:snapToGrid w:val="0"/>
          <w:color w:val="auto"/>
          <w:kern w:val="0"/>
          <w:sz w:val="21"/>
          <w:szCs w:val="21"/>
          <w:highlight w:val="none"/>
        </w:rPr>
        <w:t>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49A3E06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8.2.1.10 </w:t>
      </w:r>
      <w:r>
        <w:rPr>
          <w:rFonts w:hint="eastAsia" w:asciiTheme="minorEastAsia" w:hAnsiTheme="minorEastAsia" w:eastAsiaTheme="minorEastAsia" w:cstheme="minorEastAsia"/>
          <w:snapToGrid w:val="0"/>
          <w:color w:val="auto"/>
          <w:kern w:val="0"/>
          <w:sz w:val="21"/>
          <w:szCs w:val="21"/>
          <w:highlight w:val="none"/>
        </w:rPr>
        <w:t>专业监理工程师应审查施工单位定期提交影响工程质量的计量设备的检查和检定报告。</w:t>
      </w:r>
    </w:p>
    <w:p w14:paraId="0CD1BA0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8.2.1.11 </w:t>
      </w:r>
      <w:r>
        <w:rPr>
          <w:rFonts w:hint="eastAsia" w:asciiTheme="minorEastAsia" w:hAnsiTheme="minorEastAsia" w:eastAsiaTheme="minorEastAsia" w:cstheme="minorEastAsia"/>
          <w:snapToGrid w:val="0"/>
          <w:color w:val="auto"/>
          <w:kern w:val="0"/>
          <w:sz w:val="21"/>
          <w:szCs w:val="21"/>
          <w:highlight w:val="none"/>
        </w:rPr>
        <w:t>项目监理机构应根据工程特点和施工单位报送的施工组织设计，确定旁站的关键部位、关键工序，安排监理人员进行旁站，并应及时记录旁站情况。旁站记录应按相应规范的要求填写。</w:t>
      </w:r>
    </w:p>
    <w:p w14:paraId="1BA08EA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8.2.1.12 </w:t>
      </w:r>
      <w:r>
        <w:rPr>
          <w:rFonts w:hint="eastAsia" w:asciiTheme="minorEastAsia" w:hAnsiTheme="minorEastAsia" w:eastAsiaTheme="minorEastAsia" w:cstheme="minorEastAsia"/>
          <w:snapToGrid w:val="0"/>
          <w:color w:val="auto"/>
          <w:kern w:val="0"/>
          <w:sz w:val="21"/>
          <w:szCs w:val="21"/>
          <w:highlight w:val="none"/>
        </w:rPr>
        <w:t>项目监理机构应安排监理人员对工程施工质量进行巡视。巡视应包括下列主要内容：</w:t>
      </w:r>
    </w:p>
    <w:p w14:paraId="018A75C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（1）施工单位是否按工程设计文件、工程建设标准和批准的施工组织设计、(专项)施工方案施工。</w:t>
      </w:r>
    </w:p>
    <w:p w14:paraId="1F5A967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（2）使用的工程材料、构配件和设备是否合格。</w:t>
      </w:r>
    </w:p>
    <w:p w14:paraId="3E5972F0">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（3）施工现场管理人员，特别是施工质量管理人员是否到位。</w:t>
      </w:r>
    </w:p>
    <w:p w14:paraId="42A8CF7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（4）特种作业人员是否持证上岗。</w:t>
      </w:r>
    </w:p>
    <w:p w14:paraId="1F0AE371">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8.2.1.13 </w:t>
      </w:r>
      <w:r>
        <w:rPr>
          <w:rFonts w:hint="eastAsia" w:asciiTheme="minorEastAsia" w:hAnsiTheme="minorEastAsia" w:eastAsiaTheme="minorEastAsia" w:cstheme="minorEastAsia"/>
          <w:snapToGrid w:val="0"/>
          <w:color w:val="auto"/>
          <w:kern w:val="0"/>
          <w:sz w:val="21"/>
          <w:szCs w:val="21"/>
          <w:highlight w:val="none"/>
        </w:rPr>
        <w:t>项目监理机构应根据工程特点、专业要求，以及建设工程监理合同约定，对施工质量进行平行检验。</w:t>
      </w:r>
    </w:p>
    <w:p w14:paraId="600DCB0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8.2.1.14 </w:t>
      </w:r>
      <w:r>
        <w:rPr>
          <w:rFonts w:hint="eastAsia" w:asciiTheme="minorEastAsia" w:hAnsiTheme="minorEastAsia" w:eastAsiaTheme="minorEastAsia" w:cstheme="minorEastAsia"/>
          <w:snapToGrid w:val="0"/>
          <w:color w:val="auto"/>
          <w:kern w:val="0"/>
          <w:sz w:val="21"/>
          <w:szCs w:val="21"/>
          <w:highlight w:val="none"/>
        </w:rPr>
        <w:t>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6CB0D5E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8.2.1.15 </w:t>
      </w:r>
      <w:r>
        <w:rPr>
          <w:rFonts w:hint="eastAsia" w:asciiTheme="minorEastAsia" w:hAnsiTheme="minorEastAsia" w:eastAsiaTheme="minorEastAsia" w:cstheme="minorEastAsia"/>
          <w:snapToGrid w:val="0"/>
          <w:color w:val="auto"/>
          <w:kern w:val="0"/>
          <w:sz w:val="21"/>
          <w:szCs w:val="21"/>
          <w:highlight w:val="none"/>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1C01930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8.2.1.16 </w:t>
      </w:r>
      <w:r>
        <w:rPr>
          <w:rFonts w:hint="eastAsia" w:asciiTheme="minorEastAsia" w:hAnsiTheme="minorEastAsia" w:eastAsiaTheme="minorEastAsia" w:cstheme="minorEastAsia"/>
          <w:snapToGrid w:val="0"/>
          <w:color w:val="auto"/>
          <w:kern w:val="0"/>
          <w:sz w:val="21"/>
          <w:szCs w:val="21"/>
          <w:highlight w:val="none"/>
        </w:rPr>
        <w:t>对需要返工处理或加固补强的质量缺陷，项目监理机构应要求施工单位报送经设计等相关单位认可的处理方案，并应对质量缺陷的处理过程进行跟踪检查，同时应对处理结果进行验收。</w:t>
      </w:r>
    </w:p>
    <w:p w14:paraId="3D57790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8.2.1.17 </w:t>
      </w:r>
      <w:r>
        <w:rPr>
          <w:rFonts w:hint="eastAsia" w:asciiTheme="minorEastAsia" w:hAnsiTheme="minorEastAsia" w:eastAsiaTheme="minorEastAsia" w:cstheme="minorEastAsia"/>
          <w:snapToGrid w:val="0"/>
          <w:color w:val="auto"/>
          <w:kern w:val="0"/>
          <w:sz w:val="21"/>
          <w:szCs w:val="21"/>
          <w:highlight w:val="none"/>
        </w:rPr>
        <w:t>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DAC40FF">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8.2.1.18 </w:t>
      </w:r>
      <w:r>
        <w:rPr>
          <w:rFonts w:hint="eastAsia" w:asciiTheme="minorEastAsia" w:hAnsiTheme="minorEastAsia" w:eastAsiaTheme="minorEastAsia" w:cstheme="minorEastAsia"/>
          <w:snapToGrid w:val="0"/>
          <w:color w:val="auto"/>
          <w:kern w:val="0"/>
          <w:sz w:val="21"/>
          <w:szCs w:val="21"/>
          <w:highlight w:val="none"/>
        </w:rPr>
        <w:t>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370CD84">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8.2.1.19 </w:t>
      </w:r>
      <w:r>
        <w:rPr>
          <w:rFonts w:hint="eastAsia" w:asciiTheme="minorEastAsia" w:hAnsiTheme="minorEastAsia" w:eastAsiaTheme="minorEastAsia" w:cstheme="minorEastAsia"/>
          <w:snapToGrid w:val="0"/>
          <w:color w:val="auto"/>
          <w:kern w:val="0"/>
          <w:sz w:val="21"/>
          <w:szCs w:val="21"/>
          <w:highlight w:val="none"/>
        </w:rPr>
        <w:t>工程竣工预验收合格后，项目监理机构应编写工程质量评估报告，并应经总监理工程师和工程监理单位技术负责人审核签字后报建设单位。</w:t>
      </w:r>
    </w:p>
    <w:p w14:paraId="3E4A545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8.2.1.20 </w:t>
      </w:r>
      <w:r>
        <w:rPr>
          <w:rFonts w:hint="eastAsia" w:asciiTheme="minorEastAsia" w:hAnsiTheme="minorEastAsia" w:eastAsiaTheme="minorEastAsia" w:cstheme="minorEastAsia"/>
          <w:snapToGrid w:val="0"/>
          <w:color w:val="auto"/>
          <w:kern w:val="0"/>
          <w:sz w:val="21"/>
          <w:szCs w:val="21"/>
          <w:highlight w:val="none"/>
        </w:rPr>
        <w:t>项目监理机构应参加由建设单位组织的竣工验收，对验收中提出的整改问题，应督促施工单位及时整改。工程质量符合要求的，总监理工程师应在工程竣工验收报告中签署意见。</w:t>
      </w:r>
    </w:p>
    <w:p w14:paraId="50E63CD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
          <w:bCs/>
          <w:snapToGrid w:val="0"/>
          <w:color w:val="auto"/>
          <w:kern w:val="0"/>
          <w:sz w:val="21"/>
          <w:szCs w:val="21"/>
          <w:highlight w:val="none"/>
        </w:rPr>
        <w:t xml:space="preserve">8.2.1.21 </w:t>
      </w:r>
      <w:r>
        <w:rPr>
          <w:rFonts w:hint="eastAsia" w:asciiTheme="minorEastAsia" w:hAnsiTheme="minorEastAsia" w:eastAsiaTheme="minorEastAsia" w:cstheme="minorEastAsia"/>
          <w:snapToGrid w:val="0"/>
          <w:color w:val="auto"/>
          <w:kern w:val="0"/>
          <w:sz w:val="21"/>
          <w:szCs w:val="21"/>
          <w:highlight w:val="none"/>
        </w:rPr>
        <w:t>保修期满后，项目监理机构应参与保修期满质量复检，对复检中发现的问题提出整改意见并督促施工单位整改；整改合格后，总监理工程师在复检报告中签署意见。</w:t>
      </w:r>
    </w:p>
    <w:p w14:paraId="53B1BAD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8.2.2 工程造价控制：</w:t>
      </w:r>
    </w:p>
    <w:p w14:paraId="31FDD8B9">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8.2.2.1 </w:t>
      </w:r>
      <w:r>
        <w:rPr>
          <w:rFonts w:hint="eastAsia" w:asciiTheme="minorEastAsia" w:hAnsiTheme="minorEastAsia" w:eastAsiaTheme="minorEastAsia" w:cstheme="minorEastAsia"/>
          <w:snapToGrid w:val="0"/>
          <w:color w:val="auto"/>
          <w:kern w:val="0"/>
          <w:sz w:val="21"/>
          <w:szCs w:val="21"/>
          <w:highlight w:val="none"/>
        </w:rPr>
        <w:t>项目监理机构应按下列程序进行工程计量和付款签证：</w:t>
      </w:r>
    </w:p>
    <w:p w14:paraId="012DFDE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（1）专业监理工程师对施工单位在工程款支付报审表中提交的工程量和支付金额进行复核，确定实际完成的工程量，提出到期应支付给施工单位的金额，并提出相应的支持性材料。</w:t>
      </w:r>
    </w:p>
    <w:p w14:paraId="277DB00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（2）总监理工程师对专业监理工程师的审查意见进行审核，签认后报建设单位审批。</w:t>
      </w:r>
    </w:p>
    <w:p w14:paraId="10F7DE7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（3）总监理工程师根据建设单位的审批意见，向施工单位签发工程款支付证书。</w:t>
      </w:r>
    </w:p>
    <w:p w14:paraId="3E319B07">
      <w:pPr>
        <w:shd w:val="clear" w:color="auto" w:fill="auto"/>
        <w:wordWrap w:val="0"/>
        <w:adjustRightInd w:val="0"/>
        <w:snapToGrid w:val="0"/>
        <w:spacing w:line="440" w:lineRule="exact"/>
        <w:ind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工程款支付报审表及工程款支付证书应按相应规范的要求填写。</w:t>
      </w:r>
    </w:p>
    <w:p w14:paraId="48ED642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8.2.2.2 </w:t>
      </w:r>
      <w:r>
        <w:rPr>
          <w:rFonts w:hint="eastAsia" w:asciiTheme="minorEastAsia" w:hAnsiTheme="minorEastAsia" w:eastAsiaTheme="minorEastAsia" w:cstheme="minorEastAsia"/>
          <w:snapToGrid w:val="0"/>
          <w:color w:val="auto"/>
          <w:kern w:val="0"/>
          <w:sz w:val="21"/>
          <w:szCs w:val="21"/>
          <w:highlight w:val="none"/>
        </w:rPr>
        <w:t>项目监理机构应编制月完成工程量统计表，对实际完成量与计划完成量进行比较分析，发现偏差的，应提出调整建议，并应在监理月报中向建设单位报告。</w:t>
      </w:r>
    </w:p>
    <w:p w14:paraId="288615C1">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8.2.2.3</w:t>
      </w:r>
      <w:r>
        <w:rPr>
          <w:rFonts w:hint="eastAsia" w:asciiTheme="minorEastAsia" w:hAnsiTheme="minorEastAsia" w:eastAsiaTheme="minorEastAsia" w:cstheme="minorEastAsia"/>
          <w:b w:val="0"/>
          <w:bCs w:val="0"/>
          <w:snapToGrid w:val="0"/>
          <w:color w:val="auto"/>
          <w:kern w:val="0"/>
          <w:sz w:val="21"/>
          <w:szCs w:val="21"/>
          <w:highlight w:val="none"/>
        </w:rPr>
        <w:t>项目监理机构应按下列程序进行竣工结算款审核：</w:t>
      </w:r>
    </w:p>
    <w:p w14:paraId="127C0572">
      <w:pPr>
        <w:keepNext w:val="0"/>
        <w:keepLines w:val="0"/>
        <w:pageBreakBefore w:val="0"/>
        <w:widowControl w:val="0"/>
        <w:shd w:val="clear" w:color="auto" w:fill="auto"/>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（1）专业监理工程师审查施工单位提交的竣工结算款支付申请，提出审查意见。</w:t>
      </w:r>
    </w:p>
    <w:p w14:paraId="5688A0EE">
      <w:pPr>
        <w:keepNext w:val="0"/>
        <w:keepLines w:val="0"/>
        <w:pageBreakBefore w:val="0"/>
        <w:widowControl w:val="0"/>
        <w:shd w:val="clear" w:color="auto" w:fill="auto"/>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6B256E28">
      <w:pPr>
        <w:keepNext w:val="0"/>
        <w:keepLines w:val="0"/>
        <w:pageBreakBefore w:val="0"/>
        <w:widowControl w:val="0"/>
        <w:shd w:val="clear" w:color="auto" w:fill="auto"/>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工程竣工结算款支付报审表及竣工结算款支付证书应按相应规范的要求填写。</w:t>
      </w:r>
    </w:p>
    <w:p w14:paraId="2C1CF86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8.2.3 工程进度控制：</w:t>
      </w:r>
    </w:p>
    <w:p w14:paraId="4A7B00D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8.2.3.1 </w:t>
      </w:r>
      <w:r>
        <w:rPr>
          <w:rFonts w:hint="eastAsia" w:asciiTheme="minorEastAsia" w:hAnsiTheme="minorEastAsia" w:eastAsiaTheme="minorEastAsia" w:cstheme="minorEastAsia"/>
          <w:snapToGrid w:val="0"/>
          <w:color w:val="auto"/>
          <w:kern w:val="0"/>
          <w:sz w:val="21"/>
          <w:szCs w:val="21"/>
          <w:highlight w:val="none"/>
        </w:rPr>
        <w:t>项目监理机构应审查施工单位报审的施工总进度计划和阶段性施工进度计划，提出审查意见，并应由总监理工程师审核后报建设单位。</w:t>
      </w:r>
    </w:p>
    <w:p w14:paraId="4577EF5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施工进度计划审查应包括下列基本内容：</w:t>
      </w:r>
    </w:p>
    <w:p w14:paraId="7683F60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（1）施工进度计划应符合施工合同中工期的约定。</w:t>
      </w:r>
    </w:p>
    <w:p w14:paraId="3C16FD9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（2）施工进度计划中主要工程项目无遗漏，应满足分批投入试运、分批动用的需要，阶段性施工进度计划应满足总进度控制目标的要求。</w:t>
      </w:r>
    </w:p>
    <w:p w14:paraId="69ABBF2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（3）施工顺序的安排应符合施工工艺要求。</w:t>
      </w:r>
    </w:p>
    <w:p w14:paraId="6F54A12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（4）施工人员、工程材料、施工机械等资源供应计划应满足施工进度计划的需要。</w:t>
      </w:r>
    </w:p>
    <w:p w14:paraId="3A330B6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（5）施工进度计划应符合建设单位提供的资金、施工图纸、施工场地、物资等施工条件。</w:t>
      </w:r>
    </w:p>
    <w:p w14:paraId="3742CEB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施工进度计划报审表应按相应规范的要求填写。</w:t>
      </w:r>
    </w:p>
    <w:p w14:paraId="4D0FA17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8.2.3.2 </w:t>
      </w:r>
      <w:r>
        <w:rPr>
          <w:rFonts w:hint="eastAsia" w:asciiTheme="minorEastAsia" w:hAnsiTheme="minorEastAsia" w:eastAsiaTheme="minorEastAsia" w:cstheme="minorEastAsia"/>
          <w:snapToGrid w:val="0"/>
          <w:color w:val="auto"/>
          <w:kern w:val="0"/>
          <w:sz w:val="21"/>
          <w:szCs w:val="21"/>
          <w:highlight w:val="none"/>
        </w:rPr>
        <w:t>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4292597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8.2.3.3 </w:t>
      </w:r>
      <w:r>
        <w:rPr>
          <w:rFonts w:hint="eastAsia" w:asciiTheme="minorEastAsia" w:hAnsiTheme="minorEastAsia" w:eastAsiaTheme="minorEastAsia" w:cstheme="minorEastAsia"/>
          <w:snapToGrid w:val="0"/>
          <w:color w:val="auto"/>
          <w:kern w:val="0"/>
          <w:sz w:val="21"/>
          <w:szCs w:val="21"/>
          <w:highlight w:val="none"/>
        </w:rPr>
        <w:t>项目监理机构应比较分析工程施工实际进度与计划进度，预测实际进度对工程总工期的影响，并应在监理月报中向建设单位报告工程实际进展情况。</w:t>
      </w:r>
    </w:p>
    <w:p w14:paraId="0E39CFB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8.2.4 工程安全生产管理：</w:t>
      </w:r>
    </w:p>
    <w:p w14:paraId="71D9A1B3">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 xml:space="preserve">8.2.4.1 </w:t>
      </w:r>
      <w:r>
        <w:rPr>
          <w:rFonts w:hint="eastAsia" w:asciiTheme="minorEastAsia" w:hAnsiTheme="minorEastAsia" w:eastAsiaTheme="minorEastAsia" w:cstheme="minorEastAsia"/>
          <w:snapToGrid w:val="0"/>
          <w:color w:val="auto"/>
          <w:kern w:val="0"/>
          <w:sz w:val="21"/>
          <w:szCs w:val="21"/>
          <w:highlight w:val="none"/>
        </w:rPr>
        <w:t>项目监理机构应根据法律法规、工程建设强制性标准，履行建设工程安全生产管理的监理职责，并应将安全生产管理的监理工作内容、方法和措施纳入监理规划及监理实施细则。</w:t>
      </w:r>
    </w:p>
    <w:p w14:paraId="18E65335">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8.2.4.2</w:t>
      </w:r>
      <w:r>
        <w:rPr>
          <w:rFonts w:hint="eastAsia" w:asciiTheme="minorEastAsia" w:hAnsiTheme="minorEastAsia" w:eastAsiaTheme="minorEastAsia" w:cstheme="minorEastAsia"/>
          <w:snapToGrid w:val="0"/>
          <w:color w:val="auto"/>
          <w:kern w:val="0"/>
          <w:sz w:val="21"/>
          <w:szCs w:val="21"/>
          <w:highlight w:val="none"/>
        </w:rPr>
        <w:t xml:space="preserve">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6D7D7FED">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8.2.4.3</w:t>
      </w:r>
      <w:r>
        <w:rPr>
          <w:rFonts w:hint="eastAsia" w:asciiTheme="minorEastAsia" w:hAnsiTheme="minorEastAsia" w:eastAsiaTheme="minorEastAsia" w:cstheme="minorEastAsia"/>
          <w:snapToGrid w:val="0"/>
          <w:color w:val="auto"/>
          <w:kern w:val="0"/>
          <w:sz w:val="21"/>
          <w:szCs w:val="21"/>
          <w:highlight w:val="none"/>
        </w:rPr>
        <w:t xml:space="preserve">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1BF0B5FF">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专项施工方案审查应包括下列基本内容：</w:t>
      </w:r>
    </w:p>
    <w:p w14:paraId="35554E60">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（1）编审程序应符合相关规定。</w:t>
      </w:r>
    </w:p>
    <w:p w14:paraId="798D08D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（2）安全技术措施应符合工程建设强制性标准。</w:t>
      </w:r>
    </w:p>
    <w:p w14:paraId="694192F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专项施工方案报审表应按相应规范的要求填写。</w:t>
      </w:r>
    </w:p>
    <w:p w14:paraId="147AA208">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8.2.4.4</w:t>
      </w:r>
      <w:r>
        <w:rPr>
          <w:rFonts w:hint="eastAsia" w:asciiTheme="minorEastAsia" w:hAnsiTheme="minorEastAsia" w:eastAsiaTheme="minorEastAsia" w:cstheme="minorEastAsia"/>
          <w:snapToGrid w:val="0"/>
          <w:color w:val="auto"/>
          <w:kern w:val="0"/>
          <w:sz w:val="21"/>
          <w:szCs w:val="21"/>
          <w:highlight w:val="none"/>
        </w:rPr>
        <w:t xml:space="preserve"> 项目监理机构应巡视检查危险性较大的分部分项工程专项施工方案实施情况。发现未按专项施工方案实施时，应签发监理通知单，要求施工单位按专项施工方案实施。</w:t>
      </w:r>
    </w:p>
    <w:p w14:paraId="6E7FA877">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8.2.4.5</w:t>
      </w:r>
      <w:r>
        <w:rPr>
          <w:rFonts w:hint="eastAsia" w:asciiTheme="minorEastAsia" w:hAnsiTheme="minorEastAsia" w:eastAsiaTheme="minorEastAsia" w:cstheme="minorEastAsia"/>
          <w:snapToGrid w:val="0"/>
          <w:color w:val="auto"/>
          <w:kern w:val="0"/>
          <w:sz w:val="21"/>
          <w:szCs w:val="21"/>
          <w:highlight w:val="none"/>
        </w:rPr>
        <w:t xml:space="preserve">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监理报告应按相应规范的要求填写。</w:t>
      </w:r>
    </w:p>
    <w:p w14:paraId="409821F1">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rPr>
        <w:t>8.2.4.</w:t>
      </w:r>
      <w:r>
        <w:rPr>
          <w:rFonts w:hint="eastAsia" w:asciiTheme="minorEastAsia" w:hAnsiTheme="minorEastAsia" w:eastAsiaTheme="minorEastAsia" w:cstheme="minorEastAsia"/>
          <w:b/>
          <w:bCs/>
          <w:snapToGrid w:val="0"/>
          <w:color w:val="auto"/>
          <w:kern w:val="0"/>
          <w:sz w:val="21"/>
          <w:szCs w:val="21"/>
          <w:highlight w:val="none"/>
          <w:lang w:val="en-US" w:eastAsia="zh-CN"/>
        </w:rPr>
        <w:t xml:space="preserve">6 </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监理人应按安全文明施工相关规定进行监管。</w:t>
      </w:r>
    </w:p>
    <w:p w14:paraId="5841ADD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1"/>
          <w:szCs w:val="21"/>
          <w:highlight w:val="none"/>
          <w:lang w:val="en-US" w:eastAsia="zh-CN" w:bidi="ar-SA"/>
        </w:rPr>
        <w:t>8.3缺陷责任保修期服务工作</w:t>
      </w:r>
    </w:p>
    <w:p w14:paraId="7800F68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14:paraId="3229A519">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8.4</w:t>
      </w:r>
      <w:r>
        <w:rPr>
          <w:rFonts w:hint="eastAsia" w:asciiTheme="minorEastAsia" w:hAnsiTheme="minorEastAsia" w:eastAsiaTheme="minorEastAsia" w:cstheme="minorEastAsia"/>
          <w:b/>
          <w:bCs/>
          <w:snapToGrid w:val="0"/>
          <w:color w:val="auto"/>
          <w:kern w:val="0"/>
          <w:sz w:val="21"/>
          <w:szCs w:val="21"/>
          <w:highlight w:val="none"/>
        </w:rPr>
        <w:t>监理人的责任</w:t>
      </w:r>
    </w:p>
    <w:p w14:paraId="2B4BF61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8.4.1</w:t>
      </w:r>
      <w:r>
        <w:rPr>
          <w:rFonts w:hint="eastAsia" w:asciiTheme="minorEastAsia" w:hAnsiTheme="minorEastAsia" w:eastAsiaTheme="minorEastAsia" w:cstheme="minorEastAsia"/>
          <w:snapToGrid w:val="0"/>
          <w:color w:val="auto"/>
          <w:kern w:val="0"/>
          <w:sz w:val="21"/>
          <w:szCs w:val="21"/>
          <w:highlight w:val="none"/>
        </w:rPr>
        <w:t>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14:paraId="47E7BB1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8.4.2</w:t>
      </w:r>
      <w:r>
        <w:rPr>
          <w:rFonts w:hint="eastAsia" w:asciiTheme="minorEastAsia" w:hAnsiTheme="minorEastAsia" w:eastAsiaTheme="minorEastAsia" w:cstheme="minorEastAsia"/>
          <w:snapToGrid w:val="0"/>
          <w:color w:val="auto"/>
          <w:kern w:val="0"/>
          <w:sz w:val="21"/>
          <w:szCs w:val="21"/>
          <w:highlight w:val="none"/>
        </w:rPr>
        <w:t>监理人应当按照法律、法规，工程建设强制性标准及监理委托合同实施监理，对所监理工程的施工质量、安全生产、造价控制、建筑节能进行监督检查，并对施工质量、安全生产、造价控制及建筑节能承担监理责任。</w:t>
      </w:r>
    </w:p>
    <w:p w14:paraId="60C2113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（一）施工阶段质量监理服务责任</w:t>
      </w:r>
    </w:p>
    <w:p w14:paraId="41A86EE0">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（1）监理人应当依照法律、法规以及有关技术标准、经审查批准的设计文件、建设工程承包合同和监理合同，代表委托人对施工质量实施监理，并对施工质量承担监理责任。</w:t>
      </w:r>
    </w:p>
    <w:p w14:paraId="53503D4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（2）监理人应当组织桩基础、地基基础、主体结构、重要结构部位等分项、分部工程和隐蔽工程的验收，并通知建设、勘察、设计单位和质监机构参加。</w:t>
      </w:r>
    </w:p>
    <w:p w14:paraId="155D0A4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363E61F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（二）施工阶段安全生产监理服务责任</w:t>
      </w:r>
    </w:p>
    <w:p w14:paraId="690AB421">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（1）监理人应对施工组织设计中的安全技术措施或专项施工方案进行审查，未进行审查的，监理人应承担《建设工程安全生产管理条例》第五十七条规定的法律责任。</w:t>
      </w:r>
    </w:p>
    <w:p w14:paraId="0F95641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2F37C54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30D7B04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14:paraId="711FA45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（5）监理人未依照法律、法规和工程建设强制性标准实施监理的，应当承担《建设工程安全生产管理条例》第五十七条规定的法律责任。</w:t>
      </w:r>
    </w:p>
    <w:p w14:paraId="7F63C63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（6）监理人履行了上述规定的职责，承包人未执行监理指令继续施工而发生安全事故的，监理人不承担由此造成的责任，应依法追究监理企业以外的其他相关单位和人员的法律责任。</w:t>
      </w:r>
    </w:p>
    <w:p w14:paraId="3A5116A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（三）建筑节能监理服务责任</w:t>
      </w:r>
    </w:p>
    <w:p w14:paraId="5020B63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（1）严格按照审查合格的设计文件和建筑节能强制性标准和技术规范的要求实施监理，针对工程的特点编制包含节能专篇的监理规划及节能工程监理实施细则。</w:t>
      </w:r>
    </w:p>
    <w:p w14:paraId="62BC299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51FFBFAF">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（3）监理人采取巡视和旁站、平行检验等形式对节能工程实施监理。</w:t>
      </w:r>
    </w:p>
    <w:p w14:paraId="440578F9">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（4）监理人应当在《工程质量评估报告》中明确建筑节能标准的实施情况。</w:t>
      </w:r>
    </w:p>
    <w:p w14:paraId="0D533BA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（5）监理人发现承包人不按节能设计及相关强制性标准施工的，应当及时督促承包人改正；承包人拒不改正的，监理人应当及时报告委托人，由委托人督促承包人整改。</w:t>
      </w:r>
    </w:p>
    <w:p w14:paraId="70B0479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（6）对采用列入禁止目录的技术、工艺、设备、材料和产品的行为，监理机构应当采取措施予以制止；制止无效的，应当及时向委托人和政府建设行政主管部门报告或有关行政主管部门。</w:t>
      </w:r>
    </w:p>
    <w:p w14:paraId="4A2C212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（四）法律法规、规章、监理规范等规定的其他责任。</w:t>
      </w:r>
    </w:p>
    <w:p w14:paraId="5FE474FF">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8.5</w:t>
      </w:r>
      <w:r>
        <w:rPr>
          <w:rFonts w:hint="eastAsia" w:asciiTheme="minorEastAsia" w:hAnsiTheme="minorEastAsia" w:eastAsiaTheme="minorEastAsia" w:cstheme="minorEastAsia"/>
          <w:b/>
          <w:bCs/>
          <w:snapToGrid w:val="0"/>
          <w:color w:val="auto"/>
          <w:kern w:val="0"/>
          <w:sz w:val="21"/>
          <w:szCs w:val="21"/>
          <w:highlight w:val="none"/>
        </w:rPr>
        <w:t>现场管理</w:t>
      </w:r>
    </w:p>
    <w:p w14:paraId="33C103A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8.5.</w:t>
      </w: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rPr>
        <w:t xml:space="preserve"> 监理人在监理期间应严格遵守国家、广东省、韶关市有关绿色施工、文明施工、噪音扬尘、消防爆破、环境卫生、渣土清运、治安保卫等方面的规定，并建立相应规章制度和保障措施。否则由此造成的经济损失和法律责任，均由监理人承担。</w:t>
      </w:r>
    </w:p>
    <w:p w14:paraId="453BA1E5">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8.5</w:t>
      </w:r>
      <w:r>
        <w:rPr>
          <w:rFonts w:hint="eastAsia" w:asciiTheme="minorEastAsia" w:hAnsiTheme="minorEastAsia" w:eastAsiaTheme="minorEastAsia" w:cstheme="minorEastAsia"/>
          <w:b/>
          <w:bCs/>
          <w:snapToGrid w:val="0"/>
          <w:color w:val="auto"/>
          <w:kern w:val="0"/>
          <w:sz w:val="21"/>
          <w:szCs w:val="21"/>
          <w:highlight w:val="none"/>
        </w:rPr>
        <w:t xml:space="preserve">.2 </w:t>
      </w:r>
      <w:r>
        <w:rPr>
          <w:rFonts w:hint="eastAsia" w:asciiTheme="minorEastAsia" w:hAnsiTheme="minorEastAsia" w:eastAsiaTheme="minorEastAsia" w:cstheme="minorEastAsia"/>
          <w:snapToGrid w:val="0"/>
          <w:color w:val="auto"/>
          <w:kern w:val="0"/>
          <w:sz w:val="21"/>
          <w:szCs w:val="21"/>
          <w:highlight w:val="none"/>
        </w:rPr>
        <w:t>监理人投标文件中所拟派的总监理工程师、专业监理工程师、其他监理人员全部在施工现场进行监理。</w:t>
      </w:r>
    </w:p>
    <w:p w14:paraId="53FCFC1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b/>
          <w:bCs/>
          <w:snapToGrid w:val="0"/>
          <w:color w:val="auto"/>
          <w:kern w:val="0"/>
          <w:sz w:val="21"/>
          <w:szCs w:val="21"/>
          <w:highlight w:val="none"/>
          <w:lang w:val="en-US" w:eastAsia="zh-CN"/>
        </w:rPr>
      </w:pPr>
      <w:r>
        <w:rPr>
          <w:rFonts w:hint="eastAsia" w:asciiTheme="minorEastAsia" w:hAnsiTheme="minorEastAsia" w:eastAsiaTheme="minorEastAsia" w:cstheme="minorEastAsia"/>
          <w:b/>
          <w:bCs/>
          <w:snapToGrid w:val="0"/>
          <w:color w:val="auto"/>
          <w:kern w:val="0"/>
          <w:sz w:val="21"/>
          <w:szCs w:val="21"/>
          <w:highlight w:val="none"/>
          <w:lang w:val="en-US" w:eastAsia="zh-CN"/>
        </w:rPr>
        <w:t>8.5.</w:t>
      </w:r>
      <w:r>
        <w:rPr>
          <w:rFonts w:hint="eastAsia" w:asciiTheme="minorEastAsia" w:hAnsiTheme="minorEastAsia" w:eastAsiaTheme="minorEastAsia" w:cstheme="minorEastAsia"/>
          <w:b/>
          <w:bCs/>
          <w:snapToGrid w:val="0"/>
          <w:color w:val="auto"/>
          <w:kern w:val="0"/>
          <w:sz w:val="21"/>
          <w:szCs w:val="21"/>
          <w:highlight w:val="none"/>
        </w:rPr>
        <w:t xml:space="preserve">3 </w:t>
      </w:r>
      <w:r>
        <w:rPr>
          <w:rFonts w:hint="eastAsia" w:asciiTheme="minorEastAsia" w:hAnsiTheme="minorEastAsia" w:eastAsiaTheme="minorEastAsia" w:cstheme="minorEastAsia"/>
          <w:snapToGrid w:val="0"/>
          <w:color w:val="auto"/>
          <w:kern w:val="0"/>
          <w:sz w:val="21"/>
          <w:szCs w:val="21"/>
          <w:highlight w:val="none"/>
        </w:rPr>
        <w:t>监理人在施工过程中若发生</w:t>
      </w:r>
      <w:r>
        <w:rPr>
          <w:rFonts w:hint="eastAsia" w:asciiTheme="minorEastAsia" w:hAnsiTheme="minorEastAsia" w:eastAsiaTheme="minorEastAsia" w:cstheme="minorEastAsia"/>
          <w:snapToGrid w:val="0"/>
          <w:color w:val="auto"/>
          <w:kern w:val="0"/>
          <w:sz w:val="21"/>
          <w:szCs w:val="21"/>
          <w:highlight w:val="none"/>
          <w:lang w:eastAsia="zh-CN"/>
        </w:rPr>
        <w:t>设计变更、</w:t>
      </w:r>
      <w:r>
        <w:rPr>
          <w:rFonts w:hint="eastAsia" w:asciiTheme="minorEastAsia" w:hAnsiTheme="minorEastAsia" w:eastAsiaTheme="minorEastAsia" w:cstheme="minorEastAsia"/>
          <w:snapToGrid w:val="0"/>
          <w:color w:val="auto"/>
          <w:kern w:val="0"/>
          <w:sz w:val="21"/>
          <w:szCs w:val="21"/>
          <w:highlight w:val="none"/>
        </w:rPr>
        <w:t>签证时，必须</w:t>
      </w:r>
      <w:r>
        <w:rPr>
          <w:rFonts w:hint="eastAsia" w:asciiTheme="minorEastAsia" w:hAnsiTheme="minorEastAsia" w:eastAsiaTheme="minorEastAsia" w:cstheme="minorEastAsia"/>
          <w:snapToGrid w:val="0"/>
          <w:color w:val="auto"/>
          <w:kern w:val="0"/>
          <w:sz w:val="21"/>
          <w:szCs w:val="21"/>
          <w:highlight w:val="none"/>
          <w:lang w:eastAsia="zh-CN"/>
        </w:rPr>
        <w:t>根据委托人的设计变更、签证有关管理办法执行</w:t>
      </w:r>
      <w:r>
        <w:rPr>
          <w:rFonts w:hint="eastAsia" w:asciiTheme="minorEastAsia" w:hAnsiTheme="minorEastAsia" w:eastAsiaTheme="minorEastAsia" w:cstheme="minorEastAsia"/>
          <w:snapToGrid w:val="0"/>
          <w:color w:val="auto"/>
          <w:kern w:val="0"/>
          <w:sz w:val="21"/>
          <w:szCs w:val="21"/>
          <w:highlight w:val="none"/>
        </w:rPr>
        <w:t>。</w:t>
      </w:r>
    </w:p>
    <w:p w14:paraId="66EFF54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其他</w:t>
      </w:r>
    </w:p>
    <w:p w14:paraId="47A71AC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rPr>
        <w:t>项目监理机构和人员</w:t>
      </w:r>
    </w:p>
    <w:p w14:paraId="76E9FA8C">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监理人须在本工程派驻满足工作需要的项目监理机构，拟派驻监理机构组成人员数量须符合广东省建设厅转发建设部关于印发《房屋建筑工程施工旁站监理管理办法（试行）》的通知（粤建管字[2002]97号）</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t>及相关最新</w:t>
      </w:r>
      <w:r>
        <w:rPr>
          <w:rFonts w:hint="eastAsia" w:asciiTheme="minorEastAsia" w:hAnsiTheme="minorEastAsia" w:eastAsiaTheme="minorEastAsia" w:cstheme="minorEastAsia"/>
          <w:snapToGrid w:val="0"/>
          <w:color w:val="auto"/>
          <w:kern w:val="0"/>
          <w:sz w:val="21"/>
          <w:szCs w:val="21"/>
          <w:highlight w:val="none"/>
        </w:rPr>
        <w:t>关于工程项目监理人数配置要求，现场总监理工程师及重要岗位监理人员必须保持相对稳定，以保证监理工作正常进行。</w:t>
      </w:r>
    </w:p>
    <w:p w14:paraId="6D8C7E6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14:paraId="2612B24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0"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14:paraId="79D90D9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.2</w:t>
      </w:r>
      <w:r>
        <w:rPr>
          <w:rFonts w:hint="eastAsia" w:asciiTheme="minorEastAsia" w:hAnsiTheme="minorEastAsia" w:eastAsiaTheme="minorEastAsia" w:cstheme="minorEastAsia"/>
          <w:snapToGrid w:val="0"/>
          <w:color w:val="auto"/>
          <w:kern w:val="0"/>
          <w:sz w:val="21"/>
          <w:szCs w:val="21"/>
          <w:highlight w:val="none"/>
        </w:rPr>
        <w:t>监理人应提交报告的种类(包括监理规划、监理月报及约定的专项报告)、时间和份数：</w:t>
      </w:r>
      <w:r>
        <w:rPr>
          <w:rFonts w:hint="eastAsia" w:asciiTheme="minorEastAsia" w:hAnsiTheme="minorEastAsia" w:eastAsiaTheme="minorEastAsia" w:cstheme="minorEastAsia"/>
          <w:snapToGrid w:val="0"/>
          <w:color w:val="auto"/>
          <w:kern w:val="0"/>
          <w:sz w:val="21"/>
          <w:szCs w:val="21"/>
          <w:highlight w:val="none"/>
          <w:u w:val="single"/>
        </w:rPr>
        <w:t>监理规划</w:t>
      </w:r>
      <w:r>
        <w:rPr>
          <w:rFonts w:hint="eastAsia" w:asciiTheme="minorEastAsia" w:hAnsiTheme="minorEastAsia" w:eastAsiaTheme="minorEastAsia" w:cstheme="minorEastAsia"/>
          <w:snapToGrid w:val="0"/>
          <w:color w:val="auto"/>
          <w:kern w:val="0"/>
          <w:sz w:val="21"/>
          <w:szCs w:val="21"/>
          <w:highlight w:val="none"/>
          <w:u w:val="single"/>
          <w:lang w:eastAsia="zh-CN"/>
        </w:rPr>
        <w:t>一式</w:t>
      </w:r>
      <w:r>
        <w:rPr>
          <w:rFonts w:hint="eastAsia" w:asciiTheme="minorEastAsia" w:hAnsiTheme="minorEastAsia" w:eastAsiaTheme="minorEastAsia" w:cstheme="minorEastAsia"/>
          <w:snapToGrid w:val="0"/>
          <w:color w:val="auto"/>
          <w:kern w:val="0"/>
          <w:sz w:val="21"/>
          <w:szCs w:val="21"/>
          <w:highlight w:val="none"/>
          <w:u w:val="single"/>
        </w:rPr>
        <w:t>6份、监理月报每月</w:t>
      </w:r>
      <w:r>
        <w:rPr>
          <w:rFonts w:hint="eastAsia" w:asciiTheme="minorEastAsia" w:hAnsiTheme="minorEastAsia" w:eastAsiaTheme="minorEastAsia" w:cstheme="minorEastAsia"/>
          <w:snapToGrid w:val="0"/>
          <w:color w:val="auto"/>
          <w:kern w:val="0"/>
          <w:sz w:val="21"/>
          <w:szCs w:val="21"/>
          <w:highlight w:val="none"/>
          <w:u w:val="single"/>
          <w:lang w:eastAsia="zh-CN"/>
        </w:rPr>
        <w:t>一式</w:t>
      </w:r>
      <w:r>
        <w:rPr>
          <w:rFonts w:hint="eastAsia" w:asciiTheme="minorEastAsia" w:hAnsiTheme="minorEastAsia" w:eastAsiaTheme="minorEastAsia" w:cstheme="minorEastAsia"/>
          <w:snapToGrid w:val="0"/>
          <w:color w:val="auto"/>
          <w:kern w:val="0"/>
          <w:sz w:val="21"/>
          <w:szCs w:val="21"/>
          <w:highlight w:val="none"/>
          <w:u w:val="single"/>
        </w:rPr>
        <w:t>4份、监理</w:t>
      </w:r>
      <w:r>
        <w:rPr>
          <w:rFonts w:hint="eastAsia" w:asciiTheme="minorEastAsia" w:hAnsiTheme="minorEastAsia" w:eastAsiaTheme="minorEastAsia" w:cstheme="minorEastAsia"/>
          <w:snapToGrid w:val="0"/>
          <w:color w:val="auto"/>
          <w:kern w:val="0"/>
          <w:sz w:val="21"/>
          <w:szCs w:val="21"/>
          <w:highlight w:val="none"/>
          <w:u w:val="single"/>
          <w:lang w:eastAsia="zh-CN"/>
        </w:rPr>
        <w:t>周报</w:t>
      </w:r>
      <w:r>
        <w:rPr>
          <w:rFonts w:hint="eastAsia" w:asciiTheme="minorEastAsia" w:hAnsiTheme="minorEastAsia" w:eastAsiaTheme="minorEastAsia" w:cstheme="minorEastAsia"/>
          <w:snapToGrid w:val="0"/>
          <w:color w:val="auto"/>
          <w:kern w:val="0"/>
          <w:sz w:val="21"/>
          <w:szCs w:val="21"/>
          <w:highlight w:val="none"/>
          <w:u w:val="single"/>
        </w:rPr>
        <w:t>每周</w:t>
      </w:r>
      <w:r>
        <w:rPr>
          <w:rFonts w:hint="eastAsia" w:asciiTheme="minorEastAsia" w:hAnsiTheme="minorEastAsia" w:eastAsiaTheme="minorEastAsia" w:cstheme="minorEastAsia"/>
          <w:snapToGrid w:val="0"/>
          <w:color w:val="auto"/>
          <w:kern w:val="0"/>
          <w:sz w:val="21"/>
          <w:szCs w:val="21"/>
          <w:highlight w:val="none"/>
          <w:u w:val="single"/>
          <w:lang w:eastAsia="zh-CN"/>
        </w:rPr>
        <w:t>一式</w:t>
      </w:r>
      <w:r>
        <w:rPr>
          <w:rFonts w:hint="eastAsia" w:asciiTheme="minorEastAsia" w:hAnsiTheme="minorEastAsia" w:eastAsiaTheme="minorEastAsia" w:cstheme="minorEastAsia"/>
          <w:snapToGrid w:val="0"/>
          <w:color w:val="auto"/>
          <w:kern w:val="0"/>
          <w:sz w:val="21"/>
          <w:szCs w:val="21"/>
          <w:highlight w:val="none"/>
          <w:u w:val="single"/>
        </w:rPr>
        <w:t>2份、专项报告</w:t>
      </w:r>
      <w:r>
        <w:rPr>
          <w:rFonts w:hint="eastAsia" w:asciiTheme="minorEastAsia" w:hAnsiTheme="minorEastAsia" w:eastAsiaTheme="minorEastAsia" w:cstheme="minorEastAsia"/>
          <w:snapToGrid w:val="0"/>
          <w:color w:val="auto"/>
          <w:kern w:val="0"/>
          <w:sz w:val="21"/>
          <w:szCs w:val="21"/>
          <w:highlight w:val="none"/>
          <w:u w:val="single"/>
          <w:lang w:eastAsia="zh-CN"/>
        </w:rPr>
        <w:t>一式</w:t>
      </w:r>
      <w:r>
        <w:rPr>
          <w:rFonts w:hint="eastAsia" w:asciiTheme="minorEastAsia" w:hAnsiTheme="minorEastAsia" w:eastAsiaTheme="minorEastAsia" w:cstheme="minorEastAsia"/>
          <w:snapToGrid w:val="0"/>
          <w:color w:val="auto"/>
          <w:kern w:val="0"/>
          <w:sz w:val="21"/>
          <w:szCs w:val="21"/>
          <w:highlight w:val="none"/>
          <w:u w:val="single"/>
        </w:rPr>
        <w:t>10份以及本项目报监报建</w:t>
      </w:r>
      <w:r>
        <w:rPr>
          <w:rFonts w:hint="eastAsia" w:asciiTheme="minorEastAsia" w:hAnsiTheme="minorEastAsia" w:eastAsiaTheme="minorEastAsia" w:cstheme="minorEastAsia"/>
          <w:snapToGrid w:val="0"/>
          <w:color w:val="auto"/>
          <w:kern w:val="0"/>
          <w:sz w:val="21"/>
          <w:szCs w:val="21"/>
          <w:highlight w:val="none"/>
          <w:u w:val="single"/>
          <w:lang w:eastAsia="zh-CN"/>
        </w:rPr>
        <w:t>所</w:t>
      </w:r>
      <w:r>
        <w:rPr>
          <w:rFonts w:hint="eastAsia" w:asciiTheme="minorEastAsia" w:hAnsiTheme="minorEastAsia" w:eastAsiaTheme="minorEastAsia" w:cstheme="minorEastAsia"/>
          <w:snapToGrid w:val="0"/>
          <w:color w:val="auto"/>
          <w:kern w:val="0"/>
          <w:sz w:val="21"/>
          <w:szCs w:val="21"/>
          <w:highlight w:val="none"/>
          <w:u w:val="single"/>
        </w:rPr>
        <w:t>需的相关资料、本合同约定的资料等。</w:t>
      </w:r>
    </w:p>
    <w:p w14:paraId="4ADB63A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.3</w:t>
      </w:r>
      <w:r>
        <w:rPr>
          <w:rFonts w:hint="eastAsia" w:asciiTheme="minorEastAsia" w:hAnsiTheme="minorEastAsia" w:eastAsiaTheme="minorEastAsia" w:cstheme="minorEastAsia"/>
          <w:snapToGrid w:val="0"/>
          <w:color w:val="auto"/>
          <w:kern w:val="0"/>
          <w:sz w:val="21"/>
          <w:szCs w:val="21"/>
          <w:highlight w:val="none"/>
        </w:rPr>
        <w:t>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14:paraId="68DDE48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.4</w:t>
      </w:r>
      <w:r>
        <w:rPr>
          <w:rFonts w:hint="eastAsia" w:asciiTheme="minorEastAsia" w:hAnsiTheme="minorEastAsia" w:eastAsiaTheme="minorEastAsia" w:cstheme="minorEastAsia"/>
          <w:snapToGrid w:val="0"/>
          <w:color w:val="auto"/>
          <w:kern w:val="0"/>
          <w:sz w:val="21"/>
          <w:szCs w:val="21"/>
          <w:highlight w:val="none"/>
        </w:rPr>
        <w:t>监理人应自行解决吃饭问题。</w:t>
      </w:r>
    </w:p>
    <w:p w14:paraId="32A1CF6C">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.5</w:t>
      </w:r>
      <w:r>
        <w:rPr>
          <w:rFonts w:hint="eastAsia" w:asciiTheme="minorEastAsia" w:hAnsiTheme="minorEastAsia" w:eastAsiaTheme="minorEastAsia" w:cstheme="minorEastAsia"/>
          <w:snapToGrid w:val="0"/>
          <w:color w:val="auto"/>
          <w:kern w:val="0"/>
          <w:sz w:val="21"/>
          <w:szCs w:val="21"/>
          <w:highlight w:val="none"/>
        </w:rPr>
        <w:t>现场涉及到工程相关问题需要组织相关专家、人员以会议形式协商确定的，原则上监理负责组织实施，并根据会议结论提出不同的解决方案，报委托人参考，会议的专家费、会务费已包含在合同价中。</w:t>
      </w:r>
    </w:p>
    <w:p w14:paraId="4FFD610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.6</w:t>
      </w:r>
      <w:r>
        <w:rPr>
          <w:rFonts w:hint="eastAsia" w:asciiTheme="minorEastAsia" w:hAnsiTheme="minorEastAsia" w:eastAsiaTheme="minorEastAsia" w:cstheme="minorEastAsia"/>
          <w:snapToGrid w:val="0"/>
          <w:color w:val="auto"/>
          <w:kern w:val="0"/>
          <w:sz w:val="21"/>
          <w:szCs w:val="21"/>
          <w:highlight w:val="none"/>
        </w:rPr>
        <w:t>监理服务期限必须根据施工工期进行调整，监理服务费不因监理服务期限的调整而调整。</w:t>
      </w:r>
    </w:p>
    <w:p w14:paraId="742C6AD4">
      <w:pPr>
        <w:pStyle w:val="7"/>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22" w:firstLineChars="20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.7</w:t>
      </w:r>
      <w:r>
        <w:rPr>
          <w:rFonts w:hint="eastAsia" w:asciiTheme="minorEastAsia" w:hAnsiTheme="minorEastAsia" w:eastAsiaTheme="minorEastAsia" w:cstheme="minorEastAsia"/>
          <w:snapToGrid w:val="0"/>
          <w:color w:val="auto"/>
          <w:kern w:val="0"/>
          <w:sz w:val="21"/>
          <w:szCs w:val="21"/>
          <w:highlight w:val="none"/>
        </w:rPr>
        <w:t>若项目未开工，因政府相关部门投资决策或规划更改等原因项目终止，则终止本监理合同，委托人和监理人双方不承担相关责任。</w:t>
      </w:r>
    </w:p>
    <w:p w14:paraId="0AAB70CA">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lang w:val="en-US" w:eastAsia="zh-CN"/>
        </w:rPr>
        <w:t>8.6</w:t>
      </w:r>
      <w:r>
        <w:rPr>
          <w:rFonts w:hint="eastAsia" w:asciiTheme="minorEastAsia" w:hAnsiTheme="minorEastAsia" w:eastAsiaTheme="minorEastAsia" w:cstheme="minorEastAsia"/>
          <w:b/>
          <w:bCs/>
          <w:snapToGrid w:val="0"/>
          <w:color w:val="auto"/>
          <w:kern w:val="0"/>
          <w:sz w:val="21"/>
          <w:szCs w:val="21"/>
          <w:highlight w:val="none"/>
        </w:rPr>
        <w:t>.8</w:t>
      </w:r>
      <w:r>
        <w:rPr>
          <w:rFonts w:hint="eastAsia" w:asciiTheme="minorEastAsia" w:hAnsiTheme="minorEastAsia" w:eastAsiaTheme="minorEastAsia" w:cstheme="minorEastAsia"/>
          <w:snapToGrid w:val="0"/>
          <w:color w:val="auto"/>
          <w:kern w:val="0"/>
          <w:sz w:val="21"/>
          <w:szCs w:val="21"/>
          <w:highlight w:val="none"/>
        </w:rPr>
        <w:t>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bookmarkEnd w:id="351"/>
    <w:bookmarkEnd w:id="352"/>
    <w:p w14:paraId="55C0B91D">
      <w:pPr>
        <w:pStyle w:val="2"/>
        <w:numPr>
          <w:ilvl w:val="0"/>
          <w:numId w:val="2"/>
        </w:numPr>
        <w:shd w:val="clear" w:color="auto" w:fill="auto"/>
        <w:tabs>
          <w:tab w:val="left" w:pos="885"/>
        </w:tabs>
        <w:wordWrap w:val="0"/>
        <w:autoSpaceDE/>
        <w:autoSpaceDN/>
        <w:snapToGrid w:val="0"/>
        <w:spacing w:line="440" w:lineRule="exact"/>
        <w:ind w:left="885" w:hanging="885"/>
        <w:jc w:val="center"/>
        <w:rPr>
          <w:rFonts w:hint="eastAsia" w:asciiTheme="minorEastAsia" w:hAnsiTheme="minorEastAsia" w:eastAsiaTheme="minorEastAsia" w:cstheme="minorEastAsia"/>
          <w:b/>
          <w:snapToGrid w:val="0"/>
          <w:color w:val="auto"/>
          <w:sz w:val="21"/>
          <w:szCs w:val="21"/>
          <w:highlight w:val="none"/>
        </w:rPr>
      </w:pPr>
      <w:bookmarkStart w:id="359" w:name="_Toc28619"/>
      <w:bookmarkStart w:id="360" w:name="_Toc28779"/>
      <w:bookmarkStart w:id="361" w:name="_Toc15113"/>
      <w:bookmarkStart w:id="362" w:name="_Toc1440"/>
      <w:bookmarkStart w:id="363" w:name="_Toc11418"/>
      <w:bookmarkStart w:id="364" w:name="_Toc21669"/>
      <w:bookmarkStart w:id="365" w:name="_Toc13571"/>
      <w:bookmarkStart w:id="366" w:name="_Toc11922"/>
      <w:bookmarkStart w:id="367" w:name="_Toc16835"/>
      <w:bookmarkStart w:id="368" w:name="_Toc26371"/>
      <w:bookmarkStart w:id="369" w:name="_Toc30791"/>
      <w:bookmarkStart w:id="370" w:name="_Hlt69698796"/>
      <w:r>
        <w:rPr>
          <w:rFonts w:hint="eastAsia" w:asciiTheme="minorEastAsia" w:hAnsiTheme="minorEastAsia" w:eastAsiaTheme="minorEastAsia" w:cstheme="minorEastAsia"/>
          <w:b/>
          <w:snapToGrid w:val="0"/>
          <w:color w:val="auto"/>
          <w:sz w:val="21"/>
          <w:szCs w:val="21"/>
          <w:highlight w:val="none"/>
        </w:rPr>
        <w:br w:type="page"/>
      </w:r>
      <w:bookmarkStart w:id="371" w:name="_Toc27537"/>
      <w:r>
        <w:rPr>
          <w:rFonts w:hint="eastAsia" w:asciiTheme="minorEastAsia" w:hAnsiTheme="minorEastAsia" w:eastAsiaTheme="minorEastAsia" w:cstheme="minorEastAsia"/>
          <w:b/>
          <w:snapToGrid w:val="0"/>
          <w:color w:val="auto"/>
          <w:sz w:val="21"/>
          <w:szCs w:val="21"/>
          <w:highlight w:val="none"/>
        </w:rPr>
        <w:t>技术要求</w:t>
      </w:r>
      <w:bookmarkEnd w:id="359"/>
      <w:bookmarkEnd w:id="360"/>
      <w:bookmarkEnd w:id="361"/>
      <w:bookmarkEnd w:id="362"/>
      <w:bookmarkEnd w:id="363"/>
      <w:bookmarkEnd w:id="364"/>
      <w:bookmarkEnd w:id="365"/>
      <w:bookmarkEnd w:id="366"/>
      <w:bookmarkEnd w:id="367"/>
      <w:bookmarkEnd w:id="368"/>
      <w:bookmarkEnd w:id="369"/>
      <w:bookmarkEnd w:id="371"/>
    </w:p>
    <w:p w14:paraId="3FCBBF42">
      <w:pPr>
        <w:numPr>
          <w:ilvl w:val="0"/>
          <w:numId w:val="0"/>
        </w:numPr>
        <w:shd w:val="clear" w:color="auto" w:fill="auto"/>
        <w:rPr>
          <w:rFonts w:hint="eastAsia" w:asciiTheme="minorEastAsia" w:hAnsiTheme="minorEastAsia" w:eastAsiaTheme="minorEastAsia" w:cstheme="minorEastAsia"/>
          <w:color w:val="auto"/>
          <w:sz w:val="21"/>
          <w:szCs w:val="21"/>
          <w:highlight w:val="none"/>
        </w:rPr>
      </w:pPr>
    </w:p>
    <w:bookmarkEnd w:id="370"/>
    <w:p w14:paraId="3BA98A10">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kern w:val="0"/>
          <w:sz w:val="21"/>
          <w:szCs w:val="21"/>
          <w:highlight w:val="none"/>
        </w:rPr>
      </w:pPr>
      <w:bookmarkStart w:id="372" w:name="_Hlt80411122"/>
      <w:bookmarkEnd w:id="372"/>
      <w:bookmarkStart w:id="373" w:name="_Hlt68774758"/>
      <w:bookmarkEnd w:id="373"/>
      <w:bookmarkStart w:id="374" w:name="_Hlt69357851"/>
      <w:bookmarkEnd w:id="374"/>
      <w:bookmarkStart w:id="375" w:name="_Hlt75685840"/>
      <w:bookmarkEnd w:id="375"/>
      <w:bookmarkStart w:id="376" w:name="_Hlt69358207"/>
      <w:bookmarkEnd w:id="376"/>
      <w:bookmarkStart w:id="377" w:name="_Hlt66104926"/>
      <w:bookmarkEnd w:id="377"/>
      <w:bookmarkStart w:id="378" w:name="_Hlt69265216"/>
      <w:bookmarkEnd w:id="378"/>
      <w:bookmarkStart w:id="379" w:name="_Hlt87793346"/>
      <w:bookmarkEnd w:id="379"/>
      <w:bookmarkStart w:id="380" w:name="_Hlt69359335"/>
      <w:bookmarkEnd w:id="380"/>
      <w:bookmarkStart w:id="381" w:name="_Hlt87793370"/>
      <w:bookmarkEnd w:id="381"/>
      <w:bookmarkStart w:id="382" w:name="_Hlt69116854"/>
      <w:bookmarkEnd w:id="382"/>
      <w:bookmarkStart w:id="383" w:name="_Toc25252"/>
      <w:bookmarkStart w:id="384" w:name="_Toc728"/>
      <w:bookmarkStart w:id="385" w:name="_Toc6220"/>
      <w:bookmarkStart w:id="386" w:name="_Toc26968"/>
      <w:bookmarkStart w:id="387" w:name="_Toc7384"/>
      <w:bookmarkStart w:id="388" w:name="_Toc16340"/>
      <w:bookmarkStart w:id="389" w:name="_Toc14418"/>
      <w:bookmarkStart w:id="390" w:name="_Toc19073"/>
      <w:bookmarkStart w:id="391" w:name="_Toc1932"/>
      <w:bookmarkStart w:id="392" w:name="_Toc8636"/>
      <w:bookmarkStart w:id="393" w:name="_Hlt69698785"/>
      <w:r>
        <w:rPr>
          <w:rFonts w:hint="eastAsia" w:asciiTheme="minorEastAsia" w:hAnsiTheme="minorEastAsia" w:eastAsiaTheme="minorEastAsia" w:cstheme="minorEastAsia"/>
          <w:b/>
          <w:snapToGrid w:val="0"/>
          <w:color w:val="auto"/>
          <w:kern w:val="0"/>
          <w:sz w:val="21"/>
          <w:szCs w:val="21"/>
          <w:highlight w:val="none"/>
        </w:rPr>
        <w:t>1．房屋建筑工程建设项目</w:t>
      </w:r>
    </w:p>
    <w:p w14:paraId="6663EDF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bookmarkStart w:id="394" w:name="_Hlt69359243"/>
      <w:bookmarkEnd w:id="394"/>
      <w:bookmarkStart w:id="395" w:name="_Hlt69359245"/>
      <w:bookmarkEnd w:id="395"/>
      <w:bookmarkStart w:id="396" w:name="_Hlt69116858"/>
      <w:bookmarkEnd w:id="396"/>
      <w:bookmarkStart w:id="397" w:name="_Hlt69635252"/>
      <w:bookmarkEnd w:id="397"/>
      <w:bookmarkStart w:id="398" w:name="_Hlt69358458"/>
      <w:bookmarkEnd w:id="398"/>
      <w:bookmarkStart w:id="399" w:name="_Hlt69359086"/>
      <w:bookmarkEnd w:id="399"/>
      <w:bookmarkStart w:id="400" w:name="_Hlt78709799"/>
      <w:bookmarkEnd w:id="400"/>
      <w:r>
        <w:rPr>
          <w:rFonts w:hint="eastAsia" w:asciiTheme="minorEastAsia" w:hAnsiTheme="minorEastAsia" w:eastAsiaTheme="minorEastAsia" w:cstheme="minorEastAsia"/>
          <w:bCs/>
          <w:snapToGrid w:val="0"/>
          <w:color w:val="auto"/>
          <w:kern w:val="0"/>
          <w:sz w:val="21"/>
          <w:szCs w:val="21"/>
          <w:highlight w:val="none"/>
        </w:rPr>
        <w:t>房屋建筑工程建设项目必须执行的现行技术规范，包括且不限于：</w:t>
      </w:r>
    </w:p>
    <w:p w14:paraId="4F0EE690">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（1）《建筑工程施工质量验收统一标准》；</w:t>
      </w:r>
    </w:p>
    <w:p w14:paraId="675F90C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（2）《建筑地基基础工程施工质量验收规范》；</w:t>
      </w:r>
    </w:p>
    <w:p w14:paraId="5ABC523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（3）《砌体工程施工质量验收规范》；</w:t>
      </w:r>
    </w:p>
    <w:p w14:paraId="1466835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（4）《混凝土结构工程施工质量验收规范》；</w:t>
      </w:r>
    </w:p>
    <w:p w14:paraId="1335188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（5）《屋面工程质量验收规范》；</w:t>
      </w:r>
    </w:p>
    <w:p w14:paraId="01F4DF0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（6）《地下防水工程质量验收规范》；</w:t>
      </w:r>
    </w:p>
    <w:p w14:paraId="2C6C445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（7）</w:t>
      </w:r>
      <w:bookmarkStart w:id="401" w:name="_Hlt78795211"/>
      <w:bookmarkEnd w:id="401"/>
      <w:r>
        <w:rPr>
          <w:rFonts w:hint="eastAsia" w:asciiTheme="minorEastAsia" w:hAnsiTheme="minorEastAsia" w:eastAsiaTheme="minorEastAsia" w:cstheme="minorEastAsia"/>
          <w:bCs/>
          <w:snapToGrid w:val="0"/>
          <w:color w:val="auto"/>
          <w:kern w:val="0"/>
          <w:sz w:val="21"/>
          <w:szCs w:val="21"/>
          <w:highlight w:val="none"/>
        </w:rPr>
        <w:t>《建筑地面工程施工质量验收规范》；</w:t>
      </w:r>
    </w:p>
    <w:p w14:paraId="53B9A33B">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（8）《建筑装饰装修工程施工质量验收规范》；</w:t>
      </w:r>
    </w:p>
    <w:p w14:paraId="261675B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（9）《建筑给排水及采暖工程施工质量验收规范》；</w:t>
      </w:r>
    </w:p>
    <w:p w14:paraId="38EE9E5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（10）《建筑电气工程施工质量验收规范》；</w:t>
      </w:r>
    </w:p>
    <w:p w14:paraId="44F7CAC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（11）《住建部绿色建筑评价标准》；</w:t>
      </w:r>
    </w:p>
    <w:p w14:paraId="4AB10E1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（12）《建筑节能与可再生能源利用通用规范》；</w:t>
      </w:r>
    </w:p>
    <w:p w14:paraId="6EE4138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（13）《建筑环境通用规范》；</w:t>
      </w:r>
    </w:p>
    <w:p w14:paraId="1E9B2CA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w:t>
      </w:r>
      <w:r>
        <w:rPr>
          <w:rFonts w:hint="eastAsia" w:asciiTheme="minorEastAsia" w:hAnsiTheme="minorEastAsia" w:eastAsiaTheme="minorEastAsia" w:cstheme="minorEastAsia"/>
          <w:bCs/>
          <w:snapToGrid w:val="0"/>
          <w:color w:val="auto"/>
          <w:kern w:val="0"/>
          <w:sz w:val="21"/>
          <w:szCs w:val="21"/>
          <w:highlight w:val="none"/>
          <w:lang w:val="en-US" w:eastAsia="zh-CN"/>
        </w:rPr>
        <w:t>4</w:t>
      </w:r>
      <w:r>
        <w:rPr>
          <w:rFonts w:hint="eastAsia" w:asciiTheme="minorEastAsia" w:hAnsiTheme="minorEastAsia" w:eastAsiaTheme="minorEastAsia" w:cstheme="minorEastAsia"/>
          <w:bCs/>
          <w:snapToGrid w:val="0"/>
          <w:color w:val="auto"/>
          <w:kern w:val="0"/>
          <w:sz w:val="21"/>
          <w:szCs w:val="21"/>
          <w:highlight w:val="none"/>
        </w:rPr>
        <w:t>）《广东省住房和城乡建设厅绿色施工导则》；</w:t>
      </w:r>
    </w:p>
    <w:p w14:paraId="04267D7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w:t>
      </w:r>
      <w:r>
        <w:rPr>
          <w:rFonts w:hint="eastAsia" w:asciiTheme="minorEastAsia" w:hAnsiTheme="minorEastAsia" w:eastAsiaTheme="minorEastAsia" w:cstheme="minorEastAsia"/>
          <w:bCs/>
          <w:snapToGrid w:val="0"/>
          <w:color w:val="auto"/>
          <w:kern w:val="0"/>
          <w:sz w:val="21"/>
          <w:szCs w:val="21"/>
          <w:highlight w:val="none"/>
          <w:lang w:val="en-US" w:eastAsia="zh-CN"/>
        </w:rPr>
        <w:t>5</w:t>
      </w:r>
      <w:r>
        <w:rPr>
          <w:rFonts w:hint="eastAsia" w:asciiTheme="minorEastAsia" w:hAnsiTheme="minorEastAsia" w:eastAsiaTheme="minorEastAsia" w:cstheme="minorEastAsia"/>
          <w:bCs/>
          <w:snapToGrid w:val="0"/>
          <w:color w:val="auto"/>
          <w:kern w:val="0"/>
          <w:sz w:val="21"/>
          <w:szCs w:val="21"/>
          <w:highlight w:val="none"/>
        </w:rPr>
        <w:t>）《广东省建筑工程绿色施工评价标准》；</w:t>
      </w:r>
    </w:p>
    <w:p w14:paraId="49BCB340">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（16）《广东省建筑节能与绿色建筑工程施工质量验收规范》；</w:t>
      </w:r>
    </w:p>
    <w:p w14:paraId="281E5B1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w:t>
      </w:r>
      <w:r>
        <w:rPr>
          <w:rFonts w:hint="eastAsia" w:asciiTheme="minorEastAsia" w:hAnsiTheme="minorEastAsia" w:eastAsiaTheme="minorEastAsia" w:cstheme="minorEastAsia"/>
          <w:bCs/>
          <w:snapToGrid w:val="0"/>
          <w:color w:val="auto"/>
          <w:kern w:val="0"/>
          <w:sz w:val="21"/>
          <w:szCs w:val="21"/>
          <w:highlight w:val="none"/>
          <w:lang w:val="en-US" w:eastAsia="zh-CN"/>
        </w:rPr>
        <w:t>17</w:t>
      </w:r>
      <w:r>
        <w:rPr>
          <w:rFonts w:hint="eastAsia" w:asciiTheme="minorEastAsia" w:hAnsiTheme="minorEastAsia" w:eastAsiaTheme="minorEastAsia" w:cstheme="minorEastAsia"/>
          <w:bCs/>
          <w:snapToGrid w:val="0"/>
          <w:color w:val="auto"/>
          <w:kern w:val="0"/>
          <w:sz w:val="21"/>
          <w:szCs w:val="21"/>
          <w:highlight w:val="none"/>
        </w:rPr>
        <w:t>）其他现行国家、广东省关于房建工程的施工及验收规范、规程、标准。</w:t>
      </w:r>
    </w:p>
    <w:p w14:paraId="7B1E0A7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p>
    <w:p w14:paraId="580F2B9C">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rPr>
        <w:t>2．市政基础设施工程建设项目</w:t>
      </w:r>
    </w:p>
    <w:p w14:paraId="1ECA1F6D">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市政基础设施工程建设项目必须执行的现行技术规范，包括且不限于：</w:t>
      </w:r>
    </w:p>
    <w:p w14:paraId="639F9B5A">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（1）《公路路基施工技术规范》；</w:t>
      </w:r>
    </w:p>
    <w:p w14:paraId="28FBEC0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（2）《市政道路工程质量检验评定标准》；</w:t>
      </w:r>
    </w:p>
    <w:p w14:paraId="188B2816">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（3）《市政排水管渠工程质量检验评定标准》；</w:t>
      </w:r>
    </w:p>
    <w:p w14:paraId="6FA35CA1">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（4）《给水排水管道工程施工及验收规范》；</w:t>
      </w:r>
    </w:p>
    <w:p w14:paraId="03C1C48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（5）《城市道路路基工程施工及验收规范》；</w:t>
      </w:r>
    </w:p>
    <w:p w14:paraId="7C35DB2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（6）《水泥砼路面施工及验收规范》；</w:t>
      </w:r>
    </w:p>
    <w:p w14:paraId="434503B2">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（7）《公路水泥砼路面施工技术规范》；</w:t>
      </w:r>
    </w:p>
    <w:p w14:paraId="58EDB81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（8）《埋地硬聚氯乙烯排水管道工程技术规程》；</w:t>
      </w:r>
    </w:p>
    <w:p w14:paraId="7C8412B0">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（9）《沥青路面施工及验收规范》；</w:t>
      </w:r>
    </w:p>
    <w:p w14:paraId="45EBC97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rPr>
        <w:t>（10）《广东省市政工程施工质量技术资料统一用表》</w:t>
      </w:r>
      <w:r>
        <w:rPr>
          <w:rFonts w:hint="eastAsia" w:asciiTheme="minorEastAsia" w:hAnsiTheme="minorEastAsia" w:eastAsiaTheme="minorEastAsia" w:cstheme="minorEastAsia"/>
          <w:bCs/>
          <w:snapToGrid w:val="0"/>
          <w:color w:val="auto"/>
          <w:kern w:val="0"/>
          <w:sz w:val="21"/>
          <w:szCs w:val="21"/>
          <w:highlight w:val="none"/>
          <w:lang w:eastAsia="zh-CN"/>
        </w:rPr>
        <w:t>；</w:t>
      </w:r>
    </w:p>
    <w:p w14:paraId="44A4445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（11）《城市道路照明设计标准》（CJJ45-2015）；</w:t>
      </w:r>
    </w:p>
    <w:p w14:paraId="2725818C">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（12）《低压配电设计规范》（GB50054-2011）；</w:t>
      </w:r>
    </w:p>
    <w:p w14:paraId="0008FB94">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（13）《城市道路照明工程施工及验收规程》（CJJ89-2012）；</w:t>
      </w:r>
    </w:p>
    <w:p w14:paraId="70C0C61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（14）《LED道路照明工程技术规范》（DB44/T 1898-2016）；</w:t>
      </w:r>
    </w:p>
    <w:p w14:paraId="27EC2018">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（15）《灯具第1部分：一般要求与试验》（GB7000.1-2015）；</w:t>
      </w:r>
    </w:p>
    <w:p w14:paraId="18EB5343">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（16）《电缆工程电缆设计标准》（GB50217-2018）；</w:t>
      </w:r>
    </w:p>
    <w:p w14:paraId="365A389E">
      <w:pPr>
        <w:shd w:val="clear" w:color="auto" w:fill="auto"/>
        <w:wordWrap w:val="0"/>
        <w:adjustRightInd w:val="0"/>
        <w:snapToGrid w:val="0"/>
        <w:spacing w:line="440" w:lineRule="exact"/>
        <w:ind w:firstLine="420" w:firstLineChars="200"/>
        <w:rPr>
          <w:rFonts w:hint="eastAsia" w:asciiTheme="minorEastAsia" w:hAnsiTheme="minorEastAsia" w:eastAsiaTheme="minorEastAsia" w:cstheme="minorEastAsia"/>
          <w:bCs/>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（1</w:t>
      </w:r>
      <w:r>
        <w:rPr>
          <w:rFonts w:hint="eastAsia" w:asciiTheme="minorEastAsia" w:hAnsiTheme="minorEastAsia" w:eastAsiaTheme="minorEastAsia" w:cstheme="minorEastAsia"/>
          <w:bCs/>
          <w:snapToGrid w:val="0"/>
          <w:color w:val="auto"/>
          <w:kern w:val="0"/>
          <w:sz w:val="21"/>
          <w:szCs w:val="21"/>
          <w:highlight w:val="none"/>
          <w:lang w:val="en-US" w:eastAsia="zh-CN"/>
        </w:rPr>
        <w:t>7</w:t>
      </w:r>
      <w:r>
        <w:rPr>
          <w:rFonts w:hint="eastAsia" w:asciiTheme="minorEastAsia" w:hAnsiTheme="minorEastAsia" w:eastAsiaTheme="minorEastAsia" w:cstheme="minorEastAsia"/>
          <w:bCs/>
          <w:snapToGrid w:val="0"/>
          <w:color w:val="auto"/>
          <w:kern w:val="0"/>
          <w:sz w:val="21"/>
          <w:szCs w:val="21"/>
          <w:highlight w:val="none"/>
        </w:rPr>
        <w:t>）其他现行国家、广东省关于市政工程的技术及验收规范、规程、标准。</w:t>
      </w:r>
    </w:p>
    <w:p w14:paraId="6B1F8A08">
      <w:pPr>
        <w:shd w:val="clear" w:color="auto" w:fill="auto"/>
        <w:wordWrap w:val="0"/>
        <w:adjustRightInd w:val="0"/>
        <w:snapToGrid w:val="0"/>
        <w:spacing w:line="440" w:lineRule="exact"/>
        <w:rPr>
          <w:rFonts w:hint="eastAsia" w:asciiTheme="minorEastAsia" w:hAnsiTheme="minorEastAsia" w:eastAsiaTheme="minorEastAsia" w:cstheme="minorEastAsia"/>
          <w:bCs/>
          <w:snapToGrid w:val="0"/>
          <w:color w:val="auto"/>
          <w:kern w:val="0"/>
          <w:sz w:val="21"/>
          <w:szCs w:val="21"/>
          <w:highlight w:val="none"/>
          <w:lang w:val="en-US" w:eastAsia="zh-CN"/>
        </w:rPr>
      </w:pPr>
    </w:p>
    <w:p w14:paraId="65688186">
      <w:pPr>
        <w:shd w:val="clear" w:color="auto" w:fill="auto"/>
        <w:wordWrap w:val="0"/>
        <w:adjustRightInd w:val="0"/>
        <w:snapToGrid w:val="0"/>
        <w:spacing w:line="440" w:lineRule="exact"/>
        <w:ind w:firstLine="422" w:firstLineChars="200"/>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lang w:val="en-US" w:eastAsia="zh-CN"/>
        </w:rPr>
        <w:t xml:space="preserve">3. </w:t>
      </w:r>
      <w:r>
        <w:rPr>
          <w:rFonts w:hint="eastAsia" w:asciiTheme="minorEastAsia" w:hAnsiTheme="minorEastAsia" w:eastAsiaTheme="minorEastAsia" w:cstheme="minorEastAsia"/>
          <w:b/>
          <w:snapToGrid w:val="0"/>
          <w:color w:val="auto"/>
          <w:kern w:val="0"/>
          <w:sz w:val="21"/>
          <w:szCs w:val="21"/>
          <w:highlight w:val="none"/>
        </w:rPr>
        <w:t>备查要求</w:t>
      </w:r>
    </w:p>
    <w:p w14:paraId="0CA09358">
      <w:pPr>
        <w:shd w:val="clear" w:color="auto" w:fill="auto"/>
        <w:wordWrap w:val="0"/>
        <w:adjustRightInd w:val="0"/>
        <w:snapToGrid w:val="0"/>
        <w:spacing w:line="440" w:lineRule="exact"/>
        <w:ind w:firstLine="560"/>
        <w:rPr>
          <w:rFonts w:hint="eastAsia" w:asciiTheme="minorEastAsia" w:hAnsiTheme="minorEastAsia" w:eastAsiaTheme="minorEastAsia" w:cstheme="minorEastAsia"/>
          <w:strike/>
          <w:snapToGrid w:val="0"/>
          <w:color w:val="auto"/>
          <w:kern w:val="0"/>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asciiTheme="minorEastAsia" w:hAnsiTheme="minorEastAsia" w:eastAsiaTheme="minorEastAsia" w:cstheme="minorEastAsia"/>
          <w:snapToGrid w:val="0"/>
          <w:color w:val="auto"/>
          <w:kern w:val="0"/>
          <w:sz w:val="21"/>
          <w:szCs w:val="21"/>
          <w:highlight w:val="none"/>
        </w:rPr>
        <w:t>监理人</w:t>
      </w:r>
      <w:r>
        <w:rPr>
          <w:rFonts w:hint="eastAsia" w:asciiTheme="minorEastAsia" w:hAnsiTheme="minorEastAsia" w:eastAsiaTheme="minorEastAsia" w:cstheme="minorEastAsia"/>
          <w:bCs/>
          <w:snapToGrid w:val="0"/>
          <w:color w:val="auto"/>
          <w:kern w:val="0"/>
          <w:sz w:val="21"/>
          <w:szCs w:val="21"/>
          <w:highlight w:val="none"/>
        </w:rPr>
        <w:t>必须在施工现场准备至少一套上述规范，委托人可随时检查监理人的上述规范，并监督监理人按规范要求执行。</w:t>
      </w:r>
      <w:bookmarkStart w:id="402" w:name="_Hlt69670335"/>
      <w:bookmarkEnd w:id="402"/>
    </w:p>
    <w:p w14:paraId="17F2FA54">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403" w:name="_Toc8448"/>
      <w:bookmarkStart w:id="404" w:name="_Toc10032"/>
      <w:r>
        <w:rPr>
          <w:rFonts w:hint="eastAsia" w:hAnsi="宋体" w:cs="宋体"/>
          <w:b/>
          <w:snapToGrid w:val="0"/>
          <w:color w:val="auto"/>
          <w:sz w:val="24"/>
          <w:highlight w:val="none"/>
        </w:rPr>
        <w:t xml:space="preserve">第五章 </w:t>
      </w:r>
      <w:bookmarkEnd w:id="383"/>
      <w:bookmarkStart w:id="405" w:name="_Hlt75747044"/>
      <w:bookmarkEnd w:id="405"/>
      <w:r>
        <w:rPr>
          <w:rFonts w:hint="eastAsia" w:hAnsi="宋体" w:cs="宋体"/>
          <w:b/>
          <w:snapToGrid w:val="0"/>
          <w:color w:val="auto"/>
          <w:sz w:val="24"/>
          <w:highlight w:val="none"/>
        </w:rPr>
        <w:t>投标文件格式</w:t>
      </w:r>
      <w:bookmarkEnd w:id="384"/>
      <w:bookmarkEnd w:id="385"/>
      <w:bookmarkEnd w:id="386"/>
      <w:bookmarkEnd w:id="387"/>
      <w:bookmarkEnd w:id="388"/>
      <w:bookmarkEnd w:id="389"/>
      <w:bookmarkEnd w:id="390"/>
      <w:bookmarkEnd w:id="391"/>
      <w:bookmarkEnd w:id="392"/>
      <w:bookmarkEnd w:id="403"/>
      <w:bookmarkEnd w:id="404"/>
    </w:p>
    <w:bookmarkEnd w:id="393"/>
    <w:p w14:paraId="05D20518">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hAnsi="宋体" w:cs="宋体"/>
          <w:b/>
          <w:snapToGrid w:val="0"/>
          <w:color w:val="auto"/>
          <w:highlight w:val="none"/>
        </w:rPr>
      </w:pPr>
      <w:bookmarkStart w:id="406" w:name="_附件一：投标函"/>
      <w:bookmarkEnd w:id="406"/>
      <w:bookmarkStart w:id="407" w:name="_附件四：工期承诺书"/>
      <w:bookmarkEnd w:id="407"/>
      <w:bookmarkStart w:id="408" w:name="_附件五：综合评审合理低价法"/>
      <w:bookmarkEnd w:id="408"/>
      <w:bookmarkStart w:id="409" w:name="_附件一：对招标文件条款自愿接受承诺书"/>
      <w:bookmarkEnd w:id="409"/>
      <w:bookmarkStart w:id="410" w:name="_附件二：近三年度主要施工项目（竣工及在建）一览表"/>
      <w:bookmarkEnd w:id="410"/>
      <w:bookmarkStart w:id="411" w:name="_附件二：工期承诺书"/>
      <w:bookmarkEnd w:id="411"/>
      <w:bookmarkStart w:id="412" w:name="_Toc137621693"/>
      <w:bookmarkStart w:id="413" w:name="_Toc200338097"/>
      <w:bookmarkStart w:id="414" w:name="_Toc66849200"/>
      <w:bookmarkStart w:id="415" w:name="_Hlt66847557"/>
    </w:p>
    <w:p w14:paraId="75C15F58">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rPr>
          <w:rFonts w:hint="eastAsia" w:hAnsi="宋体" w:cs="宋体"/>
          <w:b/>
          <w:snapToGrid w:val="0"/>
          <w:color w:val="auto"/>
          <w:highlight w:val="none"/>
        </w:rPr>
      </w:pPr>
      <w:bookmarkStart w:id="416" w:name="_Toc27308"/>
      <w:bookmarkStart w:id="417" w:name="_Toc9475"/>
      <w:bookmarkStart w:id="418" w:name="_Toc12888"/>
      <w:bookmarkStart w:id="419" w:name="_Toc9716"/>
      <w:bookmarkStart w:id="420" w:name="_Toc32261"/>
      <w:bookmarkStart w:id="421" w:name="_Toc12824"/>
      <w:bookmarkStart w:id="422" w:name="_Toc13147"/>
      <w:bookmarkStart w:id="423" w:name="_Toc8451"/>
      <w:bookmarkStart w:id="424" w:name="_Toc2371"/>
      <w:bookmarkStart w:id="425" w:name="_Toc2622"/>
      <w:bookmarkStart w:id="426" w:name="_Toc13127"/>
      <w:r>
        <w:rPr>
          <w:rFonts w:hint="eastAsia" w:hAnsi="宋体" w:cs="宋体"/>
          <w:b/>
          <w:snapToGrid w:val="0"/>
          <w:color w:val="auto"/>
          <w:highlight w:val="none"/>
        </w:rPr>
        <w:t>格式一 封面</w:t>
      </w:r>
      <w:bookmarkEnd w:id="416"/>
      <w:bookmarkEnd w:id="417"/>
      <w:bookmarkEnd w:id="418"/>
      <w:bookmarkEnd w:id="419"/>
      <w:bookmarkEnd w:id="420"/>
      <w:bookmarkEnd w:id="421"/>
      <w:bookmarkEnd w:id="422"/>
      <w:bookmarkEnd w:id="423"/>
      <w:bookmarkEnd w:id="424"/>
      <w:bookmarkEnd w:id="425"/>
      <w:bookmarkEnd w:id="426"/>
    </w:p>
    <w:p w14:paraId="370780C0">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77E84FF9">
      <w:pPr>
        <w:pStyle w:val="50"/>
        <w:widowControl w:val="0"/>
        <w:shd w:val="clear" w:color="auto" w:fill="auto"/>
        <w:wordWrap w:val="0"/>
        <w:adjustRightInd w:val="0"/>
        <w:snapToGrid w:val="0"/>
        <w:spacing w:line="240" w:lineRule="auto"/>
        <w:jc w:val="right"/>
        <w:rPr>
          <w:rFonts w:hint="eastAsia" w:hAnsi="宋体" w:cs="宋体"/>
          <w:b/>
          <w:snapToGrid w:val="0"/>
          <w:color w:val="auto"/>
          <w:sz w:val="24"/>
          <w:highlight w:val="none"/>
        </w:rPr>
      </w:pPr>
    </w:p>
    <w:p w14:paraId="21975E3C">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68FEEA02">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403EDF98">
      <w:pPr>
        <w:pStyle w:val="50"/>
        <w:widowControl w:val="0"/>
        <w:shd w:val="clear" w:color="auto" w:fill="auto"/>
        <w:wordWrap w:val="0"/>
        <w:adjustRightInd w:val="0"/>
        <w:snapToGrid w:val="0"/>
        <w:spacing w:line="240" w:lineRule="auto"/>
        <w:ind w:left="0" w:leftChars="0" w:firstLine="0" w:firstLineChars="0"/>
        <w:rPr>
          <w:rFonts w:hint="eastAsia" w:hAnsi="宋体" w:cs="宋体"/>
          <w:b/>
          <w:snapToGrid w:val="0"/>
          <w:color w:val="auto"/>
          <w:sz w:val="24"/>
          <w:highlight w:val="none"/>
        </w:rPr>
      </w:pPr>
    </w:p>
    <w:p w14:paraId="3B698FF0">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49EEEB1B">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3948DD49">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05E71054">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29B7F5D4">
      <w:pPr>
        <w:pStyle w:val="50"/>
        <w:widowControl w:val="0"/>
        <w:shd w:val="clear" w:color="auto" w:fill="auto"/>
        <w:wordWrap w:val="0"/>
        <w:adjustRightInd w:val="0"/>
        <w:snapToGrid w:val="0"/>
        <w:ind w:firstLine="0"/>
        <w:jc w:val="center"/>
        <w:rPr>
          <w:rFonts w:hint="eastAsia" w:hAnsi="宋体" w:cs="宋体"/>
          <w:b/>
          <w:snapToGrid w:val="0"/>
          <w:color w:val="auto"/>
          <w:sz w:val="44"/>
          <w:szCs w:val="44"/>
          <w:highlight w:val="none"/>
        </w:rPr>
      </w:pPr>
      <w:r>
        <w:rPr>
          <w:rFonts w:hint="eastAsia" w:hAnsi="宋体" w:cs="宋体"/>
          <w:bCs/>
          <w:snapToGrid w:val="0"/>
          <w:color w:val="auto"/>
          <w:sz w:val="44"/>
          <w:szCs w:val="44"/>
          <w:highlight w:val="none"/>
          <w:u w:val="single"/>
          <w:lang w:val="en-US" w:eastAsia="zh-CN"/>
        </w:rPr>
        <w:t xml:space="preserve">    （项目名称）  </w:t>
      </w:r>
      <w:r>
        <w:rPr>
          <w:rFonts w:hint="eastAsia" w:hAnsi="宋体" w:cs="宋体"/>
          <w:b/>
          <w:snapToGrid w:val="0"/>
          <w:color w:val="auto"/>
          <w:sz w:val="44"/>
          <w:szCs w:val="44"/>
          <w:highlight w:val="none"/>
        </w:rPr>
        <w:t>招标</w:t>
      </w:r>
    </w:p>
    <w:p w14:paraId="29A7FD15">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5B86E494">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72"/>
          <w:highlight w:val="none"/>
        </w:rPr>
      </w:pPr>
      <w:r>
        <w:rPr>
          <w:rFonts w:hint="eastAsia" w:hAnsi="宋体" w:cs="宋体"/>
          <w:b/>
          <w:snapToGrid w:val="0"/>
          <w:color w:val="auto"/>
          <w:sz w:val="72"/>
          <w:highlight w:val="none"/>
        </w:rPr>
        <w:t>投  标  文  件</w:t>
      </w:r>
    </w:p>
    <w:p w14:paraId="2A78F069">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0BDEEDE8">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r>
        <w:rPr>
          <w:rFonts w:hint="eastAsia" w:hAnsi="宋体" w:cs="宋体"/>
          <w:b/>
          <w:snapToGrid w:val="0"/>
          <w:color w:val="auto"/>
          <w:sz w:val="48"/>
          <w:szCs w:val="48"/>
          <w:highlight w:val="none"/>
        </w:rPr>
        <w:t>（商务标书／监理大纲）</w:t>
      </w:r>
    </w:p>
    <w:p w14:paraId="38AFC426">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27549F36">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1E62CDDF">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4923B067">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22712ABA">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2B54D668">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5FB524A8">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1BB60C2">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06B29737">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5318C76D">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C33E5DC">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u w:val="single"/>
        </w:rPr>
      </w:pPr>
    </w:p>
    <w:p w14:paraId="55701A3E">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7F54DCC5">
      <w:pPr>
        <w:pStyle w:val="50"/>
        <w:widowControl w:val="0"/>
        <w:shd w:val="clear" w:color="auto" w:fill="auto"/>
        <w:wordWrap w:val="0"/>
        <w:adjustRightInd w:val="0"/>
        <w:snapToGrid w:val="0"/>
        <w:rPr>
          <w:rFonts w:hint="eastAsia" w:hAnsi="宋体" w:cs="宋体"/>
          <w:b/>
          <w:snapToGrid w:val="0"/>
          <w:color w:val="auto"/>
          <w:highlight w:val="none"/>
        </w:rPr>
      </w:pPr>
    </w:p>
    <w:p w14:paraId="21743F70">
      <w:pPr>
        <w:pStyle w:val="4"/>
        <w:keepNext w:val="0"/>
        <w:keepLines w:val="0"/>
        <w:widowControl w:val="0"/>
        <w:shd w:val="clear" w:color="auto" w:fill="auto"/>
        <w:wordWrap w:val="0"/>
        <w:adjustRightInd w:val="0"/>
        <w:snapToGrid w:val="0"/>
        <w:spacing w:before="0" w:after="0" w:line="440" w:lineRule="exact"/>
        <w:ind w:firstLine="0"/>
        <w:jc w:val="left"/>
        <w:rPr>
          <w:rFonts w:hint="eastAsia" w:hAnsi="宋体" w:cs="宋体"/>
          <w:b/>
          <w:snapToGrid w:val="0"/>
          <w:color w:val="auto"/>
          <w:highlight w:val="none"/>
        </w:rPr>
      </w:pPr>
      <w:bookmarkStart w:id="427" w:name="_Toc4418"/>
      <w:bookmarkStart w:id="428" w:name="_Toc490"/>
      <w:bookmarkStart w:id="429" w:name="_Toc9465"/>
      <w:bookmarkStart w:id="430" w:name="_Toc31778"/>
      <w:bookmarkStart w:id="431" w:name="_Toc23815"/>
      <w:bookmarkStart w:id="432" w:name="_Toc9043"/>
      <w:bookmarkStart w:id="433" w:name="_Toc27987"/>
      <w:bookmarkStart w:id="434" w:name="_Toc28241"/>
      <w:bookmarkStart w:id="435" w:name="_Toc29607"/>
      <w:bookmarkStart w:id="436" w:name="_Toc28280"/>
      <w:bookmarkStart w:id="437" w:name="_Toc106418843"/>
      <w:bookmarkStart w:id="438" w:name="_Toc104711098"/>
      <w:r>
        <w:rPr>
          <w:rFonts w:hint="eastAsia" w:hAnsi="宋体" w:cs="宋体"/>
          <w:b/>
          <w:snapToGrid w:val="0"/>
          <w:color w:val="auto"/>
          <w:highlight w:val="none"/>
        </w:rPr>
        <w:br w:type="page"/>
      </w:r>
      <w:bookmarkStart w:id="439" w:name="_Toc30416"/>
      <w:bookmarkStart w:id="440" w:name="_Toc6488"/>
      <w:r>
        <w:rPr>
          <w:rFonts w:hint="eastAsia" w:hAnsi="宋体" w:cs="宋体"/>
          <w:b/>
          <w:snapToGrid w:val="0"/>
          <w:color w:val="auto"/>
          <w:highlight w:val="none"/>
        </w:rPr>
        <w:t>格式</w:t>
      </w:r>
      <w:bookmarkStart w:id="441" w:name="_Hlt97526007"/>
      <w:bookmarkEnd w:id="441"/>
      <w:r>
        <w:rPr>
          <w:rFonts w:hint="eastAsia" w:hAnsi="宋体" w:cs="宋体"/>
          <w:b/>
          <w:snapToGrid w:val="0"/>
          <w:color w:val="auto"/>
          <w:highlight w:val="none"/>
        </w:rPr>
        <w:t>二 投标函</w:t>
      </w:r>
      <w:bookmarkEnd w:id="427"/>
      <w:bookmarkEnd w:id="428"/>
      <w:bookmarkEnd w:id="429"/>
      <w:bookmarkEnd w:id="430"/>
      <w:bookmarkEnd w:id="431"/>
      <w:bookmarkEnd w:id="432"/>
      <w:bookmarkEnd w:id="433"/>
      <w:bookmarkEnd w:id="434"/>
      <w:bookmarkEnd w:id="435"/>
      <w:bookmarkEnd w:id="439"/>
      <w:bookmarkEnd w:id="440"/>
    </w:p>
    <w:p w14:paraId="0FB1C210">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bookmarkStart w:id="442" w:name="_Toc5605"/>
      <w:r>
        <w:rPr>
          <w:rFonts w:hint="eastAsia" w:hAnsi="宋体" w:cs="宋体"/>
          <w:b/>
          <w:snapToGrid w:val="0"/>
          <w:color w:val="auto"/>
          <w:kern w:val="0"/>
          <w:sz w:val="30"/>
          <w:highlight w:val="none"/>
        </w:rPr>
        <w:t>投  标  函</w:t>
      </w:r>
      <w:bookmarkEnd w:id="436"/>
      <w:bookmarkEnd w:id="437"/>
      <w:bookmarkEnd w:id="438"/>
      <w:bookmarkEnd w:id="442"/>
    </w:p>
    <w:p w14:paraId="58B9BC3F">
      <w:pPr>
        <w:shd w:val="clear" w:color="auto" w:fill="auto"/>
        <w:wordWrap w:val="0"/>
        <w:adjustRightInd w:val="0"/>
        <w:snapToGrid w:val="0"/>
        <w:spacing w:line="440" w:lineRule="exact"/>
        <w:jc w:val="center"/>
        <w:rPr>
          <w:rFonts w:hint="eastAsia" w:hAnsi="宋体" w:cs="宋体"/>
          <w:b/>
          <w:snapToGrid w:val="0"/>
          <w:color w:val="auto"/>
          <w:kern w:val="0"/>
          <w:highlight w:val="none"/>
        </w:rPr>
      </w:pPr>
    </w:p>
    <w:p w14:paraId="60F144BF">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（招标人名称）</w:t>
      </w:r>
    </w:p>
    <w:p w14:paraId="2178C796">
      <w:pPr>
        <w:shd w:val="clear" w:color="auto" w:fill="auto"/>
        <w:wordWrap w:val="0"/>
        <w:adjustRightInd w:val="0"/>
        <w:snapToGrid w:val="0"/>
        <w:spacing w:line="440" w:lineRule="exact"/>
        <w:ind w:firstLine="570"/>
        <w:rPr>
          <w:rFonts w:hint="eastAsia"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w:t>
      </w:r>
      <w:r>
        <w:rPr>
          <w:rFonts w:hint="eastAsia" w:hAnsi="宋体" w:cs="宋体"/>
          <w:snapToGrid w:val="0"/>
          <w:color w:val="auto"/>
          <w:kern w:val="0"/>
          <w:highlight w:val="none"/>
        </w:rPr>
        <w:t>仔细研究</w:t>
      </w:r>
      <w:r>
        <w:rPr>
          <w:rFonts w:hint="eastAsia" w:ascii="Times New Roman"/>
          <w:snapToGrid w:val="0"/>
          <w:color w:val="auto"/>
          <w:kern w:val="0"/>
          <w:highlight w:val="none"/>
          <w:u w:val="single"/>
        </w:rPr>
        <w:t xml:space="preserve">    （项目名称）</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rPr>
        <w:t>（以下简称“本项目”）</w:t>
      </w:r>
      <w:r>
        <w:rPr>
          <w:rFonts w:hint="eastAsia" w:hAnsi="宋体" w:cs="宋体"/>
          <w:snapToGrid w:val="0"/>
          <w:color w:val="auto"/>
          <w:kern w:val="0"/>
          <w:highlight w:val="none"/>
        </w:rPr>
        <w:t>招标文件的全部内容后，结合自身资质、能力和特点，愿意接受招标文件的全部内容和条件。兹以人民币（大写）：</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w:t>
      </w:r>
      <w:r>
        <w:rPr>
          <w:rFonts w:hint="eastAsia" w:hAnsi="宋体" w:cs="宋体"/>
          <w:snapToGrid w:val="0"/>
          <w:color w:val="auto"/>
          <w:kern w:val="0"/>
          <w:highlight w:val="none"/>
        </w:rPr>
        <w:t>竞投本项目</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，投标取费费率为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5C49D775">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lang w:val="en-US" w:eastAsia="zh-CN"/>
        </w:rPr>
        <w:t xml:space="preserve"> </w:t>
      </w:r>
      <w:r>
        <w:rPr>
          <w:rFonts w:hint="eastAsia" w:hAnsi="宋体" w:cs="宋体"/>
          <w:snapToGrid w:val="0"/>
          <w:color w:val="auto"/>
          <w:kern w:val="0"/>
          <w:highlight w:val="none"/>
          <w:u w:val="single"/>
        </w:rPr>
        <w:t xml:space="preserve">监理及相关服务 </w:t>
      </w:r>
      <w:r>
        <w:rPr>
          <w:rFonts w:hint="eastAsia" w:hAnsi="宋体" w:cs="宋体"/>
          <w:snapToGrid w:val="0"/>
          <w:color w:val="auto"/>
          <w:kern w:val="0"/>
          <w:highlight w:val="none"/>
        </w:rPr>
        <w:t>，并在合同约定的服务期限内完成合同规定的全部义务。</w:t>
      </w:r>
    </w:p>
    <w:p w14:paraId="30109CE6">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7576E89B">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21EBEA0D">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7B649A3D">
      <w:pPr>
        <w:shd w:val="clear" w:color="auto" w:fill="auto"/>
        <w:wordWrap w:val="0"/>
        <w:adjustRightInd w:val="0"/>
        <w:snapToGrid w:val="0"/>
        <w:spacing w:line="440" w:lineRule="exact"/>
        <w:ind w:firstLine="570"/>
        <w:rPr>
          <w:rFonts w:hint="eastAsia" w:hAnsi="宋体" w:cs="宋体"/>
          <w:snapToGrid w:val="0"/>
          <w:color w:val="auto"/>
          <w:kern w:val="0"/>
          <w:highlight w:val="none"/>
        </w:rPr>
      </w:pPr>
      <w:bookmarkStart w:id="443" w:name="_Hlt68771070"/>
      <w:bookmarkEnd w:id="44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01383BAE">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 xml:space="preserve">  </w:t>
      </w:r>
    </w:p>
    <w:p w14:paraId="50F3747E">
      <w:pPr>
        <w:shd w:val="clear" w:color="auto" w:fill="auto"/>
        <w:wordWrap w:val="0"/>
        <w:adjustRightInd w:val="0"/>
        <w:snapToGrid w:val="0"/>
        <w:spacing w:line="440" w:lineRule="exact"/>
        <w:rPr>
          <w:rFonts w:hint="eastAsia" w:hAnsi="宋体" w:cs="宋体"/>
          <w:snapToGrid w:val="0"/>
          <w:color w:val="auto"/>
          <w:kern w:val="0"/>
          <w:highlight w:val="none"/>
        </w:rPr>
      </w:pPr>
    </w:p>
    <w:p w14:paraId="28EB69E4">
      <w:pPr>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 xml:space="preserve">    投标人：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（盖单位章）</w:t>
      </w:r>
    </w:p>
    <w:p w14:paraId="4218ED5C">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19EEE715">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7B9EC1D9">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r>
        <w:rPr>
          <w:rFonts w:hint="eastAsia" w:hAnsi="宋体" w:cs="宋体"/>
          <w:snapToGrid w:val="0"/>
          <w:color w:val="auto"/>
          <w:kern w:val="0"/>
          <w:highlight w:val="none"/>
        </w:rPr>
        <w:t>法定代表人或其委托代理人：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（签字或盖章）</w:t>
      </w:r>
    </w:p>
    <w:p w14:paraId="0A02ED15">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p>
    <w:p w14:paraId="6FA8281C">
      <w:pPr>
        <w:shd w:val="clear" w:color="auto" w:fill="auto"/>
        <w:wordWrap w:val="0"/>
        <w:adjustRightInd w:val="0"/>
        <w:snapToGrid w:val="0"/>
        <w:spacing w:line="440" w:lineRule="exact"/>
        <w:jc w:val="left"/>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308D688">
      <w:pPr>
        <w:pStyle w:val="50"/>
        <w:widowControl w:val="0"/>
        <w:shd w:val="clear" w:color="auto" w:fill="auto"/>
        <w:wordWrap w:val="0"/>
        <w:adjustRightInd w:val="0"/>
        <w:snapToGrid w:val="0"/>
        <w:spacing w:line="400" w:lineRule="exact"/>
        <w:ind w:firstLine="0"/>
        <w:outlineLvl w:val="2"/>
        <w:rPr>
          <w:rFonts w:hint="eastAsia" w:hAnsi="宋体" w:cs="宋体"/>
          <w:b/>
          <w:snapToGrid w:val="0"/>
          <w:color w:val="auto"/>
          <w:sz w:val="24"/>
          <w:highlight w:val="none"/>
        </w:rPr>
      </w:pPr>
      <w:bookmarkStart w:id="444" w:name="_Toc14232"/>
      <w:bookmarkStart w:id="445" w:name="_Toc24246"/>
      <w:bookmarkStart w:id="446" w:name="_Toc10603"/>
      <w:bookmarkStart w:id="447" w:name="_Toc29984"/>
      <w:bookmarkStart w:id="448" w:name="_Toc14902"/>
      <w:bookmarkStart w:id="449" w:name="_Toc23192"/>
      <w:bookmarkStart w:id="450" w:name="_Toc14623"/>
      <w:bookmarkStart w:id="451" w:name="_Toc16434"/>
      <w:bookmarkStart w:id="452" w:name="_Toc14883"/>
      <w:bookmarkStart w:id="453" w:name="_Toc13056"/>
      <w:r>
        <w:rPr>
          <w:rFonts w:hint="eastAsia" w:hAnsi="宋体" w:cs="宋体"/>
          <w:b/>
          <w:snapToGrid w:val="0"/>
          <w:color w:val="auto"/>
          <w:sz w:val="24"/>
          <w:highlight w:val="none"/>
        </w:rPr>
        <w:t>格式三 各项承诺一览表</w:t>
      </w:r>
      <w:bookmarkEnd w:id="444"/>
      <w:bookmarkEnd w:id="445"/>
      <w:bookmarkEnd w:id="446"/>
      <w:bookmarkEnd w:id="447"/>
      <w:bookmarkEnd w:id="448"/>
      <w:bookmarkEnd w:id="449"/>
      <w:bookmarkEnd w:id="450"/>
      <w:bookmarkEnd w:id="451"/>
      <w:bookmarkEnd w:id="452"/>
      <w:bookmarkEnd w:id="453"/>
    </w:p>
    <w:p w14:paraId="07463071">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sz w:val="30"/>
          <w:highlight w:val="none"/>
        </w:rPr>
      </w:pPr>
      <w:bookmarkStart w:id="454" w:name="_Toc26510"/>
      <w:bookmarkStart w:id="455" w:name="_Toc17252"/>
      <w:bookmarkStart w:id="456" w:name="_Toc18353"/>
      <w:bookmarkStart w:id="457" w:name="_Toc5107"/>
      <w:bookmarkStart w:id="458" w:name="_Toc5037"/>
      <w:bookmarkStart w:id="459" w:name="_Toc1307"/>
      <w:bookmarkStart w:id="460" w:name="_Toc14771"/>
      <w:bookmarkStart w:id="461" w:name="_Toc10086"/>
      <w:bookmarkStart w:id="462" w:name="_Toc29590"/>
    </w:p>
    <w:p w14:paraId="0416F206">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highlight w:val="none"/>
        </w:rPr>
      </w:pPr>
      <w:bookmarkStart w:id="463" w:name="_Toc19357"/>
      <w:bookmarkStart w:id="464" w:name="_Toc32020"/>
      <w:bookmarkStart w:id="465" w:name="_Toc23861"/>
      <w:r>
        <w:rPr>
          <w:rFonts w:hint="eastAsia" w:hAnsi="宋体" w:cs="宋体"/>
          <w:b/>
          <w:snapToGrid w:val="0"/>
          <w:color w:val="auto"/>
          <w:sz w:val="30"/>
          <w:highlight w:val="none"/>
        </w:rPr>
        <w:t>各项承诺一览表</w:t>
      </w:r>
      <w:bookmarkEnd w:id="454"/>
      <w:bookmarkEnd w:id="455"/>
      <w:bookmarkEnd w:id="456"/>
      <w:bookmarkEnd w:id="457"/>
      <w:bookmarkEnd w:id="458"/>
      <w:bookmarkEnd w:id="459"/>
      <w:bookmarkEnd w:id="460"/>
      <w:bookmarkEnd w:id="461"/>
      <w:bookmarkEnd w:id="462"/>
      <w:bookmarkEnd w:id="463"/>
      <w:bookmarkEnd w:id="464"/>
      <w:bookmarkEnd w:id="465"/>
    </w:p>
    <w:tbl>
      <w:tblPr>
        <w:tblStyle w:val="24"/>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815"/>
        <w:gridCol w:w="4127"/>
      </w:tblGrid>
      <w:tr w14:paraId="6C95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vAlign w:val="center"/>
          </w:tcPr>
          <w:p w14:paraId="23E9E9C4">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序号</w:t>
            </w:r>
          </w:p>
        </w:tc>
        <w:tc>
          <w:tcPr>
            <w:tcW w:w="1573" w:type="dxa"/>
            <w:vAlign w:val="center"/>
          </w:tcPr>
          <w:p w14:paraId="798FD33A">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承诺事项</w:t>
            </w:r>
          </w:p>
        </w:tc>
        <w:tc>
          <w:tcPr>
            <w:tcW w:w="2815" w:type="dxa"/>
            <w:vAlign w:val="center"/>
          </w:tcPr>
          <w:p w14:paraId="1D89CA8E">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承诺内容</w:t>
            </w:r>
          </w:p>
        </w:tc>
        <w:tc>
          <w:tcPr>
            <w:tcW w:w="4127" w:type="dxa"/>
            <w:vAlign w:val="center"/>
          </w:tcPr>
          <w:p w14:paraId="38C666AF">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违约承诺</w:t>
            </w:r>
          </w:p>
        </w:tc>
      </w:tr>
      <w:tr w14:paraId="27BA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vAlign w:val="center"/>
          </w:tcPr>
          <w:p w14:paraId="56867309">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vAlign w:val="center"/>
          </w:tcPr>
          <w:p w14:paraId="65C4E813">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0BBC7CCF">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815" w:type="dxa"/>
            <w:vAlign w:val="center"/>
          </w:tcPr>
          <w:p w14:paraId="7B1443A4">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127" w:type="dxa"/>
            <w:vAlign w:val="center"/>
          </w:tcPr>
          <w:p w14:paraId="00E33048">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11B5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vAlign w:val="center"/>
          </w:tcPr>
          <w:p w14:paraId="109CDC10">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vAlign w:val="center"/>
          </w:tcPr>
          <w:p w14:paraId="55A83A8F">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74777DB9">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815" w:type="dxa"/>
            <w:vAlign w:val="center"/>
          </w:tcPr>
          <w:p w14:paraId="685B5BE1">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127" w:type="dxa"/>
            <w:vAlign w:val="center"/>
          </w:tcPr>
          <w:p w14:paraId="5531384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25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vAlign w:val="center"/>
          </w:tcPr>
          <w:p w14:paraId="616E861C">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vAlign w:val="center"/>
          </w:tcPr>
          <w:p w14:paraId="1A79AD0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2B7A1AE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74D337E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815" w:type="dxa"/>
            <w:vAlign w:val="center"/>
          </w:tcPr>
          <w:p w14:paraId="42903AB3">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127" w:type="dxa"/>
            <w:vAlign w:val="center"/>
          </w:tcPr>
          <w:p w14:paraId="4DD2B33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C8A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vAlign w:val="center"/>
          </w:tcPr>
          <w:p w14:paraId="47A90B26">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vAlign w:val="center"/>
          </w:tcPr>
          <w:p w14:paraId="3B5882D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6A857FF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815" w:type="dxa"/>
            <w:vAlign w:val="center"/>
          </w:tcPr>
          <w:p w14:paraId="60F4E8E1">
            <w:pPr>
              <w:pStyle w:val="45"/>
              <w:shd w:val="clear" w:color="auto" w:fill="auto"/>
              <w:wordWrap w:val="0"/>
              <w:adjustRightInd w:val="0"/>
              <w:snapToGrid w:val="0"/>
              <w:spacing w:line="380" w:lineRule="exact"/>
              <w:ind w:firstLine="0" w:firstLineChars="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我方拟委派的总监理工程师现阶段未担任总监理工程师的在施（包括已中标未开工、已开工未竣工）建设工程项目不超过2个，经任职项目的建设单位同意，参加本项目投标。</w:t>
            </w:r>
          </w:p>
        </w:tc>
        <w:tc>
          <w:tcPr>
            <w:tcW w:w="4127" w:type="dxa"/>
            <w:vAlign w:val="center"/>
          </w:tcPr>
          <w:p w14:paraId="192968F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委派的总监理工程师在本工程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238C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6" w:type="dxa"/>
            <w:vAlign w:val="center"/>
          </w:tcPr>
          <w:p w14:paraId="5BD3CC09">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vAlign w:val="center"/>
          </w:tcPr>
          <w:p w14:paraId="07D0AE29">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0D83458E">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815" w:type="dxa"/>
            <w:vAlign w:val="center"/>
          </w:tcPr>
          <w:p w14:paraId="0C01392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127" w:type="dxa"/>
            <w:vAlign w:val="center"/>
          </w:tcPr>
          <w:p w14:paraId="3884F018">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C5D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7AC346A8">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vAlign w:val="center"/>
          </w:tcPr>
          <w:p w14:paraId="678B84C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61832187">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815" w:type="dxa"/>
            <w:vAlign w:val="center"/>
          </w:tcPr>
          <w:p w14:paraId="5172C8D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我方提供完整的电子文件。如果我方成为本工程中标候选人，我方同意并授权招标人在评标结果公示期内公开我方商务标书的全部内容。</w:t>
            </w:r>
          </w:p>
        </w:tc>
        <w:tc>
          <w:tcPr>
            <w:tcW w:w="4127" w:type="dxa"/>
            <w:vAlign w:val="center"/>
          </w:tcPr>
          <w:p w14:paraId="5987EB86">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如果我方提供的电子文件不完整，我方接受招标人依据招标文件作出的相应处理。</w:t>
            </w:r>
          </w:p>
        </w:tc>
      </w:tr>
      <w:tr w14:paraId="128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168EBAA0">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7</w:t>
            </w:r>
          </w:p>
        </w:tc>
        <w:tc>
          <w:tcPr>
            <w:tcW w:w="1573" w:type="dxa"/>
            <w:vAlign w:val="center"/>
          </w:tcPr>
          <w:p w14:paraId="31875E1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按时提交履约</w:t>
            </w:r>
          </w:p>
          <w:p w14:paraId="16938B37">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保证的承诺</w:t>
            </w:r>
          </w:p>
        </w:tc>
        <w:tc>
          <w:tcPr>
            <w:tcW w:w="2815" w:type="dxa"/>
            <w:vAlign w:val="center"/>
          </w:tcPr>
          <w:p w14:paraId="7EEAB57C">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如果我方中标，我方保证在招标文件规定的时限内全额提交履约保证。</w:t>
            </w:r>
          </w:p>
        </w:tc>
        <w:tc>
          <w:tcPr>
            <w:tcW w:w="4127" w:type="dxa"/>
            <w:vAlign w:val="center"/>
          </w:tcPr>
          <w:p w14:paraId="7A8C4248">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169C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1614616F">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8</w:t>
            </w:r>
          </w:p>
        </w:tc>
        <w:tc>
          <w:tcPr>
            <w:tcW w:w="1573" w:type="dxa"/>
            <w:vAlign w:val="center"/>
          </w:tcPr>
          <w:p w14:paraId="05C4B12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0F5BADA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815" w:type="dxa"/>
            <w:vAlign w:val="center"/>
          </w:tcPr>
          <w:p w14:paraId="1F6D8D3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127" w:type="dxa"/>
            <w:vAlign w:val="center"/>
          </w:tcPr>
          <w:p w14:paraId="69D0EA37">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28CE93A">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775A2291">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79A012A2">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428F26E9">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0CDBFCE9">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020AE0B8">
      <w:pPr>
        <w:pStyle w:val="14"/>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E52A068">
      <w:pPr>
        <w:pStyle w:val="14"/>
        <w:shd w:val="clear" w:color="auto" w:fill="auto"/>
        <w:wordWrap w:val="0"/>
        <w:adjustRightInd w:val="0"/>
        <w:snapToGrid w:val="0"/>
        <w:spacing w:line="420" w:lineRule="exact"/>
        <w:ind w:firstLine="480" w:firstLineChars="200"/>
        <w:rPr>
          <w:rFonts w:hint="eastAsia" w:hAnsi="宋体" w:cs="宋体"/>
          <w:snapToGrid w:val="0"/>
          <w:color w:val="auto"/>
          <w:kern w:val="0"/>
          <w:szCs w:val="24"/>
          <w:highlight w:val="none"/>
        </w:rPr>
      </w:pPr>
    </w:p>
    <w:p w14:paraId="5F208A43">
      <w:pPr>
        <w:pStyle w:val="14"/>
        <w:shd w:val="clear" w:color="auto" w:fill="auto"/>
        <w:wordWrap w:val="0"/>
        <w:adjustRightInd w:val="0"/>
        <w:snapToGrid w:val="0"/>
        <w:spacing w:line="420" w:lineRule="exact"/>
        <w:ind w:firstLine="480" w:firstLineChars="200"/>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45B7037D">
      <w:pPr>
        <w:shd w:val="clear" w:color="auto" w:fill="auto"/>
        <w:wordWrap w:val="0"/>
        <w:adjustRightInd w:val="0"/>
        <w:snapToGrid w:val="0"/>
        <w:spacing w:line="420" w:lineRule="exact"/>
        <w:jc w:val="left"/>
        <w:rPr>
          <w:rFonts w:hint="eastAsia" w:hAnsi="宋体" w:cs="宋体"/>
          <w:b/>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7B4FD757">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66" w:name="_Toc19386"/>
      <w:bookmarkStart w:id="467" w:name="_Toc26511"/>
      <w:bookmarkStart w:id="468" w:name="_Toc5737"/>
      <w:bookmarkStart w:id="469" w:name="_Toc27498"/>
      <w:bookmarkStart w:id="470" w:name="_Toc5400"/>
      <w:bookmarkStart w:id="471" w:name="_Toc20101"/>
      <w:bookmarkStart w:id="472" w:name="_Toc25795"/>
      <w:bookmarkStart w:id="473" w:name="_Toc25885"/>
      <w:bookmarkStart w:id="474" w:name="_Toc1983"/>
      <w:bookmarkStart w:id="475" w:name="_Toc22067"/>
      <w:r>
        <w:rPr>
          <w:rFonts w:hint="eastAsia" w:hAnsi="宋体" w:cs="宋体"/>
          <w:b/>
          <w:bCs/>
          <w:snapToGrid w:val="0"/>
          <w:color w:val="auto"/>
          <w:kern w:val="0"/>
          <w:szCs w:val="24"/>
          <w:highlight w:val="none"/>
        </w:rPr>
        <w:t>格式四 法定代表人授权委托书</w:t>
      </w:r>
      <w:bookmarkEnd w:id="466"/>
      <w:bookmarkEnd w:id="467"/>
      <w:bookmarkEnd w:id="468"/>
      <w:bookmarkEnd w:id="469"/>
      <w:bookmarkEnd w:id="470"/>
      <w:bookmarkEnd w:id="471"/>
      <w:bookmarkEnd w:id="472"/>
      <w:bookmarkEnd w:id="473"/>
      <w:bookmarkEnd w:id="474"/>
      <w:bookmarkEnd w:id="475"/>
    </w:p>
    <w:p w14:paraId="4FDEEDDB">
      <w:pPr>
        <w:shd w:val="clear" w:color="auto" w:fill="auto"/>
        <w:wordWrap w:val="0"/>
        <w:adjustRightInd w:val="0"/>
        <w:snapToGrid w:val="0"/>
        <w:spacing w:line="440" w:lineRule="exact"/>
        <w:rPr>
          <w:rFonts w:hint="eastAsia" w:hAnsi="宋体" w:cs="宋体"/>
          <w:b/>
          <w:bCs/>
          <w:snapToGrid w:val="0"/>
          <w:color w:val="auto"/>
          <w:kern w:val="0"/>
          <w:szCs w:val="24"/>
          <w:highlight w:val="none"/>
        </w:rPr>
      </w:pPr>
    </w:p>
    <w:p w14:paraId="7F8C5225">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法定代表人授权委托书</w:t>
      </w:r>
    </w:p>
    <w:p w14:paraId="6E264E0C">
      <w:pPr>
        <w:shd w:val="clear" w:color="auto" w:fill="auto"/>
        <w:wordWrap w:val="0"/>
        <w:adjustRightInd w:val="0"/>
        <w:snapToGrid w:val="0"/>
        <w:spacing w:line="440" w:lineRule="exact"/>
        <w:rPr>
          <w:rFonts w:hint="eastAsia" w:hAnsi="宋体" w:cs="宋体"/>
          <w:snapToGrid w:val="0"/>
          <w:color w:val="auto"/>
          <w:kern w:val="0"/>
          <w:szCs w:val="28"/>
          <w:highlight w:val="none"/>
        </w:rPr>
      </w:pPr>
    </w:p>
    <w:p w14:paraId="6534A317">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lang w:val="en-US" w:eastAsia="zh-CN"/>
        </w:rPr>
        <w:t xml:space="preserve">       （项目名称）   </w:t>
      </w:r>
      <w:r>
        <w:rPr>
          <w:rFonts w:hint="eastAsia" w:hAnsi="宋体" w:cs="宋体"/>
          <w:snapToGrid w:val="0"/>
          <w:color w:val="auto"/>
          <w:kern w:val="0"/>
          <w:szCs w:val="21"/>
          <w:highlight w:val="none"/>
        </w:rPr>
        <w:t>投标文件、签订合同和处理有关事宜，其法律后果由我方承担。</w:t>
      </w:r>
    </w:p>
    <w:p w14:paraId="174E9BE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snapToGrid w:val="0"/>
          <w:color w:val="auto"/>
          <w:kern w:val="0"/>
          <w:szCs w:val="21"/>
          <w:highlight w:val="none"/>
        </w:rPr>
        <w:t>。</w:t>
      </w:r>
    </w:p>
    <w:p w14:paraId="0CB8D2F8">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7C2D141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69C51C36">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42BBDA8F">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4CF8A792">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74AD769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2553D014">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189B2A60">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5AD1348D">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3D505E0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2C863BF1">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0D37E948">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0D870D8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31CBFCB5">
      <w:pPr>
        <w:shd w:val="clear" w:color="auto" w:fill="auto"/>
        <w:wordWrap w:val="0"/>
        <w:adjustRightInd w:val="0"/>
        <w:snapToGrid w:val="0"/>
        <w:ind w:firstLine="6440" w:firstLineChars="2300"/>
        <w:rPr>
          <w:rFonts w:hint="eastAsia" w:hAnsi="宋体" w:cs="宋体"/>
          <w:snapToGrid w:val="0"/>
          <w:color w:val="auto"/>
          <w:highlight w:val="none"/>
        </w:rPr>
      </w:pPr>
      <w:r>
        <w:rPr>
          <w:rFonts w:hint="eastAsia" w:hAnsi="宋体" w:cs="宋体"/>
          <w:snapToGrid w:val="0"/>
          <w:color w:val="auto"/>
          <w:kern w:val="0"/>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26"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08B2D9">
                            <w:pPr>
                              <w:pStyle w:val="6"/>
                              <w:rPr>
                                <w:rFonts w:hint="eastAsia"/>
                              </w:rPr>
                            </w:pPr>
                          </w:p>
                          <w:p w14:paraId="1FAF69C3">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wps:txbx>
                      <wps:bodyPr wrap="square" upright="1"/>
                    </wps:wsp>
                  </a:graphicData>
                </a:graphic>
              </wp:anchor>
            </w:drawing>
          </mc:Choice>
          <mc:Fallback>
            <w:pict>
              <v:shape id="流程图: 可选过程 3"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rJ9Os2AAAAAkBAAAPAAAAAAAAAAEAIAAAACIAAABkcnMvZG93bnJl&#10;di54bWxQSwECFAAUAAAACACHTuJAvFyD1DYCAABhBAAADgAAAAAAAAABACAAAAAnAQAAZHJzL2Uy&#10;b0RvYy54bWxQSwUGAAAAAAYABgBZAQAAzwUAAAAA&#10;">
                <v:fill on="t" focussize="0,0"/>
                <v:stroke color="#000000" joinstyle="miter"/>
                <v:imagedata o:title=""/>
                <o:lock v:ext="edit" aspectratio="f"/>
                <v:textbox>
                  <w:txbxContent>
                    <w:p w14:paraId="7F08B2D9">
                      <w:pPr>
                        <w:pStyle w:val="6"/>
                        <w:rPr>
                          <w:rFonts w:hint="eastAsia"/>
                        </w:rPr>
                      </w:pPr>
                    </w:p>
                    <w:p w14:paraId="1FAF69C3">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v:textbox>
              </v:shape>
            </w:pict>
          </mc:Fallback>
        </mc:AlternateContent>
      </w:r>
    </w:p>
    <w:p w14:paraId="700D2B6A">
      <w:pPr>
        <w:pStyle w:val="5"/>
        <w:widowControl w:val="0"/>
        <w:shd w:val="clear" w:color="auto" w:fill="auto"/>
        <w:wordWrap w:val="0"/>
        <w:adjustRightInd w:val="0"/>
        <w:snapToGrid w:val="0"/>
        <w:rPr>
          <w:rFonts w:hint="eastAsia" w:hAnsi="宋体" w:cs="宋体"/>
          <w:snapToGrid w:val="0"/>
          <w:color w:val="auto"/>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33316FD5">
      <w:pPr>
        <w:shd w:val="clear" w:color="auto" w:fill="auto"/>
        <w:wordWrap w:val="0"/>
        <w:adjustRightInd w:val="0"/>
        <w:snapToGrid w:val="0"/>
        <w:spacing w:line="440" w:lineRule="exact"/>
        <w:outlineLvl w:val="2"/>
        <w:rPr>
          <w:rFonts w:hint="eastAsia" w:hAnsi="宋体" w:cs="宋体"/>
          <w:b/>
          <w:snapToGrid w:val="0"/>
          <w:color w:val="auto"/>
          <w:kern w:val="0"/>
          <w:highlight w:val="none"/>
        </w:rPr>
      </w:pPr>
      <w:bookmarkStart w:id="476" w:name="_Toc11496"/>
      <w:bookmarkStart w:id="477" w:name="_Toc20383"/>
      <w:bookmarkStart w:id="478" w:name="_Toc15003"/>
      <w:bookmarkStart w:id="479" w:name="_Toc18620"/>
      <w:bookmarkStart w:id="480" w:name="_Toc9833"/>
      <w:bookmarkStart w:id="481" w:name="_Toc11316"/>
      <w:bookmarkStart w:id="482" w:name="_Toc4361"/>
      <w:bookmarkStart w:id="483" w:name="_Toc30014"/>
      <w:bookmarkStart w:id="484" w:name="_Toc10825"/>
      <w:bookmarkStart w:id="485" w:name="_Toc16963"/>
      <w:r>
        <w:rPr>
          <w:rFonts w:hint="eastAsia" w:hAnsi="宋体" w:cs="宋体"/>
          <w:b/>
          <w:snapToGrid w:val="0"/>
          <w:color w:val="auto"/>
          <w:kern w:val="0"/>
          <w:highlight w:val="none"/>
        </w:rPr>
        <w:t>格式五 法定代表人身份证明</w:t>
      </w:r>
      <w:bookmarkEnd w:id="476"/>
      <w:bookmarkEnd w:id="477"/>
      <w:bookmarkEnd w:id="478"/>
      <w:bookmarkEnd w:id="479"/>
      <w:bookmarkEnd w:id="480"/>
      <w:bookmarkEnd w:id="481"/>
      <w:bookmarkEnd w:id="482"/>
      <w:bookmarkEnd w:id="483"/>
      <w:bookmarkEnd w:id="484"/>
      <w:bookmarkEnd w:id="485"/>
    </w:p>
    <w:p w14:paraId="67F71AFE">
      <w:pPr>
        <w:shd w:val="clear" w:color="auto" w:fill="auto"/>
        <w:wordWrap w:val="0"/>
        <w:adjustRightInd w:val="0"/>
        <w:snapToGrid w:val="0"/>
        <w:spacing w:line="440" w:lineRule="exact"/>
        <w:rPr>
          <w:rFonts w:hint="eastAsia" w:hAnsi="宋体" w:cs="宋体"/>
          <w:b/>
          <w:snapToGrid w:val="0"/>
          <w:color w:val="auto"/>
          <w:kern w:val="0"/>
          <w:highlight w:val="none"/>
        </w:rPr>
      </w:pPr>
    </w:p>
    <w:p w14:paraId="633C9326">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600AD175">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255A266B">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F47C14">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13DDC9BF">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565C26BF">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0D11120B">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4DEC26EF">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4F48D5D7">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BF211FA">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6F8F8071">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0081D48C">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D98D670">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1B41CB66">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6E8EF9">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6712C3FB">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2FF6D4CD">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6CCB93FB">
      <w:pPr>
        <w:shd w:val="clear" w:color="auto" w:fill="auto"/>
        <w:wordWrap w:val="0"/>
        <w:adjustRightInd w:val="0"/>
        <w:snapToGrid w:val="0"/>
        <w:spacing w:line="440" w:lineRule="exact"/>
        <w:ind w:firstLine="720" w:firstLineChars="300"/>
        <w:rPr>
          <w:rFonts w:hint="eastAsia"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47C3EFAC">
      <w:pPr>
        <w:shd w:val="clear" w:color="auto" w:fill="auto"/>
        <w:wordWrap w:val="0"/>
        <w:adjustRightInd w:val="0"/>
        <w:snapToGrid w:val="0"/>
        <w:rPr>
          <w:rFonts w:hint="eastAsia"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027"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6E492D5">
                            <w:pPr>
                              <w:jc w:val="center"/>
                              <w:rPr>
                                <w:rFonts w:hint="eastAsia"/>
                                <w:szCs w:val="21"/>
                              </w:rPr>
                            </w:pPr>
                          </w:p>
                          <w:p w14:paraId="449BDF54">
                            <w:pPr>
                              <w:jc w:val="center"/>
                              <w:rPr>
                                <w:rFonts w:hint="eastAsia"/>
                                <w:szCs w:val="21"/>
                              </w:rPr>
                            </w:pPr>
                          </w:p>
                          <w:p w14:paraId="109D7427">
                            <w:pPr>
                              <w:jc w:val="center"/>
                              <w:rPr>
                                <w:rFonts w:hint="eastAsia"/>
                                <w:szCs w:val="21"/>
                              </w:rPr>
                            </w:pPr>
                          </w:p>
                          <w:p w14:paraId="54342B4E">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wps:txbx>
                      <wps:bodyPr wrap="square" upright="1"/>
                    </wps:wsp>
                  </a:graphicData>
                </a:graphic>
              </wp:anchor>
            </w:drawing>
          </mc:Choice>
          <mc:Fallback>
            <w:pict>
              <v:shape id="流程图: 可选过程 4"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4V1KbYAAAACQEAAA8AAAAAAAAAAQAgAAAAIgAAAGRycy9kb3ducmV2&#10;LnhtbFBLAQIUABQAAAAIAIdO4kBOb6JaNQIAAGEEAAAOAAAAAAAAAAEAIAAAACcBAABkcnMvZTJv&#10;RG9jLnhtbFBLBQYAAAAABgAGAFkBAADOBQAAAAA=&#10;">
                <v:fill on="t" focussize="0,0"/>
                <v:stroke color="#000000" joinstyle="miter"/>
                <v:imagedata o:title=""/>
                <o:lock v:ext="edit" aspectratio="f"/>
                <v:textbox>
                  <w:txbxContent>
                    <w:p w14:paraId="46E492D5">
                      <w:pPr>
                        <w:jc w:val="center"/>
                        <w:rPr>
                          <w:rFonts w:hint="eastAsia"/>
                          <w:szCs w:val="21"/>
                        </w:rPr>
                      </w:pPr>
                    </w:p>
                    <w:p w14:paraId="449BDF54">
                      <w:pPr>
                        <w:jc w:val="center"/>
                        <w:rPr>
                          <w:rFonts w:hint="eastAsia"/>
                          <w:szCs w:val="21"/>
                        </w:rPr>
                      </w:pPr>
                    </w:p>
                    <w:p w14:paraId="109D7427">
                      <w:pPr>
                        <w:jc w:val="center"/>
                        <w:rPr>
                          <w:rFonts w:hint="eastAsia"/>
                          <w:szCs w:val="21"/>
                        </w:rPr>
                      </w:pPr>
                    </w:p>
                    <w:p w14:paraId="54342B4E">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v:textbox>
              </v:shape>
            </w:pict>
          </mc:Fallback>
        </mc:AlternateContent>
      </w:r>
    </w:p>
    <w:p w14:paraId="70037CE1">
      <w:pPr>
        <w:shd w:val="clear" w:color="auto" w:fill="auto"/>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hAnsi="宋体" w:cs="宋体"/>
          <w:snapToGrid w:val="0"/>
          <w:color w:val="auto"/>
          <w:kern w:val="0"/>
          <w:sz w:val="28"/>
          <w:szCs w:val="28"/>
          <w:highlight w:val="none"/>
        </w:rPr>
      </w:pPr>
    </w:p>
    <w:p w14:paraId="571B2C7F">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433F3FE3">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491ACBDC">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1160A660">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86" w:name="_Toc9374"/>
      <w:bookmarkStart w:id="487" w:name="_Toc3769"/>
      <w:bookmarkStart w:id="488" w:name="_Toc30029"/>
      <w:bookmarkStart w:id="489" w:name="_Toc14874"/>
      <w:bookmarkStart w:id="490" w:name="_Toc18123"/>
      <w:bookmarkStart w:id="491" w:name="_Toc18567"/>
      <w:bookmarkStart w:id="492" w:name="_Toc24439"/>
      <w:bookmarkStart w:id="493" w:name="_Toc9774"/>
      <w:bookmarkStart w:id="494" w:name="_Toc47"/>
      <w:bookmarkStart w:id="495" w:name="_Toc24168"/>
      <w:r>
        <w:rPr>
          <w:rFonts w:hint="eastAsia" w:hAnsi="宋体" w:cs="宋体"/>
          <w:b/>
          <w:bCs/>
          <w:snapToGrid w:val="0"/>
          <w:color w:val="auto"/>
          <w:kern w:val="0"/>
          <w:szCs w:val="24"/>
          <w:highlight w:val="none"/>
        </w:rPr>
        <w:t>格式六 投标人基本情况表</w:t>
      </w:r>
      <w:bookmarkEnd w:id="486"/>
      <w:bookmarkEnd w:id="487"/>
      <w:bookmarkEnd w:id="488"/>
      <w:bookmarkEnd w:id="489"/>
      <w:bookmarkEnd w:id="490"/>
      <w:bookmarkEnd w:id="491"/>
      <w:bookmarkEnd w:id="492"/>
      <w:bookmarkEnd w:id="493"/>
      <w:bookmarkEnd w:id="494"/>
      <w:bookmarkEnd w:id="495"/>
    </w:p>
    <w:p w14:paraId="05F5C004">
      <w:pPr>
        <w:pStyle w:val="50"/>
        <w:widowControl w:val="0"/>
        <w:shd w:val="clear" w:color="auto" w:fill="auto"/>
        <w:wordWrap w:val="0"/>
        <w:adjustRightInd w:val="0"/>
        <w:snapToGrid w:val="0"/>
        <w:spacing w:before="260" w:after="260" w:line="400" w:lineRule="exact"/>
        <w:ind w:firstLine="0"/>
        <w:jc w:val="center"/>
        <w:rPr>
          <w:rFonts w:hint="eastAsia"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94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BFD777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622C4AB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5E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3B674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695C195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3D85F3C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673710B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251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4150B38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56BEBA7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409665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7EE832E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5170154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11D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6204B9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897" w:type="dxa"/>
            <w:vAlign w:val="center"/>
          </w:tcPr>
          <w:p w14:paraId="6D89A6E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5AE2A41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43039A9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7721085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4C9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8E5D1F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2C9CDBF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65C76E5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56AA098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1F37AC3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0EAC9BA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D2A77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50D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59C8DD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7EC3543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F004105">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6907D74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1442B99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7B41D53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202DDC5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DE3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3F87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5919C9E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4434" w:type="dxa"/>
            <w:gridSpan w:val="6"/>
            <w:vAlign w:val="center"/>
          </w:tcPr>
          <w:p w14:paraId="55324BF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1350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4E0F48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1A785F8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1B9EC5E8">
            <w:pPr>
              <w:pStyle w:val="37"/>
              <w:shd w:val="clear" w:color="auto" w:fill="auto"/>
              <w:wordWrap w:val="0"/>
              <w:adjustRightInd w:val="0"/>
              <w:snapToGrid w:val="0"/>
              <w:jc w:val="left"/>
              <w:rPr>
                <w:rFonts w:hint="eastAsia" w:ascii="宋体" w:hAnsi="宋体" w:cs="宋体"/>
                <w:snapToGrid w:val="0"/>
                <w:color w:val="auto"/>
                <w:kern w:val="0"/>
                <w:szCs w:val="21"/>
                <w:highlight w:val="none"/>
              </w:rPr>
            </w:pPr>
          </w:p>
        </w:tc>
        <w:tc>
          <w:tcPr>
            <w:tcW w:w="1089" w:type="dxa"/>
            <w:gridSpan w:val="2"/>
            <w:vMerge w:val="restart"/>
            <w:vAlign w:val="center"/>
          </w:tcPr>
          <w:p w14:paraId="3365BB0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7B4B99C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090EDDF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2AC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F56144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0BB939CA">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1A4DBD6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17671C4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2C09CEE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39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9EE231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5A6C4A3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6326293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0C7B033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0A8AF8A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7D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DF610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5B7BF9B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2C5E4FB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4F712C5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58C6632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4A72C9C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53B8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D5967B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C1851E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31FB3F7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4BAE84F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59210F9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79EBEB6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7194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vAlign w:val="center"/>
          </w:tcPr>
          <w:p w14:paraId="5B89574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3716E01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0CC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485" w:type="dxa"/>
            <w:vAlign w:val="center"/>
          </w:tcPr>
          <w:p w14:paraId="646ED65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252FDF39">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62958C09">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E135B9F">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0BA59108">
            <w:pPr>
              <w:pStyle w:val="37"/>
              <w:shd w:val="clear" w:color="auto" w:fill="auto"/>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28B6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485" w:type="dxa"/>
            <w:vAlign w:val="center"/>
          </w:tcPr>
          <w:p w14:paraId="6E90485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46DA92C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bl>
    <w:p w14:paraId="6824D946">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546F7E9E">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385752AF">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w:t>
      </w:r>
      <w:r>
        <w:rPr>
          <w:rFonts w:hint="eastAsia" w:ascii="宋体" w:hAnsi="宋体" w:cs="宋体"/>
          <w:snapToGrid w:val="0"/>
          <w:color w:val="auto"/>
          <w:kern w:val="0"/>
          <w:szCs w:val="21"/>
          <w:highlight w:val="none"/>
          <w:lang w:val="en-US" w:eastAsia="zh-CN"/>
        </w:rPr>
        <w:t>彩色扫描件（因推行电子证照，企业的营业执照、资质证书等可以提供电子证照）</w:t>
      </w:r>
      <w:r>
        <w:rPr>
          <w:rFonts w:hint="eastAsia" w:ascii="宋体" w:hAnsi="宋体" w:cs="宋体"/>
          <w:snapToGrid w:val="0"/>
          <w:color w:val="auto"/>
          <w:kern w:val="0"/>
          <w:szCs w:val="21"/>
          <w:highlight w:val="none"/>
        </w:rPr>
        <w:t>；</w:t>
      </w:r>
    </w:p>
    <w:p w14:paraId="59D76666">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w:t>
      </w:r>
      <w:r>
        <w:rPr>
          <w:rFonts w:hint="eastAsia" w:ascii="宋体" w:hAnsi="宋体" w:cs="宋体"/>
          <w:snapToGrid w:val="0"/>
          <w:color w:val="auto"/>
          <w:kern w:val="0"/>
          <w:highlight w:val="none"/>
          <w:lang w:val="en-US" w:eastAsia="zh-CN"/>
        </w:rPr>
        <w:t>彩色扫描件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153F4531">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1"/>
          <w:highlight w:val="none"/>
          <w:lang w:eastAsia="zh-CN"/>
        </w:rPr>
        <w:t>法人和非法人组织公共信用信息报告</w:t>
      </w:r>
      <w:r>
        <w:rPr>
          <w:rFonts w:hint="eastAsia" w:ascii="宋体" w:hAnsi="宋体" w:cs="宋体"/>
          <w:snapToGrid w:val="0"/>
          <w:color w:val="auto"/>
          <w:kern w:val="0"/>
          <w:szCs w:val="21"/>
          <w:highlight w:val="none"/>
        </w:rPr>
        <w:t>》(在“信用中国”网站企业查询界面中下载)。</w:t>
      </w:r>
    </w:p>
    <w:p w14:paraId="18C9EFD0">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6" w:name="_Toc35334265"/>
      <w:r>
        <w:rPr>
          <w:rFonts w:hint="eastAsia" w:ascii="Times New Roman"/>
          <w:b/>
          <w:snapToGrid w:val="0"/>
          <w:color w:val="auto"/>
          <w:highlight w:val="none"/>
        </w:rPr>
        <w:br w:type="page"/>
      </w:r>
      <w:bookmarkStart w:id="497" w:name="_Toc9410"/>
      <w:r>
        <w:rPr>
          <w:rFonts w:hint="eastAsia" w:ascii="Times New Roman"/>
          <w:b/>
          <w:snapToGrid w:val="0"/>
          <w:color w:val="auto"/>
          <w:highlight w:val="none"/>
        </w:rPr>
        <w:t>格式七 总监理工程师任职声明（适用于无任职项目）</w:t>
      </w:r>
      <w:bookmarkEnd w:id="496"/>
      <w:bookmarkEnd w:id="497"/>
    </w:p>
    <w:p w14:paraId="28CB5BD2">
      <w:pPr>
        <w:shd w:val="clear" w:color="auto" w:fill="auto"/>
        <w:rPr>
          <w:color w:val="auto"/>
          <w:highlight w:val="none"/>
        </w:rPr>
      </w:pPr>
    </w:p>
    <w:p w14:paraId="3C19FAE6">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3FB2E729">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162FC44C">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463CD3E6">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（项目名称）</w:t>
      </w:r>
      <w:r>
        <w:rPr>
          <w:rFonts w:hint="eastAsia" w:ascii="Times New Roman"/>
          <w:snapToGrid w:val="0"/>
          <w:color w:val="auto"/>
          <w:szCs w:val="24"/>
          <w:highlight w:val="none"/>
          <w:u w:val="single"/>
          <w:lang w:val="en-US" w:eastAsia="zh-CN"/>
        </w:rPr>
        <w:t xml:space="preserve">     </w:t>
      </w:r>
      <w:r>
        <w:rPr>
          <w:rFonts w:hint="eastAsia" w:ascii="Times New Roman"/>
          <w:snapToGrid w:val="0"/>
          <w:color w:val="auto"/>
          <w:kern w:val="0"/>
          <w:szCs w:val="28"/>
          <w:highlight w:val="none"/>
        </w:rPr>
        <w:t>（以下简称“本工程”）的总监理工程师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4C0A4555">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00407B59">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0AF0FC01">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1348C124">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2D545D10">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95C4F36">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5C2010B5">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C3BC3F7">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285D3FB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09463045">
      <w:pPr>
        <w:pStyle w:val="33"/>
        <w:shd w:val="clear" w:color="auto" w:fill="auto"/>
        <w:rPr>
          <w:rFonts w:hint="eastAsia"/>
          <w:color w:val="auto"/>
          <w:highlight w:val="none"/>
        </w:rPr>
      </w:pPr>
    </w:p>
    <w:p w14:paraId="0BE1FA6A">
      <w:pPr>
        <w:pStyle w:val="33"/>
        <w:shd w:val="clear" w:color="auto" w:fill="auto"/>
        <w:rPr>
          <w:rFonts w:hint="eastAsia"/>
          <w:color w:val="auto"/>
          <w:highlight w:val="none"/>
        </w:rPr>
      </w:pPr>
      <w:r>
        <w:rPr>
          <w:rFonts w:hint="eastAsia"/>
          <w:b w:val="0"/>
          <w:snapToGrid w:val="0"/>
          <w:color w:val="auto"/>
          <w:kern w:val="0"/>
          <w:szCs w:val="28"/>
          <w:highlight w:val="none"/>
        </w:rPr>
        <w:t xml:space="preserve">        </w:t>
      </w:r>
    </w:p>
    <w:p w14:paraId="7FE63A1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56A617F3">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692C8EE2">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1AA4D73F">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8" w:name="_Toc15795"/>
      <w:bookmarkStart w:id="499" w:name="_Toc35334266"/>
      <w:r>
        <w:rPr>
          <w:rFonts w:hint="eastAsia" w:ascii="Times New Roman"/>
          <w:b/>
          <w:snapToGrid w:val="0"/>
          <w:color w:val="auto"/>
          <w:highlight w:val="none"/>
        </w:rPr>
        <w:t>格式八 总监理工程师任职声明（适用于有任职项目）</w:t>
      </w:r>
      <w:bookmarkEnd w:id="498"/>
      <w:bookmarkEnd w:id="499"/>
    </w:p>
    <w:p w14:paraId="1511B507">
      <w:pPr>
        <w:shd w:val="clear" w:color="auto" w:fill="auto"/>
        <w:rPr>
          <w:color w:val="auto"/>
          <w:highlight w:val="none"/>
        </w:rPr>
      </w:pPr>
    </w:p>
    <w:p w14:paraId="5BD62884">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5A4B0F3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424AD4DB">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26BF97AC">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w:t>
      </w:r>
      <w:r>
        <w:rPr>
          <w:rFonts w:hint="eastAsia" w:ascii="Times New Roman"/>
          <w:snapToGrid w:val="0"/>
          <w:color w:val="auto"/>
          <w:szCs w:val="24"/>
          <w:highlight w:val="none"/>
        </w:rPr>
        <w:t>（项目名称）</w:t>
      </w:r>
      <w:r>
        <w:rPr>
          <w:rFonts w:hint="eastAsia" w:ascii="Times New Roman"/>
          <w:snapToGrid w:val="0"/>
          <w:color w:val="auto"/>
          <w:kern w:val="0"/>
          <w:szCs w:val="28"/>
          <w:highlight w:val="none"/>
        </w:rPr>
        <w:t>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53756B4B">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6B817BAD">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6536AF58">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39226E65">
      <w:pPr>
        <w:shd w:val="clear" w:color="auto" w:fill="auto"/>
        <w:wordWrap w:val="0"/>
        <w:adjustRightInd w:val="0"/>
        <w:snapToGrid w:val="0"/>
        <w:spacing w:line="440" w:lineRule="exact"/>
        <w:ind w:firstLine="480"/>
        <w:rPr>
          <w:rFonts w:ascii="Times New Roman"/>
          <w:snapToGrid w:val="0"/>
          <w:color w:val="auto"/>
          <w:kern w:val="0"/>
          <w:szCs w:val="28"/>
          <w:highlight w:val="none"/>
        </w:rPr>
      </w:pPr>
    </w:p>
    <w:p w14:paraId="40EDD7D0">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08ED10AB">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69ED307B">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7A4B0A2E">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42E03C5">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6F484055">
      <w:pPr>
        <w:pStyle w:val="33"/>
        <w:shd w:val="clear" w:color="auto" w:fill="auto"/>
        <w:rPr>
          <w:rFonts w:hint="eastAsia"/>
          <w:b w:val="0"/>
          <w:color w:val="auto"/>
          <w:highlight w:val="none"/>
        </w:rPr>
      </w:pPr>
    </w:p>
    <w:p w14:paraId="36E25104">
      <w:pPr>
        <w:pStyle w:val="33"/>
        <w:shd w:val="clear" w:color="auto" w:fill="auto"/>
        <w:rPr>
          <w:rFonts w:hint="eastAsia"/>
          <w:b w:val="0"/>
          <w:color w:val="auto"/>
          <w:highlight w:val="none"/>
        </w:rPr>
      </w:pPr>
      <w:r>
        <w:rPr>
          <w:rFonts w:hint="eastAsia"/>
          <w:b w:val="0"/>
          <w:snapToGrid w:val="0"/>
          <w:color w:val="auto"/>
          <w:kern w:val="0"/>
          <w:szCs w:val="28"/>
          <w:highlight w:val="none"/>
        </w:rPr>
        <w:t xml:space="preserve">                       </w:t>
      </w:r>
    </w:p>
    <w:p w14:paraId="07584150">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375E5931">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0FA6935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3BD6C0BD">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7F8F175F">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500" w:name="_Toc35334267"/>
      <w:bookmarkStart w:id="501" w:name="_Toc14806"/>
      <w:r>
        <w:rPr>
          <w:rFonts w:hint="eastAsia" w:ascii="Times New Roman"/>
          <w:b/>
          <w:snapToGrid w:val="0"/>
          <w:color w:val="auto"/>
          <w:highlight w:val="none"/>
        </w:rPr>
        <w:t>格式九 总监理工程师任职项目情况表</w:t>
      </w:r>
      <w:bookmarkEnd w:id="500"/>
      <w:bookmarkEnd w:id="501"/>
    </w:p>
    <w:p w14:paraId="009646A5">
      <w:pPr>
        <w:shd w:val="clear" w:color="auto" w:fill="auto"/>
        <w:rPr>
          <w:rFonts w:hint="eastAsia"/>
          <w:color w:val="auto"/>
          <w:highlight w:val="none"/>
        </w:rPr>
      </w:pPr>
    </w:p>
    <w:p w14:paraId="1B12CF36">
      <w:pPr>
        <w:pStyle w:val="50"/>
        <w:widowControl w:val="0"/>
        <w:shd w:val="clear" w:color="auto" w:fill="auto"/>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 xml:space="preserve"> 总监理工程师任职项目情况表（）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5603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53EED2F">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vAlign w:val="center"/>
          </w:tcPr>
          <w:p w14:paraId="2F3BBD00">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7833F518">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vAlign w:val="center"/>
          </w:tcPr>
          <w:p w14:paraId="7F51EA6E">
            <w:pPr>
              <w:pStyle w:val="37"/>
              <w:shd w:val="clear" w:color="auto" w:fill="auto"/>
              <w:wordWrap w:val="0"/>
              <w:adjustRightInd w:val="0"/>
              <w:snapToGrid w:val="0"/>
              <w:jc w:val="center"/>
              <w:rPr>
                <w:snapToGrid w:val="0"/>
                <w:color w:val="auto"/>
                <w:kern w:val="0"/>
                <w:szCs w:val="21"/>
                <w:highlight w:val="none"/>
              </w:rPr>
            </w:pPr>
          </w:p>
        </w:tc>
      </w:tr>
      <w:tr w14:paraId="084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41789F52">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委托人名称</w:t>
            </w:r>
          </w:p>
        </w:tc>
        <w:tc>
          <w:tcPr>
            <w:tcW w:w="2771" w:type="dxa"/>
            <w:vAlign w:val="center"/>
          </w:tcPr>
          <w:p w14:paraId="6F2BC6E1">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3D457882">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vAlign w:val="center"/>
          </w:tcPr>
          <w:p w14:paraId="50EE512E">
            <w:pPr>
              <w:pStyle w:val="37"/>
              <w:shd w:val="clear" w:color="auto" w:fill="auto"/>
              <w:wordWrap w:val="0"/>
              <w:adjustRightInd w:val="0"/>
              <w:snapToGrid w:val="0"/>
              <w:jc w:val="center"/>
              <w:rPr>
                <w:snapToGrid w:val="0"/>
                <w:color w:val="auto"/>
                <w:kern w:val="0"/>
                <w:szCs w:val="21"/>
                <w:highlight w:val="none"/>
              </w:rPr>
            </w:pPr>
          </w:p>
        </w:tc>
      </w:tr>
      <w:tr w14:paraId="5A6A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2B2879">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委托人电话</w:t>
            </w:r>
          </w:p>
        </w:tc>
        <w:tc>
          <w:tcPr>
            <w:tcW w:w="2771" w:type="dxa"/>
            <w:vAlign w:val="center"/>
          </w:tcPr>
          <w:p w14:paraId="20BFF1FC">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31DEFB0F">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vAlign w:val="center"/>
          </w:tcPr>
          <w:p w14:paraId="2E5B0578">
            <w:pPr>
              <w:pStyle w:val="37"/>
              <w:shd w:val="clear" w:color="auto" w:fill="auto"/>
              <w:wordWrap w:val="0"/>
              <w:adjustRightInd w:val="0"/>
              <w:snapToGrid w:val="0"/>
              <w:jc w:val="center"/>
              <w:rPr>
                <w:snapToGrid w:val="0"/>
                <w:color w:val="auto"/>
                <w:kern w:val="0"/>
                <w:szCs w:val="21"/>
                <w:highlight w:val="none"/>
              </w:rPr>
            </w:pPr>
          </w:p>
        </w:tc>
      </w:tr>
      <w:tr w14:paraId="0A35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82D655E">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监理服务期限</w:t>
            </w:r>
          </w:p>
        </w:tc>
        <w:tc>
          <w:tcPr>
            <w:tcW w:w="2771" w:type="dxa"/>
            <w:vAlign w:val="center"/>
          </w:tcPr>
          <w:p w14:paraId="5F13F47D">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234F85A7">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vAlign w:val="center"/>
          </w:tcPr>
          <w:p w14:paraId="74E77598">
            <w:pPr>
              <w:pStyle w:val="37"/>
              <w:shd w:val="clear" w:color="auto" w:fill="auto"/>
              <w:wordWrap w:val="0"/>
              <w:adjustRightInd w:val="0"/>
              <w:snapToGrid w:val="0"/>
              <w:jc w:val="center"/>
              <w:rPr>
                <w:snapToGrid w:val="0"/>
                <w:color w:val="auto"/>
                <w:kern w:val="0"/>
                <w:szCs w:val="21"/>
                <w:highlight w:val="none"/>
              </w:rPr>
            </w:pPr>
          </w:p>
        </w:tc>
      </w:tr>
      <w:tr w14:paraId="15C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41CE1374">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项目描述</w:t>
            </w:r>
          </w:p>
        </w:tc>
        <w:tc>
          <w:tcPr>
            <w:tcW w:w="7000" w:type="dxa"/>
            <w:gridSpan w:val="3"/>
            <w:vAlign w:val="center"/>
          </w:tcPr>
          <w:p w14:paraId="0B1D3DB7">
            <w:pPr>
              <w:pStyle w:val="37"/>
              <w:shd w:val="clear" w:color="auto" w:fill="auto"/>
              <w:wordWrap w:val="0"/>
              <w:adjustRightInd w:val="0"/>
              <w:snapToGrid w:val="0"/>
              <w:jc w:val="left"/>
              <w:rPr>
                <w:snapToGrid w:val="0"/>
                <w:color w:val="auto"/>
                <w:kern w:val="0"/>
                <w:szCs w:val="21"/>
                <w:highlight w:val="none"/>
              </w:rPr>
            </w:pPr>
          </w:p>
        </w:tc>
      </w:tr>
      <w:tr w14:paraId="451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4FECEF92">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vAlign w:val="center"/>
          </w:tcPr>
          <w:p w14:paraId="662CBF92">
            <w:pPr>
              <w:pStyle w:val="37"/>
              <w:shd w:val="clear" w:color="auto" w:fill="auto"/>
              <w:adjustRightInd w:val="0"/>
              <w:snapToGrid w:val="0"/>
              <w:spacing w:line="360" w:lineRule="auto"/>
              <w:rPr>
                <w:rFonts w:hint="eastAsia"/>
                <w:snapToGrid w:val="0"/>
                <w:color w:val="auto"/>
                <w:kern w:val="0"/>
                <w:szCs w:val="21"/>
                <w:highlight w:val="none"/>
              </w:rPr>
            </w:pPr>
          </w:p>
          <w:p w14:paraId="24CB1C87">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0A68AA30">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我方在此声明：</w:t>
            </w:r>
          </w:p>
          <w:p w14:paraId="5C00F61B">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一、在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EA56E78">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二、无论</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1531B48C">
            <w:pPr>
              <w:pStyle w:val="37"/>
              <w:shd w:val="clear" w:color="auto" w:fill="auto"/>
              <w:adjustRightInd w:val="0"/>
              <w:snapToGrid w:val="0"/>
              <w:spacing w:line="360" w:lineRule="auto"/>
              <w:rPr>
                <w:rFonts w:hint="eastAsia"/>
                <w:snapToGrid w:val="0"/>
                <w:color w:val="auto"/>
                <w:kern w:val="0"/>
                <w:szCs w:val="21"/>
                <w:highlight w:val="none"/>
              </w:rPr>
            </w:pPr>
          </w:p>
          <w:p w14:paraId="1CD48E3B">
            <w:pPr>
              <w:pStyle w:val="37"/>
              <w:shd w:val="clear" w:color="auto" w:fill="auto"/>
              <w:adjustRightInd w:val="0"/>
              <w:snapToGrid w:val="0"/>
              <w:spacing w:line="360" w:lineRule="auto"/>
              <w:rPr>
                <w:rFonts w:hint="eastAsia"/>
                <w:snapToGrid w:val="0"/>
                <w:color w:val="auto"/>
                <w:kern w:val="0"/>
                <w:szCs w:val="21"/>
                <w:highlight w:val="none"/>
              </w:rPr>
            </w:pPr>
          </w:p>
          <w:p w14:paraId="3D921A90">
            <w:pPr>
              <w:pStyle w:val="37"/>
              <w:shd w:val="clear" w:color="auto" w:fill="auto"/>
              <w:adjustRightInd w:val="0"/>
              <w:snapToGrid w:val="0"/>
              <w:spacing w:line="360" w:lineRule="auto"/>
              <w:jc w:val="right"/>
              <w:rPr>
                <w:rFonts w:hint="eastAsia"/>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19DC21C5">
            <w:pPr>
              <w:pStyle w:val="37"/>
              <w:shd w:val="clear" w:color="auto" w:fill="auto"/>
              <w:adjustRightInd w:val="0"/>
              <w:snapToGrid w:val="0"/>
              <w:spacing w:line="360" w:lineRule="auto"/>
              <w:jc w:val="right"/>
              <w:rPr>
                <w:rFonts w:hint="eastAsia"/>
                <w:snapToGrid w:val="0"/>
                <w:color w:val="auto"/>
                <w:kern w:val="0"/>
                <w:szCs w:val="21"/>
                <w:highlight w:val="none"/>
              </w:rPr>
            </w:pPr>
          </w:p>
          <w:p w14:paraId="4E33A108">
            <w:pPr>
              <w:pStyle w:val="37"/>
              <w:shd w:val="clear" w:color="auto" w:fill="auto"/>
              <w:adjustRightInd w:val="0"/>
              <w:snapToGrid w:val="0"/>
              <w:spacing w:line="360" w:lineRule="auto"/>
              <w:jc w:val="center"/>
              <w:rPr>
                <w:rFonts w:hint="eastAsia"/>
                <w:snapToGrid w:val="0"/>
                <w:color w:val="auto"/>
                <w:kern w:val="0"/>
                <w:szCs w:val="21"/>
                <w:highlight w:val="none"/>
              </w:rPr>
            </w:pPr>
            <w:r>
              <w:rPr>
                <w:rFonts w:hint="eastAsia"/>
                <w:snapToGrid w:val="0"/>
                <w:color w:val="auto"/>
                <w:kern w:val="0"/>
                <w:szCs w:val="21"/>
                <w:highlight w:val="none"/>
              </w:rPr>
              <w:t xml:space="preserve">                             年    月    日</w:t>
            </w:r>
          </w:p>
        </w:tc>
      </w:tr>
    </w:tbl>
    <w:p w14:paraId="235B3D8B">
      <w:pPr>
        <w:pStyle w:val="37"/>
        <w:shd w:val="clear" w:color="auto" w:fill="auto"/>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2138BDB7">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0D1A242B">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w:t>
      </w:r>
      <w:r>
        <w:rPr>
          <w:rFonts w:hint="eastAsia"/>
          <w:snapToGrid w:val="0"/>
          <w:color w:val="auto"/>
          <w:kern w:val="0"/>
          <w:szCs w:val="21"/>
          <w:highlight w:val="none"/>
          <w:lang w:val="en-US" w:eastAsia="zh-CN"/>
        </w:rPr>
        <w:t>彩色扫描件</w:t>
      </w:r>
      <w:r>
        <w:rPr>
          <w:rFonts w:hint="eastAsia"/>
          <w:snapToGrid w:val="0"/>
          <w:color w:val="auto"/>
          <w:kern w:val="0"/>
          <w:szCs w:val="21"/>
          <w:highlight w:val="none"/>
        </w:rPr>
        <w:t>。</w:t>
      </w:r>
    </w:p>
    <w:p w14:paraId="4C5D6F0B">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3</w:t>
      </w:r>
      <w:r>
        <w:rPr>
          <w:rFonts w:hint="eastAsia"/>
          <w:snapToGrid w:val="0"/>
          <w:color w:val="auto"/>
          <w:kern w:val="0"/>
          <w:szCs w:val="28"/>
          <w:highlight w:val="none"/>
        </w:rPr>
        <w:t>．投标人填写本</w:t>
      </w:r>
      <w:r>
        <w:rPr>
          <w:rFonts w:hint="eastAsia"/>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18DCC956">
      <w:pPr>
        <w:pStyle w:val="50"/>
        <w:widowControl w:val="0"/>
        <w:shd w:val="clear" w:color="auto" w:fill="auto"/>
        <w:wordWrap w:val="0"/>
        <w:adjustRightInd w:val="0"/>
        <w:snapToGrid w:val="0"/>
        <w:spacing w:line="400" w:lineRule="exact"/>
        <w:jc w:val="center"/>
        <w:rPr>
          <w:rFonts w:hint="eastAsia" w:hAnsi="宋体" w:cs="宋体"/>
          <w:snapToGrid w:val="0"/>
          <w:color w:val="auto"/>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338DE644">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02" w:name="_Toc28680"/>
      <w:bookmarkStart w:id="503" w:name="_Toc17537"/>
      <w:bookmarkStart w:id="504" w:name="_Toc30576"/>
      <w:bookmarkStart w:id="505" w:name="_Toc17917"/>
      <w:bookmarkStart w:id="506" w:name="_Toc20541"/>
      <w:bookmarkStart w:id="507" w:name="_Toc18734"/>
      <w:bookmarkStart w:id="508" w:name="_Toc15065"/>
      <w:bookmarkStart w:id="509" w:name="_Toc21483"/>
      <w:bookmarkStart w:id="510" w:name="_Toc3412"/>
      <w:bookmarkStart w:id="511" w:name="_Toc15226"/>
      <w:bookmarkStart w:id="512" w:name="_Toc200338098"/>
      <w:bookmarkStart w:id="513" w:name="_Toc8264"/>
      <w:r>
        <w:rPr>
          <w:rFonts w:hint="eastAsia" w:ascii="Times New Roman" w:hAnsi="Times New Roman" w:eastAsia="宋体" w:cs="Times New Roman"/>
          <w:b/>
          <w:snapToGrid w:val="0"/>
          <w:color w:val="auto"/>
          <w:highlight w:val="none"/>
        </w:rPr>
        <w:t>格式</w:t>
      </w:r>
      <w:bookmarkStart w:id="514" w:name="_Hlt287950384"/>
      <w:bookmarkEnd w:id="514"/>
      <w:r>
        <w:rPr>
          <w:rFonts w:hint="eastAsia" w:ascii="Times New Roman" w:hAnsi="Times New Roman" w:eastAsia="宋体" w:cs="Times New Roman"/>
          <w:b/>
          <w:snapToGrid w:val="0"/>
          <w:color w:val="auto"/>
          <w:highlight w:val="none"/>
          <w:lang w:val="en-US" w:eastAsia="zh-CN"/>
        </w:rPr>
        <w:t>十</w:t>
      </w:r>
      <w:r>
        <w:rPr>
          <w:rFonts w:hint="eastAsia" w:ascii="Times New Roman" w:hAnsi="Times New Roman" w:eastAsia="宋体" w:cs="Times New Roman"/>
          <w:b/>
          <w:snapToGrid w:val="0"/>
          <w:color w:val="auto"/>
          <w:highlight w:val="none"/>
        </w:rPr>
        <w:t xml:space="preserve"> 项目监理机构组成人员汇总表</w:t>
      </w:r>
      <w:bookmarkEnd w:id="502"/>
      <w:bookmarkEnd w:id="503"/>
      <w:bookmarkEnd w:id="504"/>
      <w:bookmarkEnd w:id="505"/>
      <w:bookmarkEnd w:id="506"/>
      <w:bookmarkEnd w:id="507"/>
      <w:bookmarkEnd w:id="508"/>
      <w:bookmarkEnd w:id="509"/>
      <w:bookmarkEnd w:id="510"/>
      <w:bookmarkEnd w:id="511"/>
    </w:p>
    <w:p w14:paraId="16BDAD91">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1D850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4E187CF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462D48C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181C82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34043CD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52EE130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185874E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6F478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1A6C65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0F9B11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3D50486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7348845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2183E46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05ADAE0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A900BC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08CCC9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40D37D0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4D3BC4E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4650B7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6587E3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66839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D890F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1E9B25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8A8DF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2BD6C7C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065F90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7059286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A82039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1EBD8C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C43EEB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780A4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99941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4EB1A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E553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7FA61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5314EE7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F91D51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9B2CD4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90033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9DD951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306A7C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FA4420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B4C9C3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07A3D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58FE55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72417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CACD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774E9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2B366C4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15D08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410E945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2C8F9D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8958A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2F1E1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55DA2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4DD26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F4B91E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582D4A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C5D7A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893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090395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56AA5B5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198165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472C4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AA83AB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FFA04D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0755F7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DA67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1598A7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10335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B217F0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6BB651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4D1A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5694B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B1287B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665C97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5E6716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2E671B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D88A0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389B5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088F8C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3952659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13578AC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BC5BB2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8B9100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07C8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311DA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C6F5C4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7D5BBB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45BFA8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7E122F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B881D2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33AF82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AA6EAB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E948AE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DFFE8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7E010D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FA5867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599F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F3B4C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CB2D14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0CB7F4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66F272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3E41B0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905D0E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66A8E0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CA9A95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9C8105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64A04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238DED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1132D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0514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A9300A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88BB0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C327A0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48E08E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3C71BF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54FEC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654A1C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B32758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0EFB5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96807F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EEEDC9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016C7E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75B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B41FB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A664E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5CDDDD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0C68BA9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5D7FB2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D2D776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688BE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F9C7F2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DDC08D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44E24E7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8F0533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975C6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bookmarkStart w:id="515" w:name="_Hlt68774664"/>
        <w:bookmarkStart w:id="516" w:name="_附件二十五：综合评审合理低价法"/>
        <w:bookmarkStart w:id="517" w:name="_附件二十四：技术标提问单"/>
        <w:bookmarkStart w:id="518" w:name="_Hlt69116778"/>
        <w:bookmarkStart w:id="519" w:name="_附件十：单项工程费汇总表"/>
      </w:tr>
      <w:bookmarkEnd w:id="512"/>
      <w:bookmarkEnd w:id="513"/>
      <w:bookmarkEnd w:id="515"/>
      <w:bookmarkEnd w:id="516"/>
      <w:bookmarkEnd w:id="517"/>
      <w:bookmarkEnd w:id="518"/>
      <w:bookmarkEnd w:id="519"/>
      <w:tr w14:paraId="7252F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9EEF07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4135A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98707D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31B479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81C5B3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7E5AF9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38A58E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67B631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D36E0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A15FA3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868AD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6CE19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78910A71">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说明：</w:t>
      </w:r>
    </w:p>
    <w:p w14:paraId="60E5CA8C">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p>
    <w:p w14:paraId="502FC438">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sectPr>
          <w:endnotePr>
            <w:numFmt w:val="decimal"/>
          </w:endnotePr>
          <w:pgSz w:w="16838" w:h="11906" w:orient="landscape"/>
          <w:pgMar w:top="1531" w:right="1531" w:bottom="1531" w:left="1531" w:header="850" w:footer="992" w:gutter="0"/>
          <w:cols w:space="720" w:num="1"/>
          <w:rtlGutter w:val="0"/>
          <w:docGrid w:linePitch="327" w:charSpace="0"/>
        </w:sectPr>
      </w:pPr>
    </w:p>
    <w:p w14:paraId="00D0F436">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20" w:name="_Toc20819"/>
      <w:bookmarkStart w:id="521" w:name="_Toc32518"/>
      <w:bookmarkStart w:id="522" w:name="_Toc15987"/>
      <w:bookmarkStart w:id="523" w:name="_Toc13501"/>
      <w:bookmarkStart w:id="524" w:name="_Toc13203"/>
      <w:bookmarkStart w:id="525" w:name="_Toc28573"/>
      <w:bookmarkStart w:id="526" w:name="_Toc15824"/>
      <w:bookmarkStart w:id="527" w:name="_Toc3545"/>
      <w:bookmarkStart w:id="528" w:name="_Toc10343"/>
      <w:bookmarkStart w:id="529" w:name="_Toc20233"/>
      <w:r>
        <w:rPr>
          <w:rFonts w:hint="eastAsia" w:ascii="Times New Roman" w:hAnsi="Times New Roman" w:eastAsia="宋体" w:cs="Times New Roman"/>
          <w:b/>
          <w:snapToGrid w:val="0"/>
          <w:color w:val="auto"/>
          <w:highlight w:val="none"/>
        </w:rPr>
        <w:t>格式</w:t>
      </w:r>
      <w:r>
        <w:rPr>
          <w:rFonts w:hint="eastAsia" w:ascii="Times New Roman" w:hAnsi="Times New Roman" w:eastAsia="宋体" w:cs="Times New Roman"/>
          <w:b/>
          <w:snapToGrid w:val="0"/>
          <w:color w:val="auto"/>
          <w:highlight w:val="none"/>
          <w:lang w:val="en-US" w:eastAsia="zh-CN"/>
        </w:rPr>
        <w:t>十一</w:t>
      </w:r>
      <w:r>
        <w:rPr>
          <w:rFonts w:hint="eastAsia" w:ascii="Times New Roman" w:hAnsi="Times New Roman" w:eastAsia="宋体" w:cs="Times New Roman"/>
          <w:b/>
          <w:snapToGrid w:val="0"/>
          <w:color w:val="auto"/>
          <w:highlight w:val="none"/>
        </w:rPr>
        <w:t xml:space="preserve"> 总监理工程师简历表</w:t>
      </w:r>
      <w:bookmarkEnd w:id="520"/>
      <w:bookmarkEnd w:id="521"/>
      <w:bookmarkEnd w:id="522"/>
      <w:bookmarkEnd w:id="523"/>
      <w:bookmarkEnd w:id="524"/>
      <w:bookmarkEnd w:id="525"/>
      <w:bookmarkEnd w:id="526"/>
      <w:bookmarkEnd w:id="527"/>
      <w:bookmarkEnd w:id="528"/>
      <w:bookmarkEnd w:id="529"/>
    </w:p>
    <w:p w14:paraId="03541C48">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04FF0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D8A54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AB9BCB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416C19D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3811587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6E190A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6008A2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BF39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231B8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EED6A7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A547E5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7082048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721CB8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348B2A5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3D92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E6744C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100039A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728BCF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B405E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9E46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1339A9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EBDC51A">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6A178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6FCAA47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072F1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C89F8F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1E251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28C1B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60330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3E8B04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C84C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637A0E9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E544EF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59EB2D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98D6CE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CB84E3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2E79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FE47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CAD8B0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FC5380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02A324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98822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0D10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E8487A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848376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44E8B3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2C3A3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136C9B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0398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5A438C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93E08B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6C8E4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84FBB3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CDB8F4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729DECAD">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总监理工程师简历表</w:t>
      </w:r>
    </w:p>
    <w:p w14:paraId="60D9E4A3">
      <w:pPr>
        <w:shd w:val="clear" w:color="auto" w:fill="auto"/>
        <w:wordWrap w:val="0"/>
        <w:adjustRightInd w:val="0"/>
        <w:snapToGrid w:val="0"/>
        <w:spacing w:line="440" w:lineRule="exact"/>
        <w:ind w:firstLine="570"/>
        <w:rPr>
          <w:rFonts w:hint="eastAsia" w:hAnsi="宋体" w:cs="宋体"/>
          <w:snapToGrid w:val="0"/>
          <w:color w:val="auto"/>
          <w:kern w:val="0"/>
          <w:szCs w:val="28"/>
          <w:highlight w:val="none"/>
        </w:rPr>
      </w:pPr>
    </w:p>
    <w:p w14:paraId="22665C96">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0A7B57AE">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5983A48D">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5BFFC8A7">
      <w:pPr>
        <w:pStyle w:val="46"/>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2FAC9C7F">
      <w:pPr>
        <w:shd w:val="clear" w:color="auto" w:fill="auto"/>
        <w:wordWrap w:val="0"/>
        <w:adjustRightInd w:val="0"/>
        <w:snapToGrid w:val="0"/>
        <w:spacing w:line="400" w:lineRule="exact"/>
        <w:ind w:firstLine="570"/>
        <w:rPr>
          <w:rFonts w:hint="eastAsia" w:hAnsi="宋体" w:cs="宋体"/>
          <w:snapToGrid w:val="0"/>
          <w:color w:val="auto"/>
          <w:kern w:val="0"/>
          <w:szCs w:val="28"/>
          <w:highlight w:val="none"/>
        </w:rPr>
      </w:pPr>
    </w:p>
    <w:p w14:paraId="028A0EDF">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说明：《总监理工程师简历表》后应附拟委派的总监理工程师以下资料：</w:t>
      </w:r>
    </w:p>
    <w:p w14:paraId="17504229">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2FE415D2">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val="en-US" w:eastAsia="zh-CN"/>
        </w:rPr>
        <w:t>或</w:t>
      </w:r>
      <w:r>
        <w:rPr>
          <w:rFonts w:hint="eastAsia" w:hAnsi="宋体" w:cs="宋体"/>
          <w:snapToGrid w:val="0"/>
          <w:color w:val="auto"/>
          <w:kern w:val="0"/>
          <w:sz w:val="21"/>
          <w:szCs w:val="28"/>
          <w:highlight w:val="none"/>
        </w:rPr>
        <w:t>在使用有效期内的有效电子证书；</w:t>
      </w:r>
    </w:p>
    <w:p w14:paraId="7FD502B6">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w:t>
      </w:r>
      <w:r>
        <w:rPr>
          <w:rFonts w:hint="eastAsia" w:hAnsi="宋体" w:cs="宋体"/>
          <w:snapToGrid w:val="0"/>
          <w:color w:val="auto"/>
          <w:kern w:val="0"/>
          <w:sz w:val="21"/>
          <w:szCs w:val="28"/>
          <w:highlight w:val="none"/>
        </w:rPr>
        <w:t>缴纳社保的证明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三个</w:t>
      </w:r>
      <w:r>
        <w:rPr>
          <w:rFonts w:hint="eastAsia" w:hAnsi="宋体" w:cs="宋体"/>
          <w:snapToGrid w:val="0"/>
          <w:color w:val="auto"/>
          <w:kern w:val="0"/>
          <w:sz w:val="21"/>
          <w:szCs w:val="28"/>
          <w:highlight w:val="none"/>
        </w:rPr>
        <w:t>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9月</w:t>
      </w:r>
      <w:r>
        <w:rPr>
          <w:rFonts w:hint="eastAsia" w:hAnsi="宋体" w:cs="宋体"/>
          <w:snapToGrid w:val="0"/>
          <w:color w:val="auto"/>
          <w:kern w:val="0"/>
          <w:sz w:val="21"/>
          <w:szCs w:val="28"/>
          <w:highlight w:val="none"/>
        </w:rPr>
        <w:t>）。拟委派的总监理工程师为退休返聘人员无法提供社保证明的，提供退休证和劳动合同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p w14:paraId="4EBF3D2E">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472AE9E2">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6A2D4247">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388D10A3">
      <w:pPr>
        <w:shd w:val="clear" w:color="auto" w:fill="auto"/>
        <w:wordWrap w:val="0"/>
        <w:adjustRightInd w:val="0"/>
        <w:snapToGrid w:val="0"/>
        <w:spacing w:line="440" w:lineRule="exact"/>
        <w:jc w:val="left"/>
        <w:outlineLvl w:val="2"/>
        <w:rPr>
          <w:rFonts w:hint="eastAsia" w:hAnsi="宋体" w:cs="宋体"/>
          <w:b/>
          <w:bCs/>
          <w:snapToGrid w:val="0"/>
          <w:color w:val="auto"/>
          <w:kern w:val="0"/>
          <w:szCs w:val="24"/>
          <w:highlight w:val="none"/>
        </w:rPr>
      </w:pPr>
      <w:bookmarkStart w:id="530" w:name="_Toc26155"/>
      <w:bookmarkStart w:id="531" w:name="_Toc1875"/>
      <w:bookmarkStart w:id="532" w:name="_Toc32546"/>
      <w:bookmarkStart w:id="533" w:name="_Toc4497"/>
      <w:bookmarkStart w:id="534" w:name="_Toc6762"/>
      <w:bookmarkStart w:id="535" w:name="_Toc13930"/>
      <w:bookmarkStart w:id="536" w:name="_Toc29390"/>
      <w:bookmarkStart w:id="537" w:name="_Toc26095"/>
      <w:r>
        <w:rPr>
          <w:rFonts w:hint="eastAsia" w:hAnsi="宋体" w:cs="宋体"/>
          <w:b/>
          <w:snapToGrid w:val="0"/>
          <w:color w:val="auto"/>
          <w:kern w:val="0"/>
          <w:highlight w:val="none"/>
        </w:rPr>
        <w:br w:type="page"/>
      </w:r>
      <w:bookmarkStart w:id="538" w:name="_Toc20134"/>
      <w:bookmarkStart w:id="539" w:name="_Toc30376"/>
      <w:r>
        <w:rPr>
          <w:rStyle w:val="30"/>
          <w:rFonts w:hint="eastAsia"/>
          <w:b/>
          <w:bCs/>
          <w:color w:val="auto"/>
          <w:highlight w:val="none"/>
          <w:lang w:val="en-US" w:eastAsia="zh-CN"/>
        </w:rPr>
        <w:t>格式十二 其他拟委派的人员简历表</w:t>
      </w:r>
      <w:bookmarkEnd w:id="530"/>
      <w:bookmarkEnd w:id="531"/>
      <w:bookmarkEnd w:id="532"/>
      <w:bookmarkEnd w:id="533"/>
      <w:bookmarkEnd w:id="534"/>
      <w:bookmarkEnd w:id="535"/>
      <w:bookmarkEnd w:id="536"/>
      <w:bookmarkEnd w:id="537"/>
      <w:bookmarkEnd w:id="538"/>
      <w:bookmarkEnd w:id="539"/>
    </w:p>
    <w:p w14:paraId="0A203528">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2BAEA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CAC13F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5C2F4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1D22E2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7D4D9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DD4214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511AEE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FF30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4C9289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35AFCE1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2B2F2D5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18B44F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EC8491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09755A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D6B0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15E4EF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09BBD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433029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3388B8F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982F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ECAF5C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21E6E09D">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77368D29">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EEE3E6E">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1CF5A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49B2B24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71567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058182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8E9859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E7D37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72911E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4FAAE6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445BB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771BB8C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97D76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77A95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E1C9DF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A184A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9379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4BE3B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7D91A2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7FBC20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92EF2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9F77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7541F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AC791E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C6FC0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2C6770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39AFC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A83AD1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3E2C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D730B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42BE1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5A711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BA5E69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B8A8C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5BCCF895">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其他拟委派的人员简历表</w:t>
      </w:r>
      <w:r>
        <w:rPr>
          <w:rFonts w:hint="eastAsia" w:ascii="Times New Roman"/>
          <w:b/>
          <w:snapToGrid w:val="0"/>
          <w:color w:val="auto"/>
          <w:kern w:val="0"/>
          <w:sz w:val="30"/>
          <w:highlight w:val="none"/>
        </w:rPr>
        <w:t>（）</w:t>
      </w:r>
    </w:p>
    <w:p w14:paraId="5C7E5A75">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4267511A">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509E6CC9">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1．“其他拟委派的人员”指项目监理机构中除总监理工程师以外的拟委派的人员（如专业监理工程师、监理员等），拟委派的人员一人一表，</w:t>
      </w:r>
      <w:r>
        <w:rPr>
          <w:rFonts w:hint="eastAsia" w:hAnsi="宋体" w:cs="宋体"/>
          <w:snapToGrid w:val="0"/>
          <w:color w:val="auto"/>
          <w:kern w:val="0"/>
          <w:sz w:val="21"/>
          <w:szCs w:val="21"/>
          <w:highlight w:val="none"/>
        </w:rPr>
        <w:t>并标明序号。</w:t>
      </w:r>
    </w:p>
    <w:p w14:paraId="3C926DD5">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2．每份简历表后应附该拟委派的人员以下资料：</w:t>
      </w:r>
    </w:p>
    <w:p w14:paraId="7A8E9F0A">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2DF964E5">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（2）相关证书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lang w:val="en-US" w:eastAsia="zh-CN"/>
        </w:rPr>
        <w:t>或在使用有效期内的有效电子证书</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1"/>
          <w:highlight w:val="none"/>
        </w:rPr>
        <w:t>；</w:t>
      </w:r>
    </w:p>
    <w:p w14:paraId="1DA74B76">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在本单位缴</w:t>
      </w:r>
      <w:r>
        <w:rPr>
          <w:rFonts w:hint="eastAsia" w:hAnsi="宋体" w:cs="宋体"/>
          <w:snapToGrid w:val="0"/>
          <w:color w:val="auto"/>
          <w:kern w:val="0"/>
          <w:sz w:val="21"/>
          <w:szCs w:val="28"/>
          <w:highlight w:val="none"/>
        </w:rPr>
        <w:t>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w:t>
      </w:r>
      <w:r>
        <w:rPr>
          <w:rFonts w:hint="eastAsia" w:hAnsi="宋体" w:cs="宋体"/>
          <w:snapToGrid w:val="0"/>
          <w:color w:val="auto"/>
          <w:kern w:val="0"/>
          <w:sz w:val="21"/>
          <w:szCs w:val="28"/>
          <w:highlight w:val="none"/>
        </w:rPr>
        <w:t>个月，其中必须有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9月</w:t>
      </w:r>
      <w:r>
        <w:rPr>
          <w:rFonts w:hint="eastAsia" w:hAnsi="宋体" w:cs="宋体"/>
          <w:snapToGrid w:val="0"/>
          <w:color w:val="auto"/>
          <w:kern w:val="0"/>
          <w:sz w:val="21"/>
          <w:szCs w:val="28"/>
          <w:highlight w:val="none"/>
        </w:rPr>
        <w:t>）。其他拟委派的人员为退休返聘人员无法提供社保证明的，提供退休证和劳动合同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bookmarkEnd w:id="412"/>
    <w:bookmarkEnd w:id="413"/>
    <w:p w14:paraId="18D583AF">
      <w:pPr>
        <w:pStyle w:val="50"/>
        <w:widowControl w:val="0"/>
        <w:shd w:val="clear" w:color="auto" w:fill="auto"/>
        <w:wordWrap w:val="0"/>
        <w:adjustRightInd w:val="0"/>
        <w:snapToGrid w:val="0"/>
        <w:spacing w:line="440" w:lineRule="exact"/>
        <w:ind w:firstLine="0"/>
        <w:outlineLvl w:val="2"/>
        <w:rPr>
          <w:rStyle w:val="30"/>
          <w:rFonts w:hint="eastAsia" w:ascii="Times New Roman" w:hAnsi="Times New Roman" w:eastAsia="宋体" w:cs="Times New Roman"/>
          <w:b/>
          <w:bCs/>
          <w:color w:val="auto"/>
          <w:kern w:val="2"/>
          <w:highlight w:val="none"/>
          <w:lang w:val="en-US" w:eastAsia="zh-CN" w:bidi="ar-SA"/>
        </w:rPr>
      </w:pPr>
      <w:r>
        <w:rPr>
          <w:rFonts w:hint="eastAsia" w:hAnsi="宋体" w:cs="宋体"/>
          <w:b/>
          <w:bCs/>
          <w:snapToGrid w:val="0"/>
          <w:color w:val="auto"/>
          <w:sz w:val="24"/>
          <w:highlight w:val="none"/>
        </w:rPr>
        <w:br w:type="page"/>
      </w:r>
      <w:bookmarkStart w:id="540" w:name="_Toc7684"/>
      <w:bookmarkStart w:id="541" w:name="_Toc8263"/>
      <w:bookmarkStart w:id="542" w:name="_Toc20301"/>
      <w:bookmarkStart w:id="543" w:name="_Toc3417"/>
      <w:bookmarkStart w:id="544" w:name="_Toc19935"/>
      <w:bookmarkStart w:id="545" w:name="_Toc15130"/>
      <w:bookmarkStart w:id="546" w:name="_Toc31108"/>
      <w:bookmarkStart w:id="547" w:name="_Toc1022"/>
      <w:bookmarkStart w:id="548" w:name="_Toc6615"/>
      <w:bookmarkStart w:id="549" w:name="_Toc5484"/>
      <w:r>
        <w:rPr>
          <w:rStyle w:val="30"/>
          <w:rFonts w:hint="eastAsia" w:ascii="Times New Roman" w:hAnsi="Times New Roman" w:eastAsia="宋体" w:cs="Times New Roman"/>
          <w:b/>
          <w:bCs/>
          <w:color w:val="auto"/>
          <w:kern w:val="2"/>
          <w:highlight w:val="none"/>
          <w:lang w:val="en-US" w:eastAsia="zh-CN" w:bidi="ar-SA"/>
        </w:rPr>
        <w:t>格式十三 监理及相关服务报酬清单</w:t>
      </w:r>
      <w:bookmarkEnd w:id="540"/>
      <w:bookmarkEnd w:id="541"/>
      <w:bookmarkEnd w:id="542"/>
      <w:bookmarkEnd w:id="543"/>
      <w:bookmarkEnd w:id="544"/>
      <w:bookmarkEnd w:id="545"/>
      <w:bookmarkEnd w:id="546"/>
      <w:bookmarkEnd w:id="547"/>
      <w:bookmarkEnd w:id="548"/>
      <w:bookmarkEnd w:id="549"/>
    </w:p>
    <w:p w14:paraId="28F019EB">
      <w:pPr>
        <w:pStyle w:val="50"/>
        <w:widowControl w:val="0"/>
        <w:shd w:val="clear" w:color="auto" w:fill="auto"/>
        <w:wordWrap w:val="0"/>
        <w:adjustRightInd w:val="0"/>
        <w:snapToGrid w:val="0"/>
        <w:spacing w:before="260" w:after="260" w:line="440" w:lineRule="exact"/>
        <w:ind w:firstLine="0"/>
        <w:jc w:val="center"/>
        <w:rPr>
          <w:rFonts w:hint="eastAsia" w:hAnsi="宋体" w:cs="宋体"/>
          <w:b/>
          <w:bCs/>
          <w:snapToGrid w:val="0"/>
          <w:color w:val="auto"/>
          <w:sz w:val="30"/>
          <w:highlight w:val="none"/>
        </w:rPr>
      </w:pPr>
      <w:r>
        <w:rPr>
          <w:rFonts w:hint="eastAsia" w:hAnsi="宋体" w:cs="宋体"/>
          <w:b/>
          <w:bCs/>
          <w:snapToGrid w:val="0"/>
          <w:color w:val="auto"/>
          <w:sz w:val="30"/>
          <w:highlight w:val="none"/>
        </w:rPr>
        <w:t>监理及相关服务报酬清单</w:t>
      </w:r>
    </w:p>
    <w:p w14:paraId="1E18ADD9">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1．监理及相关服务报酬清单说明</w:t>
      </w:r>
    </w:p>
    <w:p w14:paraId="45F8AFDA">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w:t>
      </w:r>
    </w:p>
    <w:p w14:paraId="1F5C76CC">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2．监理及相关服务报酬清单</w:t>
      </w:r>
    </w:p>
    <w:p w14:paraId="38794007">
      <w:pPr>
        <w:pStyle w:val="50"/>
        <w:widowControl w:val="0"/>
        <w:shd w:val="clear" w:color="auto" w:fill="auto"/>
        <w:wordWrap w:val="0"/>
        <w:adjustRightInd w:val="0"/>
        <w:snapToGrid w:val="0"/>
        <w:spacing w:line="440" w:lineRule="exact"/>
        <w:ind w:firstLine="0"/>
        <w:jc w:val="right"/>
        <w:rPr>
          <w:rFonts w:hint="eastAsia" w:hAnsi="宋体" w:cs="宋体"/>
          <w:snapToGrid w:val="0"/>
          <w:color w:val="auto"/>
          <w:sz w:val="24"/>
          <w:highlight w:val="none"/>
        </w:rPr>
      </w:pPr>
      <w:r>
        <w:rPr>
          <w:rFonts w:hint="eastAsia" w:hAnsi="宋体" w:cs="宋体"/>
          <w:snapToGrid w:val="0"/>
          <w:color w:val="auto"/>
          <w:sz w:val="24"/>
          <w:highlight w:val="none"/>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65EE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vAlign w:val="center"/>
          </w:tcPr>
          <w:p w14:paraId="493EEDC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序号</w:t>
            </w:r>
          </w:p>
        </w:tc>
        <w:tc>
          <w:tcPr>
            <w:tcW w:w="2783" w:type="dxa"/>
            <w:gridSpan w:val="3"/>
            <w:vAlign w:val="center"/>
          </w:tcPr>
          <w:p w14:paraId="0954BB3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分项名称</w:t>
            </w:r>
          </w:p>
        </w:tc>
        <w:tc>
          <w:tcPr>
            <w:tcW w:w="2340" w:type="dxa"/>
            <w:vAlign w:val="center"/>
          </w:tcPr>
          <w:p w14:paraId="38E6D76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计算公式</w:t>
            </w:r>
          </w:p>
        </w:tc>
        <w:tc>
          <w:tcPr>
            <w:tcW w:w="1252" w:type="dxa"/>
            <w:vAlign w:val="center"/>
          </w:tcPr>
          <w:p w14:paraId="29B5C1E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金额</w:t>
            </w:r>
          </w:p>
        </w:tc>
        <w:tc>
          <w:tcPr>
            <w:tcW w:w="2328" w:type="dxa"/>
            <w:vAlign w:val="center"/>
          </w:tcPr>
          <w:p w14:paraId="389C5A0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备注</w:t>
            </w:r>
          </w:p>
        </w:tc>
      </w:tr>
      <w:tr w14:paraId="311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6DE99FA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1</w:t>
            </w:r>
          </w:p>
        </w:tc>
        <w:tc>
          <w:tcPr>
            <w:tcW w:w="480" w:type="dxa"/>
            <w:vMerge w:val="restart"/>
            <w:vAlign w:val="center"/>
          </w:tcPr>
          <w:p w14:paraId="28C769D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直接成本</w:t>
            </w:r>
          </w:p>
        </w:tc>
        <w:tc>
          <w:tcPr>
            <w:tcW w:w="503" w:type="dxa"/>
            <w:vMerge w:val="restart"/>
            <w:vAlign w:val="center"/>
          </w:tcPr>
          <w:p w14:paraId="2FF4C82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人员费用</w:t>
            </w:r>
          </w:p>
        </w:tc>
        <w:tc>
          <w:tcPr>
            <w:tcW w:w="1800" w:type="dxa"/>
            <w:vAlign w:val="center"/>
          </w:tcPr>
          <w:p w14:paraId="2BCCD1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总监理工程师</w:t>
            </w:r>
          </w:p>
        </w:tc>
        <w:tc>
          <w:tcPr>
            <w:tcW w:w="2340" w:type="dxa"/>
            <w:vAlign w:val="center"/>
          </w:tcPr>
          <w:p w14:paraId="7ABF8B5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A5F7BE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restart"/>
            <w:vAlign w:val="center"/>
          </w:tcPr>
          <w:p w14:paraId="587881D5">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含监理、相关服务人员的工资以及一切津贴、补贴、奖金等。</w:t>
            </w:r>
          </w:p>
        </w:tc>
      </w:tr>
      <w:tr w14:paraId="636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68CA136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07D64B0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194A1BB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7093D37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专业监理工程师</w:t>
            </w:r>
          </w:p>
        </w:tc>
        <w:tc>
          <w:tcPr>
            <w:tcW w:w="2340" w:type="dxa"/>
            <w:vAlign w:val="center"/>
          </w:tcPr>
          <w:p w14:paraId="29C865E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70E584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568185D4">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09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70D909A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3A67E8E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31A838E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0EA1CD2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监理员</w:t>
            </w:r>
          </w:p>
        </w:tc>
        <w:tc>
          <w:tcPr>
            <w:tcW w:w="2340" w:type="dxa"/>
            <w:vAlign w:val="center"/>
          </w:tcPr>
          <w:p w14:paraId="49626E6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93E45A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4722006B">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6FDE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0EC94C5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1EE1576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3938139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1458F0F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5ECF26C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D83BA2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62FC6A3B">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3FC0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vAlign w:val="center"/>
          </w:tcPr>
          <w:p w14:paraId="0C4892D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2D0AB1C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restart"/>
            <w:vAlign w:val="center"/>
          </w:tcPr>
          <w:p w14:paraId="58589AF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专项费用</w:t>
            </w:r>
          </w:p>
        </w:tc>
        <w:tc>
          <w:tcPr>
            <w:tcW w:w="1800" w:type="dxa"/>
            <w:vAlign w:val="center"/>
          </w:tcPr>
          <w:p w14:paraId="108AEA0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现场办公费</w:t>
            </w:r>
          </w:p>
        </w:tc>
        <w:tc>
          <w:tcPr>
            <w:tcW w:w="2340" w:type="dxa"/>
            <w:vAlign w:val="center"/>
          </w:tcPr>
          <w:p w14:paraId="662685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B30745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FE21EDA">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含现场办公所需各种办公用品摊销折旧费用。</w:t>
            </w:r>
          </w:p>
        </w:tc>
      </w:tr>
      <w:tr w14:paraId="0F8B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AC57665">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1AFB087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7CAA30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1E05EBD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交通差旅住宿费</w:t>
            </w:r>
          </w:p>
        </w:tc>
        <w:tc>
          <w:tcPr>
            <w:tcW w:w="2340" w:type="dxa"/>
            <w:vAlign w:val="center"/>
          </w:tcPr>
          <w:p w14:paraId="799DCD0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00B18A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1F2AA5A2">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BE6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vAlign w:val="center"/>
          </w:tcPr>
          <w:p w14:paraId="024072D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5353576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7494726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70E287C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其他费用</w:t>
            </w:r>
          </w:p>
        </w:tc>
        <w:tc>
          <w:tcPr>
            <w:tcW w:w="2340" w:type="dxa"/>
            <w:vAlign w:val="center"/>
          </w:tcPr>
          <w:p w14:paraId="59A3BB7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B4CF89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2B44FC7C">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含加班费等各种可预见和不可预见费用。</w:t>
            </w:r>
          </w:p>
        </w:tc>
      </w:tr>
      <w:tr w14:paraId="1FFE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53EFC3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615D752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4B2FF58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6D73DCC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5E5A831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759DD5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AB5E74C">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02BB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2275BC3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2</w:t>
            </w:r>
          </w:p>
        </w:tc>
        <w:tc>
          <w:tcPr>
            <w:tcW w:w="2783" w:type="dxa"/>
            <w:gridSpan w:val="3"/>
            <w:vAlign w:val="center"/>
          </w:tcPr>
          <w:p w14:paraId="088BC11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企业管理费</w:t>
            </w:r>
          </w:p>
        </w:tc>
        <w:tc>
          <w:tcPr>
            <w:tcW w:w="2340" w:type="dxa"/>
            <w:vAlign w:val="center"/>
          </w:tcPr>
          <w:p w14:paraId="2A4702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12DC39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24E06F00">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15F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7E5C248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3</w:t>
            </w:r>
          </w:p>
        </w:tc>
        <w:tc>
          <w:tcPr>
            <w:tcW w:w="2783" w:type="dxa"/>
            <w:gridSpan w:val="3"/>
            <w:vAlign w:val="center"/>
          </w:tcPr>
          <w:p w14:paraId="7B2040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利润</w:t>
            </w:r>
          </w:p>
        </w:tc>
        <w:tc>
          <w:tcPr>
            <w:tcW w:w="2340" w:type="dxa"/>
            <w:vAlign w:val="center"/>
          </w:tcPr>
          <w:p w14:paraId="61B5246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EDACAE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46DCBE23">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0E27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75FA10E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4</w:t>
            </w:r>
          </w:p>
        </w:tc>
        <w:tc>
          <w:tcPr>
            <w:tcW w:w="480" w:type="dxa"/>
            <w:vMerge w:val="restart"/>
            <w:vAlign w:val="center"/>
          </w:tcPr>
          <w:p w14:paraId="0E62B5D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税金</w:t>
            </w:r>
          </w:p>
        </w:tc>
        <w:tc>
          <w:tcPr>
            <w:tcW w:w="2303" w:type="dxa"/>
            <w:gridSpan w:val="2"/>
            <w:vAlign w:val="center"/>
          </w:tcPr>
          <w:p w14:paraId="1AD2816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增值税</w:t>
            </w:r>
          </w:p>
        </w:tc>
        <w:tc>
          <w:tcPr>
            <w:tcW w:w="2340" w:type="dxa"/>
            <w:vAlign w:val="center"/>
          </w:tcPr>
          <w:p w14:paraId="69AB22D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31C768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5F7D3769">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4BD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08B4555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3495F10">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27A1E54E">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所得税</w:t>
            </w:r>
          </w:p>
        </w:tc>
        <w:tc>
          <w:tcPr>
            <w:tcW w:w="2340" w:type="dxa"/>
            <w:vAlign w:val="center"/>
          </w:tcPr>
          <w:p w14:paraId="1CB0D70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2C9B5A81">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5D99A029">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3D6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6C1D6D1">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1A40BA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47B97699">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其他附加税</w:t>
            </w:r>
          </w:p>
        </w:tc>
        <w:tc>
          <w:tcPr>
            <w:tcW w:w="2340" w:type="dxa"/>
            <w:vAlign w:val="center"/>
          </w:tcPr>
          <w:p w14:paraId="5EAAAAB0">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205D75DE">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7B14FB69">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AF2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ECE6D1C">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294BD49">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70450007">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snapToGrid w:val="0"/>
                <w:color w:val="auto"/>
                <w:sz w:val="21"/>
                <w:highlight w:val="none"/>
              </w:rPr>
              <w:t>……</w:t>
            </w:r>
          </w:p>
        </w:tc>
        <w:tc>
          <w:tcPr>
            <w:tcW w:w="2340" w:type="dxa"/>
            <w:vAlign w:val="center"/>
          </w:tcPr>
          <w:p w14:paraId="4613BD12">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3F1AC5E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76ED41E3">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B28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222C660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783" w:type="dxa"/>
            <w:gridSpan w:val="3"/>
            <w:vAlign w:val="center"/>
          </w:tcPr>
          <w:p w14:paraId="2602EF9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139AB72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0ED2DA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6BBAB5E4">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6F31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vAlign w:val="center"/>
          </w:tcPr>
          <w:p w14:paraId="5148A78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合计报价</w:t>
            </w:r>
          </w:p>
        </w:tc>
        <w:tc>
          <w:tcPr>
            <w:tcW w:w="1252" w:type="dxa"/>
            <w:vAlign w:val="center"/>
          </w:tcPr>
          <w:p w14:paraId="76D7236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082A4951">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bl>
    <w:p w14:paraId="7F38D272">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sectPr>
          <w:endnotePr>
            <w:numFmt w:val="decimal"/>
          </w:endnotePr>
          <w:pgSz w:w="11906" w:h="16838"/>
          <w:pgMar w:top="1531" w:right="1531" w:bottom="1531" w:left="1531" w:header="850" w:footer="992" w:gutter="0"/>
          <w:cols w:space="720" w:num="1"/>
          <w:rtlGutter w:val="0"/>
          <w:docGrid w:linePitch="327" w:charSpace="0"/>
        </w:sectPr>
      </w:pPr>
      <w:r>
        <w:rPr>
          <w:rFonts w:hint="eastAsia" w:hAnsi="宋体" w:cs="宋体"/>
          <w:snapToGrid w:val="0"/>
          <w:color w:val="auto"/>
          <w:sz w:val="21"/>
          <w:highlight w:val="none"/>
        </w:rPr>
        <w:t>说明：表中“分项名称”栏目中的内容仅供参考，投标人可结合企业实际情况以及招标文件要求自行填写。</w:t>
      </w:r>
    </w:p>
    <w:bookmarkEnd w:id="5"/>
    <w:bookmarkEnd w:id="414"/>
    <w:bookmarkEnd w:id="415"/>
    <w:p w14:paraId="38A434D7">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bookmarkStart w:id="550" w:name="_附件十六：措施项目清单计价表"/>
      <w:bookmarkEnd w:id="550"/>
      <w:bookmarkStart w:id="551" w:name="_Hlt87783244"/>
      <w:bookmarkEnd w:id="551"/>
      <w:bookmarkStart w:id="552" w:name="_附件二十一：土建工程、电气工程、给排水工程工程清单项目费汇总表"/>
      <w:bookmarkEnd w:id="552"/>
      <w:bookmarkStart w:id="553" w:name="_Hlt87793582"/>
      <w:bookmarkEnd w:id="553"/>
      <w:bookmarkStart w:id="554" w:name="_Toc35007037"/>
      <w:bookmarkStart w:id="555" w:name="_Toc1079"/>
      <w:bookmarkStart w:id="556" w:name="_Toc2590"/>
      <w:bookmarkStart w:id="557" w:name="_Toc15862"/>
      <w:bookmarkStart w:id="558" w:name="_Toc23708"/>
      <w:bookmarkStart w:id="559" w:name="_Toc2734"/>
      <w:bookmarkStart w:id="560" w:name="_Toc30690"/>
      <w:bookmarkStart w:id="561" w:name="_Toc4392"/>
      <w:bookmarkStart w:id="562" w:name="_Toc19005"/>
      <w:bookmarkStart w:id="563" w:name="_Toc9978"/>
      <w:bookmarkStart w:id="564" w:name="_Toc32735"/>
      <w:bookmarkStart w:id="565" w:name="_Toc8368"/>
      <w:bookmarkStart w:id="566" w:name="_Toc30195"/>
      <w:bookmarkStart w:id="567" w:name="_Toc137444778"/>
      <w:bookmarkStart w:id="568" w:name="_Toc142468134"/>
      <w:bookmarkStart w:id="569" w:name="_Toc133160683"/>
      <w:bookmarkStart w:id="570" w:name="_Toc132687128"/>
      <w:bookmarkStart w:id="571" w:name="_Toc13722"/>
      <w:bookmarkStart w:id="572" w:name="_Toc133815902"/>
      <w:bookmarkStart w:id="573" w:name="_Toc78794873"/>
    </w:p>
    <w:p w14:paraId="2DEC951E">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p>
    <w:bookmarkEnd w:id="554"/>
    <w:bookmarkEnd w:id="555"/>
    <w:bookmarkEnd w:id="556"/>
    <w:bookmarkEnd w:id="557"/>
    <w:bookmarkEnd w:id="558"/>
    <w:bookmarkEnd w:id="559"/>
    <w:bookmarkEnd w:id="560"/>
    <w:bookmarkEnd w:id="561"/>
    <w:bookmarkEnd w:id="562"/>
    <w:bookmarkEnd w:id="563"/>
    <w:bookmarkEnd w:id="564"/>
    <w:bookmarkEnd w:id="565"/>
    <w:bookmarkEnd w:id="566"/>
    <w:p w14:paraId="2F2025BF">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574" w:name="_Toc3629"/>
      <w:bookmarkStart w:id="575" w:name="_Toc20168"/>
      <w:bookmarkStart w:id="576" w:name="_Toc22163"/>
      <w:bookmarkStart w:id="577" w:name="_Toc20526"/>
      <w:bookmarkStart w:id="578" w:name="_Toc3376"/>
      <w:bookmarkStart w:id="579" w:name="_Toc19899"/>
      <w:bookmarkStart w:id="580" w:name="_Toc11009"/>
      <w:bookmarkStart w:id="581" w:name="_Toc10006"/>
      <w:bookmarkStart w:id="582" w:name="_Toc28376"/>
      <w:bookmarkStart w:id="583" w:name="_Toc23860"/>
      <w:bookmarkStart w:id="584" w:name="_Toc17687"/>
      <w:r>
        <w:rPr>
          <w:rFonts w:hint="eastAsia" w:hAnsi="宋体" w:cs="宋体"/>
          <w:b/>
          <w:snapToGrid w:val="0"/>
          <w:color w:val="auto"/>
          <w:sz w:val="24"/>
          <w:highlight w:val="none"/>
        </w:rPr>
        <w:t>第六章 建设工程监理合同</w:t>
      </w:r>
      <w:bookmarkEnd w:id="567"/>
      <w:bookmarkEnd w:id="568"/>
      <w:bookmarkEnd w:id="569"/>
      <w:bookmarkEnd w:id="570"/>
      <w:bookmarkEnd w:id="571"/>
      <w:bookmarkEnd w:id="574"/>
      <w:bookmarkEnd w:id="575"/>
      <w:bookmarkEnd w:id="576"/>
      <w:bookmarkEnd w:id="577"/>
      <w:bookmarkEnd w:id="578"/>
      <w:bookmarkEnd w:id="579"/>
      <w:bookmarkEnd w:id="580"/>
      <w:bookmarkEnd w:id="581"/>
      <w:bookmarkEnd w:id="582"/>
      <w:bookmarkEnd w:id="583"/>
      <w:bookmarkEnd w:id="584"/>
    </w:p>
    <w:p w14:paraId="1A88BBA6">
      <w:pPr>
        <w:shd w:val="clear" w:color="auto" w:fill="auto"/>
        <w:wordWrap w:val="0"/>
        <w:adjustRightInd w:val="0"/>
        <w:snapToGrid w:val="0"/>
        <w:spacing w:line="440" w:lineRule="exact"/>
        <w:rPr>
          <w:rFonts w:hint="eastAsia" w:hAnsi="宋体" w:cs="宋体"/>
          <w:snapToGrid w:val="0"/>
          <w:color w:val="auto"/>
          <w:kern w:val="0"/>
          <w:highlight w:val="none"/>
        </w:rPr>
      </w:pPr>
    </w:p>
    <w:p w14:paraId="308BA042">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（略），</w:t>
      </w:r>
      <w:bookmarkEnd w:id="572"/>
      <w:bookmarkEnd w:id="573"/>
      <w:r>
        <w:rPr>
          <w:rFonts w:hint="eastAsia" w:hAnsi="宋体" w:cs="宋体"/>
          <w:snapToGrid w:val="0"/>
          <w:color w:val="auto"/>
          <w:kern w:val="0"/>
          <w:highlight w:val="none"/>
        </w:rPr>
        <w:t>按照《建设工程监理合同（示范文本）》（GF—2012—0202）执行。</w:t>
      </w:r>
    </w:p>
    <w:p w14:paraId="53A2827B">
      <w:pPr>
        <w:shd w:val="clear" w:color="auto" w:fill="auto"/>
        <w:rPr>
          <w:rFonts w:hint="eastAsia" w:hAnsi="宋体" w:cs="宋体"/>
          <w:color w:val="auto"/>
          <w:highlight w:val="none"/>
        </w:rPr>
      </w:pPr>
    </w:p>
    <w:sectPr>
      <w:endnotePr>
        <w:numFmt w:val="decimal"/>
      </w:endnotePr>
      <w:pgSz w:w="11906" w:h="16838"/>
      <w:pgMar w:top="1701" w:right="1531" w:bottom="1417" w:left="1531" w:header="850" w:footer="992" w:gutter="0"/>
      <w:cols w:space="72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000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645B">
    <w:pPr>
      <w:pStyle w:val="15"/>
      <w:rPr>
        <w:rFonts w:hint="eastAsia"/>
      </w:rPr>
    </w:pPr>
  </w:p>
  <w:p w14:paraId="5B584764">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456A">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3205">
    <w:pPr>
      <w:pStyle w:val="15"/>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3D0FD7">
                          <w:pPr>
                            <w:pStyle w:val="1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793D0FD7">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DkzMDExZmZlMDNjYzI3MWQ2ZjMwZGUwNGZjNmYifQ=="/>
  </w:docVars>
  <w:rsids>
    <w:rsidRoot w:val="00000000"/>
    <w:rsid w:val="040C2057"/>
    <w:rsid w:val="04263344"/>
    <w:rsid w:val="04332778"/>
    <w:rsid w:val="0DC951FD"/>
    <w:rsid w:val="15555F5D"/>
    <w:rsid w:val="168D57EA"/>
    <w:rsid w:val="19AC41D9"/>
    <w:rsid w:val="1B7178AF"/>
    <w:rsid w:val="1B73717C"/>
    <w:rsid w:val="1C113148"/>
    <w:rsid w:val="205E055C"/>
    <w:rsid w:val="20D21CE6"/>
    <w:rsid w:val="212B00D9"/>
    <w:rsid w:val="2A4D469E"/>
    <w:rsid w:val="2B664C71"/>
    <w:rsid w:val="2BC32F57"/>
    <w:rsid w:val="2C8B4122"/>
    <w:rsid w:val="2E1D4D6F"/>
    <w:rsid w:val="2FD15CD6"/>
    <w:rsid w:val="31842E38"/>
    <w:rsid w:val="32094C5C"/>
    <w:rsid w:val="3AFE1F63"/>
    <w:rsid w:val="3DDB4D41"/>
    <w:rsid w:val="3E0F1990"/>
    <w:rsid w:val="3F893F62"/>
    <w:rsid w:val="41EF7491"/>
    <w:rsid w:val="43503D75"/>
    <w:rsid w:val="46744A2C"/>
    <w:rsid w:val="499A75B2"/>
    <w:rsid w:val="4AAC7304"/>
    <w:rsid w:val="504A0D3D"/>
    <w:rsid w:val="51E30B9B"/>
    <w:rsid w:val="5238293B"/>
    <w:rsid w:val="53CF492F"/>
    <w:rsid w:val="54F16968"/>
    <w:rsid w:val="54F505E7"/>
    <w:rsid w:val="55FA39AA"/>
    <w:rsid w:val="566E11AC"/>
    <w:rsid w:val="56CF2CD9"/>
    <w:rsid w:val="593F4F22"/>
    <w:rsid w:val="594D2274"/>
    <w:rsid w:val="5D003D94"/>
    <w:rsid w:val="5D891D05"/>
    <w:rsid w:val="674A63AC"/>
    <w:rsid w:val="6AB51D8E"/>
    <w:rsid w:val="6CBE3C61"/>
    <w:rsid w:val="6F2F65B3"/>
    <w:rsid w:val="78510297"/>
    <w:rsid w:val="7C735160"/>
    <w:rsid w:val="7ECA4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imes New Roman" w:hAnsi="Times New Roman" w:eastAsia="宋体" w:cs="Times New Roman"/>
      <w:kern w:val="0"/>
      <w:sz w:val="30"/>
    </w:rPr>
  </w:style>
  <w:style w:type="paragraph" w:styleId="3">
    <w:name w:val="heading 2"/>
    <w:basedOn w:val="1"/>
    <w:next w:val="1"/>
    <w:qFormat/>
    <w:uiPriority w:val="0"/>
    <w:pPr>
      <w:autoSpaceDE w:val="0"/>
      <w:autoSpaceDN w:val="0"/>
      <w:adjustRightInd w:val="0"/>
      <w:jc w:val="left"/>
      <w:outlineLvl w:val="1"/>
    </w:pPr>
    <w:rPr>
      <w:rFonts w:ascii="Times New Roman" w:hAnsi="Times New Roman" w:eastAsia="宋体" w:cs="Times New Roman"/>
      <w:kern w:val="0"/>
      <w:sz w:val="24"/>
    </w:rPr>
  </w:style>
  <w:style w:type="paragraph" w:styleId="4">
    <w:name w:val="heading 3"/>
    <w:basedOn w:val="5"/>
    <w:next w:val="5"/>
    <w:link w:val="30"/>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styleId="6">
    <w:name w:val="heading 4"/>
    <w:basedOn w:val="1"/>
    <w:next w:val="1"/>
    <w:qFormat/>
    <w:uiPriority w:val="0"/>
    <w:pPr>
      <w:keepNext/>
      <w:keepLines/>
      <w:spacing w:before="280" w:beforeAutospacing="0" w:after="290" w:afterAutospacing="0" w:line="374" w:lineRule="auto"/>
      <w:outlineLvl w:val="3"/>
    </w:pPr>
    <w:rPr>
      <w:rFonts w:ascii="Arial" w:hAnsi="Arial" w:eastAsia="宋体" w:cs="Times New Roman"/>
      <w:sz w:val="24"/>
    </w:rPr>
  </w:style>
  <w:style w:type="character" w:default="1" w:styleId="26">
    <w:name w:val="Default Paragraph Font"/>
    <w:autoRedefine/>
    <w:qFormat/>
    <w:uiPriority w:val="0"/>
    <w:rPr>
      <w:rFonts w:ascii="Times New Roman" w:hAnsi="Times New Roman" w:eastAsia="宋体" w:cs="Times New Roman"/>
    </w:rPr>
  </w:style>
  <w:style w:type="table" w:default="1" w:styleId="24">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rFonts w:ascii="Times New Roman" w:hAnsi="Times New Roman" w:eastAsia="宋体" w:cs="Times New Roman"/>
      <w:kern w:val="0"/>
      <w:sz w:val="20"/>
    </w:rPr>
  </w:style>
  <w:style w:type="paragraph" w:styleId="7">
    <w:name w:val="annotation text"/>
    <w:basedOn w:val="1"/>
    <w:next w:val="1"/>
    <w:link w:val="31"/>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8">
    <w:name w:val="Body Text"/>
    <w:basedOn w:val="1"/>
    <w:autoRedefine/>
    <w:qFormat/>
    <w:uiPriority w:val="0"/>
    <w:pPr>
      <w:spacing w:after="120" w:afterAutospacing="0"/>
    </w:pPr>
    <w:rPr>
      <w:rFonts w:ascii="Times New Roman" w:hAnsi="Times New Roman" w:eastAsia="宋体" w:cs="Times New Roman"/>
    </w:rPr>
  </w:style>
  <w:style w:type="paragraph" w:styleId="9">
    <w:name w:val="Body Text Indent"/>
    <w:basedOn w:val="1"/>
    <w:next w:val="10"/>
    <w:autoRedefine/>
    <w:qFormat/>
    <w:uiPriority w:val="0"/>
    <w:pPr>
      <w:ind w:firstLine="560" w:firstLineChars="200"/>
    </w:pPr>
    <w:rPr>
      <w:rFonts w:ascii="宋体" w:hAnsi="Times New Roman" w:eastAsia="宋体" w:cs="Times New Roman"/>
      <w:kern w:val="2"/>
      <w:sz w:val="24"/>
    </w:rPr>
  </w:style>
  <w:style w:type="paragraph" w:styleId="10">
    <w:name w:val="envelope return"/>
    <w:basedOn w:val="1"/>
    <w:autoRedefine/>
    <w:qFormat/>
    <w:uiPriority w:val="0"/>
    <w:pPr>
      <w:snapToGrid w:val="0"/>
    </w:pPr>
    <w:rPr>
      <w:rFonts w:ascii="Arial" w:hAnsi="Arial" w:eastAsia="宋体" w:cs="Times New Roman"/>
    </w:rPr>
  </w:style>
  <w:style w:type="paragraph" w:styleId="11">
    <w:name w:val="toc 3"/>
    <w:basedOn w:val="1"/>
    <w:next w:val="1"/>
    <w:autoRedefine/>
    <w:qFormat/>
    <w:uiPriority w:val="0"/>
    <w:pPr>
      <w:ind w:left="561"/>
      <w:jc w:val="left"/>
    </w:pPr>
    <w:rPr>
      <w:rFonts w:ascii="Times New Roman" w:hAnsi="Times New Roman" w:eastAsia="宋体" w:cs="Times New Roman"/>
      <w:sz w:val="24"/>
    </w:rPr>
  </w:style>
  <w:style w:type="paragraph" w:styleId="12">
    <w:name w:val="Plain Text"/>
    <w:basedOn w:val="1"/>
    <w:autoRedefine/>
    <w:qFormat/>
    <w:uiPriority w:val="0"/>
    <w:rPr>
      <w:rFonts w:ascii="宋体" w:hAnsi="Courier New" w:eastAsia="华文宋体" w:cs="Times New Roman"/>
      <w:sz w:val="28"/>
    </w:rPr>
  </w:style>
  <w:style w:type="paragraph" w:styleId="13">
    <w:name w:val="Date"/>
    <w:basedOn w:val="1"/>
    <w:next w:val="1"/>
    <w:autoRedefine/>
    <w:qFormat/>
    <w:uiPriority w:val="0"/>
    <w:pPr>
      <w:spacing w:line="240" w:lineRule="auto"/>
    </w:pPr>
    <w:rPr>
      <w:rFonts w:ascii="Times New Roman" w:hAnsi="Times New Roman" w:eastAsia="宋体" w:cs="Times New Roman"/>
      <w:sz w:val="21"/>
    </w:rPr>
  </w:style>
  <w:style w:type="paragraph" w:styleId="14">
    <w:name w:val="Body Text Indent 2"/>
    <w:basedOn w:val="1"/>
    <w:autoRedefine/>
    <w:qFormat/>
    <w:uiPriority w:val="0"/>
    <w:pPr>
      <w:spacing w:line="480" w:lineRule="auto"/>
      <w:ind w:firstLine="561"/>
    </w:pPr>
    <w:rPr>
      <w:rFonts w:ascii="宋体" w:hAnsi="Times New Roman" w:eastAsia="宋体" w:cs="Times New Roman"/>
    </w:rPr>
  </w:style>
  <w:style w:type="paragraph" w:styleId="15">
    <w:name w:val="footer"/>
    <w:basedOn w:val="1"/>
    <w:autoRedefine/>
    <w:qFormat/>
    <w:uiPriority w:val="0"/>
    <w:pPr>
      <w:widowControl/>
      <w:tabs>
        <w:tab w:val="center" w:pos="4153"/>
        <w:tab w:val="right" w:pos="8306"/>
      </w:tabs>
      <w:snapToGrid w:val="0"/>
      <w:jc w:val="left"/>
    </w:pPr>
    <w:rPr>
      <w:rFonts w:ascii="Times New Roman" w:hAnsi="Times New Roman" w:eastAsia="宋体" w:cs="Times New Roman"/>
      <w:kern w:val="0"/>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7">
    <w:name w:val="toc 1"/>
    <w:basedOn w:val="1"/>
    <w:next w:val="1"/>
    <w:autoRedefine/>
    <w:qFormat/>
    <w:uiPriority w:val="0"/>
    <w:pPr>
      <w:spacing w:before="120" w:beforeAutospacing="0" w:after="120" w:afterAutospacing="0"/>
      <w:jc w:val="left"/>
    </w:pPr>
    <w:rPr>
      <w:rFonts w:ascii="Times New Roman" w:hAnsi="Times New Roman" w:eastAsia="宋体" w:cs="Times New Roman"/>
      <w:caps/>
      <w:sz w:val="24"/>
    </w:rPr>
  </w:style>
  <w:style w:type="paragraph" w:styleId="18">
    <w:name w:val="toc 2"/>
    <w:basedOn w:val="1"/>
    <w:next w:val="1"/>
    <w:autoRedefine/>
    <w:qFormat/>
    <w:uiPriority w:val="0"/>
    <w:pPr>
      <w:ind w:left="278"/>
      <w:jc w:val="left"/>
    </w:pPr>
    <w:rPr>
      <w:rFonts w:ascii="Times New Roman" w:hAnsi="Times New Roman" w:eastAsia="宋体" w:cs="Times New Roman"/>
      <w:smallCaps/>
      <w:sz w:val="24"/>
    </w:rPr>
  </w:style>
  <w:style w:type="paragraph" w:styleId="19">
    <w:name w:val="Body Text 2"/>
    <w:basedOn w:val="1"/>
    <w:qFormat/>
    <w:uiPriority w:val="0"/>
    <w:pPr>
      <w:spacing w:line="500" w:lineRule="exact"/>
    </w:pPr>
    <w:rPr>
      <w:rFonts w:ascii="宋体" w:hAnsi="Times New Roman" w:eastAsia="宋体" w:cs="Times New Roman"/>
      <w:sz w:val="24"/>
    </w:rPr>
  </w:style>
  <w:style w:type="paragraph" w:styleId="20">
    <w:name w:val="Normal (Web)"/>
    <w:basedOn w:val="1"/>
    <w:autoRedefine/>
    <w:qFormat/>
    <w:uiPriority w:val="0"/>
    <w:rPr>
      <w:sz w:val="24"/>
    </w:rPr>
  </w:style>
  <w:style w:type="paragraph" w:styleId="21">
    <w:name w:val="annotation subject"/>
    <w:basedOn w:val="7"/>
    <w:next w:val="7"/>
    <w:link w:val="32"/>
    <w:autoRedefine/>
    <w:qFormat/>
    <w:uiPriority w:val="0"/>
    <w:pPr>
      <w:adjustRightInd/>
      <w:spacing w:line="360" w:lineRule="auto"/>
      <w:textAlignment w:val="auto"/>
    </w:pPr>
    <w:rPr>
      <w:rFonts w:ascii="Times New Roman" w:hAnsi="Times New Roman" w:eastAsia="宋体" w:cs="Times New Roman"/>
      <w:b/>
      <w:bCs/>
      <w:kern w:val="2"/>
    </w:rPr>
  </w:style>
  <w:style w:type="paragraph" w:styleId="22">
    <w:name w:val="Body Text First Indent 2"/>
    <w:basedOn w:val="9"/>
    <w:next w:val="23"/>
    <w:autoRedefine/>
    <w:qFormat/>
    <w:uiPriority w:val="0"/>
    <w:pPr>
      <w:ind w:firstLine="420"/>
    </w:pPr>
    <w:rPr>
      <w:rFonts w:ascii="Times New Roman" w:hAnsi="Times New Roman" w:eastAsia="宋体" w:cs="Times New Roman"/>
    </w:rPr>
  </w:style>
  <w:style w:type="paragraph" w:customStyle="1" w:styleId="23">
    <w:name w:val="章标题"/>
    <w:next w:val="1"/>
    <w:autoRedefine/>
    <w:qFormat/>
    <w:uiPriority w:val="0"/>
    <w:pPr>
      <w:spacing w:before="50" w:after="50"/>
      <w:jc w:val="both"/>
      <w:outlineLvl w:val="1"/>
    </w:pPr>
    <w:rPr>
      <w:rFonts w:ascii="黑体" w:hAnsi="Calibri" w:eastAsia="黑体" w:cs="Times New Roman"/>
      <w:sz w:val="21"/>
      <w:lang w:val="en-US" w:eastAsia="zh-CN" w:bidi="ar-SA"/>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qFormat/>
    <w:uiPriority w:val="99"/>
    <w:rPr>
      <w:color w:val="000000"/>
      <w:u w:val="none"/>
    </w:rPr>
  </w:style>
  <w:style w:type="character" w:styleId="28">
    <w:name w:val="annotation reference"/>
    <w:autoRedefine/>
    <w:qFormat/>
    <w:uiPriority w:val="0"/>
    <w:rPr>
      <w:rFonts w:ascii="Times New Roman" w:hAnsi="Times New Roman" w:eastAsia="宋体" w:cs="Times New Roman"/>
      <w:sz w:val="21"/>
      <w:szCs w:val="21"/>
    </w:rPr>
  </w:style>
  <w:style w:type="paragraph" w:customStyle="1" w:styleId="29">
    <w:name w:val="正文缩进1"/>
    <w:basedOn w:val="1"/>
    <w:autoRedefine/>
    <w:qFormat/>
    <w:uiPriority w:val="0"/>
    <w:pPr>
      <w:widowControl/>
      <w:ind w:firstLine="420"/>
      <w:jc w:val="left"/>
    </w:pPr>
    <w:rPr>
      <w:rFonts w:ascii="Times New Roman" w:hAnsi="Times New Roman" w:eastAsia="宋体" w:cs="Times New Roman"/>
      <w:kern w:val="0"/>
      <w:sz w:val="20"/>
    </w:rPr>
  </w:style>
  <w:style w:type="character" w:customStyle="1" w:styleId="30">
    <w:name w:val="标题 3 Char"/>
    <w:link w:val="4"/>
    <w:autoRedefine/>
    <w:qFormat/>
    <w:uiPriority w:val="0"/>
    <w:rPr>
      <w:rFonts w:ascii="Times New Roman" w:hAnsi="Times New Roman" w:eastAsia="宋体" w:cs="Times New Roman"/>
      <w:sz w:val="24"/>
    </w:rPr>
  </w:style>
  <w:style w:type="character" w:customStyle="1" w:styleId="31">
    <w:name w:val="批注文字 字符"/>
    <w:link w:val="7"/>
    <w:autoRedefine/>
    <w:qFormat/>
    <w:uiPriority w:val="0"/>
    <w:rPr>
      <w:rFonts w:ascii="宋体" w:hAnsi="Times New Roman" w:eastAsia="宋体" w:cs="Times New Roman"/>
      <w:sz w:val="24"/>
    </w:rPr>
  </w:style>
  <w:style w:type="character" w:customStyle="1" w:styleId="32">
    <w:name w:val="批注主题 字符"/>
    <w:link w:val="21"/>
    <w:autoRedefine/>
    <w:qFormat/>
    <w:uiPriority w:val="0"/>
    <w:rPr>
      <w:rFonts w:ascii="宋体" w:hAnsi="Times New Roman" w:eastAsia="宋体" w:cs="Times New Roman"/>
      <w:b/>
      <w:bCs/>
      <w:kern w:val="2"/>
      <w:sz w:val="24"/>
    </w:rPr>
  </w:style>
  <w:style w:type="paragraph" w:customStyle="1" w:styleId="33">
    <w:name w:val="样式 宋体 行距: 1.5 倍行距"/>
    <w:basedOn w:val="34"/>
    <w:next w:val="1"/>
    <w:autoRedefine/>
    <w:qFormat/>
    <w:uiPriority w:val="0"/>
    <w:pPr>
      <w:jc w:val="center"/>
    </w:pPr>
    <w:rPr>
      <w:rFonts w:ascii="Times New Roman" w:hAnsi="Times New Roman" w:eastAsia="宋体" w:cs="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3"/>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35">
    <w:name w:val="NormalCharacter"/>
    <w:autoRedefine/>
    <w:qFormat/>
    <w:uiPriority w:val="99"/>
  </w:style>
  <w:style w:type="paragraph" w:customStyle="1" w:styleId="36">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格式"/>
    <w:basedOn w:val="1"/>
    <w:autoRedefine/>
    <w:qFormat/>
    <w:uiPriority w:val="0"/>
    <w:pPr>
      <w:topLinePunct/>
      <w:ind w:firstLine="420" w:firstLineChars="200"/>
    </w:pPr>
    <w:rPr>
      <w:rFonts w:hint="default" w:ascii="宋体" w:hAnsi="宋体" w:eastAsia="宋体" w:cs="Times New Roman"/>
      <w:bCs/>
      <w:szCs w:val="21"/>
    </w:rPr>
  </w:style>
  <w:style w:type="paragraph" w:customStyle="1" w:styleId="41">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42">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 Indent1"/>
    <w:basedOn w:val="1"/>
    <w:autoRedefine/>
    <w:qFormat/>
    <w:uiPriority w:val="0"/>
    <w:pPr>
      <w:spacing w:line="360" w:lineRule="auto"/>
      <w:ind w:firstLine="420"/>
    </w:pPr>
    <w:rPr>
      <w:rFonts w:ascii="宋体" w:hAnsi="Times New Roman" w:eastAsia="宋体" w:cs="Times New Roman"/>
      <w:sz w:val="20"/>
      <w:szCs w:val="20"/>
    </w:rPr>
  </w:style>
  <w:style w:type="paragraph" w:customStyle="1" w:styleId="45">
    <w:name w:val="正文文本缩进 New"/>
    <w:basedOn w:val="46"/>
    <w:qFormat/>
    <w:uiPriority w:val="0"/>
    <w:pPr>
      <w:ind w:firstLine="560" w:firstLineChars="200"/>
    </w:pPr>
    <w:rPr>
      <w:rFonts w:ascii="宋体" w:hAnsi="Times New Roman" w:eastAsia="宋体" w:cs="Times New Roman"/>
      <w:kern w:val="2"/>
      <w:sz w:val="24"/>
    </w:rPr>
  </w:style>
  <w:style w:type="paragraph" w:customStyle="1" w:styleId="46">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7">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3 New New"/>
    <w:basedOn w:val="50"/>
    <w:next w:val="50"/>
    <w:autoRedefine/>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customStyle="1" w:styleId="50">
    <w:name w:val="正文缩进 New"/>
    <w:basedOn w:val="46"/>
    <w:autoRedefine/>
    <w:qFormat/>
    <w:uiPriority w:val="0"/>
    <w:pPr>
      <w:widowControl/>
      <w:ind w:firstLine="420"/>
      <w:jc w:val="left"/>
    </w:pPr>
    <w:rPr>
      <w:rFonts w:ascii="Times New Roman" w:hAnsi="Times New Roman" w:eastAsia="宋体" w:cs="Times New Roman"/>
      <w:kern w:val="0"/>
      <w:sz w:val="20"/>
    </w:rPr>
  </w:style>
  <w:style w:type="paragraph" w:customStyle="1" w:styleId="5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2">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53">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普通(网站) New"/>
    <w:basedOn w:val="55"/>
    <w:autoRedefine/>
    <w:qFormat/>
    <w:uiPriority w:val="0"/>
    <w:rPr>
      <w:rFonts w:ascii="Times New Roman" w:hAnsi="Times New Roman" w:eastAsia="宋体" w:cs="Times New Roman"/>
      <w:sz w:val="24"/>
    </w:rPr>
  </w:style>
  <w:style w:type="paragraph" w:customStyle="1" w:styleId="5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文本缩进 New New"/>
    <w:basedOn w:val="48"/>
    <w:qFormat/>
    <w:uiPriority w:val="0"/>
    <w:pPr>
      <w:ind w:firstLine="560" w:firstLineChars="200"/>
    </w:pPr>
    <w:rPr>
      <w:rFonts w:ascii="宋体" w:hAnsi="Times New Roman" w:eastAsia="宋体" w:cs="Times New Roman"/>
      <w:kern w:val="2"/>
      <w:sz w:val="24"/>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Normal Indent_4c803a13-180c-4885-81ac-15aca6f4b5c7"/>
    <w:basedOn w:val="1"/>
    <w:autoRedefine/>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60">
    <w:name w:val="Table Text"/>
    <w:basedOn w:val="1"/>
    <w:autoRedefine/>
    <w:qFormat/>
    <w:uiPriority w:val="0"/>
    <w:rPr>
      <w:rFonts w:ascii="Arial" w:hAnsi="Arial" w:eastAsia="Arial" w:cs="Arial"/>
      <w:sz w:val="21"/>
      <w:szCs w:val="21"/>
      <w:lang w:val="en-US" w:eastAsia="en-US" w:bidi="ar-SA"/>
    </w:rPr>
  </w:style>
  <w:style w:type="paragraph" w:customStyle="1" w:styleId="61">
    <w:name w:val="正文文本1"/>
    <w:basedOn w:val="1"/>
    <w:autoRedefine/>
    <w:qFormat/>
    <w:uiPriority w:val="0"/>
    <w:pPr>
      <w:spacing w:after="120"/>
    </w:pPr>
  </w:style>
  <w:style w:type="paragraph" w:customStyle="1" w:styleId="62">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table" w:customStyle="1" w:styleId="6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42152</Words>
  <Characters>45019</Characters>
  <Paragraphs>2307</Paragraphs>
  <TotalTime>1</TotalTime>
  <ScaleCrop>false</ScaleCrop>
  <LinksUpToDate>false</LinksUpToDate>
  <CharactersWithSpaces>47207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Administrator.SKY-20171120MGK</dc:creator>
  <cp:lastModifiedBy>蔡小健 j1aN</cp:lastModifiedBy>
  <cp:lastPrinted>2025-10-30T06:26:00Z</cp:lastPrinted>
  <dcterms:modified xsi:type="dcterms:W3CDTF">2025-10-31T06:51:53Z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ribbonExt">
    <vt:lpwstr>{"WPSExtOfficeTab":{"OnGetEnabled":false,"OnGetVisible":false}}</vt:lpwstr>
  </property>
  <property fmtid="{D5CDD505-2E9C-101B-9397-08002B2CF9AE}" pid="4" name="ICV">
    <vt:lpwstr>FF32FE760B19455D824155D321B2B711_13</vt:lpwstr>
  </property>
  <property fmtid="{D5CDD505-2E9C-101B-9397-08002B2CF9AE}" pid="5" name="KSOTemplateDocerSaveRecord">
    <vt:lpwstr>eyJoZGlkIjoiZGRiN2NkNGE1NDg1MGJjMjRjMmE1ZjM1NTY0OGU1MTciLCJ1c2VySWQiOiIzMDE1NjQ2MzcifQ==</vt:lpwstr>
  </property>
</Properties>
</file>