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val="0"/>
        <w:overflowPunct/>
        <w:bidi w:val="0"/>
        <w:spacing w:line="800" w:lineRule="exact"/>
        <w:jc w:val="center"/>
        <w:rPr>
          <w:rFonts w:hint="eastAsia" w:asciiTheme="minorEastAsia" w:hAnsiTheme="minorEastAsia" w:eastAsiaTheme="minorEastAsia" w:cstheme="minorEastAsia"/>
          <w:b/>
          <w:color w:val="000000" w:themeColor="text1"/>
          <w:sz w:val="48"/>
          <w:szCs w:val="4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48"/>
          <w:szCs w:val="48"/>
          <w:highlight w:val="none"/>
          <w:lang w:eastAsia="zh-CN"/>
          <w14:textFill>
            <w14:solidFill>
              <w14:schemeClr w14:val="tx1"/>
            </w14:solidFill>
          </w14:textFill>
        </w:rPr>
        <w:t>南雄市“银杏染秋”乡村振兴示范带建设项目-古市镇典型村建设项目施工图设计和施工总承包</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19"/>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5"/>
        <w:pageBreakBefore w:val="0"/>
        <w:kinsoku/>
        <w:wordWrap w:val="0"/>
        <w:overflowPunct/>
        <w:bidi w:val="0"/>
        <w:spacing w:line="360" w:lineRule="auto"/>
        <w:jc w:val="center"/>
        <w:rPr>
          <w:rFonts w:hint="eastAsia" w:asciiTheme="minorEastAsia" w:hAnsiTheme="minorEastAsia" w:eastAsiaTheme="minorEastAsia" w:cstheme="minorEastAsia"/>
          <w:b/>
          <w:bCs/>
          <w:color w:val="000000" w:themeColor="text1"/>
          <w:spacing w:val="26"/>
          <w:sz w:val="84"/>
          <w:szCs w:val="84"/>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26"/>
          <w:sz w:val="84"/>
          <w:szCs w:val="84"/>
          <w:highlight w:val="none"/>
          <w14:textFill>
            <w14:solidFill>
              <w14:schemeClr w14:val="tx1"/>
            </w14:solidFill>
          </w14:textFill>
        </w:rPr>
        <w:t>招标文件</w:t>
      </w:r>
    </w:p>
    <w:p>
      <w:pPr>
        <w:pageBreakBefore w:val="0"/>
        <w:kinsoku/>
        <w:wordWrap w:val="0"/>
        <w:overflowPunct/>
        <w:bidi w:val="0"/>
        <w:spacing w:line="360" w:lineRule="auto"/>
        <w:ind w:left="240" w:leftChars="100"/>
        <w:jc w:val="center"/>
        <w:rPr>
          <w:rFonts w:hint="eastAsia" w:asciiTheme="minorEastAsia" w:hAnsiTheme="minorEastAsia" w:eastAsiaTheme="minorEastAsia" w:cstheme="minorEastAsia"/>
          <w:b/>
          <w:color w:val="000000" w:themeColor="text1"/>
          <w:sz w:val="32"/>
          <w:szCs w:val="32"/>
          <w:highlight w:val="none"/>
          <w14:textFill>
            <w14:solidFill>
              <w14:schemeClr w14:val="tx1"/>
            </w14:solidFill>
          </w14:textFill>
        </w:rPr>
      </w:pPr>
    </w:p>
    <w:tbl>
      <w:tblPr>
        <w:tblStyle w:val="22"/>
        <w:tblpPr w:leftFromText="180" w:rightFromText="180" w:vertAnchor="text" w:horzAnchor="page" w:tblpX="1372" w:tblpY="753"/>
        <w:tblW w:w="9799" w:type="dxa"/>
        <w:tblInd w:w="0" w:type="dxa"/>
        <w:tblLayout w:type="fixed"/>
        <w:tblCellMar>
          <w:top w:w="0" w:type="dxa"/>
          <w:left w:w="0" w:type="dxa"/>
          <w:bottom w:w="0" w:type="dxa"/>
          <w:right w:w="0" w:type="dxa"/>
        </w:tblCellMar>
      </w:tblPr>
      <w:tblGrid>
        <w:gridCol w:w="4671"/>
        <w:gridCol w:w="5128"/>
      </w:tblGrid>
      <w:tr>
        <w:trPr>
          <w:trHeight w:val="935"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人（盖单位章）：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南雄市古市镇人民政府</w:t>
            </w:r>
          </w:p>
        </w:tc>
      </w:tr>
      <w:tr>
        <w:tblPrEx>
          <w:tblCellMar>
            <w:top w:w="0" w:type="dxa"/>
            <w:left w:w="0" w:type="dxa"/>
            <w:bottom w:w="0" w:type="dxa"/>
            <w:right w:w="0" w:type="dxa"/>
          </w:tblCellMar>
        </w:tblPrEx>
        <w:trPr>
          <w:trHeight w:val="105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招标人工作领导小组负责人（签字）：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31"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 标 代 理 机 构 （盖章）：</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8"/>
                <w:szCs w:val="28"/>
                <w:highlight w:val="none"/>
                <w:lang w:eastAsia="zh-CN"/>
                <w14:textFill>
                  <w14:solidFill>
                    <w14:schemeClr w14:val="tx1"/>
                  </w14:solidFill>
                </w14:textFill>
              </w:rPr>
              <w:t>中晋工程项目管理有限公司</w:t>
            </w:r>
          </w:p>
        </w:tc>
      </w:tr>
      <w:tr>
        <w:tblPrEx>
          <w:tblCellMar>
            <w:top w:w="0" w:type="dxa"/>
            <w:left w:w="0" w:type="dxa"/>
            <w:bottom w:w="0" w:type="dxa"/>
            <w:right w:w="0" w:type="dxa"/>
          </w:tblCellMar>
        </w:tblPrEx>
        <w:trPr>
          <w:trHeight w:val="809"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863"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招标代理机构项目负责人（签字）：</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p>
        </w:tc>
      </w:tr>
      <w:tr>
        <w:tblPrEx>
          <w:tblCellMar>
            <w:top w:w="0" w:type="dxa"/>
            <w:left w:w="0" w:type="dxa"/>
            <w:bottom w:w="0" w:type="dxa"/>
            <w:right w:w="0" w:type="dxa"/>
          </w:tblCellMar>
        </w:tblPrEx>
        <w:trPr>
          <w:trHeight w:val="1047" w:hRule="atLeast"/>
        </w:trPr>
        <w:tc>
          <w:tcPr>
            <w:tcW w:w="4671" w:type="dxa"/>
            <w:noWrap/>
            <w:vAlign w:val="center"/>
          </w:tcPr>
          <w:p>
            <w:pPr>
              <w:pStyle w:val="36"/>
              <w:pageBreakBefore w:val="0"/>
              <w:kinsoku/>
              <w:wordWrap w:val="0"/>
              <w:overflowPunct/>
              <w:bidi w:val="0"/>
              <w:jc w:val="distribute"/>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招标文件编制日期：</w:t>
            </w:r>
          </w:p>
        </w:tc>
        <w:tc>
          <w:tcPr>
            <w:tcW w:w="5128" w:type="dxa"/>
            <w:noWrap/>
            <w:vAlign w:val="center"/>
          </w:tcPr>
          <w:p>
            <w:pPr>
              <w:pStyle w:val="36"/>
              <w:pageBreakBefore w:val="0"/>
              <w:kinsoku/>
              <w:wordWrap w:val="0"/>
              <w:overflowPunct/>
              <w:bidi w:val="0"/>
              <w:rPr>
                <w:rFonts w:hint="eastAsia" w:asciiTheme="minorEastAsia" w:hAnsiTheme="minorEastAsia" w:eastAsiaTheme="minorEastAsia" w:cstheme="minorEastAsia"/>
                <w:color w:val="000000" w:themeColor="text1"/>
                <w:sz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highlight w:val="none"/>
                <w14:textFill>
                  <w14:solidFill>
                    <w14:schemeClr w14:val="tx1"/>
                  </w14:solidFill>
                </w14:textFill>
              </w:rPr>
              <w:t>202</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8"/>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highlight w:val="none"/>
                <w14:textFill>
                  <w14:solidFill>
                    <w14:schemeClr w14:val="tx1"/>
                  </w14:solidFill>
                </w14:textFill>
              </w:rPr>
              <w:t>月</w:t>
            </w:r>
          </w:p>
        </w:tc>
      </w:tr>
    </w:tbl>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8"/>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sectPr>
          <w:footerReference r:id="rId3" w:type="default"/>
          <w:endnotePr>
            <w:numFmt w:val="decimal"/>
          </w:endnotePr>
          <w:pgSz w:w="11906" w:h="16838"/>
          <w:pgMar w:top="1440" w:right="1463" w:bottom="1440" w:left="1463" w:header="851" w:footer="992" w:gutter="0"/>
          <w:pgNumType w:start="1"/>
          <w:cols w:space="720" w:num="1"/>
          <w:docGrid w:type="lines" w:linePitch="312" w:charSpace="0"/>
        </w:sect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目    录</w:t>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instrText xml:space="preserve"> TOC \o "1-4" \h \z </w:instrTex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_Toc19485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第一章</w:t>
      </w:r>
      <w:r>
        <w:rPr>
          <w:rFonts w:hint="eastAsia" w:asciiTheme="minorEastAsia" w:hAnsiTheme="minorEastAsia" w:eastAsiaTheme="minorEastAsia" w:cstheme="minorEastAsia"/>
          <w:kern w:val="44"/>
          <w:szCs w:val="36"/>
          <w:highlight w:val="none"/>
          <w:lang w:val="en-US" w:eastAsia="zh-CN"/>
        </w:rPr>
        <w:t xml:space="preserve"> </w:t>
      </w:r>
      <w:r>
        <w:rPr>
          <w:rFonts w:hint="eastAsia" w:asciiTheme="minorEastAsia" w:hAnsiTheme="minorEastAsia" w:eastAsiaTheme="minorEastAsia" w:cstheme="minorEastAsia"/>
          <w:kern w:val="44"/>
          <w:szCs w:val="36"/>
          <w:highlight w:val="none"/>
          <w:lang w:eastAsia="zh-CN"/>
        </w:rPr>
        <w:t>投标人须知</w:t>
      </w:r>
      <w:r>
        <w:rPr>
          <w:highlight w:val="none"/>
        </w:rPr>
        <w:tab/>
      </w:r>
      <w:r>
        <w:rPr>
          <w:highlight w:val="none"/>
        </w:rPr>
        <w:fldChar w:fldCharType="begin"/>
      </w:r>
      <w:r>
        <w:rPr>
          <w:highlight w:val="none"/>
        </w:rPr>
        <w:instrText xml:space="preserve"> PAGEREF _Toc19485 \h </w:instrText>
      </w:r>
      <w:r>
        <w:rPr>
          <w:highlight w:val="none"/>
        </w:rPr>
        <w:fldChar w:fldCharType="separate"/>
      </w:r>
      <w:r>
        <w:rPr>
          <w:highlight w:val="none"/>
        </w:rPr>
        <w:t>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_Toc16263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第一节</w:t>
      </w:r>
      <w:r>
        <w:rPr>
          <w:rFonts w:hint="eastAsia" w:asciiTheme="minorEastAsia" w:hAnsiTheme="minorEastAsia" w:eastAsiaTheme="minorEastAsia" w:cstheme="minorEastAsia"/>
          <w:kern w:val="2"/>
          <w:highlight w:val="none"/>
          <w:lang w:val="en-US" w:eastAsia="zh-CN"/>
        </w:rPr>
        <w:t xml:space="preserve"> </w:t>
      </w:r>
      <w:r>
        <w:rPr>
          <w:rFonts w:hint="eastAsia" w:asciiTheme="minorEastAsia" w:hAnsiTheme="minorEastAsia" w:eastAsiaTheme="minorEastAsia" w:cstheme="minorEastAsia"/>
          <w:kern w:val="2"/>
          <w:highlight w:val="none"/>
          <w:lang w:eastAsia="zh-CN"/>
        </w:rPr>
        <w:t>投标人须知</w:t>
      </w:r>
      <w:r>
        <w:rPr>
          <w:rFonts w:hint="eastAsia" w:asciiTheme="minorEastAsia" w:hAnsiTheme="minorEastAsia" w:eastAsiaTheme="minorEastAsia" w:cstheme="minorEastAsia"/>
          <w:kern w:val="2"/>
          <w:highlight w:val="none"/>
        </w:rPr>
        <w:t>前附表</w:t>
      </w:r>
      <w:r>
        <w:rPr>
          <w:highlight w:val="none"/>
        </w:rPr>
        <w:tab/>
      </w:r>
      <w:r>
        <w:rPr>
          <w:highlight w:val="none"/>
        </w:rPr>
        <w:fldChar w:fldCharType="begin"/>
      </w:r>
      <w:r>
        <w:rPr>
          <w:highlight w:val="none"/>
        </w:rPr>
        <w:instrText xml:space="preserve"> PAGEREF _Toc16263 \h </w:instrText>
      </w:r>
      <w:r>
        <w:rPr>
          <w:highlight w:val="none"/>
        </w:rPr>
        <w:fldChar w:fldCharType="separate"/>
      </w:r>
      <w:r>
        <w:rPr>
          <w:highlight w:val="none"/>
        </w:rPr>
        <w:t>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_Toc29755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第二节</w:t>
      </w:r>
      <w:r>
        <w:rPr>
          <w:rFonts w:hint="eastAsia" w:asciiTheme="minorEastAsia" w:hAnsiTheme="minorEastAsia" w:eastAsiaTheme="minorEastAsia" w:cstheme="minorEastAsia"/>
          <w:kern w:val="2"/>
          <w:szCs w:val="24"/>
          <w:highlight w:val="none"/>
          <w:lang w:val="en-US" w:eastAsia="zh-CN"/>
        </w:rPr>
        <w:t xml:space="preserve"> </w:t>
      </w:r>
      <w:r>
        <w:rPr>
          <w:rFonts w:hint="eastAsia" w:asciiTheme="minorEastAsia" w:hAnsiTheme="minorEastAsia" w:eastAsiaTheme="minorEastAsia" w:cstheme="minorEastAsia"/>
          <w:kern w:val="2"/>
          <w:szCs w:val="24"/>
          <w:highlight w:val="none"/>
        </w:rPr>
        <w:t>重要事项时间地点一览表.</w:t>
      </w:r>
      <w:r>
        <w:rPr>
          <w:highlight w:val="none"/>
        </w:rPr>
        <w:tab/>
      </w:r>
      <w:r>
        <w:rPr>
          <w:highlight w:val="none"/>
        </w:rPr>
        <w:fldChar w:fldCharType="begin"/>
      </w:r>
      <w:r>
        <w:rPr>
          <w:highlight w:val="none"/>
        </w:rPr>
        <w:instrText xml:space="preserve"> PAGEREF _Toc29755 \h </w:instrText>
      </w:r>
      <w:r>
        <w:rPr>
          <w:highlight w:val="none"/>
        </w:rPr>
        <w:fldChar w:fldCharType="separate"/>
      </w:r>
      <w:r>
        <w:rPr>
          <w:highlight w:val="none"/>
        </w:rPr>
        <w:t>9</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_Toc5621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rPr>
        <w:t xml:space="preserve">第三节 </w:t>
      </w:r>
      <w:r>
        <w:rPr>
          <w:rFonts w:hint="eastAsia" w:asciiTheme="minorEastAsia" w:hAnsiTheme="minorEastAsia" w:eastAsiaTheme="minorEastAsia" w:cstheme="minorEastAsia"/>
          <w:kern w:val="2"/>
          <w:szCs w:val="24"/>
          <w:highlight w:val="none"/>
          <w:lang w:eastAsia="zh-CN"/>
        </w:rPr>
        <w:t>投标人须知</w:t>
      </w:r>
      <w:r>
        <w:rPr>
          <w:rFonts w:hint="eastAsia" w:asciiTheme="minorEastAsia" w:hAnsiTheme="minorEastAsia" w:eastAsiaTheme="minorEastAsia" w:cstheme="minorEastAsia"/>
          <w:kern w:val="2"/>
          <w:szCs w:val="24"/>
          <w:highlight w:val="none"/>
        </w:rPr>
        <w:t>正文</w:t>
      </w:r>
      <w:r>
        <w:rPr>
          <w:highlight w:val="none"/>
        </w:rPr>
        <w:tab/>
      </w:r>
      <w:r>
        <w:rPr>
          <w:highlight w:val="none"/>
        </w:rPr>
        <w:fldChar w:fldCharType="begin"/>
      </w:r>
      <w:r>
        <w:rPr>
          <w:highlight w:val="none"/>
        </w:rPr>
        <w:instrText xml:space="preserve"> PAGEREF _Toc5621 \h </w:instrText>
      </w:r>
      <w:r>
        <w:rPr>
          <w:highlight w:val="none"/>
        </w:rPr>
        <w:fldChar w:fldCharType="separate"/>
      </w:r>
      <w:r>
        <w:rPr>
          <w:highlight w:val="none"/>
        </w:rPr>
        <w:t>10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_Toc27447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1、工程概况</w:t>
      </w:r>
      <w:r>
        <w:rPr>
          <w:highlight w:val="none"/>
        </w:rPr>
        <w:tab/>
      </w:r>
      <w:r>
        <w:rPr>
          <w:highlight w:val="none"/>
        </w:rPr>
        <w:fldChar w:fldCharType="begin"/>
      </w:r>
      <w:r>
        <w:rPr>
          <w:highlight w:val="none"/>
        </w:rPr>
        <w:instrText xml:space="preserve"> PAGEREF _Toc27447 \h </w:instrText>
      </w:r>
      <w:r>
        <w:rPr>
          <w:highlight w:val="none"/>
        </w:rPr>
        <w:fldChar w:fldCharType="separate"/>
      </w:r>
      <w:r>
        <w:rPr>
          <w:highlight w:val="none"/>
        </w:rPr>
        <w:t>10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_Toc3667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2、招标范围</w:t>
      </w:r>
      <w:r>
        <w:rPr>
          <w:highlight w:val="none"/>
        </w:rPr>
        <w:tab/>
      </w:r>
      <w:r>
        <w:rPr>
          <w:highlight w:val="none"/>
        </w:rPr>
        <w:fldChar w:fldCharType="begin"/>
      </w:r>
      <w:r>
        <w:rPr>
          <w:highlight w:val="none"/>
        </w:rPr>
        <w:instrText xml:space="preserve"> PAGEREF _Toc3667 \h </w:instrText>
      </w:r>
      <w:r>
        <w:rPr>
          <w:highlight w:val="none"/>
        </w:rPr>
        <w:fldChar w:fldCharType="separate"/>
      </w:r>
      <w:r>
        <w:rPr>
          <w:highlight w:val="none"/>
        </w:rPr>
        <w:t>10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_Toc1478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napToGrid w:val="0"/>
          <w:kern w:val="2"/>
          <w:highlight w:val="none"/>
        </w:rPr>
        <w:t>3、</w:t>
      </w:r>
      <w:r>
        <w:rPr>
          <w:rFonts w:hint="eastAsia" w:asciiTheme="minorEastAsia" w:hAnsiTheme="minorEastAsia" w:eastAsiaTheme="minorEastAsia" w:cstheme="minorEastAsia"/>
          <w:kern w:val="2"/>
          <w:highlight w:val="none"/>
        </w:rPr>
        <w:t>工期</w:t>
      </w:r>
      <w:r>
        <w:rPr>
          <w:highlight w:val="none"/>
        </w:rPr>
        <w:tab/>
      </w:r>
      <w:r>
        <w:rPr>
          <w:highlight w:val="none"/>
        </w:rPr>
        <w:fldChar w:fldCharType="begin"/>
      </w:r>
      <w:r>
        <w:rPr>
          <w:highlight w:val="none"/>
        </w:rPr>
        <w:instrText xml:space="preserve"> PAGEREF _Toc1478 \h </w:instrText>
      </w:r>
      <w:r>
        <w:rPr>
          <w:highlight w:val="none"/>
        </w:rPr>
        <w:fldChar w:fldCharType="separate"/>
      </w:r>
      <w:r>
        <w:rPr>
          <w:highlight w:val="none"/>
        </w:rPr>
        <w:t>11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_Toc24780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4、投标人资质及条件要求</w:t>
      </w:r>
      <w:r>
        <w:rPr>
          <w:highlight w:val="none"/>
        </w:rPr>
        <w:tab/>
      </w:r>
      <w:r>
        <w:rPr>
          <w:highlight w:val="none"/>
        </w:rPr>
        <w:fldChar w:fldCharType="begin"/>
      </w:r>
      <w:r>
        <w:rPr>
          <w:highlight w:val="none"/>
        </w:rPr>
        <w:instrText xml:space="preserve"> PAGEREF _Toc24780 \h </w:instrText>
      </w:r>
      <w:r>
        <w:rPr>
          <w:highlight w:val="none"/>
        </w:rPr>
        <w:fldChar w:fldCharType="separate"/>
      </w:r>
      <w:r>
        <w:rPr>
          <w:highlight w:val="none"/>
        </w:rPr>
        <w:t>11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_Toc8329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5、工程招标内容及要求</w:t>
      </w:r>
      <w:r>
        <w:rPr>
          <w:highlight w:val="none"/>
        </w:rPr>
        <w:tab/>
      </w:r>
      <w:r>
        <w:rPr>
          <w:highlight w:val="none"/>
        </w:rPr>
        <w:fldChar w:fldCharType="begin"/>
      </w:r>
      <w:r>
        <w:rPr>
          <w:highlight w:val="none"/>
        </w:rPr>
        <w:instrText xml:space="preserve"> PAGEREF _Toc8329 \h </w:instrText>
      </w:r>
      <w:r>
        <w:rPr>
          <w:highlight w:val="none"/>
        </w:rPr>
        <w:fldChar w:fldCharType="separate"/>
      </w:r>
      <w:r>
        <w:rPr>
          <w:highlight w:val="none"/>
        </w:rPr>
        <w:t>14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_Toc28695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6、招标工程施工条件及现场踏勘</w:t>
      </w:r>
      <w:r>
        <w:rPr>
          <w:highlight w:val="none"/>
        </w:rPr>
        <w:tab/>
      </w:r>
      <w:r>
        <w:rPr>
          <w:highlight w:val="none"/>
        </w:rPr>
        <w:fldChar w:fldCharType="begin"/>
      </w:r>
      <w:r>
        <w:rPr>
          <w:highlight w:val="none"/>
        </w:rPr>
        <w:instrText xml:space="preserve"> PAGEREF _Toc28695 \h </w:instrText>
      </w:r>
      <w:r>
        <w:rPr>
          <w:highlight w:val="none"/>
        </w:rPr>
        <w:fldChar w:fldCharType="separate"/>
      </w:r>
      <w:r>
        <w:rPr>
          <w:highlight w:val="none"/>
        </w:rPr>
        <w:t>17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_Toc4496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7、其他招标说明</w:t>
      </w:r>
      <w:r>
        <w:rPr>
          <w:highlight w:val="none"/>
        </w:rPr>
        <w:tab/>
      </w:r>
      <w:r>
        <w:rPr>
          <w:highlight w:val="none"/>
        </w:rPr>
        <w:fldChar w:fldCharType="begin"/>
      </w:r>
      <w:r>
        <w:rPr>
          <w:highlight w:val="none"/>
        </w:rPr>
        <w:instrText xml:space="preserve"> PAGEREF _Toc4496 \h </w:instrText>
      </w:r>
      <w:r>
        <w:rPr>
          <w:highlight w:val="none"/>
        </w:rPr>
        <w:fldChar w:fldCharType="separate"/>
      </w:r>
      <w:r>
        <w:rPr>
          <w:highlight w:val="none"/>
        </w:rPr>
        <w:t>18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_Toc1900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8、招标答疑</w:t>
      </w:r>
      <w:r>
        <w:rPr>
          <w:highlight w:val="none"/>
        </w:rPr>
        <w:tab/>
      </w:r>
      <w:r>
        <w:rPr>
          <w:highlight w:val="none"/>
        </w:rPr>
        <w:fldChar w:fldCharType="begin"/>
      </w:r>
      <w:r>
        <w:rPr>
          <w:highlight w:val="none"/>
        </w:rPr>
        <w:instrText xml:space="preserve"> PAGEREF _Toc1900 \h </w:instrText>
      </w:r>
      <w:r>
        <w:rPr>
          <w:highlight w:val="none"/>
        </w:rPr>
        <w:fldChar w:fldCharType="separate"/>
      </w:r>
      <w:r>
        <w:rPr>
          <w:highlight w:val="none"/>
        </w:rPr>
        <w:t>20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_Toc14066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9、投标报价的编制</w:t>
      </w:r>
      <w:r>
        <w:rPr>
          <w:highlight w:val="none"/>
        </w:rPr>
        <w:tab/>
      </w:r>
      <w:r>
        <w:rPr>
          <w:highlight w:val="none"/>
        </w:rPr>
        <w:fldChar w:fldCharType="begin"/>
      </w:r>
      <w:r>
        <w:rPr>
          <w:highlight w:val="none"/>
        </w:rPr>
        <w:instrText xml:space="preserve"> PAGEREF _Toc14066 \h </w:instrText>
      </w:r>
      <w:r>
        <w:rPr>
          <w:highlight w:val="none"/>
        </w:rPr>
        <w:fldChar w:fldCharType="separate"/>
      </w:r>
      <w:r>
        <w:rPr>
          <w:highlight w:val="none"/>
        </w:rPr>
        <w:t>21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_Toc21825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10、最高</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4"/>
          <w:highlight w:val="none"/>
        </w:rPr>
        <w:t>限价</w:t>
      </w:r>
      <w:r>
        <w:rPr>
          <w:highlight w:val="none"/>
        </w:rPr>
        <w:tab/>
      </w:r>
      <w:r>
        <w:rPr>
          <w:highlight w:val="none"/>
        </w:rPr>
        <w:fldChar w:fldCharType="begin"/>
      </w:r>
      <w:r>
        <w:rPr>
          <w:highlight w:val="none"/>
        </w:rPr>
        <w:instrText xml:space="preserve"> PAGEREF _Toc21825 \h </w:instrText>
      </w:r>
      <w:r>
        <w:rPr>
          <w:highlight w:val="none"/>
        </w:rPr>
        <w:fldChar w:fldCharType="separate"/>
      </w:r>
      <w:r>
        <w:rPr>
          <w:highlight w:val="none"/>
        </w:rPr>
        <w:t>23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_Toc4898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2"/>
          <w:highlight w:val="none"/>
        </w:rPr>
        <w:t>11</w:t>
      </w:r>
      <w:r>
        <w:rPr>
          <w:rFonts w:hint="eastAsia" w:asciiTheme="minorEastAsia" w:hAnsiTheme="minorEastAsia" w:eastAsiaTheme="minorEastAsia" w:cstheme="minorEastAsia"/>
          <w:szCs w:val="22"/>
          <w:highlight w:val="none"/>
          <w:lang w:eastAsia="zh-CN"/>
        </w:rPr>
        <w:t>、</w:t>
      </w:r>
      <w:r>
        <w:rPr>
          <w:rFonts w:hint="eastAsia" w:asciiTheme="minorEastAsia" w:hAnsiTheme="minorEastAsia" w:eastAsiaTheme="minorEastAsia" w:cstheme="minorEastAsia"/>
          <w:kern w:val="2"/>
          <w:highlight w:val="none"/>
        </w:rPr>
        <w:t>投标</w:t>
      </w:r>
      <w:r>
        <w:rPr>
          <w:rFonts w:hint="eastAsia" w:asciiTheme="minorEastAsia" w:hAnsiTheme="minorEastAsia" w:eastAsiaTheme="minorEastAsia" w:cstheme="minorEastAsia"/>
          <w:szCs w:val="22"/>
          <w:highlight w:val="none"/>
        </w:rPr>
        <w:t>文件的编制要求</w:t>
      </w:r>
      <w:r>
        <w:rPr>
          <w:highlight w:val="none"/>
        </w:rPr>
        <w:tab/>
      </w:r>
      <w:r>
        <w:rPr>
          <w:highlight w:val="none"/>
        </w:rPr>
        <w:fldChar w:fldCharType="begin"/>
      </w:r>
      <w:r>
        <w:rPr>
          <w:highlight w:val="none"/>
        </w:rPr>
        <w:instrText xml:space="preserve"> PAGEREF _Toc4898 \h </w:instrText>
      </w:r>
      <w:r>
        <w:rPr>
          <w:highlight w:val="none"/>
        </w:rPr>
        <w:fldChar w:fldCharType="separate"/>
      </w:r>
      <w:r>
        <w:rPr>
          <w:highlight w:val="none"/>
        </w:rPr>
        <w:t>23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_Toc22560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12、投标有效期及对投标人的其他要求</w:t>
      </w:r>
      <w:r>
        <w:rPr>
          <w:highlight w:val="none"/>
        </w:rPr>
        <w:tab/>
      </w:r>
      <w:r>
        <w:rPr>
          <w:highlight w:val="none"/>
        </w:rPr>
        <w:fldChar w:fldCharType="begin"/>
      </w:r>
      <w:r>
        <w:rPr>
          <w:highlight w:val="none"/>
        </w:rPr>
        <w:instrText xml:space="preserve"> PAGEREF _Toc22560 \h </w:instrText>
      </w:r>
      <w:r>
        <w:rPr>
          <w:highlight w:val="none"/>
        </w:rPr>
        <w:fldChar w:fldCharType="separate"/>
      </w:r>
      <w:r>
        <w:rPr>
          <w:highlight w:val="none"/>
        </w:rPr>
        <w:t>27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_Toc2693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13</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开标</w:t>
      </w:r>
      <w:r>
        <w:rPr>
          <w:highlight w:val="none"/>
        </w:rPr>
        <w:tab/>
      </w:r>
      <w:r>
        <w:rPr>
          <w:highlight w:val="none"/>
        </w:rPr>
        <w:fldChar w:fldCharType="begin"/>
      </w:r>
      <w:r>
        <w:rPr>
          <w:highlight w:val="none"/>
        </w:rPr>
        <w:instrText xml:space="preserve"> PAGEREF _Toc2693 \h </w:instrText>
      </w:r>
      <w:r>
        <w:rPr>
          <w:highlight w:val="none"/>
        </w:rPr>
        <w:fldChar w:fldCharType="separate"/>
      </w:r>
      <w:r>
        <w:rPr>
          <w:highlight w:val="none"/>
        </w:rPr>
        <w:t>27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_Toc30154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14</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评标的方法和标准</w:t>
      </w:r>
      <w:r>
        <w:rPr>
          <w:highlight w:val="none"/>
        </w:rPr>
        <w:tab/>
      </w:r>
      <w:r>
        <w:rPr>
          <w:highlight w:val="none"/>
        </w:rPr>
        <w:fldChar w:fldCharType="begin"/>
      </w:r>
      <w:r>
        <w:rPr>
          <w:highlight w:val="none"/>
        </w:rPr>
        <w:instrText xml:space="preserve"> PAGEREF _Toc30154 \h </w:instrText>
      </w:r>
      <w:r>
        <w:rPr>
          <w:highlight w:val="none"/>
        </w:rPr>
        <w:fldChar w:fldCharType="separate"/>
      </w:r>
      <w:r>
        <w:rPr>
          <w:highlight w:val="none"/>
        </w:rPr>
        <w:t>28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_Toc23242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highlight w:val="none"/>
          <w:lang w:val="en-US" w:eastAsia="zh-CN"/>
        </w:rPr>
        <w:t>15、</w:t>
      </w:r>
      <w:r>
        <w:rPr>
          <w:rFonts w:hint="eastAsia" w:ascii="宋体" w:hAnsi="宋体" w:eastAsia="宋体" w:cs="宋体"/>
          <w:bCs/>
          <w:highlight w:val="none"/>
          <w:lang w:val="en-US" w:eastAsia="zh-CN"/>
        </w:rPr>
        <w:t>评</w:t>
      </w:r>
      <w:r>
        <w:rPr>
          <w:rFonts w:hint="eastAsia" w:ascii="宋体" w:hAnsi="宋体" w:eastAsia="宋体" w:cs="宋体"/>
          <w:bCs/>
          <w:highlight w:val="none"/>
        </w:rPr>
        <w:t>标</w:t>
      </w:r>
      <w:r>
        <w:rPr>
          <w:rFonts w:hint="eastAsia" w:asciiTheme="minorEastAsia" w:hAnsiTheme="minorEastAsia" w:eastAsiaTheme="minorEastAsia" w:cstheme="minorEastAsia"/>
          <w:kern w:val="2"/>
          <w:highlight w:val="none"/>
        </w:rPr>
        <w:t>结果</w:t>
      </w:r>
      <w:r>
        <w:rPr>
          <w:rFonts w:hint="eastAsia" w:ascii="宋体" w:hAnsi="宋体" w:eastAsia="宋体" w:cs="宋体"/>
          <w:bCs/>
          <w:highlight w:val="none"/>
        </w:rPr>
        <w:t>公示</w:t>
      </w:r>
      <w:r>
        <w:rPr>
          <w:highlight w:val="none"/>
        </w:rPr>
        <w:tab/>
      </w:r>
      <w:r>
        <w:rPr>
          <w:highlight w:val="none"/>
        </w:rPr>
        <w:fldChar w:fldCharType="begin"/>
      </w:r>
      <w:r>
        <w:rPr>
          <w:highlight w:val="none"/>
        </w:rPr>
        <w:instrText xml:space="preserve"> PAGEREF _Toc23242 \h </w:instrText>
      </w:r>
      <w:r>
        <w:rPr>
          <w:highlight w:val="none"/>
        </w:rPr>
        <w:fldChar w:fldCharType="separate"/>
      </w:r>
      <w:r>
        <w:rPr>
          <w:highlight w:val="none"/>
        </w:rPr>
        <w:t>37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_Toc27854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rPr>
        <w:t>16</w:t>
      </w:r>
      <w:r>
        <w:rPr>
          <w:rFonts w:hint="eastAsia" w:ascii="宋体" w:hAnsi="宋体" w:eastAsia="宋体" w:cs="宋体"/>
          <w:bCs/>
          <w:spacing w:val="0"/>
          <w:szCs w:val="24"/>
          <w:highlight w:val="none"/>
          <w:lang w:eastAsia="zh-CN"/>
        </w:rPr>
        <w:t>、</w:t>
      </w:r>
      <w:r>
        <w:rPr>
          <w:rFonts w:hint="eastAsia" w:asciiTheme="minorEastAsia" w:hAnsiTheme="minorEastAsia" w:eastAsiaTheme="minorEastAsia" w:cstheme="minorEastAsia"/>
          <w:kern w:val="2"/>
          <w:highlight w:val="none"/>
          <w:lang w:val="en-US" w:eastAsia="zh-CN"/>
        </w:rPr>
        <w:t>定</w:t>
      </w:r>
      <w:r>
        <w:rPr>
          <w:rFonts w:hint="eastAsia" w:asciiTheme="minorEastAsia" w:hAnsiTheme="minorEastAsia" w:eastAsiaTheme="minorEastAsia" w:cstheme="minorEastAsia"/>
          <w:kern w:val="2"/>
          <w:highlight w:val="none"/>
        </w:rPr>
        <w:t>标</w:t>
      </w:r>
      <w:r>
        <w:rPr>
          <w:highlight w:val="none"/>
        </w:rPr>
        <w:tab/>
      </w:r>
      <w:r>
        <w:rPr>
          <w:highlight w:val="none"/>
        </w:rPr>
        <w:fldChar w:fldCharType="begin"/>
      </w:r>
      <w:r>
        <w:rPr>
          <w:highlight w:val="none"/>
        </w:rPr>
        <w:instrText xml:space="preserve"> PAGEREF _Toc27854 \h </w:instrText>
      </w:r>
      <w:r>
        <w:rPr>
          <w:highlight w:val="none"/>
        </w:rPr>
        <w:fldChar w:fldCharType="separate"/>
      </w:r>
      <w:r>
        <w:rPr>
          <w:highlight w:val="none"/>
        </w:rPr>
        <w:t>38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_Toc4967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pacing w:val="0"/>
          <w:szCs w:val="24"/>
          <w:highlight w:val="none"/>
          <w:lang w:val="en-US" w:eastAsia="zh-CN"/>
        </w:rPr>
        <w:t>17</w:t>
      </w:r>
      <w:r>
        <w:rPr>
          <w:rFonts w:hint="eastAsia" w:ascii="宋体" w:hAnsi="宋体" w:eastAsia="宋体" w:cs="宋体"/>
          <w:bCs/>
          <w:spacing w:val="0"/>
          <w:szCs w:val="24"/>
          <w:highlight w:val="none"/>
          <w:lang w:eastAsia="zh-CN"/>
        </w:rPr>
        <w:t>、</w:t>
      </w:r>
      <w:r>
        <w:rPr>
          <w:rFonts w:hint="eastAsia" w:ascii="宋体" w:hAnsi="宋体" w:eastAsia="宋体" w:cs="宋体"/>
          <w:bCs/>
          <w:spacing w:val="0"/>
          <w:szCs w:val="24"/>
          <w:highlight w:val="none"/>
          <w:lang w:val="en-US" w:eastAsia="zh-CN"/>
        </w:rPr>
        <w:t>定</w:t>
      </w:r>
      <w:r>
        <w:rPr>
          <w:rFonts w:hint="eastAsia" w:ascii="宋体" w:hAnsi="宋体" w:eastAsia="宋体" w:cs="宋体"/>
          <w:bCs/>
          <w:spacing w:val="0"/>
          <w:szCs w:val="24"/>
          <w:highlight w:val="none"/>
        </w:rPr>
        <w:t>标</w:t>
      </w:r>
      <w:r>
        <w:rPr>
          <w:rFonts w:hint="eastAsia" w:asciiTheme="minorEastAsia" w:hAnsiTheme="minorEastAsia" w:eastAsiaTheme="minorEastAsia" w:cstheme="minorEastAsia"/>
          <w:kern w:val="2"/>
          <w:highlight w:val="none"/>
          <w:lang w:val="en-US" w:eastAsia="zh-CN"/>
        </w:rPr>
        <w:t>结果</w:t>
      </w:r>
      <w:r>
        <w:rPr>
          <w:rFonts w:hint="eastAsia" w:ascii="宋体" w:hAnsi="宋体" w:eastAsia="宋体" w:cs="宋体"/>
          <w:bCs/>
          <w:spacing w:val="0"/>
          <w:szCs w:val="24"/>
          <w:highlight w:val="none"/>
        </w:rPr>
        <w:t>公示</w:t>
      </w:r>
      <w:r>
        <w:rPr>
          <w:highlight w:val="none"/>
        </w:rPr>
        <w:tab/>
      </w:r>
      <w:r>
        <w:rPr>
          <w:highlight w:val="none"/>
        </w:rPr>
        <w:fldChar w:fldCharType="begin"/>
      </w:r>
      <w:r>
        <w:rPr>
          <w:highlight w:val="none"/>
        </w:rPr>
        <w:instrText xml:space="preserve"> PAGEREF _Toc4967 \h </w:instrText>
      </w:r>
      <w:r>
        <w:rPr>
          <w:highlight w:val="none"/>
        </w:rPr>
        <w:fldChar w:fldCharType="separate"/>
      </w:r>
      <w:r>
        <w:rPr>
          <w:highlight w:val="none"/>
        </w:rPr>
        <w:t>40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_Toc27297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第二章 拟签订合同的主要条款</w:t>
      </w:r>
      <w:r>
        <w:rPr>
          <w:highlight w:val="none"/>
        </w:rPr>
        <w:tab/>
      </w:r>
      <w:r>
        <w:rPr>
          <w:highlight w:val="none"/>
        </w:rPr>
        <w:fldChar w:fldCharType="begin"/>
      </w:r>
      <w:r>
        <w:rPr>
          <w:highlight w:val="none"/>
        </w:rPr>
        <w:instrText xml:space="preserve"> PAGEREF _Toc27297 \h </w:instrText>
      </w:r>
      <w:r>
        <w:rPr>
          <w:highlight w:val="none"/>
        </w:rPr>
        <w:fldChar w:fldCharType="separate"/>
      </w:r>
      <w:r>
        <w:rPr>
          <w:highlight w:val="none"/>
        </w:rPr>
        <w:t>44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_Toc8465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highlight w:val="none"/>
        </w:rPr>
        <w:t>1</w:t>
      </w:r>
      <w:r>
        <w:rPr>
          <w:rFonts w:hint="eastAsia" w:asciiTheme="minorEastAsia" w:hAnsiTheme="minorEastAsia" w:eastAsiaTheme="minorEastAsia" w:cstheme="minorEastAsia"/>
          <w:kern w:val="2"/>
          <w:highlight w:val="none"/>
          <w:lang w:eastAsia="zh-CN"/>
        </w:rPr>
        <w:t>、</w:t>
      </w:r>
      <w:r>
        <w:rPr>
          <w:rFonts w:hint="eastAsia" w:asciiTheme="minorEastAsia" w:hAnsiTheme="minorEastAsia" w:eastAsiaTheme="minorEastAsia" w:cstheme="minorEastAsia"/>
          <w:kern w:val="2"/>
          <w:highlight w:val="none"/>
        </w:rPr>
        <w:t>工程承包方式</w:t>
      </w:r>
      <w:r>
        <w:rPr>
          <w:highlight w:val="none"/>
        </w:rPr>
        <w:tab/>
      </w:r>
      <w:r>
        <w:rPr>
          <w:highlight w:val="none"/>
        </w:rPr>
        <w:fldChar w:fldCharType="begin"/>
      </w:r>
      <w:r>
        <w:rPr>
          <w:highlight w:val="none"/>
        </w:rPr>
        <w:instrText xml:space="preserve"> PAGEREF _Toc8465 \h </w:instrText>
      </w:r>
      <w:r>
        <w:rPr>
          <w:highlight w:val="none"/>
        </w:rPr>
        <w:fldChar w:fldCharType="separate"/>
      </w:r>
      <w:r>
        <w:rPr>
          <w:highlight w:val="none"/>
        </w:rPr>
        <w:t>44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_Toc12755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2</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工程结算原则</w:t>
      </w:r>
      <w:r>
        <w:rPr>
          <w:highlight w:val="none"/>
        </w:rPr>
        <w:tab/>
      </w:r>
      <w:r>
        <w:rPr>
          <w:highlight w:val="none"/>
        </w:rPr>
        <w:fldChar w:fldCharType="begin"/>
      </w:r>
      <w:r>
        <w:rPr>
          <w:highlight w:val="none"/>
        </w:rPr>
        <w:instrText xml:space="preserve"> PAGEREF _Toc12755 \h </w:instrText>
      </w:r>
      <w:r>
        <w:rPr>
          <w:highlight w:val="none"/>
        </w:rPr>
        <w:fldChar w:fldCharType="separate"/>
      </w:r>
      <w:r>
        <w:rPr>
          <w:highlight w:val="none"/>
        </w:rPr>
        <w:t>44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_Toc27145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2"/>
          <w:szCs w:val="24"/>
          <w:highlight w:val="none"/>
          <w:lang w:val="en-US" w:eastAsia="zh-CN"/>
        </w:rPr>
        <w:t>3</w:t>
      </w:r>
      <w:r>
        <w:rPr>
          <w:rFonts w:hint="eastAsia" w:asciiTheme="minorEastAsia" w:hAnsiTheme="minorEastAsia" w:eastAsiaTheme="minorEastAsia" w:cstheme="minorEastAsia"/>
          <w:kern w:val="2"/>
          <w:szCs w:val="24"/>
          <w:highlight w:val="none"/>
          <w:lang w:eastAsia="zh-CN"/>
        </w:rPr>
        <w:t>、</w:t>
      </w:r>
      <w:r>
        <w:rPr>
          <w:rFonts w:hint="eastAsia" w:asciiTheme="minorEastAsia" w:hAnsiTheme="minorEastAsia" w:eastAsiaTheme="minorEastAsia" w:cstheme="minorEastAsia"/>
          <w:kern w:val="2"/>
          <w:szCs w:val="24"/>
          <w:highlight w:val="none"/>
        </w:rPr>
        <w:t>工程付款办法</w:t>
      </w:r>
      <w:r>
        <w:rPr>
          <w:highlight w:val="none"/>
        </w:rPr>
        <w:tab/>
      </w:r>
      <w:r>
        <w:rPr>
          <w:highlight w:val="none"/>
        </w:rPr>
        <w:fldChar w:fldCharType="begin"/>
      </w:r>
      <w:r>
        <w:rPr>
          <w:highlight w:val="none"/>
        </w:rPr>
        <w:instrText xml:space="preserve"> PAGEREF _Toc27145 \h </w:instrText>
      </w:r>
      <w:r>
        <w:rPr>
          <w:highlight w:val="none"/>
        </w:rPr>
        <w:fldChar w:fldCharType="separate"/>
      </w:r>
      <w:r>
        <w:rPr>
          <w:highlight w:val="none"/>
        </w:rPr>
        <w:t>48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_Toc11753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第三章 中标人须知</w:t>
      </w:r>
      <w:r>
        <w:rPr>
          <w:highlight w:val="none"/>
        </w:rPr>
        <w:tab/>
      </w:r>
      <w:r>
        <w:rPr>
          <w:highlight w:val="none"/>
        </w:rPr>
        <w:fldChar w:fldCharType="begin"/>
      </w:r>
      <w:r>
        <w:rPr>
          <w:highlight w:val="none"/>
        </w:rPr>
        <w:instrText xml:space="preserve"> PAGEREF _Toc11753 \h </w:instrText>
      </w:r>
      <w:r>
        <w:rPr>
          <w:highlight w:val="none"/>
        </w:rPr>
        <w:fldChar w:fldCharType="separate"/>
      </w:r>
      <w:r>
        <w:rPr>
          <w:highlight w:val="none"/>
        </w:rPr>
        <w:t>73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_Toc22772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第四章 投标人提交的其他材料</w:t>
      </w:r>
      <w:r>
        <w:rPr>
          <w:highlight w:val="none"/>
        </w:rPr>
        <w:tab/>
      </w:r>
      <w:r>
        <w:rPr>
          <w:highlight w:val="none"/>
        </w:rPr>
        <w:fldChar w:fldCharType="begin"/>
      </w:r>
      <w:r>
        <w:rPr>
          <w:highlight w:val="none"/>
        </w:rPr>
        <w:instrText xml:space="preserve"> PAGEREF _Toc22772 \h </w:instrText>
      </w:r>
      <w:r>
        <w:rPr>
          <w:highlight w:val="none"/>
        </w:rPr>
        <w:fldChar w:fldCharType="separate"/>
      </w:r>
      <w:r>
        <w:rPr>
          <w:highlight w:val="none"/>
        </w:rPr>
        <w:t>80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_Toc32573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1</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投标保证</w:t>
      </w:r>
      <w:r>
        <w:rPr>
          <w:highlight w:val="none"/>
        </w:rPr>
        <w:tab/>
      </w:r>
      <w:r>
        <w:rPr>
          <w:highlight w:val="none"/>
        </w:rPr>
        <w:fldChar w:fldCharType="begin"/>
      </w:r>
      <w:r>
        <w:rPr>
          <w:highlight w:val="none"/>
        </w:rPr>
        <w:instrText xml:space="preserve"> PAGEREF _Toc32573 \h </w:instrText>
      </w:r>
      <w:r>
        <w:rPr>
          <w:highlight w:val="none"/>
        </w:rPr>
        <w:fldChar w:fldCharType="separate"/>
      </w:r>
      <w:r>
        <w:rPr>
          <w:highlight w:val="none"/>
        </w:rPr>
        <w:t>80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_Toc13264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2</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履约保证金</w:t>
      </w:r>
      <w:r>
        <w:rPr>
          <w:highlight w:val="none"/>
        </w:rPr>
        <w:tab/>
      </w:r>
      <w:r>
        <w:rPr>
          <w:highlight w:val="none"/>
        </w:rPr>
        <w:fldChar w:fldCharType="begin"/>
      </w:r>
      <w:r>
        <w:rPr>
          <w:highlight w:val="none"/>
        </w:rPr>
        <w:instrText xml:space="preserve"> PAGEREF _Toc13264 \h </w:instrText>
      </w:r>
      <w:r>
        <w:rPr>
          <w:highlight w:val="none"/>
        </w:rPr>
        <w:fldChar w:fldCharType="separate"/>
      </w:r>
      <w:r>
        <w:rPr>
          <w:highlight w:val="none"/>
        </w:rPr>
        <w:t>81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_Toc1728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3</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质量保证</w:t>
      </w:r>
      <w:r>
        <w:rPr>
          <w:highlight w:val="none"/>
        </w:rPr>
        <w:tab/>
      </w:r>
      <w:r>
        <w:rPr>
          <w:highlight w:val="none"/>
        </w:rPr>
        <w:fldChar w:fldCharType="begin"/>
      </w:r>
      <w:r>
        <w:rPr>
          <w:highlight w:val="none"/>
        </w:rPr>
        <w:instrText xml:space="preserve"> PAGEREF _Toc1728 \h </w:instrText>
      </w:r>
      <w:r>
        <w:rPr>
          <w:highlight w:val="none"/>
        </w:rPr>
        <w:fldChar w:fldCharType="separate"/>
      </w:r>
      <w:r>
        <w:rPr>
          <w:highlight w:val="none"/>
        </w:rPr>
        <w:t>82</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_Toc18214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第五章 招标工程的技术要求</w:t>
      </w:r>
      <w:r>
        <w:rPr>
          <w:highlight w:val="none"/>
        </w:rPr>
        <w:tab/>
      </w:r>
      <w:r>
        <w:rPr>
          <w:highlight w:val="none"/>
        </w:rPr>
        <w:fldChar w:fldCharType="begin"/>
      </w:r>
      <w:r>
        <w:rPr>
          <w:highlight w:val="none"/>
        </w:rPr>
        <w:instrText xml:space="preserve"> PAGEREF _Toc18214 \h </w:instrText>
      </w:r>
      <w:r>
        <w:rPr>
          <w:highlight w:val="none"/>
        </w:rPr>
        <w:fldChar w:fldCharType="separate"/>
      </w:r>
      <w:r>
        <w:rPr>
          <w:highlight w:val="none"/>
        </w:rPr>
        <w:t>83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_Toc30918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2"/>
          <w:highlight w:val="none"/>
          <w:lang w:val="en-US" w:eastAsia="zh-CN"/>
        </w:rPr>
        <w:t>一</w:t>
      </w:r>
      <w:r>
        <w:rPr>
          <w:rFonts w:hint="eastAsia" w:asciiTheme="minorEastAsia" w:hAnsiTheme="minorEastAsia" w:eastAsiaTheme="minorEastAsia" w:cstheme="minorEastAsia"/>
          <w:bCs/>
          <w:szCs w:val="22"/>
          <w:highlight w:val="none"/>
          <w:lang w:eastAsia="zh-CN"/>
        </w:rPr>
        <w:t>、</w:t>
      </w:r>
      <w:r>
        <w:rPr>
          <w:rFonts w:hint="eastAsia" w:asciiTheme="minorEastAsia" w:hAnsiTheme="minorEastAsia" w:eastAsiaTheme="minorEastAsia" w:cstheme="minorEastAsia"/>
          <w:bCs/>
          <w:szCs w:val="24"/>
          <w:highlight w:val="none"/>
        </w:rPr>
        <w:t>工程的技术要求</w:t>
      </w:r>
      <w:r>
        <w:rPr>
          <w:highlight w:val="none"/>
        </w:rPr>
        <w:tab/>
      </w:r>
      <w:r>
        <w:rPr>
          <w:highlight w:val="none"/>
        </w:rPr>
        <w:fldChar w:fldCharType="begin"/>
      </w:r>
      <w:r>
        <w:rPr>
          <w:highlight w:val="none"/>
        </w:rPr>
        <w:instrText xml:space="preserve"> PAGEREF _Toc30918 \h </w:instrText>
      </w:r>
      <w:r>
        <w:rPr>
          <w:highlight w:val="none"/>
        </w:rPr>
        <w:fldChar w:fldCharType="separate"/>
      </w:r>
      <w:r>
        <w:rPr>
          <w:highlight w:val="none"/>
        </w:rPr>
        <w:t>83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_Toc28705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kern w:val="0"/>
          <w:szCs w:val="24"/>
          <w:highlight w:val="none"/>
          <w:lang w:val="en-US" w:eastAsia="zh-CN"/>
        </w:rPr>
        <w:t>1.</w:t>
      </w:r>
      <w:r>
        <w:rPr>
          <w:rFonts w:hint="eastAsia" w:ascii="宋体" w:hAnsi="宋体" w:eastAsia="宋体" w:cs="宋体"/>
          <w:kern w:val="0"/>
          <w:szCs w:val="24"/>
          <w:highlight w:val="none"/>
        </w:rPr>
        <w:t>工程设计标准规范</w:t>
      </w:r>
      <w:r>
        <w:rPr>
          <w:highlight w:val="none"/>
        </w:rPr>
        <w:tab/>
      </w:r>
      <w:r>
        <w:rPr>
          <w:highlight w:val="none"/>
        </w:rPr>
        <w:fldChar w:fldCharType="begin"/>
      </w:r>
      <w:r>
        <w:rPr>
          <w:highlight w:val="none"/>
        </w:rPr>
        <w:instrText xml:space="preserve"> PAGEREF _Toc28705 \h </w:instrText>
      </w:r>
      <w:r>
        <w:rPr>
          <w:highlight w:val="none"/>
        </w:rPr>
        <w:fldChar w:fldCharType="separate"/>
      </w:r>
      <w:r>
        <w:rPr>
          <w:highlight w:val="none"/>
        </w:rPr>
        <w:t>83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_Toc30539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bCs/>
          <w:szCs w:val="24"/>
          <w:highlight w:val="none"/>
        </w:rPr>
        <w:t>2.施工</w:t>
      </w:r>
      <w:r>
        <w:rPr>
          <w:rFonts w:hint="eastAsia" w:ascii="宋体" w:hAnsi="宋体" w:eastAsia="宋体" w:cs="宋体"/>
          <w:snapToGrid w:val="0"/>
          <w:szCs w:val="24"/>
          <w:highlight w:val="none"/>
        </w:rPr>
        <w:t>规范</w:t>
      </w:r>
      <w:r>
        <w:rPr>
          <w:highlight w:val="none"/>
        </w:rPr>
        <w:tab/>
      </w:r>
      <w:r>
        <w:rPr>
          <w:highlight w:val="none"/>
        </w:rPr>
        <w:fldChar w:fldCharType="begin"/>
      </w:r>
      <w:r>
        <w:rPr>
          <w:highlight w:val="none"/>
        </w:rPr>
        <w:instrText xml:space="preserve"> PAGEREF _Toc30539 \h </w:instrText>
      </w:r>
      <w:r>
        <w:rPr>
          <w:highlight w:val="none"/>
        </w:rPr>
        <w:fldChar w:fldCharType="separate"/>
      </w:r>
      <w:r>
        <w:rPr>
          <w:highlight w:val="none"/>
        </w:rPr>
        <w:t>83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_Toc9288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napToGrid w:val="0"/>
          <w:szCs w:val="24"/>
          <w:highlight w:val="none"/>
        </w:rPr>
        <w:t>3</w:t>
      </w:r>
      <w:r>
        <w:rPr>
          <w:rFonts w:hint="eastAsia" w:hAnsi="宋体" w:eastAsia="宋体" w:cs="宋体"/>
          <w:snapToGrid w:val="0"/>
          <w:szCs w:val="24"/>
          <w:highlight w:val="none"/>
          <w:lang w:val="en-US" w:eastAsia="zh-CN"/>
        </w:rPr>
        <w:t>.</w:t>
      </w:r>
      <w:r>
        <w:rPr>
          <w:rFonts w:hint="eastAsia" w:ascii="宋体" w:hAnsi="宋体" w:eastAsia="宋体" w:cs="宋体"/>
          <w:snapToGrid w:val="0"/>
          <w:szCs w:val="24"/>
          <w:highlight w:val="none"/>
        </w:rPr>
        <w:t>备查要求</w:t>
      </w:r>
      <w:r>
        <w:rPr>
          <w:highlight w:val="none"/>
        </w:rPr>
        <w:tab/>
      </w:r>
      <w:r>
        <w:rPr>
          <w:highlight w:val="none"/>
        </w:rPr>
        <w:fldChar w:fldCharType="begin"/>
      </w:r>
      <w:r>
        <w:rPr>
          <w:highlight w:val="none"/>
        </w:rPr>
        <w:instrText xml:space="preserve"> PAGEREF _Toc9288 \h </w:instrText>
      </w:r>
      <w:r>
        <w:rPr>
          <w:highlight w:val="none"/>
        </w:rPr>
        <w:fldChar w:fldCharType="separate"/>
      </w:r>
      <w:r>
        <w:rPr>
          <w:highlight w:val="none"/>
        </w:rPr>
        <w:t>84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_Toc30549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lang w:val="en-US" w:eastAsia="zh-CN"/>
        </w:rPr>
        <w:t xml:space="preserve">第六章  </w:t>
      </w:r>
      <w:r>
        <w:rPr>
          <w:rFonts w:hint="eastAsia" w:asciiTheme="minorEastAsia" w:hAnsiTheme="minorEastAsia" w:eastAsiaTheme="minorEastAsia" w:cstheme="minorEastAsia"/>
          <w:kern w:val="44"/>
          <w:szCs w:val="36"/>
          <w:highlight w:val="none"/>
          <w:lang w:eastAsia="zh-CN"/>
        </w:rPr>
        <w:t>投标文件格式</w:t>
      </w:r>
      <w:r>
        <w:rPr>
          <w:highlight w:val="none"/>
        </w:rPr>
        <w:tab/>
      </w:r>
      <w:r>
        <w:rPr>
          <w:highlight w:val="none"/>
        </w:rPr>
        <w:fldChar w:fldCharType="begin"/>
      </w:r>
      <w:r>
        <w:rPr>
          <w:highlight w:val="none"/>
        </w:rPr>
        <w:instrText xml:space="preserve"> PAGEREF _Toc30549 \h </w:instrText>
      </w:r>
      <w:r>
        <w:rPr>
          <w:highlight w:val="none"/>
        </w:rPr>
        <w:fldChar w:fldCharType="separate"/>
      </w:r>
      <w:r>
        <w:rPr>
          <w:highlight w:val="none"/>
        </w:rPr>
        <w:t>85</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_Toc19410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格式一 封面</w:t>
      </w:r>
      <w:r>
        <w:rPr>
          <w:highlight w:val="none"/>
        </w:rPr>
        <w:tab/>
      </w:r>
      <w:r>
        <w:rPr>
          <w:highlight w:val="none"/>
        </w:rPr>
        <w:fldChar w:fldCharType="begin"/>
      </w:r>
      <w:r>
        <w:rPr>
          <w:highlight w:val="none"/>
        </w:rPr>
        <w:instrText xml:space="preserve"> PAGEREF _Toc19410 \h </w:instrText>
      </w:r>
      <w:r>
        <w:rPr>
          <w:highlight w:val="none"/>
        </w:rPr>
        <w:fldChar w:fldCharType="separate"/>
      </w:r>
      <w:r>
        <w:rPr>
          <w:highlight w:val="none"/>
        </w:rPr>
        <w:t>85</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_Toc4696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格式二 投标函</w:t>
      </w:r>
      <w:r>
        <w:rPr>
          <w:highlight w:val="none"/>
        </w:rPr>
        <w:tab/>
      </w:r>
      <w:r>
        <w:rPr>
          <w:highlight w:val="none"/>
        </w:rPr>
        <w:fldChar w:fldCharType="begin"/>
      </w:r>
      <w:r>
        <w:rPr>
          <w:highlight w:val="none"/>
        </w:rPr>
        <w:instrText xml:space="preserve"> PAGEREF _Toc4696 \h </w:instrText>
      </w:r>
      <w:r>
        <w:rPr>
          <w:highlight w:val="none"/>
        </w:rPr>
        <w:fldChar w:fldCharType="separate"/>
      </w:r>
      <w:r>
        <w:rPr>
          <w:highlight w:val="none"/>
        </w:rPr>
        <w:t>86</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_Toc11265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格式三 工程项目总价表</w:t>
      </w:r>
      <w:r>
        <w:rPr>
          <w:highlight w:val="none"/>
        </w:rPr>
        <w:tab/>
      </w:r>
      <w:r>
        <w:rPr>
          <w:highlight w:val="none"/>
        </w:rPr>
        <w:fldChar w:fldCharType="begin"/>
      </w:r>
      <w:r>
        <w:rPr>
          <w:highlight w:val="none"/>
        </w:rPr>
        <w:instrText xml:space="preserve"> PAGEREF _Toc11265 \h </w:instrText>
      </w:r>
      <w:r>
        <w:rPr>
          <w:highlight w:val="none"/>
        </w:rPr>
        <w:fldChar w:fldCharType="separate"/>
      </w:r>
      <w:r>
        <w:rPr>
          <w:highlight w:val="none"/>
        </w:rPr>
        <w:t>87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_Toc18655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24"/>
          <w:highlight w:val="none"/>
        </w:rPr>
        <w:t>格式</w:t>
      </w:r>
      <w:r>
        <w:rPr>
          <w:rFonts w:hint="eastAsia" w:asciiTheme="minorEastAsia" w:hAnsiTheme="minorEastAsia" w:eastAsiaTheme="minorEastAsia" w:cstheme="minorEastAsia"/>
          <w:szCs w:val="24"/>
          <w:highlight w:val="none"/>
          <w:lang w:val="en-US" w:eastAsia="zh-CN"/>
        </w:rPr>
        <w:t>四</w:t>
      </w:r>
      <w:r>
        <w:rPr>
          <w:rFonts w:hint="eastAsia" w:asciiTheme="minorEastAsia" w:hAnsiTheme="minorEastAsia" w:eastAsiaTheme="minorEastAsia" w:cstheme="minorEastAsia"/>
          <w:szCs w:val="24"/>
          <w:highlight w:val="none"/>
        </w:rPr>
        <w:t xml:space="preserve"> 各项</w:t>
      </w:r>
      <w:r>
        <w:rPr>
          <w:rFonts w:hint="eastAsia" w:asciiTheme="minorEastAsia" w:hAnsiTheme="minorEastAsia" w:eastAsiaTheme="minorEastAsia" w:cstheme="minorEastAsia"/>
          <w:bCs/>
          <w:szCs w:val="24"/>
          <w:highlight w:val="none"/>
        </w:rPr>
        <w:t>承诺</w:t>
      </w:r>
      <w:r>
        <w:rPr>
          <w:rFonts w:hint="eastAsia" w:asciiTheme="minorEastAsia" w:hAnsiTheme="minorEastAsia" w:eastAsiaTheme="minorEastAsia" w:cstheme="minorEastAsia"/>
          <w:szCs w:val="24"/>
          <w:highlight w:val="none"/>
        </w:rPr>
        <w:t>一览表</w:t>
      </w:r>
      <w:r>
        <w:rPr>
          <w:highlight w:val="none"/>
        </w:rPr>
        <w:tab/>
      </w:r>
      <w:r>
        <w:rPr>
          <w:highlight w:val="none"/>
        </w:rPr>
        <w:fldChar w:fldCharType="begin"/>
      </w:r>
      <w:r>
        <w:rPr>
          <w:highlight w:val="none"/>
        </w:rPr>
        <w:instrText xml:space="preserve"> PAGEREF _Toc18655 \h </w:instrText>
      </w:r>
      <w:r>
        <w:rPr>
          <w:highlight w:val="none"/>
        </w:rPr>
        <w:fldChar w:fldCharType="separate"/>
      </w:r>
      <w:r>
        <w:rPr>
          <w:highlight w:val="none"/>
        </w:rPr>
        <w:t>88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_Toc21570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五</w:t>
      </w:r>
      <w:r>
        <w:rPr>
          <w:rFonts w:hint="eastAsia" w:asciiTheme="minorEastAsia" w:hAnsiTheme="minorEastAsia" w:eastAsiaTheme="minorEastAsia" w:cstheme="minorEastAsia"/>
          <w:bCs/>
          <w:szCs w:val="24"/>
          <w:highlight w:val="none"/>
        </w:rPr>
        <w:t xml:space="preserve"> 授权委托书</w:t>
      </w:r>
      <w:r>
        <w:rPr>
          <w:highlight w:val="none"/>
        </w:rPr>
        <w:tab/>
      </w:r>
      <w:r>
        <w:rPr>
          <w:highlight w:val="none"/>
        </w:rPr>
        <w:fldChar w:fldCharType="begin"/>
      </w:r>
      <w:r>
        <w:rPr>
          <w:highlight w:val="none"/>
        </w:rPr>
        <w:instrText xml:space="preserve"> PAGEREF _Toc21570 \h </w:instrText>
      </w:r>
      <w:r>
        <w:rPr>
          <w:highlight w:val="none"/>
        </w:rPr>
        <w:fldChar w:fldCharType="separate"/>
      </w:r>
      <w:r>
        <w:rPr>
          <w:highlight w:val="none"/>
        </w:rPr>
        <w:t>93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_Toc8784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六</w:t>
      </w:r>
      <w:r>
        <w:rPr>
          <w:rFonts w:hint="eastAsia" w:asciiTheme="minorEastAsia" w:hAnsiTheme="minorEastAsia" w:eastAsiaTheme="minorEastAsia" w:cstheme="minorEastAsia"/>
          <w:bCs/>
          <w:szCs w:val="24"/>
          <w:highlight w:val="none"/>
        </w:rPr>
        <w:t xml:space="preserve"> 法定代表人身份证明</w:t>
      </w:r>
      <w:r>
        <w:rPr>
          <w:highlight w:val="none"/>
        </w:rPr>
        <w:tab/>
      </w:r>
      <w:r>
        <w:rPr>
          <w:highlight w:val="none"/>
        </w:rPr>
        <w:fldChar w:fldCharType="begin"/>
      </w:r>
      <w:r>
        <w:rPr>
          <w:highlight w:val="none"/>
        </w:rPr>
        <w:instrText xml:space="preserve"> PAGEREF _Toc8784 \h </w:instrText>
      </w:r>
      <w:r>
        <w:rPr>
          <w:highlight w:val="none"/>
        </w:rPr>
        <w:fldChar w:fldCharType="separate"/>
      </w:r>
      <w:r>
        <w:rPr>
          <w:highlight w:val="none"/>
        </w:rPr>
        <w:t>94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_Toc24305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七</w:t>
      </w:r>
      <w:r>
        <w:rPr>
          <w:rFonts w:hint="eastAsia" w:asciiTheme="minorEastAsia" w:hAnsiTheme="minorEastAsia" w:eastAsiaTheme="minorEastAsia" w:cstheme="minorEastAsia"/>
          <w:bCs/>
          <w:szCs w:val="24"/>
          <w:highlight w:val="none"/>
        </w:rPr>
        <w:t xml:space="preserve"> 联合体协议书</w:t>
      </w:r>
      <w:r>
        <w:rPr>
          <w:highlight w:val="none"/>
        </w:rPr>
        <w:tab/>
      </w:r>
      <w:r>
        <w:rPr>
          <w:highlight w:val="none"/>
        </w:rPr>
        <w:fldChar w:fldCharType="begin"/>
      </w:r>
      <w:r>
        <w:rPr>
          <w:highlight w:val="none"/>
        </w:rPr>
        <w:instrText xml:space="preserve"> PAGEREF _Toc24305 \h </w:instrText>
      </w:r>
      <w:r>
        <w:rPr>
          <w:highlight w:val="none"/>
        </w:rPr>
        <w:fldChar w:fldCharType="separate"/>
      </w:r>
      <w:r>
        <w:rPr>
          <w:highlight w:val="none"/>
        </w:rPr>
        <w:t>95</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_Toc3679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八</w:t>
      </w:r>
      <w:r>
        <w:rPr>
          <w:rFonts w:hint="eastAsia" w:asciiTheme="minorEastAsia" w:hAnsiTheme="minorEastAsia" w:eastAsiaTheme="minorEastAsia" w:cstheme="minorEastAsia"/>
          <w:bCs/>
          <w:szCs w:val="24"/>
          <w:highlight w:val="none"/>
        </w:rPr>
        <w:t xml:space="preserve"> 投标人基本情况表</w:t>
      </w:r>
      <w:r>
        <w:rPr>
          <w:highlight w:val="none"/>
        </w:rPr>
        <w:tab/>
      </w:r>
      <w:r>
        <w:rPr>
          <w:highlight w:val="none"/>
        </w:rPr>
        <w:fldChar w:fldCharType="begin"/>
      </w:r>
      <w:r>
        <w:rPr>
          <w:highlight w:val="none"/>
        </w:rPr>
        <w:instrText xml:space="preserve"> PAGEREF _Toc3679 \h </w:instrText>
      </w:r>
      <w:r>
        <w:rPr>
          <w:highlight w:val="none"/>
        </w:rPr>
        <w:fldChar w:fldCharType="separate"/>
      </w:r>
      <w:r>
        <w:rPr>
          <w:highlight w:val="none"/>
        </w:rPr>
        <w:t>97</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_Toc789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九</w:t>
      </w:r>
      <w:r>
        <w:rPr>
          <w:rFonts w:hint="eastAsia" w:asciiTheme="minorEastAsia" w:hAnsiTheme="minorEastAsia" w:eastAsiaTheme="minorEastAsia" w:cstheme="minorEastAsia"/>
          <w:bCs/>
          <w:szCs w:val="24"/>
          <w:highlight w:val="none"/>
        </w:rPr>
        <w:t xml:space="preserve"> 项目经理简历表</w:t>
      </w:r>
      <w:r>
        <w:rPr>
          <w:highlight w:val="none"/>
        </w:rPr>
        <w:tab/>
      </w:r>
      <w:r>
        <w:rPr>
          <w:highlight w:val="none"/>
        </w:rPr>
        <w:fldChar w:fldCharType="begin"/>
      </w:r>
      <w:r>
        <w:rPr>
          <w:highlight w:val="none"/>
        </w:rPr>
        <w:instrText xml:space="preserve"> PAGEREF _Toc789 \h </w:instrText>
      </w:r>
      <w:r>
        <w:rPr>
          <w:highlight w:val="none"/>
        </w:rPr>
        <w:fldChar w:fldCharType="separate"/>
      </w:r>
      <w:r>
        <w:rPr>
          <w:highlight w:val="none"/>
        </w:rPr>
        <w:t>98</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_Toc17185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w:t>
      </w:r>
      <w:r>
        <w:rPr>
          <w:rFonts w:hint="eastAsia" w:asciiTheme="minorEastAsia" w:hAnsiTheme="minorEastAsia" w:eastAsiaTheme="minorEastAsia" w:cstheme="minorEastAsia"/>
          <w:bCs/>
          <w:szCs w:val="24"/>
          <w:highlight w:val="none"/>
          <w:lang w:val="en-US" w:eastAsia="zh-CN"/>
        </w:rPr>
        <w:t>十</w:t>
      </w:r>
      <w:r>
        <w:rPr>
          <w:rFonts w:hint="eastAsia" w:asciiTheme="minorEastAsia" w:hAnsiTheme="minorEastAsia" w:eastAsiaTheme="minorEastAsia" w:cstheme="minorEastAsia"/>
          <w:bCs/>
          <w:szCs w:val="24"/>
          <w:highlight w:val="none"/>
        </w:rPr>
        <w:t xml:space="preserve"> 项目经理任职声明</w:t>
      </w:r>
      <w:r>
        <w:rPr>
          <w:highlight w:val="none"/>
        </w:rPr>
        <w:tab/>
      </w:r>
      <w:r>
        <w:rPr>
          <w:highlight w:val="none"/>
        </w:rPr>
        <w:fldChar w:fldCharType="begin"/>
      </w:r>
      <w:r>
        <w:rPr>
          <w:highlight w:val="none"/>
        </w:rPr>
        <w:instrText xml:space="preserve"> PAGEREF _Toc17185 \h </w:instrText>
      </w:r>
      <w:r>
        <w:rPr>
          <w:highlight w:val="none"/>
        </w:rPr>
        <w:fldChar w:fldCharType="separate"/>
      </w:r>
      <w:r>
        <w:rPr>
          <w:highlight w:val="none"/>
        </w:rPr>
        <w:t>99</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_Toc29406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一</w:t>
      </w:r>
      <w:r>
        <w:rPr>
          <w:rFonts w:hint="eastAsia" w:asciiTheme="minorEastAsia" w:hAnsiTheme="minorEastAsia" w:eastAsiaTheme="minorEastAsia" w:cstheme="minorEastAsia"/>
          <w:bCs/>
          <w:szCs w:val="24"/>
          <w:highlight w:val="none"/>
        </w:rPr>
        <w:t xml:space="preserve"> 项目技术负责人简历表</w:t>
      </w:r>
      <w:r>
        <w:rPr>
          <w:highlight w:val="none"/>
        </w:rPr>
        <w:tab/>
      </w:r>
      <w:r>
        <w:rPr>
          <w:highlight w:val="none"/>
        </w:rPr>
        <w:fldChar w:fldCharType="begin"/>
      </w:r>
      <w:r>
        <w:rPr>
          <w:highlight w:val="none"/>
        </w:rPr>
        <w:instrText xml:space="preserve"> PAGEREF _Toc29406 \h </w:instrText>
      </w:r>
      <w:r>
        <w:rPr>
          <w:highlight w:val="none"/>
        </w:rPr>
        <w:fldChar w:fldCharType="separate"/>
      </w:r>
      <w:r>
        <w:rPr>
          <w:highlight w:val="none"/>
        </w:rPr>
        <w:t>100</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_Toc29878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24"/>
          <w:highlight w:val="none"/>
        </w:rPr>
        <w:t>格式十</w:t>
      </w:r>
      <w:r>
        <w:rPr>
          <w:rFonts w:hint="eastAsia" w:asciiTheme="minorEastAsia" w:hAnsiTheme="minorEastAsia" w:eastAsiaTheme="minorEastAsia" w:cstheme="minorEastAsia"/>
          <w:bCs/>
          <w:szCs w:val="24"/>
          <w:highlight w:val="none"/>
          <w:lang w:val="en-US" w:eastAsia="zh-CN"/>
        </w:rPr>
        <w:t>二</w:t>
      </w:r>
      <w:r>
        <w:rPr>
          <w:rFonts w:hint="eastAsia" w:asciiTheme="minorEastAsia" w:hAnsiTheme="minorEastAsia" w:eastAsiaTheme="minorEastAsia" w:cstheme="minorEastAsia"/>
          <w:bCs/>
          <w:szCs w:val="24"/>
          <w:highlight w:val="none"/>
        </w:rPr>
        <w:t xml:space="preserve"> 项目设计负责人简历表</w:t>
      </w:r>
      <w:r>
        <w:rPr>
          <w:highlight w:val="none"/>
        </w:rPr>
        <w:tab/>
      </w:r>
      <w:r>
        <w:rPr>
          <w:highlight w:val="none"/>
        </w:rPr>
        <w:fldChar w:fldCharType="begin"/>
      </w:r>
      <w:r>
        <w:rPr>
          <w:highlight w:val="none"/>
        </w:rPr>
        <w:instrText xml:space="preserve"> PAGEREF _Toc29878 \h </w:instrText>
      </w:r>
      <w:r>
        <w:rPr>
          <w:highlight w:val="none"/>
        </w:rPr>
        <w:fldChar w:fldCharType="separate"/>
      </w:r>
      <w:r>
        <w:rPr>
          <w:highlight w:val="none"/>
        </w:rPr>
        <w:t>101</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_Toc23027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rPr>
        <w:t>格式十</w:t>
      </w:r>
      <w:r>
        <w:rPr>
          <w:rFonts w:hint="eastAsia" w:asciiTheme="minorEastAsia" w:hAnsiTheme="minorEastAsia" w:eastAsiaTheme="minorEastAsia" w:cstheme="minorEastAsia"/>
          <w:snapToGrid w:val="0"/>
          <w:szCs w:val="24"/>
          <w:highlight w:val="none"/>
          <w:lang w:val="en-US" w:eastAsia="zh-CN"/>
        </w:rPr>
        <w:t>三</w:t>
      </w:r>
      <w:r>
        <w:rPr>
          <w:rFonts w:hint="eastAsia" w:asciiTheme="minorEastAsia" w:hAnsiTheme="minorEastAsia" w:eastAsiaTheme="minorEastAsia" w:cstheme="minorEastAsia"/>
          <w:snapToGrid w:val="0"/>
          <w:szCs w:val="24"/>
          <w:highlight w:val="none"/>
        </w:rPr>
        <w:t xml:space="preserve"> 项目管理机构组成表</w:t>
      </w:r>
      <w:r>
        <w:rPr>
          <w:highlight w:val="none"/>
        </w:rPr>
        <w:tab/>
      </w:r>
      <w:r>
        <w:rPr>
          <w:highlight w:val="none"/>
        </w:rPr>
        <w:fldChar w:fldCharType="begin"/>
      </w:r>
      <w:r>
        <w:rPr>
          <w:highlight w:val="none"/>
        </w:rPr>
        <w:instrText xml:space="preserve"> PAGEREF _Toc23027 \h </w:instrText>
      </w:r>
      <w:r>
        <w:rPr>
          <w:highlight w:val="none"/>
        </w:rPr>
        <w:fldChar w:fldCharType="separate"/>
      </w:r>
      <w:r>
        <w:rPr>
          <w:highlight w:val="none"/>
        </w:rPr>
        <w:t>102</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_Toc20511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格式十四 定标文件封面</w:t>
      </w:r>
      <w:r>
        <w:rPr>
          <w:highlight w:val="none"/>
        </w:rPr>
        <w:tab/>
      </w:r>
      <w:r>
        <w:rPr>
          <w:highlight w:val="none"/>
        </w:rPr>
        <w:fldChar w:fldCharType="begin"/>
      </w:r>
      <w:r>
        <w:rPr>
          <w:highlight w:val="none"/>
        </w:rPr>
        <w:instrText xml:space="preserve"> PAGEREF _Toc20511 \h </w:instrText>
      </w:r>
      <w:r>
        <w:rPr>
          <w:highlight w:val="none"/>
        </w:rPr>
        <w:fldChar w:fldCharType="separate"/>
      </w:r>
      <w:r>
        <w:rPr>
          <w:highlight w:val="none"/>
        </w:rPr>
        <w:t>103</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8"/>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_Toc2398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napToGrid w:val="0"/>
          <w:szCs w:val="24"/>
          <w:highlight w:val="none"/>
          <w:lang w:val="en-US" w:eastAsia="zh-CN"/>
        </w:rPr>
        <w:t>格式十五 定标因素评审资料</w:t>
      </w:r>
      <w:r>
        <w:rPr>
          <w:highlight w:val="none"/>
        </w:rPr>
        <w:tab/>
      </w:r>
      <w:r>
        <w:rPr>
          <w:highlight w:val="none"/>
        </w:rPr>
        <w:fldChar w:fldCharType="begin"/>
      </w:r>
      <w:r>
        <w:rPr>
          <w:highlight w:val="none"/>
        </w:rPr>
        <w:instrText xml:space="preserve"> PAGEREF _Toc2398 \h </w:instrText>
      </w:r>
      <w:r>
        <w:rPr>
          <w:highlight w:val="none"/>
        </w:rPr>
        <w:fldChar w:fldCharType="separate"/>
      </w:r>
      <w:r>
        <w:rPr>
          <w:highlight w:val="none"/>
        </w:rPr>
        <w:t>104</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5"/>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_Toc8715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kern w:val="44"/>
          <w:szCs w:val="36"/>
          <w:highlight w:val="none"/>
        </w:rPr>
        <w:t>第</w:t>
      </w:r>
      <w:r>
        <w:rPr>
          <w:rFonts w:hint="eastAsia" w:asciiTheme="minorEastAsia" w:hAnsiTheme="minorEastAsia" w:eastAsiaTheme="minorEastAsia" w:cstheme="minorEastAsia"/>
          <w:kern w:val="44"/>
          <w:szCs w:val="36"/>
          <w:highlight w:val="none"/>
          <w:lang w:val="en-US" w:eastAsia="zh-CN"/>
        </w:rPr>
        <w:t>七</w:t>
      </w:r>
      <w:r>
        <w:rPr>
          <w:rFonts w:hint="eastAsia" w:asciiTheme="minorEastAsia" w:hAnsiTheme="minorEastAsia" w:eastAsiaTheme="minorEastAsia" w:cstheme="minorEastAsia"/>
          <w:kern w:val="44"/>
          <w:szCs w:val="36"/>
          <w:highlight w:val="none"/>
        </w:rPr>
        <w:t>章  建设工程合同</w:t>
      </w:r>
      <w:r>
        <w:rPr>
          <w:highlight w:val="none"/>
        </w:rPr>
        <w:tab/>
      </w:r>
      <w:r>
        <w:rPr>
          <w:highlight w:val="none"/>
        </w:rPr>
        <w:fldChar w:fldCharType="begin"/>
      </w:r>
      <w:r>
        <w:rPr>
          <w:highlight w:val="none"/>
        </w:rPr>
        <w:instrText xml:space="preserve"> PAGEREF _Toc8715 \h </w:instrText>
      </w:r>
      <w:r>
        <w:rPr>
          <w:highlight w:val="none"/>
        </w:rPr>
        <w:fldChar w:fldCharType="separate"/>
      </w:r>
      <w:r>
        <w:rPr>
          <w:highlight w:val="none"/>
        </w:rPr>
        <w:t>105</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10"/>
        <w:tabs>
          <w:tab w:val="right" w:leader="dot" w:pos="8306"/>
        </w:tabs>
        <w:rPr>
          <w:highlight w:val="none"/>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begin"/>
      </w:r>
      <w:r>
        <w:rPr>
          <w:rFonts w:hint="eastAsia" w:asciiTheme="minorEastAsia" w:hAnsiTheme="minorEastAsia" w:eastAsiaTheme="minorEastAsia" w:cstheme="minorEastAsia"/>
          <w:szCs w:val="21"/>
          <w:highlight w:val="none"/>
        </w:rPr>
        <w:instrText xml:space="preserve"> HYPERLINK \l _Toc951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2"/>
          <w:highlight w:val="none"/>
        </w:rPr>
        <w:t>廉政合同</w:t>
      </w:r>
      <w:r>
        <w:rPr>
          <w:rFonts w:hint="eastAsia" w:asciiTheme="minorEastAsia" w:hAnsiTheme="minorEastAsia" w:eastAsiaTheme="minorEastAsia" w:cstheme="minorEastAsia"/>
          <w:bCs/>
          <w:szCs w:val="32"/>
          <w:highlight w:val="none"/>
          <w:lang w:val="en-US" w:eastAsia="zh-CN"/>
        </w:rPr>
        <w:t>格式</w:t>
      </w:r>
      <w:r>
        <w:rPr>
          <w:highlight w:val="none"/>
        </w:rPr>
        <w:tab/>
      </w:r>
      <w:r>
        <w:rPr>
          <w:highlight w:val="none"/>
        </w:rPr>
        <w:fldChar w:fldCharType="begin"/>
      </w:r>
      <w:r>
        <w:rPr>
          <w:highlight w:val="none"/>
        </w:rPr>
        <w:instrText xml:space="preserve"> PAGEREF _Toc951 \h </w:instrText>
      </w:r>
      <w:r>
        <w:rPr>
          <w:highlight w:val="none"/>
        </w:rPr>
        <w:fldChar w:fldCharType="separate"/>
      </w:r>
      <w:r>
        <w:rPr>
          <w:highlight w:val="none"/>
        </w:rPr>
        <w:t>105</w:t>
      </w:r>
      <w:r>
        <w:rPr>
          <w:highlight w:val="none"/>
        </w:rPr>
        <w:fldChar w:fldCharType="end"/>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7"/>
        <w:pageBreakBefore w:val="0"/>
        <w:tabs>
          <w:tab w:val="left" w:pos="4935"/>
        </w:tabs>
        <w:kinsoku/>
        <w:wordWrap w:val="0"/>
        <w:overflowPunct/>
        <w:bidi w:val="0"/>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sectPr>
          <w:footerReference r:id="rId4" w:type="default"/>
          <w:endnotePr>
            <w:numFmt w:val="decimal"/>
          </w:endnotePr>
          <w:pgSz w:w="11906" w:h="16838"/>
          <w:pgMar w:top="1440" w:right="1800" w:bottom="1440" w:left="1800" w:header="851" w:footer="992" w:gutter="0"/>
          <w:pgNumType w:start="1"/>
          <w:cols w:space="720" w:num="1"/>
          <w:docGrid w:type="lines" w:linePitch="312" w:charSpace="0"/>
        </w:sect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fldChar w:fldCharType="end"/>
      </w:r>
    </w:p>
    <w:p>
      <w:pPr>
        <w:pStyle w:val="38"/>
        <w:keepNext/>
        <w:keepLines/>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0" w:name="_Toc19485"/>
      <w:bookmarkStart w:id="1" w:name="_Hlt1116902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第一章</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投标人须知</w:t>
      </w:r>
      <w:bookmarkEnd w:id="0"/>
    </w:p>
    <w:p>
      <w:pPr>
        <w:pStyle w:val="39"/>
        <w:keepNext/>
        <w:keepLines/>
        <w:pageBreakBefore w:val="0"/>
        <w:kinsoku/>
        <w:wordWrap w:val="0"/>
        <w:overflowPunct/>
        <w:autoSpaceDE/>
        <w:autoSpaceDN/>
        <w:bidi w:val="0"/>
        <w:adjustRightInd/>
        <w:spacing w:before="260" w:after="260" w:line="360" w:lineRule="exact"/>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 w:name="_Hlt127175444"/>
      <w:bookmarkEnd w:id="2"/>
      <w:bookmarkStart w:id="3" w:name="_Toc16263"/>
      <w:bookmarkStart w:id="4" w:name="_Hlt12007752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第一节</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前附表</w:t>
      </w:r>
      <w:bookmarkEnd w:id="3"/>
    </w:p>
    <w:tbl>
      <w:tblPr>
        <w:tblStyle w:val="22"/>
        <w:tblW w:w="100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10"/>
        <w:gridCol w:w="1709"/>
        <w:gridCol w:w="75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6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序</w:t>
            </w:r>
          </w:p>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号</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内容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cente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名称</w:t>
            </w:r>
          </w:p>
        </w:tc>
        <w:tc>
          <w:tcPr>
            <w:tcW w:w="7544" w:type="dxa"/>
            <w:tcBorders>
              <w:top w:val="single" w:color="auto" w:sz="4" w:space="0"/>
              <w:left w:val="single" w:color="auto" w:sz="4" w:space="0"/>
              <w:bottom w:val="single" w:color="auto" w:sz="4" w:space="0"/>
              <w:right w:val="single" w:color="auto" w:sz="4" w:space="0"/>
            </w:tcBorders>
            <w:noWrap/>
            <w:vAlign w:val="top"/>
          </w:tcPr>
          <w:p>
            <w:pPr>
              <w:pStyle w:val="40"/>
              <w:pageBreakBefore w:val="0"/>
              <w:kinsoku/>
              <w:wordWrap w:val="0"/>
              <w:overflowPunct/>
              <w:bidi w:val="0"/>
              <w:adjustRightInd w:val="0"/>
              <w:snapToGrid w:val="0"/>
              <w:spacing w:line="360" w:lineRule="auto"/>
              <w:jc w:val="both"/>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南雄市“银杏染秋”乡村振兴示范带建设项目-古市镇典型村建设项目施工图设计和施工总承包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项目业主</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南雄市乡村振兴服务中心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项目批准部门</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南雄市发展和改革局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项目批准文号</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雄发改投审[2024]106号、雄发改投审[2026]95号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项目代码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2407-440282-20-01-288869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6</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资金来源</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及出资比例</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tabs>
                <w:tab w:val="left" w:pos="1180"/>
              </w:tabs>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市财政统筹，100%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招标人</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eastAsia" w:asciiTheme="minorEastAsia" w:hAnsiTheme="minorEastAsia" w:eastAsiaTheme="minorEastAsia" w:cstheme="minorEastAsia"/>
                <w:bCs/>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南雄市古市镇人民政府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招标代理机构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中晋工程项目管理有限公司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项目总投资</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left"/>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本次招标概</w:t>
            </w:r>
            <w:r>
              <w:rPr>
                <w:rFonts w:hint="eastAsia" w:asciiTheme="minorEastAsia" w:hAnsiTheme="minorEastAsia" w:eastAsiaTheme="minorEastAsia" w:cstheme="minorEastAsia"/>
                <w:color w:val="auto"/>
                <w:sz w:val="24"/>
                <w:szCs w:val="24"/>
                <w:highlight w:val="none"/>
                <w:lang w:val="en-US" w:eastAsia="zh-CN"/>
              </w:rPr>
              <w:t>算总投资232.70万元，其中建安工程费约206.75万元，施工图设计费约4.74万元。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建设地点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南雄市古市镇丹布村</w:t>
            </w:r>
            <w:r>
              <w:rPr>
                <w:rFonts w:hint="default"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992"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项目建设内容</w:t>
            </w:r>
          </w:p>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和规模</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8"/>
              <w:pageBreakBefore w:val="0"/>
              <w:kinsoku/>
              <w:wordWrap w:val="0"/>
              <w:overflowPunct/>
              <w:bidi w:val="0"/>
              <w:spacing w:before="64" w:line="360" w:lineRule="auto"/>
              <w:ind w:right="96"/>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拆除砖墙15m3,地面硬化1929m2,透水砖815m2,排水沟200m,挡墙800m,混凝土栏杆171m,修缮古井一座,四小园133m,矮墙150m,植草砖401m2,路沿石750m,绿化900m2,风貌提升6500m2,三线整治1项,三清三拆5100m2等等相关建设内容。目的在于提升丹布村的整体风貌，建设宜居的村环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5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12</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p>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本工程所涉及的内容包括但不限于以下（1）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13</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标段划分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本招标项目不划分标段。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14</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工期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459"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15</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质量标准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设计要求：符合国家或行业颁布的现行有效的有关设计的规范要求，符合设计任务书的相关要求，并必须通过有关部门的审查及经有资质的审图机构审查合格。</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hAnsi="宋体" w:cs="Calibri"/>
                <w:bCs/>
                <w:color w:val="000000" w:themeColor="text1"/>
                <w:sz w:val="24"/>
                <w:szCs w:val="24"/>
                <w:highlight w:val="none"/>
                <w:lang w:val="zh-CN"/>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2）施工</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要求：施工质量必须达到合格标准</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符合现行国家有关工程施工质量验收规范和标准的要求。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最高投标限价</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hAnsi="宋体" w:eastAsia="宋体" w:cs="宋体"/>
                <w:snapToGrid w:val="0"/>
                <w:color w:val="auto"/>
                <w:kern w:val="0"/>
                <w:sz w:val="24"/>
                <w:szCs w:val="24"/>
                <w:highlight w:val="none"/>
                <w:lang w:eastAsia="zh-CN"/>
              </w:rPr>
              <w:t>本招标项目最高投标限价在开标前7天另行发布于全国公共资源交易平台（广东省·韶关市）（https://ygp.gdzwfw.gov..cn/ggzy-portal/#/440200/index）、广东省招标投标监管网（https://www.gdzwfw.gov.cn/ztbjg-portal/#/index）网站。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投标人资格要求</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3、工程设计市政行业（道路工程、排水）专业设计乙级以上（含乙级）资质。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二级以上(含二级)注册建筑师注册证书或工程师或以上职称。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4．禁止投标条款：</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4.1．投标人不得存在下列情形之一：</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left="240" w:left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4.2．招标人拒绝以下名单中的单位参加本次投标：</w:t>
            </w:r>
          </w:p>
          <w:tbl>
            <w:tblPr>
              <w:tblStyle w:val="22"/>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3405"/>
              <w:gridCol w:w="2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660"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340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单位名称</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南雄市古市镇人民政府</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p>
              </w:tc>
              <w:tc>
                <w:tcPr>
                  <w:tcW w:w="3405" w:type="dxa"/>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sz w:val="24"/>
                      <w:szCs w:val="24"/>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南雄市乡村振兴服务中心</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中咨管理顾问有限责任公司</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w:t>
                  </w:r>
                </w:p>
              </w:tc>
              <w:tc>
                <w:tcPr>
                  <w:tcW w:w="3405"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中晋工程项目管理有限公司</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6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5</w:t>
                  </w:r>
                </w:p>
              </w:tc>
              <w:tc>
                <w:tcPr>
                  <w:tcW w:w="3405" w:type="dxa"/>
                  <w:noWrap/>
                  <w:vAlign w:val="center"/>
                </w:tcPr>
                <w:p>
                  <w:pPr>
                    <w:wordWrap w:val="0"/>
                    <w:adjustRightInd w:val="0"/>
                    <w:snapToGrid w:val="0"/>
                    <w:spacing w:line="400" w:lineRule="exact"/>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2"/>
                      <w:szCs w:val="22"/>
                      <w:highlight w:val="none"/>
                    </w:rPr>
                    <w:t>广咨国际工程咨询有限公司</w:t>
                  </w:r>
                </w:p>
              </w:tc>
              <w:tc>
                <w:tcPr>
                  <w:tcW w:w="2895" w:type="dxa"/>
                  <w:noWrap/>
                  <w:vAlign w:val="center"/>
                </w:tcPr>
                <w:p>
                  <w:pPr>
                    <w:wordWrap w:val="0"/>
                    <w:adjustRightInd w:val="0"/>
                    <w:snapToGrid w:val="0"/>
                    <w:spacing w:line="400" w:lineRule="exact"/>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2"/>
                      <w:szCs w:val="22"/>
                      <w:highlight w:val="none"/>
                    </w:rPr>
                    <w:t>为本招标项目的可行性研究报告</w:t>
                  </w:r>
                  <w:r>
                    <w:rPr>
                      <w:rFonts w:hint="eastAsia" w:ascii="宋体" w:hAnsi="宋体" w:cs="宋体"/>
                      <w:snapToGrid w:val="0"/>
                      <w:color w:val="auto"/>
                      <w:kern w:val="0"/>
                      <w:sz w:val="22"/>
                      <w:szCs w:val="22"/>
                      <w:highlight w:val="none"/>
                      <w:lang w:eastAsia="zh-CN"/>
                    </w:rPr>
                    <w:t>修</w:t>
                  </w:r>
                  <w:r>
                    <w:rPr>
                      <w:rFonts w:hint="eastAsia" w:ascii="宋体" w:hAnsi="宋体" w:eastAsia="宋体" w:cs="宋体"/>
                      <w:snapToGrid w:val="0"/>
                      <w:color w:val="auto"/>
                      <w:kern w:val="0"/>
                      <w:sz w:val="22"/>
                      <w:szCs w:val="22"/>
                      <w:highlight w:val="none"/>
                    </w:rPr>
                    <w:t>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660" w:type="dxa"/>
                  <w:noWrap/>
                  <w:vAlign w:val="center"/>
                </w:tcPr>
                <w:p>
                  <w:pPr>
                    <w:wordWrap w:val="0"/>
                    <w:adjustRightInd w:val="0"/>
                    <w:snapToGrid w:val="0"/>
                    <w:spacing w:line="400" w:lineRule="exact"/>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宋体" w:hAnsi="宋体" w:cs="宋体"/>
                      <w:snapToGrid w:val="0"/>
                      <w:color w:val="auto"/>
                      <w:kern w:val="0"/>
                      <w:sz w:val="22"/>
                      <w:szCs w:val="22"/>
                      <w:highlight w:val="none"/>
                      <w:lang w:val="en-US" w:eastAsia="zh-CN"/>
                    </w:rPr>
                    <w:t>6</w:t>
                  </w:r>
                </w:p>
              </w:tc>
              <w:tc>
                <w:tcPr>
                  <w:tcW w:w="3405" w:type="dxa"/>
                  <w:noWrap/>
                  <w:vAlign w:val="center"/>
                </w:tcPr>
                <w:p>
                  <w:pPr>
                    <w:pageBreakBefore w:val="0"/>
                    <w:tabs>
                      <w:tab w:val="center" w:pos="941"/>
                    </w:tabs>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待定</w:t>
                  </w:r>
                </w:p>
              </w:tc>
              <w:tc>
                <w:tcPr>
                  <w:tcW w:w="2895"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为本招标项目的监理单位</w:t>
                  </w:r>
                </w:p>
              </w:tc>
            </w:tr>
          </w:tbl>
          <w:p>
            <w:pPr>
              <w:pStyle w:val="41"/>
              <w:pageBreakBefore w:val="0"/>
              <w:kinsoku/>
              <w:wordWrap w:val="0"/>
              <w:overflowPunct/>
              <w:bidi w:val="0"/>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18</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snapToGrid w:val="0"/>
              <w:spacing w:beforeLines="50"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投标保证</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1．投标人须缴纳金额为人民币</w:t>
            </w:r>
            <w:r>
              <w:rPr>
                <w:rFonts w:hint="eastAsia" w:asciiTheme="minorEastAsia" w:hAnsiTheme="minorEastAsia" w:eastAsiaTheme="minorEastAsia" w:cstheme="minorEastAsia"/>
                <w:b/>
                <w:bCs/>
                <w:snapToGrid w:val="0"/>
                <w:color w:val="000000" w:themeColor="text1"/>
                <w:kern w:val="0"/>
                <w:sz w:val="24"/>
                <w:szCs w:val="24"/>
                <w:highlight w:val="none"/>
                <w:u w:val="single"/>
                <w:lang w:val="en-US" w:eastAsia="zh-CN"/>
                <w14:textFill>
                  <w14:solidFill>
                    <w14:schemeClr w14:val="tx1"/>
                  </w14:solidFill>
                </w14:textFill>
              </w:rPr>
              <w:t>壹万元整</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的投标保证。联合体投标的，由联合体牵头人缴纳。</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2．投标保证的形式包括投标保证金、投标保证担保、投标保证保险三种，由投标人自主选择。</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19</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投标有效期</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本次招标的投标有效期为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7"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20</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投标文件</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组成</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商务技术</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21</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评标委员会由5人组成，其中招标人代表0人，专家5人。专家从广东省综合评标评审专家库中随机抽取，其中技术类专家3人，经济类专家2人。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22</w:t>
            </w:r>
          </w:p>
        </w:tc>
        <w:tc>
          <w:tcPr>
            <w:tcW w:w="1709"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评标方法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综合评估法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23</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定</w:t>
            </w:r>
            <w:r>
              <w:rPr>
                <w:rFonts w:hint="eastAsia" w:ascii="宋体" w:hAnsi="宋体" w:eastAsia="宋体" w:cs="宋体"/>
                <w:snapToGrid w:val="0"/>
                <w:color w:val="auto"/>
                <w:kern w:val="0"/>
                <w:sz w:val="24"/>
                <w:szCs w:val="24"/>
                <w:highlight w:val="none"/>
                <w:lang w:eastAsia="zh-CN"/>
              </w:rPr>
              <w:t>标委员会</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定标</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委员会组成</w:t>
            </w:r>
            <w:r>
              <w:rPr>
                <w:rFonts w:hint="eastAsia" w:ascii="宋体" w:hAnsi="宋体" w:eastAsia="宋体" w:cs="宋体"/>
                <w:snapToGrid w:val="0"/>
                <w:color w:val="auto"/>
                <w:kern w:val="0"/>
                <w:sz w:val="24"/>
                <w:szCs w:val="24"/>
                <w:highlight w:val="none"/>
                <w:lang w:eastAsia="zh-CN"/>
              </w:rPr>
              <w:t xml:space="preserve">人员为 </w:t>
            </w:r>
            <w:r>
              <w:rPr>
                <w:rFonts w:hint="eastAsia" w:ascii="宋体" w:hAnsi="宋体" w:eastAsia="宋体" w:cs="宋体"/>
                <w:snapToGrid w:val="0"/>
                <w:color w:val="auto"/>
                <w:kern w:val="0"/>
                <w:sz w:val="24"/>
                <w:szCs w:val="24"/>
                <w:highlight w:val="none"/>
                <w:lang w:val="en-US" w:eastAsia="zh-CN"/>
              </w:rPr>
              <w:t xml:space="preserve">7 </w:t>
            </w:r>
            <w:r>
              <w:rPr>
                <w:rFonts w:hint="eastAsia" w:ascii="宋体" w:hAnsi="宋体" w:eastAsia="宋体" w:cs="宋体"/>
                <w:snapToGrid w:val="0"/>
                <w:color w:val="auto"/>
                <w:kern w:val="0"/>
                <w:sz w:val="24"/>
                <w:szCs w:val="24"/>
                <w:highlight w:val="none"/>
                <w:lang w:eastAsia="zh-CN"/>
              </w:rPr>
              <w:t>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24</w:t>
            </w:r>
          </w:p>
        </w:tc>
        <w:tc>
          <w:tcPr>
            <w:tcW w:w="170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定标办法</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snapToGrid w:val="0"/>
                <w:color w:val="auto"/>
                <w:kern w:val="0"/>
                <w:sz w:val="24"/>
                <w:szCs w:val="24"/>
                <w:highlight w:val="none"/>
                <w:lang w:eastAsia="zh-CN"/>
              </w:rPr>
              <w:t>☑票决定标法（</w:t>
            </w:r>
            <w:r>
              <w:rPr>
                <w:rFonts w:hint="eastAsia" w:ascii="宋体" w:hAnsi="宋体" w:eastAsia="宋体" w:cs="宋体"/>
                <w:snapToGrid w:val="0"/>
                <w:color w:val="auto"/>
                <w:kern w:val="0"/>
                <w:sz w:val="24"/>
                <w:szCs w:val="24"/>
                <w:highlight w:val="none"/>
                <w:lang w:val="en-US" w:eastAsia="zh-CN"/>
              </w:rPr>
              <w:t>票决数量法</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lang w:eastAsia="zh-CN"/>
              </w:rPr>
              <w:t>□集体议事法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25</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安全文明施工</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达到国家、省、市有关标准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26</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房屋建筑工程</w:t>
            </w:r>
          </w:p>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绿色建筑标准</w:t>
            </w:r>
          </w:p>
        </w:tc>
        <w:tc>
          <w:tcPr>
            <w:tcW w:w="7544" w:type="dxa"/>
            <w:tcBorders>
              <w:top w:val="single" w:color="auto" w:sz="4" w:space="0"/>
              <w:left w:val="single" w:color="auto" w:sz="4" w:space="0"/>
              <w:bottom w:val="single" w:color="auto" w:sz="4" w:space="0"/>
              <w:right w:val="single" w:color="auto" w:sz="4" w:space="0"/>
            </w:tcBorders>
            <w:noWrap/>
            <w:vAlign w:val="center"/>
          </w:tcPr>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本招标</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不纳入绿色建筑实施范围。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27</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履约保证金为中标价的</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在领取中标通知书之日起</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个工作日内、签订合同前缴纳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组成联合体时，由联合体牵头人缴纳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履约保证的形式包括</w:t>
            </w:r>
            <w:r>
              <w:rPr>
                <w:rFonts w:hint="eastAsia" w:ascii="宋体" w:hAnsi="宋体" w:eastAsia="宋体" w:cs="宋体"/>
                <w:snapToGrid w:val="0"/>
                <w:color w:val="000000" w:themeColor="text1"/>
                <w:kern w:val="0"/>
                <w:sz w:val="24"/>
                <w:szCs w:val="24"/>
                <w:highlight w:val="none"/>
                <w14:textFill>
                  <w14:solidFill>
                    <w14:schemeClr w14:val="tx1"/>
                  </w14:solidFill>
                </w14:textFill>
              </w:rPr>
              <w:t>履约保证金、</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履约</w:t>
            </w:r>
            <w:r>
              <w:rPr>
                <w:rFonts w:hint="eastAsia" w:ascii="宋体" w:hAnsi="宋体" w:eastAsia="宋体" w:cs="宋体"/>
                <w:snapToGrid w:val="0"/>
                <w:color w:val="000000" w:themeColor="text1"/>
                <w:kern w:val="0"/>
                <w:sz w:val="24"/>
                <w:szCs w:val="24"/>
                <w:highlight w:val="none"/>
                <w14:textFill>
                  <w14:solidFill>
                    <w14:schemeClr w14:val="tx1"/>
                  </w14:solidFill>
                </w14:textFill>
              </w:rPr>
              <w:t>保证担保、履约保证保险三种</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，由中标人自主选择</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，保函有效期不得少于</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本工程总工期</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，如果采用银行转账方式则必须从中标人的法人开户银行的账号划出招标人指定的账户，并详细注明</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及用途。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28</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工程款支付</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详见本招标文件“2-4、工程付款办法”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29</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spacing w:line="240" w:lineRule="auto"/>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工程质量保证金</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质量</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保证金总金额为结算价的3%，从工程竣工验收合格之日起计满</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3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30</w:t>
            </w:r>
          </w:p>
        </w:tc>
        <w:tc>
          <w:tcPr>
            <w:tcW w:w="1709"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绿色施工安全防护措施费</w:t>
            </w:r>
          </w:p>
        </w:tc>
        <w:tc>
          <w:tcPr>
            <w:tcW w:w="7544" w:type="dxa"/>
            <w:tcBorders>
              <w:top w:val="single" w:color="auto" w:sz="4" w:space="0"/>
              <w:left w:val="single" w:color="auto" w:sz="4" w:space="0"/>
              <w:bottom w:val="single" w:color="auto" w:sz="4" w:space="0"/>
              <w:right w:val="single" w:color="auto" w:sz="4" w:space="0"/>
            </w:tcBorders>
            <w:noWrap/>
            <w:vAlign w:val="center"/>
          </w:tcPr>
          <w:p>
            <w:pPr>
              <w:pStyle w:val="37"/>
              <w:pageBreakBefore w:val="0"/>
              <w:kinsoku/>
              <w:wordWrap w:val="0"/>
              <w:overflowPunct/>
              <w:bidi w:val="0"/>
              <w:ind w:firstLine="240" w:firstLineChars="1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按《建设工程工程量清单计价规范》（</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GB/T50500～2024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）、《广东省建设工程计价依据（2018）》《关于明确建筑工程安全防护、文明施工措施费用具体管理办法的通知》（韶市建【2015】26号）等最新规定执行。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招标人</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单位名称：</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南雄市古市镇人民政府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南雄市古市镇人民政府</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钟先生</w:t>
            </w:r>
          </w:p>
          <w:p>
            <w:pPr>
              <w:pageBreakBefore w:val="0"/>
              <w:tabs>
                <w:tab w:val="left" w:pos="1440"/>
              </w:tabs>
              <w:kinsoku/>
              <w:wordWrap w:val="0"/>
              <w:overflowPunct/>
              <w:bidi w:val="0"/>
              <w:adjustRightInd w:val="0"/>
              <w:snapToGrid w:val="0"/>
              <w:spacing w:line="360" w:lineRule="auto"/>
              <w:jc w:val="left"/>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联系电话：0751-3572001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32</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招标代理机构</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单位名称：中晋工程项目管理有限公司</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办公地址：</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南雄市雄州街道浈江路21号</w:t>
            </w:r>
          </w:p>
          <w:p>
            <w:pPr>
              <w:pageBreakBefore w:val="0"/>
              <w:kinsoku/>
              <w:wordWrap w:val="0"/>
              <w:overflowPunct/>
              <w:bidi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韦工</w:t>
            </w:r>
          </w:p>
          <w:p>
            <w:pPr>
              <w:pageBreakBefore w:val="0"/>
              <w:kinsoku/>
              <w:wordWrap w:val="0"/>
              <w:overflowPunct/>
              <w:bidi w:val="0"/>
              <w:adjustRightInd w:val="0"/>
              <w:snapToGrid w:val="0"/>
              <w:spacing w:line="360" w:lineRule="auto"/>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联系电话：19266656888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33</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交易场所</w:t>
            </w:r>
          </w:p>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单位名称：韶关市公共资源交易中心</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办公地址：南雄市雄东路1号大润发四楼韶关市公共资源交易中心南雄分中心（公共服务中心内）</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联系人：工程交易股</w:t>
            </w:r>
          </w:p>
          <w:p>
            <w:pPr>
              <w:pageBreakBefore w:val="0"/>
              <w:kinsoku/>
              <w:wordWrap w:val="0"/>
              <w:overflowPunct/>
              <w:bidi w:val="0"/>
              <w:spacing w:line="400" w:lineRule="exact"/>
              <w:jc w:val="left"/>
              <w:rPr>
                <w:rFonts w:hint="default"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 0751-3860729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15"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adjustRightInd w:val="0"/>
              <w:snapToGrid w:val="0"/>
              <w:spacing w:line="360" w:lineRule="auto"/>
              <w:jc w:val="center"/>
              <w:rPr>
                <w:rFonts w:hint="default"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34</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行政监督部门</w:t>
            </w:r>
          </w:p>
          <w:p>
            <w:pPr>
              <w:pageBreakBefore w:val="0"/>
              <w:kinsoku/>
              <w:wordWrap w:val="0"/>
              <w:overflowPunct/>
              <w:bidi w:val="0"/>
              <w:spacing w:line="40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联系方式</w:t>
            </w:r>
          </w:p>
        </w:tc>
        <w:tc>
          <w:tcPr>
            <w:tcW w:w="7544" w:type="dxa"/>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单位名称：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南雄市农业农村局</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办公地址：南雄市沿江西路 98 号</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联系人（部门）：乡村建设与农村社会事业促进股</w:t>
            </w:r>
          </w:p>
          <w:p>
            <w:pPr>
              <w:pageBreakBefore w:val="0"/>
              <w:kinsoku/>
              <w:wordWrap w:val="0"/>
              <w:overflowPunct/>
              <w:bidi w:val="0"/>
              <w:spacing w:line="40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联系电话：0751-3802620</w:t>
            </w:r>
          </w:p>
        </w:tc>
      </w:tr>
      <w:bookmarkEnd w:id="4"/>
    </w:tbl>
    <w:p>
      <w:pPr>
        <w:pStyle w:val="4"/>
        <w:pageBreakBefore w:val="0"/>
        <w:kinsoku/>
        <w:wordWrap w:val="0"/>
        <w:overflowPunct/>
        <w:autoSpaceDE/>
        <w:autoSpaceDN/>
        <w:bidi w:val="0"/>
        <w:snapToGrid w:val="0"/>
        <w:spacing w:after="260" w:line="440" w:lineRule="exact"/>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5" w:name="_Toc122769943"/>
      <w:bookmarkStart w:id="6" w:name="_Toc122859103"/>
      <w:bookmarkStart w:id="7" w:name="_Toc12267110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br w:type="page"/>
      </w:r>
      <w:bookmarkEnd w:id="5"/>
      <w:bookmarkEnd w:id="6"/>
      <w:bookmarkEnd w:id="7"/>
      <w:bookmarkStart w:id="8" w:name="_Toc29755"/>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第二节</w:t>
      </w:r>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重要事项时间地点一览表.</w:t>
      </w:r>
      <w:bookmarkEnd w:id="8"/>
    </w:p>
    <w:tbl>
      <w:tblPr>
        <w:tblStyle w:val="22"/>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1</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招标公告</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9</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18</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20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2</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13</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3</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网上提问</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 xml:space="preserve">2026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4</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网上答疑</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3</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至</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16</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00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5</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投标保证缴</w:t>
            </w:r>
          </w:p>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投标保证金到账截止时间：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40"/>
              <w:pageBreakBefore w:val="0"/>
              <w:kinsoku/>
              <w:wordWrap w:val="0"/>
              <w:overflowPunct/>
              <w:bidi w:val="0"/>
              <w:adjustRightInd w:val="0"/>
              <w:snapToGrid w:val="0"/>
              <w:spacing w:line="400" w:lineRule="exact"/>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投标保证担保上传截止时间：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 w:val="24"/>
                <w:highlight w:val="none"/>
              </w:rPr>
              <w:t>；</w:t>
            </w:r>
          </w:p>
          <w:p>
            <w:pPr>
              <w:pStyle w:val="19"/>
              <w:pageBreakBefore w:val="0"/>
              <w:kinsoku/>
              <w:wordWrap w:val="0"/>
              <w:overflowPunct/>
              <w:bidi w:val="0"/>
              <w:adjustRightInd w:val="0"/>
              <w:snapToGrid w:val="0"/>
              <w:spacing w:line="400" w:lineRule="exact"/>
              <w:rPr>
                <w:rFonts w:hint="eastAsia" w:ascii="宋体" w:hAnsi="宋体" w:eastAsia="宋体" w:cs="宋体"/>
                <w:snapToGrid w:val="0"/>
                <w:color w:val="000000"/>
                <w:kern w:val="0"/>
                <w:szCs w:val="24"/>
                <w:highlight w:val="none"/>
              </w:rPr>
            </w:pPr>
            <w:r>
              <w:rPr>
                <w:rFonts w:hint="eastAsia" w:ascii="宋体" w:hAnsi="宋体" w:eastAsia="宋体" w:cs="宋体"/>
                <w:snapToGrid w:val="0"/>
                <w:color w:val="000000"/>
                <w:kern w:val="0"/>
                <w:szCs w:val="24"/>
                <w:highlight w:val="none"/>
              </w:rPr>
              <w:t>投标保证保险投保截止时间：</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12</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r>
              <w:rPr>
                <w:rFonts w:hint="eastAsia" w:ascii="宋体" w:hAnsi="宋体" w:eastAsia="宋体" w:cs="宋体"/>
                <w:snapToGrid w:val="0"/>
                <w:color w:val="000000"/>
                <w:kern w:val="0"/>
                <w:szCs w:val="24"/>
                <w:highlight w:val="none"/>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6</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电子投标</w:t>
            </w:r>
          </w:p>
          <w:p>
            <w:pPr>
              <w:pStyle w:val="40"/>
              <w:pageBreakBefore w:val="0"/>
              <w:kinsoku/>
              <w:wordWrap w:val="0"/>
              <w:overflowPunct/>
              <w:bidi w:val="0"/>
              <w:adjustRightInd w:val="0"/>
              <w:snapToGrid w:val="0"/>
              <w:spacing w:line="360" w:lineRule="exact"/>
              <w:jc w:val="center"/>
              <w:rPr>
                <w:rFonts w:hint="eastAsia" w:ascii="宋体" w:hAnsi="宋体" w:eastAsia="宋体" w:cs="宋体"/>
                <w:strike/>
                <w:snapToGrid w:val="0"/>
                <w:color w:val="000000"/>
                <w:kern w:val="0"/>
                <w:sz w:val="24"/>
                <w:highlight w:val="none"/>
              </w:rPr>
            </w:pPr>
            <w:r>
              <w:rPr>
                <w:rFonts w:hint="eastAsia" w:ascii="宋体" w:hAnsi="宋体" w:eastAsia="宋体" w:cs="宋体"/>
                <w:snapToGrid w:val="0"/>
                <w:color w:val="000000"/>
                <w:kern w:val="0"/>
                <w:sz w:val="24"/>
                <w:highlight w:val="none"/>
              </w:rPr>
              <w:t>截止时间</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ind w:firstLine="120" w:firstLineChars="50"/>
              <w:jc w:val="left"/>
              <w:rPr>
                <w:rFonts w:hint="eastAsia" w:ascii="宋体" w:hAnsi="宋体" w:eastAsia="宋体" w:cs="宋体"/>
                <w:snapToGrid w:val="0"/>
                <w:color w:val="000000"/>
                <w:kern w:val="0"/>
                <w:szCs w:val="24"/>
                <w:highlight w:val="none"/>
              </w:rPr>
            </w:pP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13</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0"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7</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19"/>
              <w:pageBreakBefore w:val="0"/>
              <w:kinsoku/>
              <w:wordWrap w:val="0"/>
              <w:overflowPunct/>
              <w:bidi w:val="0"/>
              <w:adjustRightInd w:val="0"/>
              <w:snapToGrid w:val="0"/>
              <w:spacing w:line="400" w:lineRule="exact"/>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Cs w:val="24"/>
                <w:highlight w:val="none"/>
              </w:rPr>
              <w:t xml:space="preserve"> </w:t>
            </w:r>
            <w:r>
              <w:rPr>
                <w:rFonts w:hint="eastAsia" w:ascii="宋体" w:hAnsi="宋体" w:eastAsia="宋体" w:cs="宋体"/>
                <w:color w:val="000000"/>
                <w:sz w:val="24"/>
                <w:szCs w:val="24"/>
                <w:highlight w:val="none"/>
                <w:u w:val="single"/>
                <w:lang w:val="en-US" w:eastAsia="zh-CN"/>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i w:val="0"/>
                <w:iCs w:val="0"/>
                <w:color w:val="000000"/>
                <w:sz w:val="24"/>
                <w:szCs w:val="24"/>
                <w:highlight w:val="none"/>
                <w:u w:val="none"/>
                <w:lang w:val="en-US" w:eastAsia="zh-CN"/>
              </w:rPr>
              <w:t>年</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13</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u w:val="single"/>
                <w:lang w:val="en-US" w:eastAsia="zh-CN"/>
              </w:rPr>
              <w:t>10</w:t>
            </w:r>
            <w:r>
              <w:rPr>
                <w:rFonts w:hint="eastAsia" w:ascii="宋体" w:hAnsi="宋体" w:eastAsia="宋体" w:cs="宋体"/>
                <w:color w:val="000000"/>
                <w:sz w:val="24"/>
                <w:szCs w:val="24"/>
                <w:highlight w:val="none"/>
              </w:rPr>
              <w:t>时</w:t>
            </w:r>
            <w:r>
              <w:rPr>
                <w:rFonts w:hint="eastAsia" w:ascii="宋体" w:hAnsi="宋体" w:eastAsia="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07"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8</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exact"/>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 w:eastAsia="zh-CN"/>
              </w:rPr>
            </w:pPr>
            <w:r>
              <w:rPr>
                <w:rFonts w:hint="eastAsia" w:ascii="宋体" w:hAnsi="宋体" w:eastAsia="宋体" w:cs="宋体"/>
                <w:snapToGrid w:val="0"/>
                <w:color w:val="000000"/>
                <w:kern w:val="0"/>
                <w:sz w:val="24"/>
                <w:szCs w:val="24"/>
                <w:highlight w:val="none"/>
              </w:rPr>
              <w:t>开标场所：</w:t>
            </w:r>
            <w:r>
              <w:rPr>
                <w:rFonts w:hint="eastAsia" w:ascii="宋体" w:hAnsi="宋体" w:eastAsia="宋体" w:cs="宋体"/>
                <w:snapToGrid w:val="0"/>
                <w:color w:val="000000"/>
                <w:kern w:val="0"/>
                <w:sz w:val="24"/>
                <w:szCs w:val="24"/>
                <w:highlight w:val="none"/>
                <w:lang w:val="en" w:eastAsia="zh-CN"/>
              </w:rPr>
              <w:t>韶关市公共资源交易中心南雄分中心</w:t>
            </w:r>
          </w:p>
          <w:p>
            <w:pPr>
              <w:pStyle w:val="40"/>
              <w:pageBreakBefore w:val="0"/>
              <w:kinsoku/>
              <w:wordWrap w:val="0"/>
              <w:overflowPunct/>
              <w:bidi w:val="0"/>
              <w:adjustRightInd w:val="0"/>
              <w:snapToGrid w:val="0"/>
              <w:spacing w:line="360" w:lineRule="auto"/>
              <w:jc w:val="left"/>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 w:eastAsia="zh-CN"/>
              </w:rPr>
              <w:t>地址：南雄市雄东路1号大润发四楼韶关市公共资源交易中心南雄分中心,具体房间号以当日现场通知为准。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69" w:hRule="exact"/>
        </w:trPr>
        <w:tc>
          <w:tcPr>
            <w:tcW w:w="504" w:type="dxa"/>
            <w:tcBorders>
              <w:top w:val="single" w:color="080000" w:sz="4" w:space="0"/>
              <w:left w:val="single" w:color="080000" w:sz="4" w:space="0"/>
              <w:bottom w:val="single" w:color="080000" w:sz="4" w:space="0"/>
              <w:right w:val="single" w:color="080000" w:sz="4" w:space="0"/>
            </w:tcBorders>
            <w:noWrap w:val="0"/>
            <w:vAlign w:val="center"/>
          </w:tcPr>
          <w:p>
            <w:pPr>
              <w:pStyle w:val="40"/>
              <w:pageBreakBefore w:val="0"/>
              <w:kinsoku/>
              <w:wordWrap w:val="0"/>
              <w:overflowPunct/>
              <w:bidi w:val="0"/>
              <w:adjustRightInd w:val="0"/>
              <w:snapToGrid w:val="0"/>
              <w:spacing w:line="360" w:lineRule="auto"/>
              <w:jc w:val="center"/>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9</w:t>
            </w:r>
          </w:p>
        </w:tc>
        <w:tc>
          <w:tcPr>
            <w:tcW w:w="1610"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备注</w:t>
            </w:r>
          </w:p>
        </w:tc>
        <w:tc>
          <w:tcPr>
            <w:tcW w:w="7585" w:type="dxa"/>
            <w:tcBorders>
              <w:top w:val="single" w:color="080000" w:sz="4" w:space="0"/>
              <w:left w:val="single" w:color="080000" w:sz="4" w:space="0"/>
              <w:bottom w:val="single" w:color="080000" w:sz="4" w:space="0"/>
              <w:right w:val="single" w:color="080000" w:sz="4" w:space="0"/>
            </w:tcBorders>
            <w:noWrap w:val="0"/>
            <w:vAlign w:val="center"/>
          </w:tcPr>
          <w:p>
            <w:pPr>
              <w:pageBreakBefore w:val="0"/>
              <w:kinsoku/>
              <w:wordWrap w:val="0"/>
              <w:overflowPunct/>
              <w:bidi w:val="0"/>
              <w:adjustRightInd w:val="0"/>
              <w:snapToGrid w:val="0"/>
              <w:spacing w:line="36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Cs w:val="24"/>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pPr>
        <w:pStyle w:val="4"/>
        <w:pageBreakBefore w:val="0"/>
        <w:kinsoku/>
        <w:wordWrap w:val="0"/>
        <w:overflowPunct/>
        <w:autoSpaceDE/>
        <w:autoSpaceDN/>
        <w:bidi w:val="0"/>
        <w:snapToGrid w:val="0"/>
        <w:spacing w:after="260" w:line="440" w:lineRule="exact"/>
        <w:jc w:val="center"/>
        <w:rPr>
          <w:rFonts w:hint="eastAsia" w:asciiTheme="minorEastAsia" w:hAnsiTheme="minorEastAsia" w:eastAsiaTheme="minorEastAsia" w:cstheme="minorEastAsia"/>
          <w:color w:val="000000" w:themeColor="text1"/>
          <w:sz w:val="24"/>
          <w:szCs w:val="28"/>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br w:type="page"/>
      </w:r>
      <w:bookmarkStart w:id="9" w:name="_Hlt69669159"/>
      <w:bookmarkEnd w:id="9"/>
      <w:bookmarkStart w:id="10" w:name="_Hlt69698705"/>
      <w:bookmarkStart w:id="11" w:name="_Hlt69698754"/>
      <w:bookmarkStart w:id="12" w:name="_Toc5621"/>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第三节</w:t>
      </w:r>
      <w:bookmarkStart w:id="13" w:name="_Hlt87793819"/>
      <w:bookmarkEnd w:id="13"/>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投标人须知</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正文</w:t>
      </w:r>
      <w:bookmarkEnd w:id="10"/>
      <w:bookmarkEnd w:id="11"/>
      <w:bookmarkEnd w:id="12"/>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南雄市“银杏染秋”乡村振兴示范带建设项目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业经</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南雄市发展和改革局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以《</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关于南雄市“银杏染秋”乡村振兴示范带建设项目可行性研究报告的批复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u w:val="single"/>
          <w:lang w:eastAsia="zh-CN"/>
          <w14:textFill>
            <w14:solidFill>
              <w14:schemeClr w14:val="tx1"/>
            </w14:solidFill>
          </w14:textFill>
        </w:rPr>
        <w:t>雄发改投审[2024]106号、雄发改投审[2026]95号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批准建设，项目代码为</w:t>
      </w:r>
      <w:r>
        <w:rPr>
          <w:rFonts w:hint="eastAsia" w:asciiTheme="minorEastAsia" w:hAnsiTheme="minorEastAsia" w:eastAsiaTheme="minorEastAsia" w:cstheme="minorEastAsia"/>
          <w:color w:val="000000" w:themeColor="text1"/>
          <w:szCs w:val="24"/>
          <w:highlight w:val="none"/>
          <w:u w:val="single"/>
          <w:lang w:eastAsia="zh-CN"/>
          <w14:textFill>
            <w14:solidFill>
              <w14:schemeClr w14:val="tx1"/>
            </w14:solidFill>
          </w14:textFill>
        </w:rPr>
        <w:t>2407-440282-20-01-288869</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业主为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南雄市乡村振兴服务中心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，建设资金来自</w:t>
      </w:r>
      <w:r>
        <w:rPr>
          <w:rFonts w:hint="eastAsia" w:hAnsi="宋体" w:eastAsia="宋体" w:cs="宋体"/>
          <w:snapToGrid w:val="0"/>
          <w:color w:val="000000" w:themeColor="text1"/>
          <w:kern w:val="0"/>
          <w:sz w:val="24"/>
          <w:highlight w:val="none"/>
          <w:u w:val="single"/>
          <w:lang w:eastAsia="zh-CN"/>
          <w14:textFill>
            <w14:solidFill>
              <w14:schemeClr w14:val="tx1"/>
            </w14:solidFill>
          </w14:textFill>
        </w:rPr>
        <w:t>市财政统筹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，出资比例</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100%</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，招标人为</w:t>
      </w:r>
      <w:r>
        <w:rPr>
          <w:rFonts w:hint="eastAsia" w:asciiTheme="minorEastAsia" w:hAnsiTheme="minorEastAsia" w:eastAsiaTheme="minorEastAsia" w:cstheme="minorEastAsia"/>
          <w:snapToGrid w:val="0"/>
          <w:color w:val="000000" w:themeColor="text1"/>
          <w:kern w:val="0"/>
          <w:highlight w:val="none"/>
          <w:u w:val="single"/>
          <w:lang w:eastAsia="zh-CN"/>
          <w14:textFill>
            <w14:solidFill>
              <w14:schemeClr w14:val="tx1"/>
            </w14:solidFill>
          </w14:textFill>
        </w:rPr>
        <w:t>南雄市古市镇人民政府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，招标代理机构为</w:t>
      </w:r>
      <w:r>
        <w:rPr>
          <w:rFonts w:hint="eastAsia" w:asciiTheme="minorEastAsia" w:hAnsiTheme="minorEastAsia" w:eastAsiaTheme="minorEastAsia" w:cstheme="minorEastAsia"/>
          <w:color w:val="000000" w:themeColor="text1"/>
          <w:kern w:val="0"/>
          <w:highlight w:val="none"/>
          <w:u w:val="single"/>
          <w:lang w:eastAsia="zh-CN"/>
          <w14:textFill>
            <w14:solidFill>
              <w14:schemeClr w14:val="tx1"/>
            </w14:solidFill>
          </w14:textFill>
        </w:rPr>
        <w:t>中晋工程项目管理有限公司</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。项目已具备招标条件，现对该项目的</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施工图设计和施工总承包</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进行公开招标。</w:t>
      </w:r>
      <w:bookmarkStart w:id="14" w:name="_Hlt74474735"/>
      <w:bookmarkEnd w:id="14"/>
      <w:bookmarkStart w:id="15" w:name="_Hlt87948285"/>
      <w:bookmarkEnd w:id="15"/>
      <w:bookmarkStart w:id="16" w:name="_Hlt109358474"/>
      <w:bookmarkEnd w:id="16"/>
      <w:bookmarkStart w:id="17" w:name="_Hlt119991399"/>
      <w:bookmarkEnd w:id="17"/>
      <w:bookmarkStart w:id="18" w:name="_Hlt78795222"/>
      <w:bookmarkEnd w:id="18"/>
      <w:bookmarkStart w:id="19" w:name="_Toc24563"/>
      <w:bookmarkStart w:id="20" w:name="_Toc23054"/>
      <w:bookmarkStart w:id="21" w:name="_Toc25252"/>
      <w:bookmarkStart w:id="22" w:name="_Toc4081"/>
      <w:bookmarkStart w:id="23" w:name="_Toc574"/>
      <w:bookmarkStart w:id="24" w:name="_Toc18453"/>
      <w:bookmarkStart w:id="25" w:name="_Toc31976"/>
      <w:bookmarkStart w:id="26" w:name="_Toc30732"/>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pPr>
      <w:bookmarkStart w:id="27" w:name="_Toc2744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1、工程概况</w:t>
      </w:r>
      <w:bookmarkEnd w:id="19"/>
      <w:bookmarkEnd w:id="20"/>
      <w:bookmarkEnd w:id="21"/>
      <w:bookmarkEnd w:id="22"/>
      <w:bookmarkEnd w:id="23"/>
      <w:bookmarkEnd w:id="24"/>
      <w:bookmarkEnd w:id="25"/>
      <w:bookmarkEnd w:id="26"/>
      <w:bookmarkEnd w:id="27"/>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工程概况</w:t>
      </w:r>
    </w:p>
    <w:p>
      <w:pPr>
        <w:pStyle w:val="40"/>
        <w:pageBreakBefore w:val="0"/>
        <w:kinsoku/>
        <w:wordWrap w:val="0"/>
        <w:overflowPunct/>
        <w:bidi w:val="0"/>
        <w:adjustRightInd w:val="0"/>
        <w:snapToGrid w:val="0"/>
        <w:spacing w:line="360" w:lineRule="auto"/>
        <w:ind w:firstLine="480"/>
        <w:jc w:val="left"/>
        <w:rPr>
          <w:rFonts w:hint="eastAsia" w:asciiTheme="minorEastAsia" w:hAnsiTheme="minorEastAsia" w:eastAsiaTheme="minorEastAsia" w:cstheme="minorEastAsia"/>
          <w:color w:val="000000" w:themeColor="text1"/>
          <w:sz w:val="24"/>
          <w:szCs w:val="18"/>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1.1.1</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建设地点：</w:t>
      </w:r>
      <w:r>
        <w:rPr>
          <w:rFonts w:hint="eastAsia" w:asciiTheme="minorEastAsia" w:hAnsiTheme="minorEastAsia" w:eastAsiaTheme="minorEastAsia" w:cstheme="minorEastAsia"/>
          <w:color w:val="000000" w:themeColor="text1"/>
          <w:kern w:val="2"/>
          <w:sz w:val="24"/>
          <w:szCs w:val="24"/>
          <w:highlight w:val="none"/>
          <w:u w:val="single"/>
          <w:lang w:val="en-US" w:eastAsia="zh-CN" w:bidi="ar-SA"/>
          <w14:textFill>
            <w14:solidFill>
              <w14:schemeClr w14:val="tx1"/>
            </w14:solidFill>
          </w14:textFill>
        </w:rPr>
        <w:t>南雄市古市镇丹布村。</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1.1.2</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 xml:space="preserve"> 建设内容和规模：</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拆除砖墙15m3,地面硬化1929m2,透水砖815m2,排水沟200m,挡墙800m,混凝土栏杆171m,修缮古井一座,四小园133m,矮墙150m,植草砖401m2,路沿石750m,绿化900m2,风貌提升6500m2,三线整治1项,三清三拆5100m2等等相关建设内容。目的在于提升丹布村的整体风貌，建设宜居的村环境。</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4"/>
          <w:highlight w:val="none"/>
          <w:lang w:val="en-US" w:eastAsia="zh-CN" w:bidi="ar-SA"/>
          <w14:textFill>
            <w14:solidFill>
              <w14:schemeClr w14:val="tx1"/>
            </w14:solidFill>
          </w14:textFill>
        </w:rPr>
        <w:t>1.1.3</w:t>
      </w:r>
      <w:r>
        <w:rPr>
          <w:rFonts w:hint="eastAsia" w:asciiTheme="minorEastAsia" w:hAnsiTheme="minorEastAsia" w:eastAsiaTheme="minorEastAsia" w:cstheme="minorEastAsia"/>
          <w:b/>
          <w:bCs/>
          <w:color w:val="000000" w:themeColor="text1"/>
          <w:kern w:val="2"/>
          <w:sz w:val="24"/>
          <w:szCs w:val="24"/>
          <w:highlight w:val="none"/>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u w:val="none"/>
          <w14:textFill>
            <w14:solidFill>
              <w14:schemeClr w14:val="tx1"/>
            </w14:solidFill>
          </w14:textFill>
        </w:rPr>
        <w:t>项目总投资：</w:t>
      </w:r>
      <w:bookmarkStart w:id="28" w:name="_Toc20999"/>
      <w:r>
        <w:rPr>
          <w:rFonts w:hint="eastAsia" w:asciiTheme="minorEastAsia" w:hAnsiTheme="minorEastAsia" w:eastAsiaTheme="minorEastAsia" w:cstheme="minorEastAsia"/>
          <w:color w:val="000000" w:themeColor="text1"/>
          <w:szCs w:val="24"/>
          <w:highlight w:val="none"/>
          <w:u w:val="single"/>
          <w:lang w:val="en-US" w:eastAsia="zh-CN"/>
          <w14:textFill>
            <w14:solidFill>
              <w14:schemeClr w14:val="tx1"/>
            </w14:solidFill>
          </w14:textFill>
        </w:rPr>
        <w:t>本次招标概算总投资232.70万元，其中建安工程费约206.75万元，施工图设计费约4.74万元。</w:t>
      </w:r>
    </w:p>
    <w:p>
      <w:pPr>
        <w:pageBreakBefore w:val="0"/>
        <w:widowControl/>
        <w:kinsoku/>
        <w:wordWrap w:val="0"/>
        <w:overflowPunct/>
        <w:bidi w:val="0"/>
        <w:spacing w:line="360" w:lineRule="auto"/>
        <w:ind w:left="511" w:leftChars="213"/>
        <w:rPr>
          <w:rFonts w:hint="eastAsia" w:asciiTheme="minorEastAsia" w:hAnsiTheme="minorEastAsia" w:eastAsiaTheme="minorEastAsia" w:cstheme="minorEastAsia"/>
          <w:snapToGrid w:val="0"/>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 xml:space="preserve"> 标段划分：</w:t>
      </w:r>
      <w:bookmarkEnd w:id="28"/>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本招标项目不划分标段。</w:t>
      </w:r>
    </w:p>
    <w:p>
      <w:pPr>
        <w:pStyle w:val="37"/>
        <w:pageBreakBefore w:val="0"/>
        <w:tabs>
          <w:tab w:val="left" w:pos="7020"/>
        </w:tabs>
        <w:kinsoku/>
        <w:wordWrap w:val="0"/>
        <w:overflowPunct/>
        <w:bidi w:val="0"/>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监理单位：</w:t>
      </w:r>
      <w:r>
        <w:rPr>
          <w:rFonts w:hint="eastAsia" w:asciiTheme="minorEastAsia" w:hAnsiTheme="minorEastAsia" w:eastAsiaTheme="minorEastAsia" w:cstheme="minorEastAsia"/>
          <w:color w:val="000000" w:themeColor="text1"/>
          <w:szCs w:val="18"/>
          <w:highlight w:val="none"/>
          <w:u w:val="single"/>
          <w14:textFill>
            <w14:solidFill>
              <w14:schemeClr w14:val="tx1"/>
            </w14:solidFill>
          </w14:textFill>
        </w:rPr>
        <w:t>待定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投标费用：</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bookmarkStart w:id="29" w:name="_Toc106184808"/>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30" w:name="_Toc12190"/>
      <w:bookmarkStart w:id="31" w:name="_Toc17359"/>
      <w:bookmarkStart w:id="32" w:name="_Toc121"/>
      <w:bookmarkStart w:id="33" w:name="_Toc3667"/>
      <w:bookmarkStart w:id="34" w:name="_Toc32400"/>
      <w:bookmarkStart w:id="35" w:name="_Toc14958"/>
      <w:bookmarkStart w:id="36" w:name="_Toc22550"/>
      <w:bookmarkStart w:id="37" w:name="_Toc18851"/>
      <w:bookmarkStart w:id="38" w:name="_Toc770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2、招标范围</w:t>
      </w:r>
      <w:bookmarkEnd w:id="29"/>
      <w:bookmarkEnd w:id="30"/>
      <w:bookmarkEnd w:id="31"/>
      <w:bookmarkEnd w:id="32"/>
      <w:bookmarkEnd w:id="33"/>
      <w:bookmarkEnd w:id="34"/>
      <w:bookmarkEnd w:id="35"/>
      <w:bookmarkEnd w:id="36"/>
      <w:bookmarkEnd w:id="37"/>
      <w:bookmarkEnd w:id="38"/>
    </w:p>
    <w:p>
      <w:pPr>
        <w:pStyle w:val="42"/>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39" w:name="_Hlt91408212"/>
      <w:bookmarkEnd w:id="39"/>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招标范围：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本工程所涉及的内容包括但不限于以下（1）～（</w:t>
      </w:r>
      <w:r>
        <w:rPr>
          <w:rFonts w:hint="eastAsia" w:asciiTheme="minorEastAsia" w:hAnsiTheme="minorEastAsia" w:eastAsiaTheme="minorEastAsia" w:cstheme="minorEastAsia"/>
          <w:color w:val="000000" w:themeColor="text1"/>
          <w:sz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w:t>
      </w:r>
    </w:p>
    <w:p>
      <w:pPr>
        <w:pStyle w:val="37"/>
        <w:pageBreakBefore w:val="0"/>
        <w:numPr>
          <w:ilvl w:val="0"/>
          <w:numId w:val="0"/>
        </w:numPr>
        <w:kinsoku/>
        <w:wordWrap w:val="0"/>
        <w:overflowPunct/>
        <w:bidi w:val="0"/>
        <w:ind w:leftChars="0" w:firstLine="240"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bookmarkStart w:id="40" w:name="_Toc7799"/>
      <w:bookmarkStart w:id="41" w:name="_Toc4645"/>
      <w:bookmarkStart w:id="42" w:name="_Toc13988"/>
      <w:bookmarkStart w:id="43" w:name="_Toc21803"/>
      <w:bookmarkStart w:id="44" w:name="_Toc708"/>
      <w:bookmarkStart w:id="45" w:name="_Toc32739"/>
      <w:bookmarkStart w:id="46" w:name="_Toc27886"/>
      <w:bookmarkStart w:id="47" w:name="_Toc2350"/>
      <w:bookmarkStart w:id="48" w:name="_Toc1366"/>
      <w:bookmarkStart w:id="49" w:name="_Toc2217"/>
      <w:bookmarkStart w:id="50" w:name="_Toc26845"/>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设计部分：</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1" w:firstLineChars="100"/>
        <w:jc w:val="lef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注：设计文件深度要求必须满足</w:t>
      </w:r>
      <w:r>
        <w:rPr>
          <w:rFonts w:hint="eastAsia" w:asciiTheme="minorEastAsia" w:hAnsiTheme="minorEastAsia" w:eastAsiaTheme="minorEastAsia" w:cstheme="minorEastAsia"/>
          <w:b/>
          <w:bCs/>
          <w:snapToGrid w:val="0"/>
          <w:color w:val="000000" w:themeColor="text1"/>
          <w:kern w:val="0"/>
          <w:sz w:val="24"/>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《建筑工程设计文件编制深度规定（20</w:t>
      </w:r>
      <w:r>
        <w:rPr>
          <w:rFonts w:hint="eastAsia" w:asciiTheme="minorEastAsia" w:hAnsiTheme="minorEastAsia" w:eastAsiaTheme="minorEastAsia" w:cstheme="minorEastAsia"/>
          <w:b/>
          <w:bCs/>
          <w:snapToGrid w:val="0"/>
          <w:color w:val="000000" w:themeColor="text1"/>
          <w:kern w:val="0"/>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版）》的要求，各专业还应该满足各专业工程设计文件编制深度规范或规定的要求</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）施工部分：设计文件及工程量清单范围内的所有工程及配套工程、设施等的施工</w:t>
      </w:r>
      <w:r>
        <w:rPr>
          <w:rFonts w:hint="eastAsia" w:hAnsi="宋体" w:cs="Calibri"/>
          <w:bCs/>
          <w:color w:val="000000" w:themeColor="text1"/>
          <w:sz w:val="24"/>
          <w:szCs w:val="24"/>
          <w:highlight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w:t>
      </w:r>
      <w:bookmarkEnd w:id="40"/>
      <w:bookmarkEnd w:id="41"/>
      <w:bookmarkEnd w:id="42"/>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pPr>
      <w:bookmarkStart w:id="51" w:name="_Toc1478"/>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3</w:t>
      </w:r>
      <w:bookmarkStart w:id="52" w:name="_Hlt66187826"/>
      <w:bookmarkEnd w:id="52"/>
      <w:r>
        <w:rPr>
          <w:rFonts w:hint="eastAsia" w:asciiTheme="minorEastAsia" w:hAnsiTheme="minorEastAsia" w:eastAsiaTheme="minorEastAsia" w:cstheme="minorEastAsia"/>
          <w:b/>
          <w:bCs/>
          <w:snapToGrid w:val="0"/>
          <w:color w:val="000000" w:themeColor="text1"/>
          <w:kern w:val="2"/>
          <w:highlight w:val="none"/>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工期</w:t>
      </w:r>
      <w:bookmarkEnd w:id="43"/>
      <w:bookmarkEnd w:id="44"/>
      <w:bookmarkEnd w:id="45"/>
      <w:bookmarkEnd w:id="46"/>
      <w:bookmarkEnd w:id="47"/>
      <w:bookmarkEnd w:id="48"/>
      <w:bookmarkEnd w:id="49"/>
      <w:bookmarkEnd w:id="50"/>
      <w:bookmarkEnd w:id="51"/>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szCs w:val="20"/>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 xml:space="preserve"> 本工程工期为：</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本项目设计、施工总工期</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210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日历天，其中：设计工期为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60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0"/>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施工工期为</w:t>
      </w:r>
      <w:r>
        <w:rPr>
          <w:rFonts w:hint="eastAsia" w:asciiTheme="minorEastAsia" w:hAnsiTheme="minorEastAsia" w:eastAsiaTheme="minorEastAsia" w:cstheme="minorEastAsia"/>
          <w:snapToGrid w:val="0"/>
          <w:color w:val="000000" w:themeColor="text1"/>
          <w:kern w:val="0"/>
          <w:sz w:val="24"/>
          <w:szCs w:val="24"/>
          <w:highlight w:val="none"/>
          <w:u w:val="single"/>
          <w:lang w:val="en-US" w:eastAsia="zh-CN"/>
          <w14:textFill>
            <w14:solidFill>
              <w14:schemeClr w14:val="tx1"/>
            </w14:solidFill>
          </w14:textFill>
        </w:rPr>
        <w:t>150</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日历天。</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中标人必须在所要求的工期内</w:t>
      </w:r>
      <w:r>
        <w:rPr>
          <w:rFonts w:hint="eastAsia" w:asciiTheme="minorEastAsia" w:hAnsiTheme="minorEastAsia" w:eastAsiaTheme="minorEastAsia" w:cstheme="minorEastAsia"/>
          <w:snapToGrid w:val="0"/>
          <w:color w:val="000000" w:themeColor="text1"/>
          <w:kern w:val="2"/>
          <w:highlight w:val="none"/>
          <w:lang w:eastAsia="zh-CN"/>
          <w14:textFill>
            <w14:solidFill>
              <w14:schemeClr w14:val="tx1"/>
            </w14:solidFill>
          </w14:textFill>
        </w:rPr>
        <w:t>完成招标范围内的全部内容</w:t>
      </w:r>
      <w:r>
        <w:rPr>
          <w:rFonts w:hint="eastAsia" w:asciiTheme="minorEastAsia" w:hAnsiTheme="minorEastAsia" w:eastAsiaTheme="minorEastAsia" w:cstheme="minorEastAsia"/>
          <w:snapToGrid w:val="0"/>
          <w:color w:val="000000" w:themeColor="text1"/>
          <w:kern w:val="2"/>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highlight w:val="none"/>
          <w14:textFill>
            <w14:solidFill>
              <w14:schemeClr w14:val="tx1"/>
            </w14:solidFill>
          </w14:textFill>
        </w:rPr>
        <w:t>3.2</w:t>
      </w:r>
      <w:r>
        <w:rPr>
          <w:rFonts w:hint="eastAsia" w:asciiTheme="minorEastAsia" w:hAnsiTheme="minorEastAsia" w:eastAsiaTheme="minorEastAsia" w:cstheme="minorEastAsia"/>
          <w:color w:val="000000" w:themeColor="text1"/>
          <w:highlight w:val="none"/>
          <w14:textFill>
            <w14:solidFill>
              <w14:schemeClr w14:val="tx1"/>
            </w14:solidFill>
          </w14:textFill>
        </w:rPr>
        <w:t>因中标人原因，没有按期完成设计任务、工程没有按期竣工时，中标人须在逾期第壹天起每天分别按设计、施工合同价款的1.5</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‰向</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招标人缴纳逾期违约金，分别累计最高不超过设计、施工合同价款的10%向招标人缴纳逾期违约金。</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color w:val="000000" w:themeColor="text1"/>
          <w:kern w:val="44"/>
          <w:highlight w:val="none"/>
          <w14:textFill>
            <w14:solidFill>
              <w14:schemeClr w14:val="tx1"/>
            </w14:solidFill>
          </w14:textFill>
        </w:rPr>
        <w:t>3.3</w:t>
      </w:r>
      <w:r>
        <w:rPr>
          <w:rFonts w:hint="eastAsia" w:asciiTheme="minorEastAsia" w:hAnsiTheme="minorEastAsia" w:eastAsiaTheme="minorEastAsia" w:cstheme="minorEastAsia"/>
          <w:color w:val="000000" w:themeColor="text1"/>
          <w:highlight w:val="none"/>
          <w14:textFill>
            <w14:solidFill>
              <w14:schemeClr w14:val="tx1"/>
            </w14:solidFill>
          </w14:textFill>
        </w:rPr>
        <w:t>设计工期自</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中标通知书发出之日</w:t>
      </w:r>
      <w:r>
        <w:rPr>
          <w:rFonts w:hint="eastAsia" w:asciiTheme="minorEastAsia" w:hAnsiTheme="minorEastAsia" w:eastAsiaTheme="minorEastAsia" w:cstheme="minorEastAsia"/>
          <w:color w:val="000000" w:themeColor="text1"/>
          <w:highlight w:val="none"/>
          <w14:textFill>
            <w14:solidFill>
              <w14:schemeClr w14:val="tx1"/>
            </w14:solidFill>
          </w14:textFill>
        </w:rPr>
        <w:t>起计算，至提交符合招标人及审图机构要求的施工图设计文件之日止（每一步设计工作，必须以招标人及有关部门审核批准后方可实施）</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 xml:space="preserve"> 施工工期从开工令签发之日起计，至竣工验收之日止。</w:t>
      </w:r>
      <w:bookmarkStart w:id="53" w:name="_Toc11872"/>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54" w:name="_Toc2499"/>
      <w:bookmarkStart w:id="55" w:name="_Toc24780"/>
      <w:bookmarkStart w:id="56" w:name="_Toc19644"/>
      <w:bookmarkStart w:id="57" w:name="_Toc3312"/>
      <w:bookmarkStart w:id="58" w:name="_Toc30034"/>
      <w:bookmarkStart w:id="59" w:name="_Toc13379"/>
      <w:bookmarkStart w:id="60" w:name="_Toc1889"/>
      <w:bookmarkStart w:id="61" w:name="_Toc24539"/>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4、投标人资质及条件要求</w:t>
      </w:r>
      <w:bookmarkEnd w:id="53"/>
      <w:bookmarkEnd w:id="54"/>
      <w:bookmarkEnd w:id="55"/>
      <w:bookmarkEnd w:id="56"/>
      <w:bookmarkEnd w:id="57"/>
      <w:bookmarkEnd w:id="58"/>
      <w:bookmarkEnd w:id="59"/>
      <w:bookmarkEnd w:id="60"/>
      <w:bookmarkEnd w:id="61"/>
      <w:bookmarkStart w:id="62" w:name="_Hlt74496495"/>
      <w:bookmarkEnd w:id="62"/>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本次招标接受联合体投标，联合体以一个投标人的身份共同投标。</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1.1．联合体成员数量不超过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个。</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1.2．联合体各方应按招标文件提供的格式签订联合体协议书，明确联合体牵头人和各方权利义务，并承诺就中标项目向招标人承担连带责任。《联合体协议书》作为投标文件的组成部分向招标人提交。</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1.4．联合体各方不得再以自己名义单独或参加其他联合体在本招标项目中投标，否则各相关投标均无效。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2．资格资质要求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2.1 投标人须具备独立法人资格，按国家法律经营。</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2.2 投标人须持有建设行政主管部门颁发的企业资质证书。</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投标人须具备以下资质：参加投标的投标人可以是单一独立法人或由不超过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家独立法人组成的联合体（必须注明其中一家为牵头人），单一独立法人必须至少同时具备以下①～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资质，组成联合体投标的，联合后必须至少具备以下①～</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资质，联合体牵头人必须为施工单位，由同一专业的单位组成的联合体，按照资质等级较低的单位确定资质等级：</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①施工资质1：建设行政主管部门颁发的市政公用工程施工总承包叁级或以上(含叁级)资质，并持有有效安全生产许可证。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②施工资质2：建设行政主管部门颁发的建筑工程施工总承包叁级或以上(含叁级)资质，并持有有效安全生产许可证。</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③设计资质必须具备建设行政主管部门颁发的工程设计综合甲级资质或同时具备（1）（2）资质：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（1）市政行业资质之一：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1、工程设计市政行业乙级以上（含乙级）资质；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2、工程设计市政行业乙级（燃气工程、轨道交通工程除外）以上（含乙级）资质；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3、工程设计市政行业（道路工程、排水）专业设计乙级以上（含乙级）资质。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（2）建筑行业资质之一：</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1、工程设计建筑行业乙级以上（含乙级）资质；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2、工程设计建筑行业（建筑工程）专业乙级以上（含乙级）资质；</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color w:val="000000" w:themeColor="text1"/>
          <w:sz w:val="24"/>
          <w:szCs w:val="24"/>
          <w:highlight w:val="none"/>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4.3．相关人员要求</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3.1 拟派项目经理为具有</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的、在使用有效期内的有效电子证书）。同时均须具备有效安全生产考核合格证明（B证，安全生产考核合格证书或“广东省建筑施工企业管理人员安全生产考核信息系统”考核合格信息打印页），且未担任其他在施（包括已中标未开工、已建成未竣工）建设工程项目的项目经理。</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3.2投标人拟派项目技术负责人须具备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建筑工程或市政公用工程相关</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专业</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中</w:t>
      </w:r>
      <w:r>
        <w:rPr>
          <w:rFonts w:hint="eastAsia" w:asciiTheme="minorEastAsia" w:hAnsiTheme="minorEastAsia" w:eastAsiaTheme="minorEastAsia" w:cstheme="minorEastAsia"/>
          <w:color w:val="000000" w:themeColor="text1"/>
          <w:sz w:val="24"/>
          <w:szCs w:val="24"/>
          <w:highlight w:val="none"/>
          <w:lang w:val="zh-CN" w:eastAsia="zh-CN"/>
          <w14:textFill>
            <w14:solidFill>
              <w14:schemeClr w14:val="tx1"/>
            </w14:solidFill>
          </w14:textFill>
        </w:rPr>
        <w:t>级（或以上）</w:t>
      </w:r>
      <w:r>
        <w:rPr>
          <w:rFonts w:hint="eastAsia" w:asciiTheme="minorEastAsia" w:hAnsiTheme="minorEastAsia" w:eastAsiaTheme="minorEastAsia" w:cstheme="minorEastAsia"/>
          <w:color w:val="000000" w:themeColor="text1"/>
          <w:sz w:val="24"/>
          <w:szCs w:val="24"/>
          <w:highlight w:val="none"/>
          <w:lang w:val="zh-CN"/>
          <w14:textFill>
            <w14:solidFill>
              <w14:schemeClr w14:val="tx1"/>
            </w14:solidFill>
          </w14:textFill>
        </w:rPr>
        <w:t>技术</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职称。（若为联合体投标，则联合体成员任意一方提供即可）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且不少于</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1人</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。（若为联合体投标，则联合体成员任意一方提供即可）</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投标人拟派项目设计负责人须具备</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二级以上(含二级)注册建筑师注册证书或以上职称。</w:t>
      </w:r>
    </w:p>
    <w:p>
      <w:pPr>
        <w:pStyle w:val="40"/>
        <w:pageBreakBefore w:val="0"/>
        <w:kinsoku/>
        <w:wordWrap w:val="0"/>
        <w:overflowPunct/>
        <w:bidi w:val="0"/>
        <w:adjustRightInd w:val="0"/>
        <w:snapToGrid w:val="0"/>
        <w:spacing w:line="360" w:lineRule="auto"/>
        <w:ind w:firstLine="480" w:firstLineChars="200"/>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4.3.5</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投标人与其拟派往本项目管理机构的所有人员之间必须具备合法、唯一的劳动聘用关系。拟派人员中具备注册执业资格的，其注册单位须与投标人保持一致。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禁止投标条款：</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4.4.1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投标人不得存在下列情形之一：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（1）为招标人不具有独立法人资格的附属机构（单位）；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（2）为本招标项目前期准备提供咨询服务的；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（3）与本招标项目的其他投标人为同一个单位负责人；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（4）与本招标项目的其他投标人存在控股、管理关系；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（5）为本招标项目的监理人；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（6）为本招标项目的代建人；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（7）为本招标项目的招标代理机构；</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（8）与本招标项目的监理人或代建人或招标代理机构同为一个法定代表人；</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（9）与本招标项目的监理人或代建人或招标代理机构存在控股或参股关系；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（10）与本招标项目的监理人或代建人或招标代理机构存在相互任职或工作关系；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（11）被依法暂停或者取消投标资格；</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（12）被责令停产停业、暂扣或者吊销许可证、暂扣或者吊销执照；</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（13）进入清算程序，或被宣告破产，或其他丧失履约能力的情形；</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（15）被“信用中国”网站（https://www.creditchina.gov.cn）发布的《法人和非法人组织公共信用信息报告》列入严重失信主体名单的。</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4.4.2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招标人拒绝以下名单中的单位参加本次投标：</w:t>
      </w:r>
    </w:p>
    <w:tbl>
      <w:tblPr>
        <w:tblStyle w:val="22"/>
        <w:tblW w:w="9179"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4038"/>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序号</w:t>
            </w:r>
          </w:p>
        </w:tc>
        <w:tc>
          <w:tcPr>
            <w:tcW w:w="4038"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单位名称</w:t>
            </w:r>
          </w:p>
        </w:tc>
        <w:tc>
          <w:tcPr>
            <w:tcW w:w="4380" w:type="dxa"/>
            <w:noWrap/>
            <w:vAlign w:val="center"/>
          </w:tcPr>
          <w:p>
            <w:pPr>
              <w:pageBreakBefore w:val="0"/>
              <w:kinsoku/>
              <w:wordWrap w:val="0"/>
              <w:overflowPunct/>
              <w:bidi w:val="0"/>
              <w:adjustRightInd w:val="0"/>
              <w:snapToGrid w:val="0"/>
              <w:spacing w:line="240" w:lineRule="auto"/>
              <w:jc w:val="center"/>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南雄市古市镇人民政府</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南雄市乡村振兴服务中心</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中咨管理顾问有限责任公司</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中晋工程项目管理有限公司</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广咨国际工程咨询有限公司</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为本招标项目的可行性研究报告修编单位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61"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p>
        </w:tc>
        <w:tc>
          <w:tcPr>
            <w:tcW w:w="4038"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待定</w:t>
            </w:r>
          </w:p>
        </w:tc>
        <w:tc>
          <w:tcPr>
            <w:tcW w:w="4380" w:type="dxa"/>
            <w:noWrap/>
            <w:vAlign w:val="center"/>
          </w:tcPr>
          <w:p>
            <w:pPr>
              <w:pageBreakBefore w:val="0"/>
              <w:kinsoku/>
              <w:wordWrap w:val="0"/>
              <w:overflowPunct/>
              <w:bidi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为本招标项目的监理单位</w:t>
            </w:r>
          </w:p>
        </w:tc>
      </w:tr>
    </w:tbl>
    <w:p>
      <w:pPr>
        <w:pageBreakBefore w:val="0"/>
        <w:kinsoku/>
        <w:wordWrap w:val="0"/>
        <w:overflowPunct/>
        <w:bidi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4.5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省外企业（包括组成联合体的所有成员单位）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及其拟派往本项目管理机构的所有人员</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须按照《广东省住房和城乡建设厅关于取消省外建筑企业和人员进粤信息备案有关工作的通知》（粤建市﹝2015﹞52号）规定在“进粤企业和人员诚信信息登记平台”录入相关信息并通过数据规范检查。</w:t>
      </w:r>
    </w:p>
    <w:p>
      <w:pPr>
        <w:pStyle w:val="39"/>
        <w:keepNext/>
        <w:keepLines/>
        <w:pageBreakBefore w:val="0"/>
        <w:kinsoku/>
        <w:wordWrap w:val="0"/>
        <w:overflowPunct/>
        <w:bidi w:val="0"/>
        <w:ind w:firstLine="482" w:firstLineChars="20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63" w:name="_Toc8294"/>
      <w:bookmarkStart w:id="64" w:name="_Toc18979"/>
      <w:bookmarkStart w:id="65" w:name="_Toc8329"/>
      <w:bookmarkStart w:id="66" w:name="_Toc17645"/>
      <w:bookmarkStart w:id="67" w:name="_Toc2707"/>
      <w:bookmarkStart w:id="68" w:name="_Toc24391"/>
      <w:bookmarkStart w:id="69" w:name="_Toc3588"/>
      <w:bookmarkStart w:id="70" w:name="_Toc3094"/>
      <w:bookmarkStart w:id="71" w:name="_Toc20378"/>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5、工程招标内容及要求</w:t>
      </w:r>
      <w:bookmarkEnd w:id="63"/>
      <w:bookmarkEnd w:id="64"/>
      <w:bookmarkEnd w:id="65"/>
      <w:bookmarkEnd w:id="66"/>
      <w:bookmarkEnd w:id="67"/>
      <w:bookmarkEnd w:id="68"/>
      <w:bookmarkEnd w:id="69"/>
      <w:bookmarkEnd w:id="70"/>
      <w:bookmarkEnd w:id="71"/>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u w:val="none"/>
          <w14:textFill>
            <w14:solidFill>
              <w14:schemeClr w14:val="tx1"/>
            </w14:solidFill>
          </w14:textFill>
        </w:rPr>
      </w:pPr>
      <w:r>
        <w:rPr>
          <w:rFonts w:hint="eastAsia" w:ascii="宋体" w:hAnsi="宋体" w:eastAsia="宋体" w:cs="Calibri"/>
          <w:bCs/>
          <w:color w:val="000000" w:themeColor="text1"/>
          <w:sz w:val="24"/>
          <w:szCs w:val="24"/>
          <w:highlight w:val="none"/>
          <w:u w:val="none"/>
          <w:lang w:val="en-US" w:eastAsia="zh-CN"/>
          <w14:textFill>
            <w14:solidFill>
              <w14:schemeClr w14:val="tx1"/>
            </w14:solidFill>
          </w14:textFill>
        </w:rPr>
        <w:t>5.1</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本工程所涉及的内容包括但不限于以下（1）～（</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u w:val="none"/>
          <w:lang w:val="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14:textFill>
            <w14:solidFill>
              <w14:schemeClr w14:val="tx1"/>
            </w14:solidFill>
          </w14:textFill>
        </w:rPr>
      </w:pPr>
      <w:r>
        <w:rPr>
          <w:rFonts w:hint="eastAsia" w:hAnsi="宋体" w:cs="Calibri"/>
          <w:bCs/>
          <w:color w:val="000000" w:themeColor="text1"/>
          <w:sz w:val="24"/>
          <w:szCs w:val="24"/>
          <w:highlight w:val="none"/>
          <w:u w:val="none"/>
          <w14:textFill>
            <w14:solidFill>
              <w14:schemeClr w14:val="tx1"/>
            </w14:solidFill>
          </w14:textFill>
        </w:rPr>
        <w:t>（1）设计部分：</w:t>
      </w:r>
      <w:r>
        <w:rPr>
          <w:rFonts w:hint="eastAsia" w:hAnsi="宋体" w:cs="宋体"/>
          <w:snapToGrid w:val="0"/>
          <w:color w:val="000000" w:themeColor="text1"/>
          <w:kern w:val="0"/>
          <w:sz w:val="24"/>
          <w:szCs w:val="24"/>
          <w:highlight w:val="none"/>
          <w:u w:val="none"/>
          <w:lang w:val="zh-CN"/>
          <w14:textFill>
            <w14:solidFill>
              <w14:schemeClr w14:val="tx1"/>
            </w14:solidFill>
          </w14:textFill>
        </w:rPr>
        <w:t>确保项目顺利实施的报建、报批、施工等所需的所有建安工程等设计文件。包括但不限于：施工图设计，</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提供项目所需相关检测项的明细表和危险性较大的分部分项工程清单</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及保障安全相关说明</w:t>
      </w:r>
      <w:r>
        <w:rPr>
          <w:rFonts w:hint="eastAsia" w:ascii="宋体" w:hAnsi="宋体" w:eastAsia="宋体" w:cs="宋体"/>
          <w:snapToGrid w:val="0"/>
          <w:color w:val="000000" w:themeColor="text1"/>
          <w:kern w:val="0"/>
          <w:sz w:val="24"/>
          <w:szCs w:val="24"/>
          <w:highlight w:val="none"/>
          <w:u w:val="none"/>
          <w:lang w:eastAsia="zh-CN"/>
          <w14:textFill>
            <w14:solidFill>
              <w14:schemeClr w14:val="tx1"/>
            </w14:solidFill>
          </w14:textFill>
        </w:rPr>
        <w:t>、</w:t>
      </w:r>
      <w:r>
        <w:rPr>
          <w:rFonts w:hint="eastAsia" w:hAnsi="宋体" w:cs="宋体"/>
          <w:snapToGrid w:val="0"/>
          <w:color w:val="000000" w:themeColor="text1"/>
          <w:kern w:val="0"/>
          <w:sz w:val="24"/>
          <w:szCs w:val="24"/>
          <w:highlight w:val="none"/>
          <w:u w:val="none"/>
          <w:lang w:val="zh-CN"/>
          <w14:textFill>
            <w14:solidFill>
              <w14:schemeClr w14:val="tx1"/>
            </w14:solidFill>
          </w14:textFill>
        </w:rPr>
        <w:t>工地现场服务、验收过程中的设计指导及配合阶段验收及档案整理、协助施工单位编制竣工图及后续设计服务工作</w:t>
      </w:r>
      <w:r>
        <w:rPr>
          <w:rFonts w:hint="eastAsia" w:hAnsi="宋体" w:cs="Calibri"/>
          <w:bCs/>
          <w:color w:val="000000" w:themeColor="text1"/>
          <w:sz w:val="24"/>
          <w:szCs w:val="24"/>
          <w:highlight w:val="none"/>
          <w:u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u w:val="none"/>
          <w:lang w:val="zh-CN"/>
          <w14:textFill>
            <w14:solidFill>
              <w14:schemeClr w14:val="tx1"/>
            </w14:solidFill>
          </w14:textFill>
        </w:rPr>
      </w:pPr>
      <w:r>
        <w:rPr>
          <w:rFonts w:hint="eastAsia" w:hAnsi="宋体" w:cs="Calibri"/>
          <w:bCs/>
          <w:color w:val="000000" w:themeColor="text1"/>
          <w:sz w:val="24"/>
          <w:szCs w:val="24"/>
          <w:highlight w:val="none"/>
          <w:u w:val="none"/>
          <w:lang w:val="zh-CN"/>
          <w14:textFill>
            <w14:solidFill>
              <w14:schemeClr w14:val="tx1"/>
            </w14:solidFill>
          </w14:textFill>
        </w:rPr>
        <w:t>（</w:t>
      </w:r>
      <w:r>
        <w:rPr>
          <w:rFonts w:hint="eastAsia" w:hAnsi="宋体" w:cs="Calibri"/>
          <w:bCs/>
          <w:color w:val="000000" w:themeColor="text1"/>
          <w:sz w:val="24"/>
          <w:szCs w:val="24"/>
          <w:highlight w:val="none"/>
          <w:u w:val="none"/>
          <w:lang w:val="en-US" w:eastAsia="zh-CN"/>
          <w14:textFill>
            <w14:solidFill>
              <w14:schemeClr w14:val="tx1"/>
            </w14:solidFill>
          </w14:textFill>
        </w:rPr>
        <w:t>2</w:t>
      </w:r>
      <w:r>
        <w:rPr>
          <w:rFonts w:hint="eastAsia" w:hAnsi="宋体" w:cs="Calibri"/>
          <w:bCs/>
          <w:color w:val="000000" w:themeColor="text1"/>
          <w:sz w:val="24"/>
          <w:szCs w:val="24"/>
          <w:highlight w:val="none"/>
          <w:u w:val="none"/>
          <w:lang w:val="zh-CN"/>
          <w14:textFill>
            <w14:solidFill>
              <w14:schemeClr w14:val="tx1"/>
            </w14:solidFill>
          </w14:textFill>
        </w:rPr>
        <w:t>）施工部分：</w:t>
      </w:r>
      <w:r>
        <w:rPr>
          <w:rFonts w:hint="eastAsia" w:ascii="宋体" w:hAnsi="宋体" w:eastAsia="宋体" w:cs="宋体"/>
          <w:snapToGrid w:val="0"/>
          <w:color w:val="000000" w:themeColor="text1"/>
          <w:kern w:val="0"/>
          <w:sz w:val="24"/>
          <w:szCs w:val="24"/>
          <w:highlight w:val="none"/>
          <w:u w:val="none"/>
          <w14:textFill>
            <w14:solidFill>
              <w14:schemeClr w14:val="tx1"/>
            </w14:solidFill>
          </w14:textFill>
        </w:rPr>
        <w:t>设计文件及工程量清单范围内的所有工程及配套工程、设施等的施工</w:t>
      </w:r>
      <w:r>
        <w:rPr>
          <w:rFonts w:hint="eastAsia" w:hAnsi="宋体" w:cs="Calibri"/>
          <w:bCs/>
          <w:color w:val="000000" w:themeColor="text1"/>
          <w:sz w:val="24"/>
          <w:szCs w:val="24"/>
          <w:highlight w:val="none"/>
          <w:u w:val="none"/>
          <w:lang w:val="zh-CN"/>
          <w14:textFill>
            <w14:solidFill>
              <w14:schemeClr w14:val="tx1"/>
            </w14:solidFill>
          </w14:textFill>
        </w:rPr>
        <w:t>（含竣工验收资料编制整理、备案等），完成并配合发包人结算、负责工程缺陷保修以及发包人要求由施工单位完成的其他工作（发包人另行委托其他单位负责实施的工作内容除外，但需提供一系列协调及配合服务）等。</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w:t>
      </w:r>
      <w:r>
        <w:rPr>
          <w:rFonts w:hint="eastAsia" w:hAnsi="宋体" w:cs="Calibri"/>
          <w:bCs/>
          <w:color w:val="000000" w:themeColor="text1"/>
          <w:sz w:val="24"/>
          <w:szCs w:val="24"/>
          <w:highlight w:val="none"/>
          <w:lang w:val="zh-CN"/>
          <w14:textFill>
            <w14:solidFill>
              <w14:schemeClr w14:val="tx1"/>
            </w14:solidFill>
          </w14:textFill>
        </w:rPr>
        <w:t>设计要求：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5.2.1设计质量要求：</w:t>
      </w:r>
      <w:r>
        <w:rPr>
          <w:rFonts w:hint="eastAsia" w:hAnsi="宋体" w:cs="Calibri"/>
          <w:bCs/>
          <w:color w:val="000000" w:themeColor="text1"/>
          <w:sz w:val="24"/>
          <w:szCs w:val="24"/>
          <w:highlight w:val="none"/>
          <w:lang w:val="zh-CN"/>
          <w14:textFill>
            <w14:solidFill>
              <w14:schemeClr w14:val="tx1"/>
            </w14:solidFill>
          </w14:textFill>
        </w:rPr>
        <w:t>符合国家或行业颁布的现行有效的有关设计的规范要求，并必须通过有关部门的审查及经有资质的审图机构审查合格。</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5.2.2</w:t>
      </w:r>
      <w:r>
        <w:rPr>
          <w:rFonts w:hint="eastAsia" w:hAnsi="宋体" w:cs="Calibri"/>
          <w:bCs/>
          <w:color w:val="000000" w:themeColor="text1"/>
          <w:sz w:val="24"/>
          <w:szCs w:val="24"/>
          <w:highlight w:val="none"/>
          <w:lang w:val="zh-CN"/>
          <w14:textFill>
            <w14:solidFill>
              <w14:schemeClr w14:val="tx1"/>
            </w14:solidFill>
          </w14:textFill>
        </w:rPr>
        <w:t>本工程施工图设计必须先经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确认才能送审，并经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委托的有资质的审图机构审查合格。若</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或审图机构在审查过程中提出的设计修改或变更，设计单位必须无条件进行修改或优化设计，</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hAnsi="宋体" w:cs="Calibri"/>
          <w:bCs/>
          <w:color w:val="000000" w:themeColor="text1"/>
          <w:sz w:val="24"/>
          <w:szCs w:val="24"/>
          <w:highlight w:val="none"/>
          <w:lang w:val="zh-CN"/>
          <w14:textFill>
            <w14:solidFill>
              <w14:schemeClr w14:val="tx1"/>
            </w14:solidFill>
          </w14:textFill>
        </w:rPr>
        <w:t>不再支付由此而增加的设计费用。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Calibri"/>
          <w:bCs/>
          <w:color w:val="000000" w:themeColor="text1"/>
          <w:sz w:val="24"/>
          <w:szCs w:val="24"/>
          <w:highlight w:val="none"/>
          <w:lang w:val="en-US" w:eastAsia="zh-CN"/>
          <w14:textFill>
            <w14:solidFill>
              <w14:schemeClr w14:val="tx1"/>
            </w14:solidFill>
          </w14:textFill>
        </w:rPr>
      </w:pPr>
      <w:r>
        <w:rPr>
          <w:rFonts w:hint="eastAsia" w:ascii="宋体" w:hAnsi="宋体" w:eastAsia="宋体" w:cs="Calibri"/>
          <w:bCs/>
          <w:color w:val="000000" w:themeColor="text1"/>
          <w:sz w:val="24"/>
          <w:szCs w:val="24"/>
          <w:highlight w:val="none"/>
          <w:lang w:val="en-US" w:eastAsia="zh-CN"/>
          <w14:textFill>
            <w14:solidFill>
              <w14:schemeClr w14:val="tx1"/>
            </w14:solidFill>
          </w14:textFill>
        </w:rPr>
        <w:t>5.</w:t>
      </w:r>
      <w:r>
        <w:rPr>
          <w:rFonts w:hint="eastAsia" w:hAnsi="宋体" w:cs="Calibri"/>
          <w:bCs/>
          <w:color w:val="000000" w:themeColor="text1"/>
          <w:sz w:val="24"/>
          <w:szCs w:val="24"/>
          <w:highlight w:val="none"/>
          <w:lang w:val="en-US" w:eastAsia="zh-CN"/>
          <w14:textFill>
            <w14:solidFill>
              <w14:schemeClr w14:val="tx1"/>
            </w14:solidFill>
          </w14:textFill>
        </w:rPr>
        <w:t>2</w:t>
      </w:r>
      <w:r>
        <w:rPr>
          <w:rFonts w:hint="eastAsia" w:ascii="宋体" w:hAnsi="宋体" w:eastAsia="宋体" w:cs="Calibri"/>
          <w:bCs/>
          <w:color w:val="000000" w:themeColor="text1"/>
          <w:sz w:val="24"/>
          <w:szCs w:val="24"/>
          <w:highlight w:val="none"/>
          <w:lang w:val="en-US" w:eastAsia="zh-CN"/>
          <w14:textFill>
            <w14:solidFill>
              <w14:schemeClr w14:val="tx1"/>
            </w14:solidFill>
          </w14:textFill>
        </w:rPr>
        <w:t>.3关于设计深度的要求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按国家及地方现行的设计文件深度规定等有关技术标准、设计规范（标准）要求。</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各专业设计应同步进行，涉及单位应指定总体设计人统筹布局，做好各项设施的协调和衔接、位置预留，不得留待施工中临时变更。</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对技术复杂或造价、规模较大的主要分项工程应作方案比较。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施工图设计文件的深度，应当满足设备材料采购，非标准设备制作和施工的需要，并注明建设工程合理使用年限。</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hAnsi="宋体" w:cs="宋体"/>
          <w:color w:val="000000" w:themeColor="text1"/>
          <w:kern w:val="2"/>
          <w:sz w:val="24"/>
          <w:szCs w:val="24"/>
          <w:highlight w:val="none"/>
          <w:lang w:val="en-US" w:eastAsia="zh-CN" w:bidi="ar-SA"/>
          <w14:textFill>
            <w14:solidFill>
              <w14:schemeClr w14:val="tx1"/>
            </w14:solidFill>
          </w14:textFill>
        </w:rPr>
        <w:t>5</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相关的配套外部接口方案均需取得政府主管部门或规划部门认可。</w:t>
      </w:r>
    </w:p>
    <w:p>
      <w:pPr>
        <w:pStyle w:val="37"/>
        <w:pageBreakBefore w:val="0"/>
        <w:numPr>
          <w:ilvl w:val="0"/>
          <w:numId w:val="0"/>
        </w:numPr>
        <w:kinsoku/>
        <w:wordWrap w:val="0"/>
        <w:overflowPunct/>
        <w:bidi w:val="0"/>
        <w:spacing w:line="360" w:lineRule="auto"/>
        <w:ind w:left="0" w:leftChars="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施工图设计文件应考虑交通维护、临时施工便道、基坑支护、对周边建筑物的影响等因素，以指导现场施工及过程评审。</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设计后期配合工作</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施工图设计完成并经有关单位审查后，才能进入施工阶段。</w:t>
      </w:r>
    </w:p>
    <w:p>
      <w:pPr>
        <w:pStyle w:val="37"/>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设计单位配合施工、监理及业主单位的工作内容如下：</w:t>
      </w:r>
    </w:p>
    <w:p>
      <w:pPr>
        <w:keepNext w:val="0"/>
        <w:keepLines w:val="0"/>
        <w:pageBreakBefore w:val="0"/>
        <w:widowControl w:val="0"/>
        <w:numPr>
          <w:ilvl w:val="0"/>
          <w:numId w:val="1"/>
        </w:numPr>
        <w:tabs>
          <w:tab w:val="left" w:pos="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施工图设计（技术）交底；</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配合勘察单位现场交桩；</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变更设计和所有补充设计；</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会签设计变更审批表；</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参加处理施工中发生的工程质量和安全事故；</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解决与设计有关的施工问题；</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配合质量检测；</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参加审查施工单位的施工组织设计和专项施工方案；</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参加本项目建设有关会议。</w:t>
      </w:r>
    </w:p>
    <w:p>
      <w:pPr>
        <w:keepNext w:val="0"/>
        <w:keepLines w:val="0"/>
        <w:pageBreakBefore w:val="0"/>
        <w:widowControl w:val="0"/>
        <w:numPr>
          <w:ilvl w:val="0"/>
          <w:numId w:val="1"/>
        </w:numPr>
        <w:tabs>
          <w:tab w:val="left" w:pos="240"/>
        </w:tabs>
        <w:kinsoku/>
        <w:wordWrap w:val="0"/>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在监理招标期间配合建设及相关单位解释及完善施工图相关内容。</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（3）设计工作技术总结</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对设计文件及施工过程中发生的补充设计进行检查，并提出设计文件质量检查报告，在竣工验收前交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。工程完工后，</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应组织设计技术工作人员将全部资料进行整理并撰写工程技术总结，并于竣工后一个月内完成，交</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限额设计要求：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若</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第三方</w:t>
      </w:r>
      <w:r>
        <w:rPr>
          <w:rFonts w:hint="eastAsia" w:ascii="宋体" w:hAnsi="宋体" w:eastAsia="宋体" w:cs="宋体"/>
          <w:snapToGrid w:val="0"/>
          <w:color w:val="000000" w:themeColor="text1"/>
          <w:kern w:val="0"/>
          <w:sz w:val="24"/>
          <w:szCs w:val="24"/>
          <w:highlight w:val="none"/>
          <w14:textFill>
            <w14:solidFill>
              <w14:schemeClr w14:val="tx1"/>
            </w14:solidFill>
          </w14:textFill>
        </w:rPr>
        <w:t>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必须无条件对施工图进行修改，直至满足限额设计要求，</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不另行增加设计费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。由此造成造价咨询单位重复编制或审核施工图预算的费用由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承担，结算时在设计费中扣除。</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不得为了用完设计限额额度，擅自扩大建设规模、增加建设内容、提高建设标准的行为，因此导致造价增加由</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snapToGrid w:val="0"/>
          <w:color w:val="000000" w:themeColor="text1"/>
          <w:kern w:val="0"/>
          <w:sz w:val="24"/>
          <w:szCs w:val="24"/>
          <w:highlight w:val="none"/>
          <w14:textFill>
            <w14:solidFill>
              <w14:schemeClr w14:val="tx1"/>
            </w14:solidFill>
          </w14:textFill>
        </w:rPr>
        <w:t>负责及承担费用。</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5.3.5</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同意，否则参照信息价中相近且低于其标准的材料信息价作为该项材料的结算价。</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设计时需要考虑与周边地块的开发相结合。</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en-US" w:eastAsia="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5.2.7设计成果文件要求：</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设计</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按合同约定、招标文件内容要求、法律法规及国家强制性标准要求提供完整的设计文件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要求提供施工图设计文件12套。提供的所有资料均含电子版（含CAD及PDF文件格式）。</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w:t>
      </w:r>
      <w:r>
        <w:rPr>
          <w:rFonts w:hint="eastAsia" w:hAnsi="宋体" w:cs="Calibri"/>
          <w:bCs/>
          <w:color w:val="000000" w:themeColor="text1"/>
          <w:sz w:val="24"/>
          <w:szCs w:val="24"/>
          <w:highlight w:val="none"/>
          <w:lang w:val="zh-CN"/>
          <w14:textFill>
            <w14:solidFill>
              <w14:schemeClr w14:val="tx1"/>
            </w14:solidFill>
          </w14:textFill>
        </w:rPr>
        <w:t>施工要求：</w:t>
      </w:r>
    </w:p>
    <w:p>
      <w:pPr>
        <w:pStyle w:val="37"/>
        <w:pageBreakBefore w:val="0"/>
        <w:numPr>
          <w:ilvl w:val="0"/>
          <w:numId w:val="0"/>
        </w:numPr>
        <w:kinsoku/>
        <w:wordWrap w:val="0"/>
        <w:overflowPunct/>
        <w:bidi w:val="0"/>
        <w:spacing w:line="360" w:lineRule="auto"/>
        <w:ind w:firstLine="480" w:firstLineChars="200"/>
        <w:rPr>
          <w:rFonts w:hint="eastAsia" w:hAnsi="宋体" w:cs="Calibri"/>
          <w:bCs/>
          <w:color w:val="000000" w:themeColor="text1"/>
          <w:sz w:val="24"/>
          <w:szCs w:val="24"/>
          <w:highlight w:val="none"/>
          <w:lang w:val="zh-CN"/>
          <w14:textFill>
            <w14:solidFill>
              <w14:schemeClr w14:val="tx1"/>
            </w14:solidFill>
          </w14:textFill>
        </w:rPr>
      </w:pPr>
      <w:r>
        <w:rPr>
          <w:rFonts w:hint="eastAsia" w:hAnsi="宋体" w:cs="Calibri"/>
          <w:bCs/>
          <w:color w:val="000000" w:themeColor="text1"/>
          <w:sz w:val="24"/>
          <w:szCs w:val="24"/>
          <w:highlight w:val="none"/>
          <w:lang w:val="en-US" w:eastAsia="zh-CN"/>
          <w14:textFill>
            <w14:solidFill>
              <w14:schemeClr w14:val="tx1"/>
            </w14:solidFill>
          </w14:textFill>
        </w:rPr>
        <w:t>5.3.1施工质量要求：</w:t>
      </w:r>
      <w:r>
        <w:rPr>
          <w:rFonts w:hint="eastAsia" w:hAnsi="宋体" w:cs="Calibri"/>
          <w:bCs/>
          <w:color w:val="000000" w:themeColor="text1"/>
          <w:sz w:val="24"/>
          <w:szCs w:val="24"/>
          <w:highlight w:val="none"/>
          <w:lang w:val="zh-CN"/>
          <w14:textFill>
            <w14:solidFill>
              <w14:schemeClr w14:val="tx1"/>
            </w14:solidFill>
          </w14:textFill>
        </w:rPr>
        <w:t>施工质量必须达到国家验收合格标准。</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若因</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原因，</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工程在竣工</w:t>
      </w:r>
      <w:r>
        <w:rPr>
          <w:rFonts w:hint="eastAsia" w:ascii="宋体" w:hAnsi="宋体" w:eastAsia="宋体" w:cs="宋体"/>
          <w:color w:val="000000" w:themeColor="text1"/>
          <w:sz w:val="24"/>
          <w:szCs w:val="24"/>
          <w:highlight w:val="none"/>
          <w14:textFill>
            <w14:solidFill>
              <w14:schemeClr w14:val="tx1"/>
            </w14:solidFill>
          </w14:textFill>
        </w:rPr>
        <w:t>验收时没有达到</w:t>
      </w:r>
      <w:r>
        <w:rPr>
          <w:rFonts w:hint="eastAsia" w:ascii="宋体" w:hAnsi="宋体" w:eastAsia="宋体" w:cs="宋体"/>
          <w:color w:val="000000" w:themeColor="text1"/>
          <w:sz w:val="24"/>
          <w:szCs w:val="24"/>
          <w:highlight w:val="none"/>
          <w:lang w:val="zh-CN"/>
          <w14:textFill>
            <w14:solidFill>
              <w14:schemeClr w14:val="tx1"/>
            </w14:solidFill>
          </w14:textFill>
        </w:rPr>
        <w:t>国家验收合格标准</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按合同价款的1％向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返纳质量违约金。</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在施工中如果工程质量不符合设计要求或有关规定，</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或监理单位要求停工和返工的必须立即执行，并承担由此产生的各种费用，工期不予顺延。</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保修期限按中华人民共和国国务院令第279号文《建设工程质量管理条例》规定执行，在保修期内因施工质量问题而造成返修，一切费用由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负责。</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提交竣工验收报告时，应当向</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出具质量保修书。质量保修书中应当明确建设工程的保修范围、保修期限和保修责任等。</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项目使用的主要材料质量要求必须符合本项目达到验收合格标准的要求。主要材料必须先提供样板给</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确定其颜色、等级等，并经发包人委托的检测机构检测合格方可使用。</w:t>
      </w:r>
      <w:bookmarkStart w:id="72" w:name="OLE_LINK1"/>
      <w:bookmarkStart w:id="73" w:name="OLE_LINK2"/>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为保证施工现场的环境卫生，</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color w:val="000000" w:themeColor="text1"/>
          <w:sz w:val="24"/>
          <w:szCs w:val="24"/>
          <w:highlight w:val="none"/>
          <w14:textFill>
            <w14:solidFill>
              <w14:schemeClr w14:val="tx1"/>
            </w14:solidFill>
          </w14:textFill>
        </w:rPr>
        <w:t>在本工程施工过程中，所有的车辆必须按</w:t>
      </w:r>
      <w:r>
        <w:rPr>
          <w:rFonts w:hint="eastAsia" w:hAnsi="宋体" w:cs="Calibri"/>
          <w:bCs/>
          <w:color w:val="000000" w:themeColor="text1"/>
          <w:sz w:val="24"/>
          <w:szCs w:val="24"/>
          <w:highlight w:val="none"/>
          <w:u w:val="none"/>
          <w:lang w:val="zh-CN"/>
          <w14:textFill>
            <w14:solidFill>
              <w14:schemeClr w14:val="tx1"/>
            </w14:solidFill>
          </w14:textFill>
        </w:rPr>
        <w:t>发包人</w:t>
      </w:r>
      <w:r>
        <w:rPr>
          <w:rFonts w:hint="eastAsia" w:ascii="宋体" w:hAnsi="宋体" w:eastAsia="宋体" w:cs="宋体"/>
          <w:color w:val="000000" w:themeColor="text1"/>
          <w:sz w:val="24"/>
          <w:szCs w:val="24"/>
          <w:highlight w:val="none"/>
          <w14:textFill>
            <w14:solidFill>
              <w14:schemeClr w14:val="tx1"/>
            </w14:solidFill>
          </w14:textFill>
        </w:rPr>
        <w:t>规定的行车路线行驶。并负责施工现场及受施工影响周边道路的卫生。</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.7</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承担。</w:t>
      </w:r>
    </w:p>
    <w:p>
      <w:pPr>
        <w:pStyle w:val="37"/>
        <w:pageBreakBefore w:val="0"/>
        <w:numPr>
          <w:ilvl w:val="0"/>
          <w:numId w:val="0"/>
        </w:numPr>
        <w:kinsoku/>
        <w:wordWrap w:val="0"/>
        <w:overflowPunct/>
        <w:bidi w:val="0"/>
        <w:spacing w:line="360" w:lineRule="auto"/>
        <w:ind w:firstLine="480" w:firstLineChars="200"/>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5.</w:t>
      </w:r>
      <w:r>
        <w:rPr>
          <w:rFonts w:hint="eastAsia" w:hAnsi="宋体" w:cs="宋体"/>
          <w:b w:val="0"/>
          <w:bCs w:val="0"/>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snapToGrid w:val="0"/>
          <w:color w:val="000000" w:themeColor="text1"/>
          <w:kern w:val="0"/>
          <w:sz w:val="24"/>
          <w:szCs w:val="24"/>
          <w:highlight w:val="none"/>
          <w:lang w:val="en-US" w:eastAsia="zh-CN"/>
          <w14:textFill>
            <w14:solidFill>
              <w14:schemeClr w14:val="tx1"/>
            </w14:solidFill>
          </w14:textFill>
        </w:rPr>
        <w:t>.8</w:t>
      </w:r>
      <w:r>
        <w:rPr>
          <w:rFonts w:hint="eastAsia" w:hAnsi="宋体" w:cs="Calibri"/>
          <w:bCs/>
          <w:color w:val="000000" w:themeColor="text1"/>
          <w:sz w:val="24"/>
          <w:szCs w:val="24"/>
          <w:highlight w:val="none"/>
          <w:lang w:val="en-US" w:eastAsia="zh-CN"/>
          <w14:textFill>
            <w14:solidFill>
              <w14:schemeClr w14:val="tx1"/>
            </w14:solidFill>
          </w14:textFill>
        </w:rPr>
        <w:t>施工单位</w:t>
      </w:r>
      <w:r>
        <w:rPr>
          <w:rFonts w:hint="eastAsia" w:ascii="宋体" w:hAnsi="宋体" w:eastAsia="宋体" w:cs="宋体"/>
          <w:b w:val="0"/>
          <w:bCs w:val="0"/>
          <w:snapToGrid w:val="0"/>
          <w:color w:val="000000" w:themeColor="text1"/>
          <w:kern w:val="0"/>
          <w:sz w:val="24"/>
          <w:szCs w:val="24"/>
          <w:highlight w:val="none"/>
          <w14:textFill>
            <w14:solidFill>
              <w14:schemeClr w14:val="tx1"/>
            </w14:solidFill>
          </w14:textFill>
        </w:rPr>
        <w:t>应按安全施工有关规定，采取严格、科学的安全防护措施，确保施工和人员（包括第三者）的安全，承担由于自身安全防护措施不力所造成的安全事故责任和发生的费用。</w:t>
      </w:r>
    </w:p>
    <w:p>
      <w:pPr>
        <w:pStyle w:val="44"/>
        <w:pageBreakBefore w:val="0"/>
        <w:widowControl/>
        <w:kinsoku/>
        <w:wordWrap w:val="0"/>
        <w:overflowPunct/>
        <w:bidi w:val="0"/>
        <w:spacing w:line="360" w:lineRule="auto"/>
        <w:ind w:firstLine="48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2"/>
      <w:bookmarkEnd w:id="73"/>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5.</w:t>
      </w:r>
      <w:r>
        <w:rPr>
          <w:rFonts w:hint="eastAsia" w:asciiTheme="minorEastAsia" w:hAnsiTheme="minorEastAsia" w:eastAsiaTheme="minorEastAsia" w:cstheme="minorEastAsia"/>
          <w:b/>
          <w:bCs/>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凡参加本次招标的投标人被视为已充分认识和理解了任何与本工程有关的影响事项和困难等情况。</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74" w:name="_Hlt88974078"/>
      <w:bookmarkEnd w:id="74"/>
      <w:bookmarkStart w:id="75" w:name="_Hlt120502666"/>
      <w:bookmarkEnd w:id="75"/>
      <w:bookmarkStart w:id="76" w:name="_Hlt69699204"/>
      <w:bookmarkEnd w:id="76"/>
      <w:bookmarkStart w:id="77" w:name="_Hlt121563076"/>
      <w:bookmarkEnd w:id="77"/>
      <w:bookmarkStart w:id="78" w:name="_Hlt74493474"/>
      <w:bookmarkEnd w:id="78"/>
      <w:bookmarkStart w:id="79" w:name="_Hlt74496537"/>
      <w:bookmarkEnd w:id="79"/>
      <w:bookmarkStart w:id="80" w:name="_Hlt111690342"/>
      <w:bookmarkEnd w:id="80"/>
      <w:bookmarkStart w:id="81" w:name="_Hlt69356505"/>
      <w:bookmarkEnd w:id="81"/>
      <w:bookmarkStart w:id="82" w:name="_Toc28695"/>
      <w:bookmarkStart w:id="83" w:name="_Toc16432"/>
      <w:bookmarkStart w:id="84" w:name="_Toc10812"/>
      <w:bookmarkStart w:id="85" w:name="_Toc24793"/>
      <w:bookmarkStart w:id="86" w:name="_Toc19911"/>
      <w:bookmarkStart w:id="87" w:name="_Toc12891"/>
      <w:bookmarkStart w:id="88" w:name="_Toc3193"/>
      <w:bookmarkStart w:id="89" w:name="_Toc17958"/>
      <w:bookmarkStart w:id="90" w:name="_Toc2082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6、招标工程施工条件及现场踏勘</w:t>
      </w:r>
      <w:bookmarkEnd w:id="82"/>
      <w:bookmarkEnd w:id="83"/>
      <w:bookmarkEnd w:id="84"/>
      <w:bookmarkEnd w:id="85"/>
      <w:bookmarkEnd w:id="86"/>
      <w:bookmarkEnd w:id="87"/>
      <w:bookmarkEnd w:id="88"/>
      <w:bookmarkEnd w:id="89"/>
      <w:bookmarkEnd w:id="90"/>
    </w:p>
    <w:p>
      <w:pPr>
        <w:pStyle w:val="45"/>
        <w:pageBreakBefore w:val="0"/>
        <w:kinsoku/>
        <w:wordWrap w:val="0"/>
        <w:overflowPunct/>
        <w:bidi w:val="0"/>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6.1本工程招标人仅在征地红线范围内提供场地，其他一切场地费用由中标人自行负责（含临时道路）。</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施工用水：</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施工用水及水源由中标人自行解决，费用含在投标报价中，不另计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6.3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施工用电：</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招标人协调，</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施工用电及电源由中标人自行解决，费用含在投标报价中，不另计</w:t>
      </w:r>
      <w:r>
        <w:rPr>
          <w:rFonts w:hint="eastAsia" w:asciiTheme="minorEastAsia" w:hAnsiTheme="minorEastAsia" w:eastAsiaTheme="minorEastAsia" w:cstheme="minorEastAsia"/>
          <w:color w:val="000000" w:themeColor="text1"/>
          <w:kern w:val="0"/>
          <w:szCs w:val="24"/>
          <w:highlight w:val="none"/>
          <w:u w:val="single"/>
          <w14:textFill>
            <w14:solidFill>
              <w14:schemeClr w14:val="tx1"/>
            </w14:solidFill>
          </w14:textFill>
        </w:rPr>
        <w:t>。</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6.4</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施工用水、用电由中标人负责报装并接入施工红线范围，</w:t>
      </w:r>
      <w:r>
        <w:rPr>
          <w:rFonts w:hint="eastAsia" w:asciiTheme="minorEastAsia" w:hAnsiTheme="minorEastAsia" w:eastAsiaTheme="minorEastAsia" w:cstheme="minorEastAsia"/>
          <w:color w:val="000000" w:themeColor="text1"/>
          <w:highlight w:val="none"/>
          <w14:textFill>
            <w14:solidFill>
              <w14:schemeClr w14:val="tx1"/>
            </w14:solidFill>
          </w14:textFill>
        </w:rPr>
        <w:t>并由中标人负责购置及安装满足施工所需的临时用电变压器、水表、电表，其水、电费按工程所在地</w:t>
      </w:r>
      <w:r>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highlight w:val="none"/>
          <w14:textFill>
            <w14:solidFill>
              <w14:schemeClr w14:val="tx1"/>
            </w14:solidFill>
          </w14:textFill>
        </w:rPr>
        <w:t>基建工程水、电计费标准计算并由中标人缴纳，相关线路、管路费用及安装费用以及购置及安装临时用电变压器的费用由中标人自行承担。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6.6在现场踏勘过程中，投标人应确保自身安全，投标人如果发生人身伤亡、财物或其他损失，法律法规有规定的按有关规定处理，没有规定的由投标人自行负责。</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6.7现场踏勘期间的交通、食宿由投标人自行安排，费用自理。</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bookmarkStart w:id="91" w:name="_Toc3294"/>
      <w:bookmarkStart w:id="92" w:name="_Toc17548"/>
      <w:bookmarkStart w:id="93" w:name="_Toc8518"/>
      <w:bookmarkStart w:id="94" w:name="_Toc23962"/>
      <w:bookmarkStart w:id="95" w:name="_Toc27595"/>
      <w:bookmarkStart w:id="96" w:name="_Toc22484"/>
      <w:bookmarkStart w:id="97" w:name="_Toc25942"/>
      <w:bookmarkStart w:id="98" w:name="_Toc4496"/>
      <w:bookmarkStart w:id="99" w:name="_Toc579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7</w:t>
      </w:r>
      <w:bookmarkStart w:id="100" w:name="_Toc488220856"/>
      <w:bookmarkStart w:id="101" w:name="_Toc371968705"/>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、其他招标说明</w:t>
      </w:r>
      <w:bookmarkEnd w:id="91"/>
      <w:bookmarkEnd w:id="92"/>
      <w:bookmarkEnd w:id="93"/>
      <w:bookmarkEnd w:id="94"/>
      <w:bookmarkEnd w:id="95"/>
      <w:bookmarkEnd w:id="96"/>
      <w:bookmarkEnd w:id="97"/>
      <w:bookmarkEnd w:id="98"/>
      <w:bookmarkEnd w:id="99"/>
      <w:bookmarkEnd w:id="100"/>
    </w:p>
    <w:bookmarkEnd w:id="101"/>
    <w:p>
      <w:pPr>
        <w:pageBreakBefore w:val="0"/>
        <w:kinsoku/>
        <w:wordWrap w:val="0"/>
        <w:overflowPunct/>
        <w:autoSpaceDE/>
        <w:autoSpaceDN/>
        <w:bidi w:val="0"/>
        <w:snapToGrid w:val="0"/>
        <w:spacing w:line="440" w:lineRule="exact"/>
        <w:ind w:firstLine="480"/>
        <w:jc w:val="both"/>
        <w:outlineLvl w:val="9"/>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102" w:name="_Toc10210"/>
      <w:bookmarkStart w:id="103" w:name="_Toc28014"/>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7.1．</w:t>
      </w:r>
      <w:r>
        <w:rPr>
          <w:rStyle w:val="25"/>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获取招标文件</w:t>
      </w:r>
      <w:bookmarkEnd w:id="102"/>
      <w:bookmarkEnd w:id="103"/>
    </w:p>
    <w:p>
      <w:pPr>
        <w:pStyle w:val="20"/>
        <w:pageBreakBefore w:val="0"/>
        <w:widowControl w:val="0"/>
        <w:kinsoku/>
        <w:wordWrap w:val="0"/>
        <w:overflowPunct/>
        <w:bidi w:val="0"/>
        <w:adjustRightInd w:val="0"/>
        <w:snapToGrid w:val="0"/>
        <w:spacing w:beforeAutospacing="0" w:afterAutospacing="0" w:line="440" w:lineRule="exact"/>
        <w:ind w:firstLine="482" w:firstLineChars="200"/>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highlight w:val="none"/>
          <w14:textFill>
            <w14:solidFill>
              <w14:schemeClr w14:val="tx1"/>
            </w14:solidFill>
          </w14:textFill>
        </w:rPr>
        <w:t>7.1.1</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本次招标实行电子投标。</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本项目招标文件随招标公告一并在</w:t>
      </w:r>
      <w:r>
        <w:rPr>
          <w:rFonts w:hint="eastAsia" w:asciiTheme="minorEastAsia" w:hAnsiTheme="minorEastAsia" w:eastAsiaTheme="minorEastAsia" w:cstheme="minorEastAsia"/>
          <w:bCs/>
          <w:snapToGrid w:val="0"/>
          <w:color w:val="000000" w:themeColor="text1"/>
          <w:highlight w:val="none"/>
          <w14:textFill>
            <w14:solidFill>
              <w14:schemeClr w14:val="tx1"/>
            </w14:solidFill>
          </w14:textFill>
        </w:rPr>
        <w:t>广东省招标投标监管网(https://www.gdzwfw.gov.cn/ztbjg-portal/#/index)、</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期间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见本章第二节“重要事项时间地点一览表”，招标文件获取期间与招标公告发布时间一致</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下载</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招标文件及相关附件，并于电子投标截止时间（</w:t>
      </w: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shd w:val="clear" w:color="auto" w:fill="FFFFFF"/>
          <w14:textFill>
            <w14:solidFill>
              <w14:schemeClr w14:val="tx1"/>
            </w14:solidFill>
          </w14:textFill>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highlight w:val="none"/>
          <w14:textFill>
            <w14:solidFill>
              <w14:schemeClr w14:val="tx1"/>
            </w14:solidFill>
          </w14:textFill>
        </w:rPr>
        <w:t xml:space="preserve">7.1.2 </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只有申领了数字证书（CA）、“粤企签”或GDCA/SZCA/NETCA等符合法律法规规定的电子印章，并在交易平台中完成企业信息数据入库的投标人，方可在交易平台获取招标文件和电子投标。</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pPr>
        <w:pStyle w:val="40"/>
        <w:pageBreakBefore w:val="0"/>
        <w:kinsoku/>
        <w:wordWrap w:val="0"/>
        <w:overflowPunct/>
        <w:bidi w:val="0"/>
        <w:adjustRightInd w:val="0"/>
        <w:snapToGrid w:val="0"/>
        <w:spacing w:line="440" w:lineRule="exact"/>
        <w:ind w:firstLine="48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pPr>
        <w:pageBreakBefore w:val="0"/>
        <w:tabs>
          <w:tab w:val="left" w:pos="7020"/>
        </w:tabs>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7.2</w:t>
      </w:r>
      <w:r>
        <w:rPr>
          <w:rFonts w:hint="eastAsia" w:asciiTheme="minorEastAsia" w:hAnsiTheme="minorEastAsia" w:eastAsiaTheme="minorEastAsia" w:cstheme="minorEastAsia"/>
          <w:color w:val="000000" w:themeColor="text1"/>
          <w:highlight w:val="none"/>
          <w14:textFill>
            <w14:solidFill>
              <w14:schemeClr w14:val="tx1"/>
            </w14:solidFill>
          </w14:textFill>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7.3 </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纪律与保密要求</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7.3.1</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对招标人的纪律要求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招标人不得泄露招标投标活动中应当保密的情况和资料，不得与投标人串通损害国家利益、社会公共利益或者他人合法权益。</w:t>
      </w:r>
    </w:p>
    <w:p>
      <w:pPr>
        <w:pageBreakBefore w:val="0"/>
        <w:kinsoku/>
        <w:wordWrap w:val="0"/>
        <w:overflowPunct/>
        <w:bidi w:val="0"/>
        <w:spacing w:line="360" w:lineRule="auto"/>
        <w:ind w:firstLine="495"/>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7.3.2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对投标人的纪律要求</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7.3.3 </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参与招</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投标活</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动</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的各方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应</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对招标</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件和投</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标</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文件中</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商业和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技</w:t>
      </w:r>
      <w:r>
        <w:rPr>
          <w:rFonts w:hint="eastAsia" w:asciiTheme="minorEastAsia" w:hAnsiTheme="minorEastAsia" w:eastAsiaTheme="minorEastAsia" w:cstheme="minorEastAsia"/>
          <w:color w:val="000000" w:themeColor="text1"/>
          <w:spacing w:val="8"/>
          <w:szCs w:val="24"/>
          <w:highlight w:val="none"/>
          <w14:textFill>
            <w14:solidFill>
              <w14:schemeClr w14:val="tx1"/>
            </w14:solidFill>
          </w14:textFill>
        </w:rPr>
        <w:t>术等秘密</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保密，违者应对由此造成的后果承担法律责任。</w:t>
      </w:r>
      <w:bookmarkStart w:id="104" w:name="_Toc371968706"/>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Start w:id="105" w:name="_Toc353462191"/>
      <w:bookmarkStart w:id="106" w:name="_Toc143766459"/>
      <w:bookmarkStart w:id="107" w:name="_Toc353462300"/>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语言、计量及投标费用</w:t>
      </w:r>
      <w:bookmarkEnd w:id="104"/>
      <w:bookmarkEnd w:id="105"/>
      <w:bookmarkEnd w:id="106"/>
      <w:bookmarkEnd w:id="107"/>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7.4.1 除专用术语外</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与招标投标有关的语言均使用中文</w:t>
      </w:r>
      <w:r>
        <w:rPr>
          <w:rFonts w:hint="eastAsia" w:asciiTheme="minorEastAsia" w:hAnsiTheme="minorEastAsia" w:eastAsiaTheme="minorEastAsia" w:cstheme="minorEastAsia"/>
          <w:color w:val="000000" w:themeColor="text1"/>
          <w:spacing w:val="-80"/>
          <w:szCs w:val="24"/>
          <w:highlight w:val="none"/>
          <w14:textFill>
            <w14:solidFill>
              <w14:schemeClr w14:val="tx1"/>
            </w14:solidFill>
          </w14:textFill>
        </w:rPr>
        <w:t>。</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7.4.2 所有计量均采用中华人民共和国法定计量单位。</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7.4.3 招标文件、投标文件中所指的币种均为人民币。</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7.4.4 投标人准备和参加投标活动发生的所有费用自理。</w:t>
      </w:r>
      <w:bookmarkStart w:id="108" w:name="_Toc371968707"/>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w:t>
      </w:r>
      <w:r>
        <w:rPr>
          <w:rFonts w:hint="eastAsia" w:asciiTheme="minorEastAsia" w:hAnsiTheme="minorEastAsia" w:eastAsiaTheme="minorEastAsia" w:cstheme="minorEastAsia"/>
          <w:b/>
          <w:bCs/>
          <w:color w:val="000000" w:themeColor="text1"/>
          <w:highlight w:val="none"/>
          <w14:textFill>
            <w14:solidFill>
              <w14:schemeClr w14:val="tx1"/>
            </w14:solidFill>
          </w14:textFill>
        </w:rPr>
        <w:t>知识产权和专利权</w:t>
      </w:r>
      <w:bookmarkEnd w:id="108"/>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7.5.1 </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投标价应包括所有应支付的对专利权和版权、设计和其他知识产权而需要向其他方支付的版税。</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7.5.2 中标人应保证招标人在本项目建设过程中使用其设计文件和设计文件的任何一部分时，招标人免受第三方提出侵犯其专利权、商标权或其他知识产权的起诉。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7.5.3 中标人提交给招标人的设计文件，其著作权、版权、专利权和使用权归招标人所有（署名权除外）。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109" w:name="_Toc371968708"/>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w:t>
      </w:r>
      <w:bookmarkEnd w:id="109"/>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 招标文件是招标人发出的要约邀请，投标人参加投标均视为承认招标公告、招标文件及附件的所有条款，并承诺一旦中标将按招标文件、投标文件、合同条款、技术规范要求的质量和进度完成全部委托任务。</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0" w:name="_Toc30148"/>
      <w:bookmarkStart w:id="111" w:name="_Toc190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8、招标答疑</w:t>
      </w:r>
      <w:bookmarkEnd w:id="110"/>
      <w:bookmarkEnd w:id="111"/>
      <w:bookmarkStart w:id="112" w:name="_Hlt74496410"/>
      <w:bookmarkEnd w:id="112"/>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8.1招标人不集中组织答疑，实行网上答疑。</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投标人若对招标文件有疑问</w:t>
      </w:r>
      <w:r>
        <w:rPr>
          <w:rFonts w:hint="eastAsia" w:asciiTheme="minorEastAsia" w:hAnsiTheme="minorEastAsia" w:eastAsiaTheme="minorEastAsia" w:cstheme="minorEastAsia"/>
          <w:color w:val="000000" w:themeColor="text1"/>
          <w:highlight w:val="none"/>
          <w14:textFill>
            <w14:solidFill>
              <w14:schemeClr w14:val="tx1"/>
            </w14:solidFill>
          </w14:textFill>
        </w:rPr>
        <w:t>应在提问截止时间（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color w:val="000000" w:themeColor="text1"/>
          <w:highlight w:val="none"/>
          <w14:textFill>
            <w14:solidFill>
              <w14:schemeClr w14:val="tx1"/>
            </w14:solidFill>
          </w14:textFill>
        </w:rPr>
        <w:t>）前在交易平台提出问题。未在指定时间前、未采用指定方式提出的，招标人不予受理。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8.2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招标人在提问截止时间（</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见本章第二节“重要事项时间地点一览表”</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8.3 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或修改</w:t>
      </w:r>
      <w:r>
        <w:rPr>
          <w:rFonts w:hint="eastAsia" w:asciiTheme="minorEastAsia" w:hAnsiTheme="minorEastAsia" w:eastAsiaTheme="minorEastAsia" w:cstheme="minorEastAsia"/>
          <w:color w:val="000000" w:themeColor="text1"/>
          <w:highlight w:val="none"/>
          <w14:textFill>
            <w14:solidFill>
              <w14:schemeClr w14:val="tx1"/>
            </w14:solidFill>
          </w14:textFill>
        </w:rPr>
        <w:t>）为准。</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8.4 投标人在规定的时间内未对招标文件提出澄清或疑问的，招标人将视其为无异议。对招标文件中描述有歧义或前后不一致的地方，评标委员会有权进行评判，但对同一条款的评判应适用于每个投标人。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113" w:name="_Hlt92513715"/>
      <w:bookmarkEnd w:id="113"/>
      <w:bookmarkStart w:id="114" w:name="_Hlt92513711"/>
      <w:bookmarkEnd w:id="114"/>
      <w:bookmarkStart w:id="115" w:name="_Hlt69699188"/>
      <w:bookmarkEnd w:id="115"/>
      <w:bookmarkStart w:id="116" w:name="_Toc25532"/>
      <w:bookmarkStart w:id="117" w:name="_Toc15195"/>
      <w:bookmarkStart w:id="118" w:name="_Toc31064"/>
      <w:bookmarkStart w:id="119" w:name="_Toc8032"/>
      <w:bookmarkStart w:id="120" w:name="_Toc14066"/>
      <w:bookmarkStart w:id="121" w:name="_Toc20643"/>
      <w:bookmarkStart w:id="122" w:name="_Toc30627"/>
      <w:bookmarkStart w:id="123" w:name="_Toc11301"/>
      <w:bookmarkStart w:id="124" w:name="_Toc28777"/>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9、投标报价的编制</w:t>
      </w:r>
      <w:bookmarkEnd w:id="116"/>
      <w:bookmarkEnd w:id="117"/>
      <w:bookmarkEnd w:id="118"/>
      <w:bookmarkEnd w:id="119"/>
      <w:bookmarkEnd w:id="120"/>
      <w:bookmarkEnd w:id="121"/>
      <w:bookmarkEnd w:id="122"/>
      <w:bookmarkEnd w:id="123"/>
      <w:bookmarkEnd w:id="124"/>
      <w:bookmarkStart w:id="125" w:name="_Hlt74498519"/>
      <w:bookmarkEnd w:id="125"/>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spacing w:val="12"/>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9.1 本工程计价依据为：</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bookmarkStart w:id="126" w:name="_Hlt69335755"/>
      <w:bookmarkEnd w:id="126"/>
      <w:r>
        <w:rPr>
          <w:rFonts w:hint="eastAsia" w:asciiTheme="minorEastAsia" w:hAnsiTheme="minorEastAsia" w:eastAsiaTheme="minorEastAsia" w:cstheme="minorEastAsia"/>
          <w:color w:val="000000" w:themeColor="text1"/>
          <w:highlight w:val="none"/>
          <w14:textFill>
            <w14:solidFill>
              <w14:schemeClr w14:val="tx1"/>
            </w14:solidFill>
          </w14:textFill>
        </w:rPr>
        <w:t>（1）《工程勘察设计收费管理规定》（计价格[2002]10号）、《工程勘察设计收费导则（第二版）》（粤勘设协〔2021〕2号）；</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（2）《建设工程工程量清单计价规范》（GB50500—2013）；</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招标文件及其答疑（或修改）公告</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（5）施工现场情况、工程特点及常规施工方案；</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（6）项目所在地工程造价管理机构发布的工程造价信息，工程造价信息缺项的，参照市场价格；</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（7）与建设项目相关的标准、规范、技术资料。</w:t>
      </w:r>
    </w:p>
    <w:p>
      <w:pPr>
        <w:pStyle w:val="37"/>
        <w:pageBreakBefore w:val="0"/>
        <w:kinsoku/>
        <w:wordWrap w:val="0"/>
        <w:overflowPunct/>
        <w:bidi w:val="0"/>
        <w:ind w:firstLine="792" w:firstLineChars="3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9.2</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7" w:name="_Hlt66509056"/>
      <w:bookmarkEnd w:id="127"/>
      <w:r>
        <w:rPr>
          <w:rFonts w:hint="eastAsia" w:asciiTheme="minorEastAsia" w:hAnsiTheme="minorEastAsia" w:eastAsiaTheme="minorEastAsia" w:cstheme="minorEastAsia"/>
          <w:color w:val="000000" w:themeColor="text1"/>
          <w:highlight w:val="none"/>
          <w14:textFill>
            <w14:solidFill>
              <w14:schemeClr w14:val="tx1"/>
            </w14:solidFill>
          </w14:textFill>
        </w:rPr>
        <w:t>接资料。投标人应针对现场情况编制施工组织设计，并在写投标报价时考虑现场情况的影响。</w:t>
      </w:r>
    </w:p>
    <w:p>
      <w:pPr>
        <w:pStyle w:val="46"/>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9.</w:t>
      </w:r>
      <w:bookmarkStart w:id="128" w:name="_Hlt88974322"/>
      <w:r>
        <w:rPr>
          <w:rFonts w:hint="eastAsia" w:asciiTheme="minorEastAsia" w:hAnsiTheme="minorEastAsia" w:eastAsiaTheme="minorEastAsia" w:cstheme="minorEastAsia"/>
          <w:color w:val="000000" w:themeColor="text1"/>
          <w:spacing w:val="12"/>
          <w:highlight w:val="none"/>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现场踏勘费以及其它施工措施项目费，由投标人在投标报价中综合考虑，</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一次包定</w:t>
      </w:r>
      <w:r>
        <w:rPr>
          <w:rFonts w:hint="eastAsia" w:asciiTheme="minorEastAsia" w:hAnsiTheme="minorEastAsia" w:eastAsiaTheme="minorEastAsia" w:cstheme="minorEastAsia"/>
          <w:color w:val="000000" w:themeColor="text1"/>
          <w:highlight w:val="none"/>
          <w14:textFill>
            <w14:solidFill>
              <w14:schemeClr w14:val="tx1"/>
            </w14:solidFill>
          </w14:textFill>
        </w:rPr>
        <w:t>。无论投标人是否列出费用，招标人将一律视为已确认所有现场条件和可能发生的异常情况。</w:t>
      </w:r>
    </w:p>
    <w:bookmarkEnd w:id="128"/>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9.4 招标人向投标人提供的有关现场的数据和资料，是招标人现有的能被投标人利用的资料，招标人对投标人做出的任何推论、理解和结论均不负责任。</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5</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投标人负责协调处理因项目实施与周边企业和村民等关系并承担相关费用。</w:t>
      </w:r>
    </w:p>
    <w:p>
      <w:pPr>
        <w:pageBreakBefore w:val="0"/>
        <w:kinsoku/>
        <w:wordWrap w:val="0"/>
        <w:overflowPunct/>
        <w:bidi w:val="0"/>
        <w:spacing w:line="360" w:lineRule="auto"/>
        <w:ind w:firstLine="60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6</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投标人应采取设计优化的方式，通过土方平衡方法解决弃土问题，若仍有弃土，按实结算。</w:t>
      </w:r>
    </w:p>
    <w:p>
      <w:pPr>
        <w:pageBreakBefore w:val="0"/>
        <w:kinsoku/>
        <w:wordWrap w:val="0"/>
        <w:overflowPunct/>
        <w:bidi w:val="0"/>
        <w:spacing w:line="360" w:lineRule="auto"/>
        <w:ind w:firstLine="570"/>
        <w:rPr>
          <w:rFonts w:hint="eastAsia" w:asciiTheme="minorEastAsia" w:hAnsiTheme="minorEastAsia" w:eastAsiaTheme="minorEastAsia" w:cstheme="minorEastAsia"/>
          <w:b/>
          <w:color w:val="000000" w:themeColor="text1"/>
          <w:highlight w:val="none"/>
          <w:u w:val="doub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bookmarkStart w:id="129" w:name="_Toc319917951"/>
      <w:r>
        <w:rPr>
          <w:rFonts w:hint="eastAsia" w:asciiTheme="minorEastAsia" w:hAnsiTheme="minorEastAsia" w:eastAsiaTheme="minorEastAsia" w:cstheme="minor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b/>
          <w:color w:val="000000" w:themeColor="text1"/>
          <w:highlight w:val="none"/>
          <w:u w:val="double"/>
          <w14:textFill>
            <w14:solidFill>
              <w14:schemeClr w14:val="tx1"/>
            </w14:solidFill>
          </w14:textFill>
        </w:rPr>
        <w:t>投标人的投标报价不得超过招标人公布的最高投标限价。本项目为限额设计，工程结算总造价不得超过中标价。</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9.8</w:t>
      </w:r>
      <w:r>
        <w:rPr>
          <w:rFonts w:hint="eastAsia" w:asciiTheme="minorEastAsia" w:hAnsiTheme="minorEastAsia" w:eastAsiaTheme="minorEastAsia" w:cstheme="minorEastAsia"/>
          <w:b/>
          <w:color w:val="000000" w:themeColor="text1"/>
          <w:highlight w:val="none"/>
          <w:lang w:val="zh-CN"/>
          <w14:textFill>
            <w14:solidFill>
              <w14:schemeClr w14:val="tx1"/>
            </w14:solidFill>
          </w14:textFill>
        </w:rPr>
        <w:t>投标单位应充分考虑本招标文件“第二章 拟签订合同的主要条款”所列的结算原则进行投标及报价。</w:t>
      </w:r>
      <w:bookmarkEnd w:id="129"/>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投标人的投标总报价应考虑完成招标文件中招标规模、内容及设计任务书所规定的所有工程及设备的费用，并承担结算原则中规定的一切风险，还应考虑报建和施工时应由施工单位承担的一切费用。各项费用的主要内容及其报价方式：</w:t>
      </w:r>
      <w:bookmarkStart w:id="130" w:name="_Toc39136339"/>
      <w:bookmarkStart w:id="131" w:name="_Toc18903"/>
      <w:bookmarkStart w:id="132" w:name="_Toc57"/>
      <w:bookmarkStart w:id="133" w:name="_Toc29402"/>
      <w:bookmarkStart w:id="134" w:name="_Toc32012"/>
      <w:bookmarkStart w:id="135" w:name="_Toc11863"/>
      <w:bookmarkStart w:id="136" w:name="_Toc17803"/>
      <w:bookmarkStart w:id="137" w:name="_Toc3872"/>
      <w:bookmarkStart w:id="138" w:name="_Toc11568"/>
      <w:bookmarkStart w:id="139" w:name="_Toc20815"/>
      <w:bookmarkStart w:id="140" w:name="_Toc13707"/>
      <w:bookmarkStart w:id="141" w:name="_Toc15059"/>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投标人投标报价=设计</w:t>
      </w:r>
      <w:r>
        <w:rPr>
          <w:rFonts w:hint="eastAsia" w:asciiTheme="minorEastAsia" w:hAnsiTheme="minorEastAsia" w:eastAsiaTheme="minorEastAsia" w:cstheme="minorEastAsia"/>
          <w:b/>
          <w:bCs/>
          <w:color w:val="000000" w:themeColor="text1"/>
          <w:highlight w:val="none"/>
          <w:u w:val="single"/>
          <w:lang w:val="zh-CN" w:eastAsia="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highlight w:val="none"/>
          <w:u w:val="single"/>
          <w:lang w:val="zh-CN"/>
          <w14:textFill>
            <w14:solidFill>
              <w14:schemeClr w14:val="tx1"/>
            </w14:solidFill>
          </w14:textFill>
        </w:rPr>
        <w:t>建安工程费投标报价</w:t>
      </w:r>
      <w:bookmarkEnd w:id="130"/>
      <w:bookmarkEnd w:id="131"/>
      <w:bookmarkEnd w:id="132"/>
      <w:bookmarkEnd w:id="133"/>
      <w:bookmarkEnd w:id="134"/>
      <w:bookmarkEnd w:id="135"/>
      <w:bookmarkEnd w:id="136"/>
      <w:bookmarkEnd w:id="137"/>
      <w:bookmarkEnd w:id="138"/>
      <w:bookmarkEnd w:id="139"/>
      <w:bookmarkEnd w:id="140"/>
      <w:bookmarkEnd w:id="141"/>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.1</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费投标报价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在最高投标限价范围内，投标人自行报总价</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及投标费率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设计费</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报价应包含各</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个不同专业的</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施工图</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设计费用、进行优化设计或修改设计所增加的设计费用、各项专家评审的专家费用。若中标单位不具备专业设计资质的，需经招标人同意后，委托有相应资质的单位进行设计，所产生的费用由投标人承担。</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设计</w:t>
      </w:r>
      <w:r>
        <w:rPr>
          <w:rFonts w:hint="eastAsia" w:asciiTheme="minorEastAsia" w:hAnsiTheme="minorEastAsia" w:eastAsiaTheme="minorEastAsia" w:cstheme="minorEastAsia"/>
          <w:b/>
          <w:bCs/>
          <w:color w:val="000000" w:themeColor="text1"/>
          <w:szCs w:val="24"/>
          <w:highlight w:val="none"/>
          <w:u w:val="single"/>
          <w:lang w:val="zh-CN"/>
          <w14:textFill>
            <w14:solidFill>
              <w14:schemeClr w14:val="tx1"/>
            </w14:solidFill>
          </w14:textFill>
        </w:rPr>
        <w:t>费投标报价</w:t>
      </w:r>
      <w:r>
        <w:rPr>
          <w:rFonts w:hint="eastAsia" w:asciiTheme="minorEastAsia" w:hAnsiTheme="minorEastAsia" w:eastAsiaTheme="minorEastAsia" w:cstheme="minorEastAsia"/>
          <w:b/>
          <w:bCs/>
          <w:color w:val="000000" w:themeColor="text1"/>
          <w:szCs w:val="24"/>
          <w:highlight w:val="none"/>
          <w:u w:val="single"/>
          <w:lang w:val="en-US" w:eastAsia="zh-CN"/>
          <w14:textFill>
            <w14:solidFill>
              <w14:schemeClr w14:val="tx1"/>
            </w14:solidFill>
          </w14:textFill>
        </w:rPr>
        <w:t>=报价基数</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single"/>
          <w:lang w:eastAsia="zh-CN"/>
          <w14:textFill>
            <w14:solidFill>
              <w14:schemeClr w14:val="tx1"/>
            </w14:solidFill>
          </w14:textFill>
        </w:rPr>
        <w:t>投标费率</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本项目在实施过程中可能出现设计成果已通过确认，仍需进行设计变更、修改、调整等情况，不另行增加设计费。</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9.9.</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建安工程费用：采用</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投标</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下浮率</w:t>
      </w:r>
      <w:r>
        <w:rPr>
          <w:rFonts w:hint="eastAsia" w:ascii="宋体" w:hAnsi="宋体" w:eastAsia="宋体" w:cs="宋体"/>
          <w:color w:val="000000" w:themeColor="text1"/>
          <w:sz w:val="24"/>
          <w:szCs w:val="24"/>
          <w:highlight w:val="none"/>
          <w:lang w:val="en-US" w:eastAsia="zh-CN"/>
          <w14:textFill>
            <w14:solidFill>
              <w14:schemeClr w14:val="tx1"/>
            </w14:solidFill>
          </w14:textFill>
        </w:rPr>
        <w:t>和投标报价</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的方式进行报价，结算时按招标文件有关结算原则计算后再按建安工程费</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投</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标下浮率下浮。</w:t>
      </w:r>
    </w:p>
    <w:p>
      <w:pPr>
        <w:pageBreakBefore w:val="0"/>
        <w:kinsoku/>
        <w:wordWrap w:val="0"/>
        <w:overflowPunct/>
        <w:bidi w:val="0"/>
        <w:spacing w:line="360" w:lineRule="auto"/>
        <w:ind w:firstLine="570"/>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u w:val="single"/>
          <w:lang w:val="zh-CN" w:eastAsia="zh-CN"/>
          <w14:textFill>
            <w14:solidFill>
              <w14:schemeClr w14:val="tx1"/>
            </w14:solidFill>
          </w14:textFill>
        </w:rPr>
        <w:t>建安工程费投标报价=报价基数×（1-投标下浮率）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pPr>
        <w:pageBreakBefore w:val="0"/>
        <w:kinsoku/>
        <w:wordWrap w:val="0"/>
        <w:overflowPunct/>
        <w:bidi w:val="0"/>
        <w:spacing w:line="360" w:lineRule="auto"/>
        <w:ind w:firstLine="570"/>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建安工程费用的报价应考虑完成招标文件中招标规模、内容及可行性研究报告所规定的所有工程及设备的费用</w:t>
      </w:r>
      <w:r>
        <w:rPr>
          <w:rFonts w:hint="eastAsia" w:asciiTheme="minorEastAsia" w:hAnsiTheme="minorEastAsia" w:eastAsiaTheme="minorEastAsia" w:cstheme="minorEastAsia"/>
          <w:color w:val="000000" w:themeColor="text1"/>
          <w:szCs w:val="24"/>
          <w:highlight w:val="none"/>
          <w:lang w:val="zh-CN"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9.9.3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投标人在投标报价时，自行考虑高温补贴费、施工视频监控系统费用，专业分包的总包服务及配合费等，并承担相应风险，结算时不另行计取。</w:t>
      </w:r>
    </w:p>
    <w:p>
      <w:pPr>
        <w:pageBreakBefore w:val="0"/>
        <w:kinsoku/>
        <w:wordWrap w:val="0"/>
        <w:overflowPunct/>
        <w:bidi w:val="0"/>
        <w:spacing w:line="360" w:lineRule="auto"/>
        <w:ind w:firstLine="588" w:firstLineChars="245"/>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Arial" w:hAnsi="Arial" w:eastAsia="宋体" w:cs="Arial"/>
          <w:b/>
          <w:color w:val="000000" w:themeColor="text1"/>
          <w:sz w:val="24"/>
          <w:szCs w:val="24"/>
          <w:highlight w:val="none"/>
          <w:u w:val="double"/>
          <w14:textFill>
            <w14:solidFill>
              <w14:schemeClr w14:val="tx1"/>
            </w14:solidFill>
          </w14:textFill>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bookmarkStart w:id="142" w:name="_Toc21825"/>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10、最高</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限价</w:t>
      </w:r>
      <w:bookmarkEnd w:id="142"/>
      <w:bookmarkStart w:id="143" w:name="_Hlt69335617"/>
      <w:bookmarkStart w:id="144" w:name="_Hlt121629839"/>
    </w:p>
    <w:p>
      <w:pPr>
        <w:pageBreakBefore w:val="0"/>
        <w:kinsoku/>
        <w:wordWrap w:val="0"/>
        <w:overflowPunct/>
        <w:bidi w:val="0"/>
        <w:spacing w:line="360" w:lineRule="auto"/>
        <w:ind w:firstLine="480" w:firstLineChars="200"/>
        <w:rPr>
          <w:rFonts w:hint="default" w:ascii="宋体" w:hAnsi="宋体" w:eastAsia="宋体" w:cs="宋体"/>
          <w:color w:val="auto"/>
          <w:szCs w:val="21"/>
          <w:highlight w:val="none"/>
          <w:lang w:val="en-US" w:eastAsia="zh-CN"/>
        </w:rPr>
      </w:pPr>
      <w:bookmarkStart w:id="145" w:name="_Toc24510"/>
      <w:bookmarkStart w:id="146" w:name="_Toc4604"/>
      <w:bookmarkStart w:id="147" w:name="_Toc15152"/>
      <w:bookmarkStart w:id="148" w:name="_Toc7307"/>
      <w:bookmarkStart w:id="149" w:name="_Toc29734"/>
      <w:bookmarkStart w:id="150" w:name="_Toc5483"/>
      <w:bookmarkStart w:id="151" w:name="_Toc13350"/>
      <w:bookmarkStart w:id="152" w:name="_Toc32578"/>
      <w:r>
        <w:rPr>
          <w:rFonts w:hint="eastAsia" w:asciiTheme="minorEastAsia" w:hAnsiTheme="minorEastAsia" w:eastAsiaTheme="minorEastAsia" w:cstheme="minorEastAsia"/>
          <w:snapToGrid w:val="0"/>
          <w:color w:val="auto"/>
          <w:kern w:val="0"/>
          <w:sz w:val="24"/>
          <w:szCs w:val="24"/>
          <w:highlight w:val="none"/>
        </w:rPr>
        <w:t>本招标项目最高投标限价在开标前7天另行发布于全国公共资源交易平台（广东省·韶关市）（https://ygp.gdzwfw.gov..cn/ggzy-portal/#/440200/index）、广东省招标投标监管网（https://www.gdzwfw.gov.cn/ztbjg-portal/#/index）网站。</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szCs w:val="22"/>
          <w:highlight w:val="none"/>
          <w14:textFill>
            <w14:solidFill>
              <w14:schemeClr w14:val="tx1"/>
            </w14:solidFill>
          </w14:textFill>
        </w:rPr>
      </w:pPr>
      <w:bookmarkStart w:id="153" w:name="_Toc4898"/>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11</w:t>
      </w:r>
      <w:r>
        <w:rPr>
          <w:rFonts w:hint="eastAsia" w:asciiTheme="minorEastAsia" w:hAnsiTheme="minorEastAsia" w:eastAsiaTheme="minorEastAsia" w:cstheme="minorEastAsia"/>
          <w:b/>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投标</w:t>
      </w:r>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文件的编制</w:t>
      </w:r>
      <w:bookmarkStart w:id="154" w:name="_Hlt69332370"/>
      <w:bookmarkEnd w:id="154"/>
      <w:bookmarkStart w:id="155" w:name="_Hlt69208262"/>
      <w:bookmarkEnd w:id="155"/>
      <w:r>
        <w:rPr>
          <w:rFonts w:hint="eastAsia" w:asciiTheme="minorEastAsia" w:hAnsiTheme="minorEastAsia" w:eastAsiaTheme="minorEastAsia" w:cstheme="minorEastAsia"/>
          <w:b/>
          <w:color w:val="000000" w:themeColor="text1"/>
          <w:szCs w:val="22"/>
          <w:highlight w:val="none"/>
          <w14:textFill>
            <w14:solidFill>
              <w14:schemeClr w14:val="tx1"/>
            </w14:solidFill>
          </w14:textFill>
        </w:rPr>
        <w:t>要求</w:t>
      </w:r>
      <w:bookmarkEnd w:id="145"/>
      <w:bookmarkEnd w:id="146"/>
      <w:bookmarkEnd w:id="147"/>
      <w:bookmarkEnd w:id="148"/>
      <w:bookmarkEnd w:id="149"/>
      <w:bookmarkEnd w:id="150"/>
      <w:bookmarkEnd w:id="151"/>
      <w:bookmarkEnd w:id="152"/>
      <w:bookmarkEnd w:id="153"/>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56" w:name="_Hlt74495594"/>
      <w:bookmarkEnd w:id="156"/>
      <w:bookmarkStart w:id="157" w:name="_Hlt74497202"/>
      <w:bookmarkEnd w:id="157"/>
      <w:bookmarkStart w:id="158" w:name="_Hlt78768224"/>
      <w:bookmarkEnd w:id="158"/>
      <w:bookmarkStart w:id="159" w:name="_Toc5812"/>
      <w:bookmarkStart w:id="160" w:name="_Toc28873"/>
      <w:bookmarkStart w:id="161" w:name="_Toc17330"/>
      <w:bookmarkStart w:id="162" w:name="_Toc9696"/>
      <w:bookmarkStart w:id="163" w:name="_Toc13462"/>
      <w:bookmarkStart w:id="164" w:name="_Toc31856"/>
      <w:bookmarkStart w:id="165" w:name="_Toc12050"/>
      <w:bookmarkStart w:id="166" w:name="_Toc437"/>
      <w:bookmarkStart w:id="167" w:name="_Toc25295"/>
      <w:bookmarkStart w:id="168" w:name="_Toc9699"/>
      <w:bookmarkStart w:id="169" w:name="_Toc9993"/>
      <w:bookmarkStart w:id="170" w:name="_Toc32061"/>
      <w:bookmarkStart w:id="171" w:name="_Toc20091"/>
      <w:bookmarkStart w:id="172" w:name="_Toc29847"/>
      <w:bookmarkStart w:id="173" w:name="_Toc2841"/>
      <w:bookmarkStart w:id="174" w:name="_Toc6695"/>
      <w:bookmarkStart w:id="175" w:name="_Toc20541"/>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11.1 一般要求</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45"/>
        <w:pageBreakBefore w:val="0"/>
        <w:kinsoku/>
        <w:wordWrap w:val="0"/>
        <w:overflowPunct/>
        <w:bidi w:val="0"/>
        <w:ind w:firstLineChars="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投标文件应按第</w:t>
      </w:r>
      <w:r>
        <w:rPr>
          <w:rFonts w:hint="eastAsia" w:asciiTheme="minorEastAsia" w:hAnsiTheme="minorEastAsia" w:eastAsiaTheme="minorEastAsia" w:cstheme="minorEastAsia"/>
          <w:snapToGrid w:val="0"/>
          <w:color w:val="000000" w:themeColor="text1"/>
          <w:kern w:val="0"/>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章 投标文件格式规定的内容，投标人提交的投标文件应当使用招标文件所提供的投标文件全部格式。</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11.1.1</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w:t>
      </w:r>
      <w:bookmarkStart w:id="592" w:name="_GoBack"/>
      <w:bookmarkEnd w:id="592"/>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造成的损失和后果，由投标人自行承担。</w:t>
      </w:r>
    </w:p>
    <w:p>
      <w:pPr>
        <w:pStyle w:val="37"/>
        <w:pageBreakBefore w:val="0"/>
        <w:kinsoku/>
        <w:wordWrap w:val="0"/>
        <w:overflowPunct/>
        <w:bidi w:val="0"/>
        <w:ind w:firstLine="56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投标文件包含</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投标文件在电子投标时全部采用电子文档（中标人自中标通知书发出之日起五个工作日内再提供正本1份、副本壹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r>
        <w:rPr>
          <w:rFonts w:hint="eastAsia" w:asciiTheme="minorEastAsia" w:hAnsiTheme="minorEastAsia" w:eastAsiaTheme="minorEastAsia" w:cstheme="minorEastAsia"/>
          <w:color w:val="000000" w:themeColor="text1"/>
          <w:highlight w:val="none"/>
          <w14:textFill>
            <w14:solidFill>
              <w14:schemeClr w14:val="tx1"/>
            </w14:solidFill>
          </w14:textFill>
        </w:rPr>
        <w:t>（注：组成联合体时，只须加盖联合体牵头人的公章，联合体其它成员可不盖章）。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 投标文件需按以下要求签字、盖章：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11.1.3.1 投标文件封面、组成内容中凡注明“签字”处由要求的人员签字或电子签章；凡注明“签字或盖章”处由要求的人员签字或盖其私章（电子印章）；凡注明“签字并盖执业印章”处由要求的人员签字并盖其执业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11.1.3.2 投标文件封面、组成内容中凡要求录入投标人名称且注明“盖单位章”处盖单位法人公章（电子印章）</w:t>
      </w:r>
    </w:p>
    <w:p>
      <w:pPr>
        <w:pStyle w:val="37"/>
        <w:pageBreakBefore w:val="0"/>
        <w:kinsoku/>
        <w:wordWrap w:val="0"/>
        <w:overflowPunct/>
        <w:bidi w:val="0"/>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11.1.3.3 投标文件的签字均为签字人本人亲笔署名或签章（电子印章），其余部分的彩色扫描件无须另行签字、盖章。</w:t>
      </w:r>
    </w:p>
    <w:p>
      <w:pPr>
        <w:pStyle w:val="37"/>
        <w:pageBreakBefore w:val="0"/>
        <w:kinsoku/>
        <w:wordWrap w:val="0"/>
        <w:overflowPunct/>
        <w:bidi w:val="0"/>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11.1.3.4 联合体投标的，除《联合体协议书》外，由联合体牵头人按以上要求签字（电子印章）、盖章（电子印章）即可。</w:t>
      </w:r>
      <w:bookmarkStart w:id="176" w:name="_Toc257031159"/>
      <w:bookmarkStart w:id="177" w:name="_Toc274313880"/>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178" w:name="_Toc8355"/>
      <w:bookmarkStart w:id="179" w:name="_Toc18076"/>
      <w:bookmarkStart w:id="180" w:name="_Toc16107"/>
      <w:bookmarkStart w:id="181" w:name="_Toc26859"/>
      <w:bookmarkStart w:id="182" w:name="_Toc27670"/>
      <w:bookmarkStart w:id="183" w:name="_Toc27606"/>
      <w:bookmarkStart w:id="184" w:name="_Toc6622"/>
      <w:bookmarkStart w:id="185" w:name="_Toc38"/>
      <w:bookmarkStart w:id="186" w:name="_Toc29894"/>
      <w:bookmarkStart w:id="187" w:name="_Toc11493"/>
      <w:bookmarkStart w:id="188" w:name="_Toc17946"/>
      <w:bookmarkStart w:id="189" w:name="_Toc19460"/>
      <w:bookmarkStart w:id="190" w:name="_Toc18670"/>
      <w:bookmarkStart w:id="191" w:name="_Toc23484"/>
      <w:bookmarkStart w:id="192" w:name="_Toc4699"/>
      <w:bookmarkStart w:id="193" w:name="_Toc3003"/>
      <w:bookmarkStart w:id="194" w:name="_Toc26289"/>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 xml:space="preserve">11.2 </w:t>
      </w:r>
      <w:bookmarkEnd w:id="176"/>
      <w:bookmarkEnd w:id="177"/>
      <w:bookmarkEnd w:id="178"/>
      <w:bookmarkEnd w:id="179"/>
      <w:bookmarkEnd w:id="180"/>
      <w:bookmarkEnd w:id="181"/>
      <w:bookmarkEnd w:id="182"/>
      <w:bookmarkEnd w:id="183"/>
      <w:bookmarkEnd w:id="184"/>
      <w:bookmarkEnd w:id="185"/>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商务</w:t>
      </w:r>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技术</w:t>
      </w:r>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标书的编制要求</w:t>
      </w:r>
      <w:bookmarkEnd w:id="186"/>
      <w:bookmarkEnd w:id="187"/>
      <w:bookmarkEnd w:id="188"/>
      <w:bookmarkEnd w:id="189"/>
      <w:bookmarkEnd w:id="190"/>
      <w:bookmarkEnd w:id="191"/>
      <w:bookmarkEnd w:id="192"/>
      <w:bookmarkEnd w:id="193"/>
      <w:bookmarkEnd w:id="194"/>
    </w:p>
    <w:p>
      <w:pPr>
        <w:pStyle w:val="37"/>
        <w:pageBreakBefore w:val="0"/>
        <w:kinsoku/>
        <w:wordWrap w:val="0"/>
        <w:overflowPunct/>
        <w:bidi w:val="0"/>
        <w:ind w:firstLine="561"/>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11.2.1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color w:val="000000" w:themeColor="text1"/>
          <w:highlight w:val="none"/>
          <w14:textFill>
            <w14:solidFill>
              <w14:schemeClr w14:val="tx1"/>
            </w14:solidFill>
          </w14:textFill>
        </w:rPr>
        <w:t>标书包括但不限于以下内容：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（1）封面（格式一）；</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（2）目录； </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（3）《投标函》（格式二）</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《工程项目总价表》（格式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）《各项承诺一览表》（格式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四</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）《授权委托书》（格式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（6）《法定代表人身份证明》（格式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（7）《联合体协议书》（格式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（8）投标保证缴纳证明（</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件；采用投标保证担保的，附银行保函</w:t>
      </w:r>
      <w:r>
        <w:rPr>
          <w:rFonts w:hint="eastAsia" w:asciiTheme="minorEastAsia" w:hAnsiTheme="minorEastAsia" w:eastAsiaTheme="minorEastAsia" w:cstheme="minorEastAsia"/>
          <w:snapToGrid w:val="0"/>
          <w:color w:val="000000" w:themeColor="text1"/>
          <w:kern w:val="0"/>
          <w:szCs w:val="18"/>
          <w:highlight w:val="none"/>
          <w:lang w:val="en-US" w:eastAsia="zh-CN"/>
          <w14:textFill>
            <w14:solidFill>
              <w14:schemeClr w14:val="tx1"/>
            </w14:solidFill>
          </w14:textFill>
        </w:rPr>
        <w:t>彩色扫描件</w:t>
      </w:r>
      <w:r>
        <w:rPr>
          <w:rFonts w:hint="eastAsia" w:asciiTheme="minorEastAsia" w:hAnsiTheme="minorEastAsia" w:eastAsiaTheme="minorEastAsia" w:cstheme="minorEastAsia"/>
          <w:snapToGrid w:val="0"/>
          <w:color w:val="000000" w:themeColor="text1"/>
          <w:kern w:val="0"/>
          <w:szCs w:val="18"/>
          <w:highlight w:val="none"/>
          <w14:textFill>
            <w14:solidFill>
              <w14:schemeClr w14:val="tx1"/>
            </w14:solidFill>
          </w14:textFill>
        </w:rPr>
        <w:t>；采用投标保证保险的，附电子保单和</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《韶关市公共资源交易一体化平台保证金缴纳信息》</w:t>
      </w:r>
      <w:r>
        <w:rPr>
          <w:rFonts w:hint="eastAsia" w:asciiTheme="minorEastAsia" w:hAnsiTheme="minorEastAsia" w:eastAsiaTheme="minorEastAsia" w:cstheme="minorEastAsia"/>
          <w:b w:val="0"/>
          <w:bCs w:val="0"/>
          <w:snapToGrid w:val="0"/>
          <w:color w:val="000000" w:themeColor="text1"/>
          <w:kern w:val="0"/>
          <w:szCs w:val="18"/>
          <w:highlight w:val="none"/>
          <w14:textFill>
            <w14:solidFill>
              <w14:schemeClr w14:val="tx1"/>
            </w14:solidFill>
          </w14:textFill>
        </w:rPr>
        <w:t>页面截图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（9）《投标人基本情况表》（格式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（10）《项目经理简历表》（格式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（11）《项目经理任职声明》（格式</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（12）《项目技术负责人简历表》（格式十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（13）《项目设计负责人简历表》（格式十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）《项目管理机构组成表》（格式十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）及所附资料；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）本章第14.2目“评标方法”要求提供的评审资料（如有）；</w:t>
      </w:r>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r>
        <w:rPr>
          <w:rFonts w:hint="eastAsia" w:asciiTheme="minorEastAsia" w:hAnsiTheme="minorEastAsia" w:eastAsiaTheme="minorEastAsia" w:cstheme="minorEastAsia"/>
          <w:b w:val="0"/>
          <w:bCs/>
          <w:color w:val="000000" w:themeColor="text1"/>
          <w:highlight w:val="none"/>
          <w:lang w:val="en-US" w:eastAsia="zh-CN"/>
          <w14:textFill>
            <w14:solidFill>
              <w14:schemeClr w14:val="tx1"/>
            </w14:solidFill>
          </w14:textFill>
        </w:rPr>
        <w:t>技术建议书；</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18"/>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17</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000000" w:themeColor="text1"/>
          <w:kern w:val="0"/>
          <w:szCs w:val="24"/>
          <w:highlight w:val="none"/>
          <w:lang w:eastAsia="zh-CN"/>
          <w14:textFill>
            <w14:solidFill>
              <w14:schemeClr w14:val="tx1"/>
            </w14:solidFill>
          </w14:textFill>
        </w:rPr>
        <w:t>住房和城乡建设部</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门或其授权的组织（机构）关于企业资质、人员资格有效期自动顺延或延期办理的相关文件等；关于投标总价下浮率超过15%的书面说明和佐证材料）。</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 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目中所列出的投标标书组成内容中，第（1）至第（1</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）项所有投标人均应提供，</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但非联合体投标的，无需提供第（7）项内容。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标书的组成内容按本章第</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11.2.1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目规定的顺序整理、编排后，逐页连续标记页码。</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特别说明：</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pPr>
        <w:pStyle w:val="50"/>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2、本次招标投标时不要求按编制工程量清单计价模式进行投标报价。</w:t>
      </w:r>
      <w:bookmarkStart w:id="195" w:name="_Toc14130"/>
      <w:bookmarkStart w:id="196" w:name="_Toc11313"/>
      <w:bookmarkStart w:id="197" w:name="_Toc17459"/>
      <w:bookmarkStart w:id="198" w:name="_Toc11926"/>
      <w:bookmarkStart w:id="199" w:name="_Toc27175"/>
      <w:bookmarkStart w:id="200" w:name="_Toc13003"/>
      <w:bookmarkStart w:id="201" w:name="_Toc1583"/>
      <w:bookmarkStart w:id="202" w:name="_Toc17812"/>
    </w:p>
    <w:p>
      <w:pPr>
        <w:pStyle w:val="47"/>
        <w:pageBreakBefore w:val="0"/>
        <w:kinsoku/>
        <w:wordWrap w:val="0"/>
        <w:overflowPunct/>
        <w:bidi w:val="0"/>
        <w:spacing w:line="360" w:lineRule="auto"/>
        <w:ind w:firstLine="482" w:firstLineChars="200"/>
        <w:jc w:val="both"/>
        <w:outlineLvl w:val="9"/>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pPr>
      <w:bookmarkStart w:id="203" w:name="_Toc26761"/>
      <w:r>
        <w:rPr>
          <w:rFonts w:hint="eastAsia" w:asciiTheme="minorEastAsia" w:hAnsiTheme="minorEastAsia" w:eastAsiaTheme="minorEastAsia" w:cstheme="minorEastAsia"/>
          <w:b/>
          <w:bCs/>
          <w:snapToGrid w:val="0"/>
          <w:color w:val="000000" w:themeColor="text1"/>
          <w:kern w:val="0"/>
          <w:sz w:val="24"/>
          <w:highlight w:val="none"/>
          <w:lang w:val="en-US" w:eastAsia="zh-CN" w:bidi="ar-SA"/>
          <w14:textFill>
            <w14:solidFill>
              <w14:schemeClr w14:val="tx1"/>
            </w14:solidFill>
          </w14:textFill>
        </w:rPr>
        <w:t>11.3定标文件的编制要求</w:t>
      </w:r>
      <w:bookmarkEnd w:id="203"/>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lang w:val="en-US" w:eastAsia="zh-CN"/>
        </w:rPr>
        <w:t>.1</w:t>
      </w:r>
      <w:r>
        <w:rPr>
          <w:rFonts w:hint="eastAsia" w:ascii="宋体" w:hAnsi="宋体" w:eastAsia="宋体" w:cs="宋体"/>
          <w:snapToGrid w:val="0"/>
          <w:color w:val="auto"/>
          <w:kern w:val="0"/>
          <w:highlight w:val="none"/>
          <w:lang w:val="en-US" w:eastAsia="zh-CN"/>
        </w:rPr>
        <w:t xml:space="preserve"> 定标文件包括以下内容：</w:t>
      </w:r>
    </w:p>
    <w:p>
      <w:pPr>
        <w:wordWrap w:val="0"/>
        <w:adjustRightInd w:val="0"/>
        <w:spacing w:line="440" w:lineRule="exact"/>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lang w:val="en-US" w:eastAsia="zh-CN"/>
        </w:rPr>
        <w:t>（1）封面（格式十四）；</w:t>
      </w:r>
    </w:p>
    <w:p>
      <w:pPr>
        <w:wordWrap w:val="0"/>
        <w:adjustRightInd w:val="0"/>
        <w:spacing w:line="440" w:lineRule="exact"/>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（2）定标因素评审资料（格式十五）。</w:t>
      </w:r>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1.</w:t>
      </w:r>
      <w:r>
        <w:rPr>
          <w:rFonts w:hint="eastAsia" w:hAnsi="宋体" w:eastAsia="宋体" w:cs="宋体"/>
          <w:b/>
          <w:bCs/>
          <w:snapToGrid w:val="0"/>
          <w:color w:val="auto"/>
          <w:kern w:val="0"/>
          <w:highlight w:val="none"/>
          <w:lang w:val="en-US" w:eastAsia="zh-CN"/>
        </w:rPr>
        <w:t>3</w:t>
      </w:r>
      <w:r>
        <w:rPr>
          <w:rFonts w:hint="eastAsia" w:ascii="宋体" w:hAnsi="宋体" w:eastAsia="宋体" w:cs="宋体"/>
          <w:b/>
          <w:bCs/>
          <w:snapToGrid w:val="0"/>
          <w:color w:val="auto"/>
          <w:kern w:val="0"/>
          <w:highlight w:val="none"/>
        </w:rPr>
        <w:t>.</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本节第1</w:t>
      </w:r>
      <w:r>
        <w:rPr>
          <w:rFonts w:hint="eastAsia" w:ascii="宋体" w:hAnsi="宋体" w:eastAsia="宋体" w:cs="宋体"/>
          <w:snapToGrid w:val="0"/>
          <w:color w:val="auto"/>
          <w:kern w:val="0"/>
          <w:highlight w:val="none"/>
          <w:lang w:val="en-US" w:eastAsia="zh-CN"/>
        </w:rPr>
        <w:t>1.</w:t>
      </w:r>
      <w:r>
        <w:rPr>
          <w:rFonts w:hint="eastAsia"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目中所列出的组成内容中，第（1）至第（</w:t>
      </w: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）项所有投标人均应提供。</w:t>
      </w:r>
    </w:p>
    <w:p>
      <w:pPr>
        <w:pStyle w:val="50"/>
        <w:pageBreakBefore w:val="0"/>
        <w:kinsoku/>
        <w:wordWrap w:val="0"/>
        <w:overflowPunct/>
        <w:bidi w:val="0"/>
        <w:ind w:firstLine="482" w:firstLineChars="200"/>
        <w:rPr>
          <w:rFonts w:hint="default"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注：定标文件只适用于定标阶段提交给定标委员会查阅，评标委员会评标时不采用定标文件评审。</w:t>
      </w:r>
    </w:p>
    <w:p>
      <w:pPr>
        <w:pStyle w:val="50"/>
        <w:pageBreakBefore w:val="0"/>
        <w:kinsoku/>
        <w:wordWrap w:val="0"/>
        <w:overflowPunct/>
        <w:bidi w:val="0"/>
        <w:ind w:firstLine="482" w:firstLineChars="200"/>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w:t>
      </w:r>
      <w:bookmarkEnd w:id="195"/>
      <w:bookmarkEnd w:id="196"/>
      <w:bookmarkEnd w:id="197"/>
      <w:bookmarkEnd w:id="198"/>
      <w:bookmarkEnd w:id="199"/>
      <w:bookmarkEnd w:id="200"/>
      <w:bookmarkEnd w:id="201"/>
      <w:bookmarkEnd w:id="202"/>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snapToGrid w:val="0"/>
          <w:color w:val="000000" w:themeColor="text1"/>
          <w:highlight w:val="none"/>
          <w14:textFill>
            <w14:solidFill>
              <w14:schemeClr w14:val="tx1"/>
            </w14:solidFill>
          </w14:textFill>
        </w:rPr>
        <w:t>电子投标</w:t>
      </w:r>
      <w:bookmarkStart w:id="204" w:name="_Hlt66200498"/>
      <w:bookmarkEnd w:id="204"/>
      <w:bookmarkStart w:id="205" w:name="_Hlt66511038"/>
      <w:bookmarkEnd w:id="205"/>
      <w:bookmarkStart w:id="206" w:name="_Hlt88627590"/>
      <w:bookmarkEnd w:id="206"/>
      <w:bookmarkStart w:id="207" w:name="_Toc27961"/>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.3电子投标及投标解密失败及突发情况的补救方案</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.3.1按照交易平台关于全流程电子化项目的相关指南进行操作。详见：全国公共资源交易平台（广东省·韶关市）发布的最新版操作指南。</w:t>
      </w:r>
    </w:p>
    <w:p>
      <w:pPr>
        <w:pStyle w:val="50"/>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.3.2补救方案</w:t>
      </w:r>
    </w:p>
    <w:p>
      <w:pPr>
        <w:pStyle w:val="50"/>
        <w:pageBreakBefore w:val="0"/>
        <w:numPr>
          <w:ilvl w:val="0"/>
          <w:numId w:val="2"/>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投标文件解密失败的补救方案：</w:t>
      </w:r>
      <w:bookmarkStart w:id="208" w:name="_Toc28927"/>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08"/>
      <w:bookmarkStart w:id="209" w:name="_Toc9612"/>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评标时突发情况的补救方案</w:t>
      </w:r>
      <w:bookmarkEnd w:id="209"/>
      <w:bookmarkStart w:id="210" w:name="_Toc6314"/>
      <w:r>
        <w:rPr>
          <w:rFonts w:hint="eastAsia" w:asciiTheme="minorEastAsia" w:hAnsiTheme="minorEastAsia" w:eastAsiaTheme="minorEastAsia" w:cstheme="minorEastAsia"/>
          <w:bCs/>
          <w:color w:val="000000" w:themeColor="text1"/>
          <w:kern w:val="2"/>
          <w:highlight w:val="none"/>
          <w:lang w:eastAsia="zh-CN"/>
          <w14:textFill>
            <w14:solidFill>
              <w14:schemeClr w14:val="tx1"/>
            </w14:solidFill>
          </w14:textFill>
        </w:rPr>
        <w:t>：</w:t>
      </w:r>
    </w:p>
    <w:p>
      <w:pPr>
        <w:pStyle w:val="50"/>
        <w:pageBreakBefore w:val="0"/>
        <w:numPr>
          <w:ilvl w:val="0"/>
          <w:numId w:val="0"/>
        </w:numPr>
        <w:kinsoku/>
        <w:wordWrap w:val="0"/>
        <w:overflowPunct/>
        <w:bidi w:val="0"/>
        <w:ind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10"/>
      <w:bookmarkStart w:id="211" w:name="_Toc10157"/>
    </w:p>
    <w:p>
      <w:pPr>
        <w:pStyle w:val="50"/>
        <w:pageBreakBefore w:val="0"/>
        <w:numPr>
          <w:ilvl w:val="0"/>
          <w:numId w:val="2"/>
        </w:numPr>
        <w:kinsoku/>
        <w:wordWrap w:val="0"/>
        <w:overflowPunct/>
        <w:bidi w:val="0"/>
        <w:ind w:left="0" w:leftChars="0" w:firstLine="480" w:firstLine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除发生上述情况外，开标评标均以投标人通过交易平台网上递交的电子投标文件为准。</w:t>
      </w:r>
      <w:bookmarkEnd w:id="211"/>
      <w:bookmarkStart w:id="212" w:name="_Toc12675"/>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 xml:space="preserve"> 投标文件的提交、修改和撤回</w:t>
      </w:r>
      <w:bookmarkEnd w:id="207"/>
      <w:bookmarkEnd w:id="212"/>
      <w:bookmarkStart w:id="213" w:name="_Hlt92512875"/>
      <w:bookmarkEnd w:id="213"/>
      <w:bookmarkStart w:id="214" w:name="_Hlt66608380"/>
      <w:bookmarkEnd w:id="214"/>
      <w:bookmarkStart w:id="215" w:name="_Hlt74494779"/>
      <w:bookmarkEnd w:id="215"/>
      <w:bookmarkStart w:id="216" w:name="_Hlt75685366"/>
      <w:bookmarkEnd w:id="216"/>
      <w:bookmarkStart w:id="217" w:name="_Hlt69699424"/>
      <w:bookmarkEnd w:id="217"/>
      <w:bookmarkStart w:id="218" w:name="_Toc24469"/>
      <w:bookmarkStart w:id="219" w:name="_Toc28454"/>
      <w:bookmarkStart w:id="220" w:name="_Toc30635"/>
      <w:bookmarkStart w:id="221" w:name="_Toc7631"/>
      <w:bookmarkStart w:id="222" w:name="_Toc22741"/>
      <w:bookmarkStart w:id="223" w:name="_Toc24322"/>
      <w:bookmarkStart w:id="224" w:name="_Toc3050"/>
      <w:bookmarkStart w:id="225" w:name="_Toc9838"/>
      <w:bookmarkStart w:id="226" w:name="_Toc106418820"/>
      <w:bookmarkStart w:id="227" w:name="_Toc104711075"/>
      <w:bookmarkStart w:id="228" w:name="_Toc4483"/>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.1在投标文件提交截止时间前，投标人通过交易平台提交已加密投标文件。逾期提交的电子投标文件，交易平台将予以拒收。</w:t>
      </w:r>
      <w:bookmarkEnd w:id="218"/>
      <w:bookmarkStart w:id="229" w:name="_Toc25103"/>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.2提交时间：见本章第二节“重要事项时间地点一览表”。</w:t>
      </w:r>
      <w:bookmarkEnd w:id="229"/>
      <w:bookmarkStart w:id="230" w:name="_Toc9791"/>
    </w:p>
    <w:p>
      <w:pPr>
        <w:pStyle w:val="50"/>
        <w:pageBreakBefore w:val="0"/>
        <w:numPr>
          <w:ilvl w:val="0"/>
          <w:numId w:val="0"/>
        </w:numPr>
        <w:kinsoku/>
        <w:wordWrap w:val="0"/>
        <w:overflowPunct/>
        <w:bidi w:val="0"/>
        <w:ind w:leftChars="200"/>
        <w:rPr>
          <w:rFonts w:hint="eastAsia" w:asciiTheme="minorEastAsia" w:hAnsiTheme="minorEastAsia" w:eastAsiaTheme="minorEastAsia" w:cstheme="minorEastAsia"/>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11.</w:t>
      </w:r>
      <w:r>
        <w:rPr>
          <w:rFonts w:hint="eastAsia" w:asciiTheme="minorEastAsia" w:hAnsiTheme="minorEastAsia" w:eastAsiaTheme="minorEastAsia" w:cstheme="minorEastAsia"/>
          <w:bCs/>
          <w:color w:val="000000" w:themeColor="text1"/>
          <w:kern w:val="2"/>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.3</w:t>
      </w:r>
      <w:bookmarkEnd w:id="230"/>
      <w:bookmarkStart w:id="231" w:name="_Toc23037"/>
      <w:bookmarkStart w:id="232" w:name="_Toc17679"/>
      <w:bookmarkStart w:id="233" w:name="_Toc2022"/>
      <w:r>
        <w:rPr>
          <w:rFonts w:hint="eastAsia" w:asciiTheme="minorEastAsia" w:hAnsiTheme="minorEastAsia" w:eastAsiaTheme="minorEastAsia" w:cstheme="minorEastAsia"/>
          <w:bCs/>
          <w:color w:val="000000" w:themeColor="text1"/>
          <w:kern w:val="2"/>
          <w:highlight w:val="none"/>
          <w14:textFill>
            <w14:solidFill>
              <w14:schemeClr w14:val="tx1"/>
            </w14:solidFill>
          </w14:textFill>
        </w:rPr>
        <w:t>出现下述情形之一，属于未成功提交投标文件，按无效投标处理：</w:t>
      </w:r>
      <w:bookmarkEnd w:id="231"/>
      <w:bookmarkEnd w:id="232"/>
      <w:bookmarkEnd w:id="233"/>
      <w:bookmarkStart w:id="234" w:name="_Toc22805"/>
      <w:bookmarkStart w:id="235" w:name="_Toc30279"/>
      <w:bookmarkStart w:id="236" w:name="_Toc27579"/>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（1）至提交投标文件截止时，投标文件未完整上传或未提交投标；</w:t>
      </w:r>
      <w:bookmarkEnd w:id="234"/>
      <w:bookmarkEnd w:id="235"/>
      <w:bookmarkEnd w:id="236"/>
      <w:bookmarkStart w:id="237" w:name="_Toc1293"/>
      <w:bookmarkStart w:id="238" w:name="_Toc17052"/>
      <w:bookmarkStart w:id="239" w:name="_Toc26257"/>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（2）投标文件未按投标格式中注明需签字盖章的要求进行签名（含电子签名）和加盖电子印章，或签名（含电子签名）或电子印章不完整的；</w:t>
      </w:r>
      <w:bookmarkEnd w:id="237"/>
      <w:bookmarkEnd w:id="238"/>
      <w:bookmarkEnd w:id="239"/>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0" w:name="_Toc444"/>
      <w:bookmarkStart w:id="241" w:name="_Toc7367"/>
      <w:bookmarkStart w:id="242" w:name="_Toc23907"/>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（3）解密失败且在规定时间内未重新提交投标文件的；</w:t>
      </w:r>
      <w:bookmarkEnd w:id="240"/>
      <w:bookmarkEnd w:id="241"/>
      <w:bookmarkEnd w:id="242"/>
    </w:p>
    <w:p>
      <w:pPr>
        <w:pStyle w:val="37"/>
        <w:pageBreakBefore w:val="0"/>
        <w:kinsoku/>
        <w:wordWrap w:val="0"/>
        <w:overflowPunct/>
        <w:bidi w:val="0"/>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243" w:name="_Toc26444"/>
      <w:bookmarkStart w:id="244" w:name="_Toc13"/>
      <w:bookmarkStart w:id="245" w:name="_Toc2171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（4）投标文件损坏或格式不正确的。</w:t>
      </w:r>
      <w:bookmarkEnd w:id="243"/>
      <w:bookmarkEnd w:id="244"/>
      <w:bookmarkEnd w:id="245"/>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6" w:name="_Toc22560"/>
      <w:bookmarkStart w:id="247" w:name="_Toc23010"/>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12、投标有效期及对投标人的其他要求</w:t>
      </w:r>
      <w:bookmarkEnd w:id="219"/>
      <w:bookmarkEnd w:id="220"/>
      <w:bookmarkEnd w:id="221"/>
      <w:bookmarkEnd w:id="222"/>
      <w:bookmarkEnd w:id="223"/>
      <w:bookmarkEnd w:id="224"/>
      <w:bookmarkEnd w:id="225"/>
      <w:bookmarkEnd w:id="226"/>
      <w:bookmarkEnd w:id="227"/>
      <w:bookmarkEnd w:id="228"/>
      <w:bookmarkEnd w:id="246"/>
      <w:bookmarkEnd w:id="247"/>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本次招标投标有效期为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bookmarkEnd w:id="143"/>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48" w:name="_Hlt111081624"/>
      <w:bookmarkEnd w:id="248"/>
      <w:bookmarkStart w:id="249" w:name="_Toc2693"/>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13</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开标</w:t>
      </w:r>
      <w:bookmarkEnd w:id="249"/>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13.1.1 开标时间和地点：见本章第二节“重要事项时间地点一览表”。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13.2 开标程序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（1）主持人（招标人代表或招标人授权的招标代理机构人员）宣读开标纪律。</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（2）主持人宣布唱标人、记录人、见证人、监督人等有关人员姓名。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（3）唱标人公布在投标截止时间前进行投标文件的投标人数量和名称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（4）招标代理机构会同交易场所工作人员对投标人的电子投标信息进行解密，建设工程交易系统自动生成《投标保证缴纳情况表》和《开标一览表》。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13.3 投标人对开标相关事项（如开标程序等）有异议的，必须在开标期间及时提出，招标人或其授权的招标代理机构应当场作出答复，并记录在案。对开标事项的异议未在开标期间及时提出的，招标人不予受理。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13.4 招标代理机构将资料原件（若有）、《开标一览表》以及其他有关资料移交评标委员会。</w:t>
      </w:r>
    </w:p>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50" w:name="_Toc21041"/>
      <w:bookmarkStart w:id="251" w:name="_Toc30154"/>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14</w:t>
      </w:r>
      <w:bookmarkStart w:id="252" w:name="_Hlt127093805"/>
      <w:bookmarkEnd w:id="252"/>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评标的方法和标准</w:t>
      </w:r>
      <w:bookmarkEnd w:id="250"/>
      <w:bookmarkEnd w:id="251"/>
    </w:p>
    <w:p>
      <w:pPr>
        <w:keepNext w:val="0"/>
        <w:keepLines w:val="0"/>
        <w:pageBreakBefore w:val="0"/>
        <w:wordWrap w:val="0"/>
        <w:overflowPunct/>
        <w:topLinePunct w:val="0"/>
        <w:bidi w:val="0"/>
        <w:spacing w:before="78" w:line="331" w:lineRule="auto"/>
        <w:ind w:left="8" w:right="65" w:firstLine="480"/>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bookmarkStart w:id="253" w:name="_Toc32313"/>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如不足5个，则往下递减，但不可少于3个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14.1 评标</w:t>
      </w:r>
      <w:bookmarkStart w:id="254" w:name="_Hlt69208274"/>
      <w:bookmarkEnd w:id="254"/>
      <w:r>
        <w:rPr>
          <w:rFonts w:hint="eastAsia" w:asciiTheme="minorEastAsia" w:hAnsiTheme="minorEastAsia" w:eastAsiaTheme="minorEastAsia" w:cstheme="minorEastAsia"/>
          <w:b/>
          <w:color w:val="000000" w:themeColor="text1"/>
          <w:highlight w:val="none"/>
          <w14:textFill>
            <w14:solidFill>
              <w14:schemeClr w14:val="tx1"/>
            </w14:solidFill>
          </w14:textFill>
        </w:rPr>
        <w:t>委员会</w:t>
      </w:r>
      <w:bookmarkEnd w:id="253"/>
      <w:bookmarkStart w:id="255" w:name="_Hlt69338169"/>
      <w:bookmarkEnd w:id="255"/>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14.1.1 评标委员会由5人组成。专家从广东省综合评标评审专家库-韶关区域中随机抽取，其中技术类专家3人，经济类专家2人。评标委员会的负责人在评委中民主选出，负责人的权力与评委成员相等。</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 评标委员会应认真、公正、诚实、廉洁地履行职责。有下列情形之一的，不得担任评标委员会成员：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14.1.2.1 投标人或者投标人主要负责人的近亲属；</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14.1.2.2 项目主管部门或者行政监督部门的人员；</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14.1.2.3 与投标人有经济利益关系，可能影响对投标公正评审的；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14.1.2.4 曾因在</w:t>
      </w:r>
      <w:bookmarkStart w:id="256" w:name="_Hlt69700387"/>
      <w:bookmarkEnd w:id="256"/>
      <w:r>
        <w:rPr>
          <w:rFonts w:hint="eastAsia" w:asciiTheme="minorEastAsia" w:hAnsiTheme="minorEastAsia" w:eastAsiaTheme="minorEastAsia" w:cstheme="minorEastAsia"/>
          <w:bCs/>
          <w:color w:val="000000" w:themeColor="text1"/>
          <w:highlight w:val="none"/>
          <w14:textFill>
            <w14:solidFill>
              <w14:schemeClr w14:val="tx1"/>
            </w14:solidFill>
          </w14:textFill>
        </w:rPr>
        <w:t>招标、评标以及其他与招标投标有关活动中从事违法行为而受过行政处罚或刑事处罚的。</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14.1.3 评标委员会成员有前款规定情形之一的，应主动提出回避。</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14.1.4 评标全过程实行封闭式管理，在中标结果公布前，禁止评标委员会成员以任何方式私下接触投标人。</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bookmarkStart w:id="257" w:name="_Toc106418823"/>
      <w:bookmarkStart w:id="258" w:name="_Toc104711078"/>
      <w:bookmarkStart w:id="259" w:name="_Toc17385"/>
      <w:r>
        <w:rPr>
          <w:rFonts w:hint="eastAsia" w:asciiTheme="minorEastAsia" w:hAnsiTheme="minorEastAsia" w:eastAsiaTheme="minorEastAsia" w:cstheme="minorEastAsia"/>
          <w:b/>
          <w:color w:val="000000" w:themeColor="text1"/>
          <w:highlight w:val="none"/>
          <w14:textFill>
            <w14:solidFill>
              <w14:schemeClr w14:val="tx1"/>
            </w14:solidFill>
          </w14:textFill>
        </w:rPr>
        <w:t>14.2</w:t>
      </w:r>
      <w:bookmarkEnd w:id="257"/>
      <w:bookmarkEnd w:id="258"/>
      <w:r>
        <w:rPr>
          <w:rFonts w:hint="eastAsia" w:asciiTheme="minorEastAsia" w:hAnsiTheme="minorEastAsia" w:eastAsiaTheme="minorEastAsia" w:cstheme="minorEastAsia"/>
          <w:b/>
          <w:color w:val="000000" w:themeColor="text1"/>
          <w:highlight w:val="none"/>
          <w14:textFill>
            <w14:solidFill>
              <w14:schemeClr w14:val="tx1"/>
            </w14:solidFill>
          </w14:textFill>
        </w:rPr>
        <w:t>评标方法</w:t>
      </w:r>
      <w:bookmarkEnd w:id="259"/>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60" w:name="_Hlt66591657"/>
      <w:bookmarkEnd w:id="260"/>
      <w:r>
        <w:rPr>
          <w:rFonts w:hint="eastAsia" w:asciiTheme="minorEastAsia" w:hAnsiTheme="minorEastAsia" w:eastAsiaTheme="minorEastAsia" w:cstheme="minorEastAsia"/>
          <w:bCs/>
          <w:color w:val="000000" w:themeColor="text1"/>
          <w:highlight w:val="none"/>
          <w14:textFill>
            <w14:solidFill>
              <w14:schemeClr w14:val="tx1"/>
            </w14:solidFill>
          </w14:textFill>
        </w:rPr>
        <w:t>根据有关法律、法规的相关规定，结合本招标项目资金来源和规模特点，本次招标采用综合评估法进行评标。</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评审范围：评标委员会应对所有投标人的投标文件进行评审。</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14.</w:t>
      </w:r>
      <w:r>
        <w:rPr>
          <w:rFonts w:hint="eastAsia" w:asciiTheme="minorEastAsia" w:hAnsiTheme="minorEastAsia" w:eastAsiaTheme="minorEastAsia" w:cstheme="minorEastAsia"/>
          <w:b/>
          <w:bCs w:val="0"/>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val="0"/>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初步评审阶段分为资格评审、形式评审和响应性评审三个环节。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4.1</w:t>
      </w: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资格评审事项包括：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（1）投标人是否符合本章第三节第 4.4条“禁止投标条款”规定。</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（2）投标人名称是否与营业执照、资质证书、安全生产许可证一致。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（3）投标人的资质是否符合招标文件规定；其营业执照、资质证书、安全生产许可证是否合法、有效、准确。</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（4）《项目经理简历表》中拟派项目经理是否与《开标一览表》一致。</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5）拟派项目经理、项目技术负责人、专职安全员、设计负责人的条件是否符合招标文件规定；项目管理机构组成人员的各类证书、证件、证明是否合法、有效、准确；是否擅自修改、遗漏《项目经理任职声明》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形式评审环节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形式评审事项包括：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投标文件是否按招标文件规定加盖电子印章。</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14:textFill>
            <w14:solidFill>
              <w14:schemeClr w14:val="tx1"/>
            </w14:solidFill>
          </w14:textFill>
        </w:rPr>
        <w:t>本节第11.2.2目中规定的“所有投标人均应提供”的组成内容（包括该组成内容的所附资料）是否完整、齐全。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14:textFill>
            <w14:solidFill>
              <w14:schemeClr w14:val="tx1"/>
            </w14:solidFill>
          </w14:textFill>
        </w:rPr>
        <w:t xml:space="preserve"> 响应性评审环节</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响应性评审事项包括：</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（1）投标有效期、质量标准、工期等是否响应招标文件实质性要求；是否擅自修改、遗漏《投标函》《各项承诺一览表》的实质性内容。</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（2）编投标总价是否唯一；投标总价是否超出最高投标限价；投标人是否以低于成本的价格竞标。</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注：如果某投标人的投标总价下浮率（投标总价下浮率＝100%－投标总价÷</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最高投标限价</w:t>
      </w:r>
      <w:r>
        <w:rPr>
          <w:rFonts w:hint="eastAsia" w:asciiTheme="minorEastAsia" w:hAnsiTheme="minorEastAsia" w:eastAsiaTheme="minorEastAsia" w:cstheme="minorEastAsia"/>
          <w:bCs/>
          <w:color w:val="000000" w:themeColor="text1"/>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否决投标说明</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pPr>
        <w:pStyle w:val="37"/>
        <w:pageBreakBefore w:val="0"/>
        <w:kinsoku/>
        <w:wordWrap w:val="0"/>
        <w:overflowPunct/>
        <w:autoSpaceDE w:val="0"/>
        <w:autoSpaceDN w:val="0"/>
        <w:bidi w:val="0"/>
        <w:adjustRightInd w:val="0"/>
        <w:ind w:firstLine="482"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bookmarkStart w:id="261" w:name="_Toc18413"/>
      <w:r>
        <w:rPr>
          <w:rFonts w:hint="eastAsia" w:asciiTheme="minorEastAsia" w:hAnsiTheme="minorEastAsia" w:eastAsiaTheme="minorEastAsia" w:cstheme="minorEastAsia"/>
          <w:b/>
          <w:color w:val="000000" w:themeColor="text1"/>
          <w:highlight w:val="none"/>
          <w14:textFill>
            <w14:solidFill>
              <w14:schemeClr w14:val="tx1"/>
            </w14:solidFill>
          </w14:textFill>
        </w:rPr>
        <w:t>14.</w:t>
      </w:r>
      <w:r>
        <w:rPr>
          <w:rFonts w:hint="eastAsia" w:asciiTheme="minorEastAsia" w:hAnsiTheme="minorEastAsia" w:eastAsiaTheme="minorEastAsia" w:cstheme="minorEastAsia"/>
          <w:b/>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详细评审阶段</w:t>
      </w:r>
      <w:bookmarkEnd w:id="261"/>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.1 “综合评估法”评审程序</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评审内容分为商务部分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14:textFill>
            <w14:solidFill>
              <w14:schemeClr w14:val="tx1"/>
            </w14:solidFill>
          </w14:textFill>
        </w:rPr>
        <w:t>和</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二</w:t>
      </w:r>
      <w:r>
        <w:rPr>
          <w:rFonts w:hint="eastAsia" w:asciiTheme="minorEastAsia" w:hAnsiTheme="minorEastAsia" w:eastAsiaTheme="minorEastAsia" w:cstheme="minorEastAsia"/>
          <w:bCs/>
          <w:color w:val="000000" w:themeColor="text1"/>
          <w:highlight w:val="none"/>
          <w14:textFill>
            <w14:solidFill>
              <w14:schemeClr w14:val="tx1"/>
            </w14:solidFill>
          </w14:textFill>
        </w:rPr>
        <w:t>大部分，实行分项计分，以100分为满分。具体分值详见《综合评分表》。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除特别注明外，综合得分以及商务部分得分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技术部分、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的中间过程计算值和最终值，均按“四舍五入”原则精确到两位小数。</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（1）商务部分得分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①评标委员会各成员独立按照《综合评分表》商务部分指定的评分标准对各评分因素进行打分。各评分因素得分之和即为某投标人的商务部分得分。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②全体评委对该投标人的商务部分总评分取平均值，按“四舍五入”原则精确到两位小数即为该投标人商务部分的最终得分。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①评标委员会各成员独立按照《综合评分表》</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部分指定的评分标准对各评分因素进行打分。各评分因素得分之和即为某投标人的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②全体评委对该投标人的</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部分总评分取平均值，按“四舍五入”原则精确到两位小数即为该投标人</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技术</w:t>
      </w:r>
      <w:r>
        <w:rPr>
          <w:rFonts w:hint="eastAsia" w:asciiTheme="minorEastAsia" w:hAnsiTheme="minorEastAsia" w:eastAsiaTheme="minorEastAsia" w:cstheme="minorEastAsia"/>
          <w:bCs/>
          <w:color w:val="000000" w:themeColor="text1"/>
          <w:highlight w:val="none"/>
          <w14:textFill>
            <w14:solidFill>
              <w14:schemeClr w14:val="tx1"/>
            </w14:solidFill>
          </w14:textFill>
        </w:rPr>
        <w:t>部分的最终得分。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评分方法详见《综合评分表》。</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综合得分=商务部分得分+技术部分得分+</w:t>
      </w:r>
      <w:r>
        <w:rPr>
          <w:rFonts w:hint="eastAsia" w:asciiTheme="minorEastAsia" w:hAnsiTheme="minorEastAsia" w:eastAsiaTheme="minorEastAsia" w:cstheme="minorEastAsia"/>
          <w:bCs/>
          <w:color w:val="000000" w:themeColor="text1"/>
          <w:highlight w:val="none"/>
          <w:lang w:eastAsia="zh-CN"/>
          <w14:textFill>
            <w14:solidFill>
              <w14:schemeClr w14:val="tx1"/>
            </w14:solidFill>
          </w14:textFill>
        </w:rPr>
        <w:t>投标报价得分。</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w:t>
      </w:r>
      <w:r>
        <w:rPr>
          <w:rFonts w:hint="eastAsia" w:asciiTheme="minorEastAsia" w:hAnsiTheme="minorEastAsia" w:eastAsiaTheme="minorEastAsia" w:cstheme="minorEastAsia"/>
          <w:bCs/>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highlight w:val="none"/>
          <w14:textFill>
            <w14:solidFill>
              <w14:schemeClr w14:val="tx1"/>
            </w14:solidFill>
          </w14:textFill>
        </w:rPr>
        <w:t>）</w:t>
      </w:r>
      <w:bookmarkEnd w:id="144"/>
      <w:r>
        <w:rPr>
          <w:rFonts w:hint="eastAsia" w:asciiTheme="minorEastAsia" w:hAnsiTheme="minorEastAsia" w:eastAsiaTheme="minorEastAsia" w:cstheme="minorEastAsia"/>
          <w:bCs/>
          <w:color w:val="000000" w:themeColor="text1"/>
          <w:highlight w:val="none"/>
          <w14:textFill>
            <w14:solidFill>
              <w14:schemeClr w14:val="tx1"/>
            </w14:solidFill>
          </w14:textFill>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相同时，由评标委员会投票确定排前。</w:t>
      </w:r>
    </w:p>
    <w:p>
      <w:pPr>
        <w:pStyle w:val="37"/>
        <w:pageBreakBefore w:val="0"/>
        <w:kinsoku/>
        <w:wordWrap w:val="0"/>
        <w:overflowPunct/>
        <w:autoSpaceDE w:val="0"/>
        <w:autoSpaceDN w:val="0"/>
        <w:bidi w:val="0"/>
        <w:adjustRightInd w:val="0"/>
        <w:ind w:firstLine="480" w:firstLineChars="20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定标候选人得分只作为评标委员会的推荐依据，不作为定标委员会对中标候选人排序的依据。当有效投标人数量不足5名但满足法定要求时，所有通过评审的有效投标人均应作为定标候选人。</w:t>
      </w: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p>
    <w:p>
      <w:pPr>
        <w:pStyle w:val="37"/>
        <w:pageBreakBefore w:val="0"/>
        <w:kinsoku/>
        <w:wordWrap w:val="0"/>
        <w:overflowPunct/>
        <w:autoSpaceDE w:val="0"/>
        <w:autoSpaceDN w:val="0"/>
        <w:bidi w:val="0"/>
        <w:adjustRightInd w:val="0"/>
        <w:jc w:val="center"/>
        <w:outlineLvl w:val="2"/>
        <w:rPr>
          <w:rFonts w:hint="eastAsia" w:hAnsi="宋体" w:cs="宋体"/>
          <w:b/>
          <w:bCs/>
          <w:color w:val="000000" w:themeColor="text1"/>
          <w:kern w:val="0"/>
          <w:sz w:val="28"/>
          <w:szCs w:val="30"/>
          <w:highlight w:val="none"/>
          <w14:textFill>
            <w14:solidFill>
              <w14:schemeClr w14:val="tx1"/>
            </w14:solidFill>
          </w14:textFill>
        </w:rPr>
      </w:pPr>
      <w:r>
        <w:rPr>
          <w:rFonts w:hint="eastAsia" w:hAnsi="宋体" w:cs="宋体"/>
          <w:b/>
          <w:bCs/>
          <w:color w:val="000000" w:themeColor="text1"/>
          <w:kern w:val="0"/>
          <w:sz w:val="28"/>
          <w:szCs w:val="30"/>
          <w:highlight w:val="none"/>
          <w14:textFill>
            <w14:solidFill>
              <w14:schemeClr w14:val="tx1"/>
            </w14:solidFill>
          </w14:textFill>
        </w:rPr>
        <w:t>综合评分表</w:t>
      </w:r>
    </w:p>
    <w:tbl>
      <w:tblPr>
        <w:tblStyle w:val="22"/>
        <w:tblpPr w:leftFromText="181" w:rightFromText="181" w:vertAnchor="text" w:horzAnchor="page" w:tblpXSpec="center" w:tblpY="1"/>
        <w:tblOverlap w:val="never"/>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595"/>
        <w:gridCol w:w="1221"/>
        <w:gridCol w:w="3063"/>
        <w:gridCol w:w="5"/>
        <w:gridCol w:w="3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275"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评标内容</w:t>
            </w:r>
          </w:p>
        </w:tc>
        <w:tc>
          <w:tcPr>
            <w:tcW w:w="4289" w:type="dxa"/>
            <w:gridSpan w:val="3"/>
            <w:shd w:val="clear" w:color="auto" w:fill="auto"/>
            <w:noWrap w:val="0"/>
            <w:vAlign w:val="center"/>
          </w:tcPr>
          <w:p>
            <w:pPr>
              <w:keepNext/>
              <w:keepLines w:val="0"/>
              <w:pageBreakBefore w:val="0"/>
              <w:widowControl/>
              <w:kinsoku/>
              <w:wordWrap w:val="0"/>
              <w:overflowPunct/>
              <w:topLinePunct w:val="0"/>
              <w:autoSpaceDE/>
              <w:autoSpaceDN/>
              <w:bidi w:val="0"/>
              <w:spacing w:line="360" w:lineRule="exact"/>
              <w:jc w:val="cente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lang w:eastAsia="zh-CN"/>
                <w14:textFill>
                  <w14:solidFill>
                    <w14:schemeClr w14:val="tx1"/>
                  </w14:solidFill>
                </w14:textFill>
              </w:rPr>
              <w:t>评分标准</w:t>
            </w:r>
          </w:p>
        </w:tc>
        <w:tc>
          <w:tcPr>
            <w:tcW w:w="3946" w:type="dxa"/>
            <w:shd w:val="clear" w:color="auto" w:fill="auto"/>
            <w:noWrap w:val="0"/>
            <w:vAlign w:val="center"/>
          </w:tcPr>
          <w:p>
            <w:pPr>
              <w:keepNext/>
              <w:keepLines w:val="0"/>
              <w:pageBreakBefore w:val="0"/>
              <w:widowControl/>
              <w:kinsoku/>
              <w:wordWrap w:val="0"/>
              <w:overflowPunct/>
              <w:topLinePunct w:val="0"/>
              <w:autoSpaceDE/>
              <w:autoSpaceDN/>
              <w:bidi w:val="0"/>
              <w:spacing w:line="360" w:lineRule="exact"/>
              <w:jc w:val="cente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商务得分（</w:t>
            </w:r>
            <w:r>
              <w:rPr>
                <w:rFonts w:hint="eastAsia"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lang w:val="en-US" w:eastAsia="zh-CN"/>
                <w14:textFill>
                  <w14:solidFill>
                    <w14:schemeClr w14:val="tx1"/>
                  </w14:solidFill>
                </w14:textFill>
              </w:rPr>
              <w:t>0分）</w:t>
            </w: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施工企业（</w:t>
            </w:r>
            <w:r>
              <w:rPr>
                <w:rFonts w:hint="eastAsia" w:hAnsi="宋体" w:eastAsia="宋体" w:cs="宋体"/>
                <w:color w:val="000000" w:themeColor="text1"/>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企业业绩</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auto"/>
                <w:kern w:val="0"/>
                <w:sz w:val="24"/>
                <w:szCs w:val="24"/>
                <w:highlight w:val="none"/>
              </w:rPr>
              <w:t>（</w:t>
            </w:r>
            <w:r>
              <w:rPr>
                <w:rFonts w:hint="eastAsia" w:hAnsi="宋体" w:eastAsia="宋体" w:cs="宋体"/>
                <w:b w:val="0"/>
                <w:bCs w:val="0"/>
                <w:snapToGrid w:val="0"/>
                <w:color w:val="auto"/>
                <w:kern w:val="0"/>
                <w:sz w:val="24"/>
                <w:szCs w:val="24"/>
                <w:highlight w:val="none"/>
                <w:lang w:val="en-US" w:eastAsia="zh-CN"/>
              </w:rPr>
              <w:t>4</w:t>
            </w:r>
            <w:r>
              <w:rPr>
                <w:rFonts w:hint="eastAsia" w:ascii="宋体" w:hAnsi="宋体" w:eastAsia="宋体" w:cs="宋体"/>
                <w:b w:val="0"/>
                <w:bCs w:val="0"/>
                <w:snapToGrid w:val="0"/>
                <w:color w:val="auto"/>
                <w:kern w:val="0"/>
                <w:sz w:val="24"/>
                <w:szCs w:val="24"/>
                <w:highlight w:val="none"/>
              </w:rPr>
              <w:t>分）</w:t>
            </w:r>
          </w:p>
        </w:tc>
        <w:tc>
          <w:tcPr>
            <w:tcW w:w="3063" w:type="dxa"/>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w:t>
            </w:r>
            <w:r>
              <w:rPr>
                <w:rFonts w:hint="eastAsia" w:ascii="宋体" w:hAnsi="宋体" w:eastAsia="宋体" w:cs="宋体"/>
                <w:snapToGrid w:val="0"/>
                <w:color w:val="auto"/>
                <w:kern w:val="0"/>
                <w:sz w:val="24"/>
                <w:szCs w:val="24"/>
                <w:highlight w:val="none"/>
              </w:rPr>
              <w:t>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年来（20</w:t>
            </w:r>
            <w:r>
              <w:rPr>
                <w:rFonts w:hint="eastAsia" w:ascii="宋体" w:hAnsi="宋体" w:eastAsia="宋体" w:cs="宋体"/>
                <w:snapToGrid w:val="0"/>
                <w:color w:val="auto"/>
                <w:kern w:val="0"/>
                <w:sz w:val="24"/>
                <w:szCs w:val="24"/>
                <w:highlight w:val="none"/>
                <w:lang w:val="en-US" w:eastAsia="zh-CN"/>
              </w:rPr>
              <w:t>21</w:t>
            </w:r>
            <w:r>
              <w:rPr>
                <w:rFonts w:hint="eastAsia" w:ascii="宋体" w:hAnsi="宋体" w:eastAsia="宋体" w:cs="宋体"/>
                <w:snapToGrid w:val="0"/>
                <w:color w:val="auto"/>
                <w:kern w:val="0"/>
                <w:sz w:val="24"/>
                <w:szCs w:val="24"/>
                <w:highlight w:val="none"/>
              </w:rPr>
              <w:t>年1月1日至</w:t>
            </w:r>
            <w:r>
              <w:rPr>
                <w:rFonts w:hint="eastAsia" w:ascii="宋体" w:hAnsi="宋体" w:eastAsia="宋体" w:cs="宋体"/>
                <w:snapToGrid w:val="0"/>
                <w:color w:val="auto"/>
                <w:kern w:val="0"/>
                <w:sz w:val="24"/>
                <w:szCs w:val="24"/>
                <w:highlight w:val="none"/>
                <w:lang w:val="en-US" w:eastAsia="zh-CN"/>
              </w:rPr>
              <w:t>今</w:t>
            </w:r>
            <w:r>
              <w:rPr>
                <w:rFonts w:hint="eastAsia" w:ascii="宋体" w:hAnsi="宋体" w:eastAsia="宋体" w:cs="宋体"/>
                <w:snapToGrid w:val="0"/>
                <w:color w:val="auto"/>
                <w:kern w:val="0"/>
                <w:sz w:val="24"/>
                <w:szCs w:val="24"/>
                <w:highlight w:val="none"/>
              </w:rPr>
              <w:t>）业绩情况：</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过类似工程的，每个得</w:t>
            </w:r>
            <w:r>
              <w:rPr>
                <w:rFonts w:hint="eastAsia"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u w:val="single"/>
              </w:rPr>
              <w:t>未</w:t>
            </w:r>
            <w:r>
              <w:rPr>
                <w:rFonts w:hint="eastAsia" w:ascii="宋体" w:hAnsi="宋体" w:eastAsia="宋体" w:cs="宋体"/>
                <w:snapToGrid w:val="0"/>
                <w:color w:val="auto"/>
                <w:kern w:val="0"/>
                <w:sz w:val="24"/>
                <w:szCs w:val="24"/>
                <w:highlight w:val="none"/>
                <w:u w:val="single"/>
                <w:lang w:val="en-US" w:eastAsia="zh-CN"/>
              </w:rPr>
              <w:t>承接</w:t>
            </w:r>
            <w:r>
              <w:rPr>
                <w:rFonts w:hint="eastAsia" w:ascii="宋体" w:hAnsi="宋体" w:eastAsia="宋体" w:cs="宋体"/>
                <w:snapToGrid w:val="0"/>
                <w:color w:val="auto"/>
                <w:kern w:val="0"/>
                <w:sz w:val="24"/>
                <w:szCs w:val="24"/>
                <w:highlight w:val="none"/>
              </w:rPr>
              <w:t>过类似工程的，不予计分。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 xml:space="preserve">分。 </w:t>
            </w:r>
          </w:p>
        </w:tc>
        <w:tc>
          <w:tcPr>
            <w:tcW w:w="3951" w:type="dxa"/>
            <w:gridSpan w:val="2"/>
            <w:noWrap w:val="0"/>
            <w:vAlign w:val="center"/>
          </w:tcPr>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1.类似工程指:市政类工程。</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2.需附有关业绩合同协议书关键页和中标通知书的彩色扫描件并加盖单位公章，否则不得分。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3.业绩时间以合同签订日期为准。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4.任一业绩有以下情形之一的，该业绩视为无效，不予计分</w:t>
            </w:r>
            <w:r>
              <w:rPr>
                <w:rFonts w:hint="eastAsia" w:ascii="宋体" w:hAnsi="宋体" w:eastAsia="宋体" w:cs="宋体"/>
                <w:snapToGrid w:val="0"/>
                <w:color w:val="auto"/>
                <w:kern w:val="0"/>
                <w:sz w:val="24"/>
                <w:szCs w:val="24"/>
                <w:highlight w:val="none"/>
                <w:lang w:eastAsia="zh-CN"/>
              </w:rPr>
              <w:t>；</w:t>
            </w:r>
          </w:p>
          <w:p>
            <w:pP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①业绩不属于类似工程的</w:t>
            </w:r>
            <w:r>
              <w:rPr>
                <w:rFonts w:hint="eastAsia" w:ascii="宋体" w:hAnsi="宋体" w:eastAsia="宋体" w:cs="宋体"/>
                <w:snapToGrid w:val="0"/>
                <w:color w:val="auto"/>
                <w:kern w:val="0"/>
                <w:sz w:val="24"/>
                <w:szCs w:val="24"/>
                <w:highlight w:val="none"/>
                <w:lang w:eastAsia="zh-CN"/>
              </w:rPr>
              <w:t>；</w:t>
            </w:r>
          </w:p>
          <w:p>
            <w:pP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rPr>
              <w:t>②</w:t>
            </w:r>
            <w:r>
              <w:rPr>
                <w:rFonts w:hint="eastAsia" w:ascii="宋体" w:hAnsi="宋体" w:eastAsia="宋体" w:cs="宋体"/>
                <w:snapToGrid w:val="0"/>
                <w:color w:val="auto"/>
                <w:kern w:val="0"/>
                <w:sz w:val="24"/>
                <w:szCs w:val="24"/>
                <w:highlight w:val="none"/>
              </w:rPr>
              <w:t>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企业银行</w:t>
            </w:r>
          </w:p>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资信评级</w:t>
            </w:r>
          </w:p>
          <w:p>
            <w:pPr>
              <w:keepNext/>
              <w:keepLines w:val="0"/>
              <w:pageBreakBefore w:val="0"/>
              <w:widowControl/>
              <w:kinsoku/>
              <w:wordWrap w:val="0"/>
              <w:overflowPunct/>
              <w:topLinePunct w:val="0"/>
              <w:autoSpaceDE/>
              <w:autoSpaceDN/>
              <w:bidi w:val="0"/>
              <w:snapToGrid w:val="0"/>
              <w:spacing w:line="360" w:lineRule="exact"/>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3063"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1．银行资信评级AAA得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2．银行资信评级AA（含AA＋、AA－）,得</w:t>
            </w:r>
            <w:r>
              <w:rPr>
                <w:rFonts w:hint="eastAsia"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3．银行资信评级A（含A＋、A－）,得1分；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4．未获得过以上年限评级的，或评级证书无效的，不予计分。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1．需附在有效期内的资信评级证书（证明）彩色扫描件。</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2．评级证书（证明）须由企业基本账户开户银行或金融机构出具。</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3．评级证书（证明）有以下情形之一的，视为无效：</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①评级证书（证明）不在有效期内的；</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②出具机构不符合要求的。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keepNext/>
              <w:keepLines w:val="0"/>
              <w:pageBreakBefore w:val="0"/>
              <w:widowControl/>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企业</w:t>
            </w:r>
          </w:p>
          <w:p>
            <w:pPr>
              <w:keepNext/>
              <w:keepLines w:val="0"/>
              <w:pageBreakBefore w:val="0"/>
              <w:widowControl/>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财务状况</w:t>
            </w:r>
          </w:p>
          <w:p>
            <w:pPr>
              <w:keepNext/>
              <w:keepLines w:val="0"/>
              <w:pageBreakBefore w:val="0"/>
              <w:widowControl/>
              <w:kinsoku/>
              <w:wordWrap w:val="0"/>
              <w:overflowPunct/>
              <w:topLinePunct w:val="0"/>
              <w:autoSpaceDE/>
              <w:autoSpaceDN/>
              <w:bidi w:val="0"/>
              <w:adjustRightInd w:val="0"/>
              <w:snapToGrid w:val="0"/>
              <w:spacing w:after="0" w:line="360" w:lineRule="exact"/>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3063"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提供不少于</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00万元银行授信证明的，得</w:t>
            </w:r>
            <w:r>
              <w:rPr>
                <w:rFonts w:hint="eastAsia" w:hAnsi="宋体" w:eastAsia="宋体" w:cs="宋体"/>
                <w:b w:val="0"/>
                <w:bCs w:val="0"/>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分。</w:t>
            </w:r>
          </w:p>
        </w:tc>
        <w:tc>
          <w:tcPr>
            <w:tcW w:w="3951" w:type="dxa"/>
            <w:gridSpan w:val="2"/>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1．需附在有效期内的有关证明电子扫描件。</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2．银行授信证明有以下情形之一的，视为无效，不予计分：</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①授信证明不在有效期内的；</w:t>
            </w:r>
          </w:p>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②授信额度不符合要求的；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c>
          <w:tcPr>
            <w:tcW w:w="1221"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企业管理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体系认证</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bidi="ar"/>
              </w:rPr>
              <w:t>（</w:t>
            </w:r>
            <w:r>
              <w:rPr>
                <w:rFonts w:hint="eastAsia" w:hAnsi="宋体" w:eastAsia="宋体" w:cs="宋体"/>
                <w:bCs/>
                <w:snapToGrid w:val="0"/>
                <w:color w:val="auto"/>
                <w:kern w:val="0"/>
                <w:sz w:val="24"/>
                <w:szCs w:val="24"/>
                <w:highlight w:val="none"/>
                <w:lang w:val="en-US" w:eastAsia="zh-CN" w:bidi="ar"/>
              </w:rPr>
              <w:t>10</w:t>
            </w:r>
            <w:r>
              <w:rPr>
                <w:rFonts w:hint="eastAsia" w:ascii="宋体" w:hAnsi="宋体" w:eastAsia="宋体" w:cs="宋体"/>
                <w:snapToGrid w:val="0"/>
                <w:color w:val="auto"/>
                <w:kern w:val="0"/>
                <w:sz w:val="24"/>
                <w:szCs w:val="24"/>
                <w:highlight w:val="none"/>
                <w:lang w:bidi="ar"/>
              </w:rPr>
              <w:t>分）</w:t>
            </w:r>
          </w:p>
        </w:tc>
        <w:tc>
          <w:tcPr>
            <w:tcW w:w="3063" w:type="dxa"/>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企业获得质量管理体系认证、职业健康安全管理体系认证、环境管理体系认证、工程施工现场环境与卫生控制规范认证、合规管理体系认证证书：</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1.同时获得5个认证的得</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2.获得其中4个的得</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3.获得其中3个的得</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4.获得其中1-2个的得1分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5.未获得以上认证的，不予计分。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注：本项最高得</w:t>
            </w:r>
            <w:r>
              <w:rPr>
                <w:rFonts w:hint="eastAsia" w:hAnsi="宋体" w:eastAsia="宋体" w:cs="宋体"/>
                <w:snapToGrid w:val="0"/>
                <w:color w:val="000000" w:themeColor="text1"/>
                <w:ker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3951" w:type="dxa"/>
            <w:gridSpan w:val="2"/>
            <w:noWrap w:val="0"/>
            <w:vAlign w:val="center"/>
          </w:tcPr>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trike/>
                <w:dstrike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需附在有效期内的认证证书</w:t>
            </w:r>
            <w:r>
              <w:rPr>
                <w:rFonts w:hint="eastAsia" w:ascii="宋体" w:hAnsi="宋体" w:eastAsia="宋体" w:cs="宋体"/>
                <w:snapToGrid w:val="0"/>
                <w:color w:val="auto"/>
                <w:kern w:val="0"/>
                <w:sz w:val="24"/>
                <w:szCs w:val="24"/>
                <w:highlight w:val="none"/>
                <w:lang w:eastAsia="zh-CN"/>
              </w:rPr>
              <w:t>扫描件</w:t>
            </w:r>
            <w:r>
              <w:rPr>
                <w:rFonts w:hint="eastAsia" w:ascii="宋体" w:hAnsi="宋体" w:eastAsia="宋体" w:cs="宋体"/>
                <w:strike w:val="0"/>
                <w:dstrike w:val="0"/>
                <w:snapToGrid w:val="0"/>
                <w:color w:val="auto"/>
                <w:kern w:val="0"/>
                <w:sz w:val="24"/>
                <w:szCs w:val="24"/>
                <w:highlight w:val="none"/>
                <w:lang w:eastAsia="zh-CN"/>
              </w:rPr>
              <w:t>；</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2．任一认证证书有以下情形之一的，该认证证书视为无效，不予计分：</w:t>
            </w:r>
          </w:p>
          <w:p>
            <w:pPr>
              <w:pStyle w:val="8"/>
              <w:keepNext w:val="0"/>
              <w:keepLines w:val="0"/>
              <w:pageBreakBefore w:val="0"/>
              <w:widowControl w:val="0"/>
              <w:kinsoku/>
              <w:wordWrap/>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①认证证书不在有效期内的。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设计企业（</w:t>
            </w:r>
            <w:r>
              <w:rPr>
                <w:rFonts w:hint="eastAsia" w:hAnsi="宋体" w:eastAsia="宋体" w:cs="宋体"/>
                <w:color w:val="000000" w:themeColor="text1"/>
                <w:sz w:val="24"/>
                <w:szCs w:val="24"/>
                <w:highlight w:val="non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lang w:val="en-US" w:eastAsia="zh-CN"/>
                <w14:textFill>
                  <w14:solidFill>
                    <w14:schemeClr w14:val="tx1"/>
                  </w14:solidFill>
                </w14:textFill>
              </w:rPr>
              <w:t>分）</w:t>
            </w: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业绩</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年来</w:t>
            </w:r>
            <w:r>
              <w:rPr>
                <w:rFonts w:hint="eastAsia" w:ascii="宋体" w:hAnsi="宋体" w:eastAsia="宋体" w:cs="宋体"/>
                <w:snapToGrid w:val="0"/>
                <w:color w:val="auto"/>
                <w:kern w:val="0"/>
                <w:sz w:val="24"/>
                <w:szCs w:val="24"/>
                <w:highlight w:val="none"/>
              </w:rPr>
              <w:t>（2021年1月1日至今）</w:t>
            </w:r>
            <w:r>
              <w:rPr>
                <w:rFonts w:hint="eastAsia" w:ascii="宋体" w:hAnsi="宋体" w:eastAsia="宋体" w:cs="宋体"/>
                <w:snapToGrid w:val="0"/>
                <w:color w:val="auto"/>
                <w:kern w:val="0"/>
                <w:sz w:val="24"/>
                <w:szCs w:val="24"/>
                <w:highlight w:val="none"/>
                <w:lang w:val="en-US" w:eastAsia="zh-CN"/>
              </w:rPr>
              <w:t>业绩情况：</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val="en-US" w:eastAsia="zh-CN"/>
              </w:rPr>
              <w:t>1.</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u w:val="single"/>
              </w:rPr>
              <w:t>承接</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过类似项目设计的，每</w:t>
            </w:r>
            <w:r>
              <w:rPr>
                <w:rFonts w:hint="eastAsia" w:ascii="宋体" w:hAnsi="宋体" w:eastAsia="宋体" w:cs="宋体"/>
                <w:snapToGrid w:val="0"/>
                <w:color w:val="auto"/>
                <w:kern w:val="0"/>
                <w:sz w:val="24"/>
                <w:szCs w:val="24"/>
                <w:highlight w:val="none"/>
                <w:lang w:val="en-US" w:eastAsia="zh-CN"/>
              </w:rPr>
              <w:t>个</w:t>
            </w:r>
            <w:r>
              <w:rPr>
                <w:rFonts w:hint="eastAsia" w:ascii="宋体" w:hAnsi="宋体" w:eastAsia="宋体" w:cs="宋体"/>
                <w:snapToGrid w:val="0"/>
                <w:color w:val="auto"/>
                <w:kern w:val="0"/>
                <w:sz w:val="24"/>
                <w:szCs w:val="24"/>
                <w:highlight w:val="none"/>
              </w:rPr>
              <w:t>得</w:t>
            </w:r>
            <w:r>
              <w:rPr>
                <w:rFonts w:hint="eastAsia"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分。</w:t>
            </w:r>
          </w:p>
          <w:p>
            <w:pPr>
              <w:pStyle w:val="8"/>
              <w:keepNext w:val="0"/>
              <w:keepLines w:val="0"/>
              <w:pageBreakBefore w:val="0"/>
              <w:widowControl w:val="0"/>
              <w:kinsoku/>
              <w:wordWrap w:val="0"/>
              <w:overflowPunct/>
              <w:topLinePunct w:val="0"/>
              <w:autoSpaceDE/>
              <w:autoSpaceDN/>
              <w:bidi w:val="0"/>
              <w:adjustRightInd w:val="0"/>
              <w:snapToGrid w:val="0"/>
              <w:spacing w:after="0" w:afterLines="0"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u w:val="single"/>
              </w:rPr>
              <w:t>未</w:t>
            </w:r>
            <w:r>
              <w:rPr>
                <w:rFonts w:hint="eastAsia" w:ascii="宋体" w:hAnsi="宋体" w:eastAsia="宋体" w:cs="宋体"/>
                <w:snapToGrid w:val="0"/>
                <w:color w:val="auto"/>
                <w:kern w:val="0"/>
                <w:sz w:val="24"/>
                <w:szCs w:val="24"/>
                <w:highlight w:val="none"/>
                <w:u w:val="single"/>
                <w:lang w:val="en-US" w:eastAsia="zh-CN"/>
              </w:rPr>
              <w:t xml:space="preserve">承接 </w:t>
            </w:r>
            <w:r>
              <w:rPr>
                <w:rFonts w:hint="eastAsia" w:ascii="宋体" w:hAnsi="宋体" w:eastAsia="宋体" w:cs="宋体"/>
                <w:snapToGrid w:val="0"/>
                <w:color w:val="auto"/>
                <w:kern w:val="0"/>
                <w:sz w:val="24"/>
                <w:szCs w:val="24"/>
                <w:highlight w:val="none"/>
              </w:rPr>
              <w:t>过类似工程的，不予计分。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本项最高得</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1.类似项目指：</w:t>
            </w:r>
            <w:r>
              <w:rPr>
                <w:rFonts w:hint="eastAsia" w:ascii="宋体" w:hAnsi="宋体" w:eastAsia="宋体" w:cs="宋体"/>
                <w:snapToGrid w:val="0"/>
                <w:color w:val="auto"/>
                <w:kern w:val="0"/>
                <w:sz w:val="24"/>
                <w:szCs w:val="24"/>
                <w:highlight w:val="none"/>
                <w:u w:val="single"/>
                <w:lang w:val="en-US" w:eastAsia="zh-CN"/>
              </w:rPr>
              <w:t>市政类工程</w:t>
            </w:r>
            <w:r>
              <w:rPr>
                <w:rFonts w:hint="eastAsia" w:ascii="宋体" w:hAnsi="宋体" w:eastAsia="宋体" w:cs="宋体"/>
                <w:snapToGrid w:val="0"/>
                <w:color w:val="auto"/>
                <w:kern w:val="0"/>
                <w:sz w:val="24"/>
                <w:szCs w:val="24"/>
                <w:highlight w:val="none"/>
                <w:u w:val="single"/>
              </w:rPr>
              <w:t>设计项目（含设计</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勘察设计</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rPr>
              <w:t>勘察设计施工总承包项目）</w:t>
            </w:r>
            <w:r>
              <w:rPr>
                <w:rFonts w:hint="eastAsia" w:ascii="宋体" w:hAnsi="宋体" w:eastAsia="宋体" w:cs="宋体"/>
                <w:snapToGrid w:val="0"/>
                <w:color w:val="auto"/>
                <w:kern w:val="0"/>
                <w:sz w:val="24"/>
                <w:szCs w:val="24"/>
                <w:highlight w:val="none"/>
              </w:rPr>
              <w:t>。</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2.证明材料须提供设计合同关键页彩色扫描件（或彩色打印件）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numPr>
                <w:ilvl w:val="0"/>
                <w:numId w:val="0"/>
              </w:numPr>
              <w:kinsoku/>
              <w:overflowPunct/>
              <w:topLinePunct w:val="0"/>
              <w:autoSpaceDN/>
              <w:bidi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color w:val="auto"/>
                <w:sz w:val="24"/>
                <w:szCs w:val="24"/>
                <w:highlight w:val="none"/>
              </w:rPr>
              <w:t>业绩</w:t>
            </w:r>
            <w:r>
              <w:rPr>
                <w:rFonts w:hint="eastAsia" w:ascii="宋体" w:hAnsi="宋体" w:eastAsia="宋体" w:cs="宋体"/>
                <w:snapToGrid w:val="0"/>
                <w:color w:val="auto"/>
                <w:kern w:val="0"/>
                <w:sz w:val="24"/>
                <w:szCs w:val="24"/>
                <w:highlight w:val="none"/>
              </w:rPr>
              <w:t>时间以合同签订时间为准。</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4.任一业绩有以下情形之一的，该业绩视为无效，不予计分：</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w:t>
            </w:r>
            <w:r>
              <w:rPr>
                <w:rFonts w:hint="eastAsia" w:ascii="宋体" w:hAnsi="宋体" w:eastAsia="宋体" w:cs="宋体"/>
                <w:snapToGrid w:val="0"/>
                <w:color w:val="auto"/>
                <w:kern w:val="0"/>
                <w:sz w:val="24"/>
                <w:szCs w:val="24"/>
                <w:highlight w:val="none"/>
                <w:lang w:val="en-US" w:eastAsia="zh-CN"/>
              </w:rPr>
              <w:t>类似项目</w:t>
            </w:r>
            <w:r>
              <w:rPr>
                <w:rFonts w:hint="eastAsia" w:ascii="宋体" w:hAnsi="宋体" w:eastAsia="宋体" w:cs="宋体"/>
                <w:snapToGrid w:val="0"/>
                <w:color w:val="auto"/>
                <w:kern w:val="0"/>
                <w:sz w:val="24"/>
                <w:szCs w:val="24"/>
                <w:highlight w:val="none"/>
              </w:rPr>
              <w:t>的；</w:t>
            </w:r>
          </w:p>
          <w:p>
            <w:pPr>
              <w:keepNext w:val="0"/>
              <w:keepLines w:val="0"/>
              <w:pageBreakBefore w:val="0"/>
              <w:widowControl w:val="0"/>
              <w:kinsoku/>
              <w:wordWrap w:val="0"/>
              <w:overflowPunct/>
              <w:topLinePunct w:val="0"/>
              <w:autoSpaceDN/>
              <w:bidi w:val="0"/>
              <w:adjustRightInd w:val="0"/>
              <w:snapToGrid w:val="0"/>
              <w:spacing w:line="46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②业绩时间不符合要求的。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获奖</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情况</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投标人近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年来（</w:t>
            </w:r>
            <w:r>
              <w:rPr>
                <w:rFonts w:hint="eastAsia" w:ascii="宋体" w:hAnsi="宋体" w:eastAsia="宋体" w:cs="宋体"/>
                <w:snapToGrid w:val="0"/>
                <w:color w:val="auto"/>
                <w:kern w:val="0"/>
                <w:sz w:val="24"/>
                <w:szCs w:val="24"/>
                <w:highlight w:val="none"/>
              </w:rPr>
              <w:t>2021年1月1日至今</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auto"/>
                <w:kern w:val="0"/>
                <w:sz w:val="24"/>
                <w:szCs w:val="24"/>
                <w:highlight w:val="none"/>
              </w:rPr>
              <w:t>承接过的工程项目业绩获得奖项情况：</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1.获得国家级奖项的，每个得</w:t>
            </w:r>
            <w:r>
              <w:rPr>
                <w:rFonts w:hint="eastAsia"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2.获得省级奖项的，每个得</w:t>
            </w:r>
            <w:r>
              <w:rPr>
                <w:rFonts w:hint="eastAsia"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3.获得地市级奖项，每个得</w:t>
            </w:r>
            <w:r>
              <w:rPr>
                <w:rFonts w:hint="eastAsia"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4.以上奖项均未获得的，不予计分；</w:t>
            </w:r>
          </w:p>
          <w:p>
            <w:pPr>
              <w:keepNext w:val="0"/>
              <w:keepLines w:val="0"/>
              <w:pageBreakBefore w:val="0"/>
              <w:widowControl w:val="0"/>
              <w:kinsoku/>
              <w:overflowPunct/>
              <w:topLinePunct w:val="0"/>
              <w:autoSpaceDN/>
              <w:bidi w:val="0"/>
              <w:spacing w:line="46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本项最高得</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1.投标人可以提交多个等级奖项供评审，但同一项目只按最高获奖等级计分，不同项目的国家级、省级、市级奖项可累加计分。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snapToGrid w:val="0"/>
                <w:color w:val="auto"/>
                <w:kern w:val="0"/>
                <w:sz w:val="24"/>
                <w:szCs w:val="24"/>
                <w:highlight w:val="none"/>
              </w:rPr>
              <w:t>须</w:t>
            </w:r>
            <w:r>
              <w:rPr>
                <w:rFonts w:hint="eastAsia" w:ascii="宋体" w:hAnsi="宋体" w:eastAsia="宋体" w:cs="宋体"/>
                <w:color w:val="auto"/>
                <w:sz w:val="24"/>
                <w:szCs w:val="24"/>
                <w:highlight w:val="none"/>
              </w:rPr>
              <w:t>附有关奖项证明彩色扫描件（或彩色打印件）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color w:val="auto"/>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3.颁发机构限定以下范围：</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①国家级奖项：国务院、住建部、国家级行业协会（学会）；（相关协会/学会需经民政部门备案）</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②省级奖项：省级人民政府、省级住建部门、省级行业协会（学会）；（相关协会/学会需经民政部门备案）</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③地市级奖项：地市级人民政府、地市级住建部门、地市级行业协会（学会）。（相关协会/学会需经民政部门备案）</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4.获奖时间以奖项证明的落款日期为准。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rPr>
              <w:t>5.不符合评分标准和备注规定的，不予计分。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企业</w:t>
            </w:r>
            <w:r>
              <w:rPr>
                <w:rFonts w:hint="eastAsia" w:ascii="宋体" w:hAnsi="宋体" w:eastAsia="宋体" w:cs="宋体"/>
                <w:snapToGrid w:val="0"/>
                <w:color w:val="auto"/>
                <w:kern w:val="0"/>
                <w:sz w:val="24"/>
                <w:szCs w:val="24"/>
                <w:highlight w:val="none"/>
              </w:rPr>
              <w:t>体系</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认证</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具有质量管理体系认证证书、职业健康安全管理体系认证证书、环境管理体系认证证书的，且在有效期内的，每项得</w:t>
            </w:r>
            <w:r>
              <w:rPr>
                <w:rFonts w:hint="eastAsia"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1.须提供相关证书彩色扫描件（或彩色打印件）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2.不符合评分标准和备注规定的，不予计分。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pacing w:val="9"/>
                <w:sz w:val="24"/>
                <w:szCs w:val="24"/>
                <w:highlight w:val="none"/>
                <w:lang w:val="en-US" w:eastAsia="zh-CN"/>
              </w:rPr>
              <w:t>项目负责人（设计负责人）</w:t>
            </w:r>
            <w:r>
              <w:rPr>
                <w:rFonts w:hint="eastAsia" w:ascii="宋体" w:hAnsi="宋体" w:eastAsia="宋体" w:cs="宋体"/>
                <w:color w:val="auto"/>
                <w:sz w:val="24"/>
                <w:szCs w:val="24"/>
                <w:highlight w:val="none"/>
                <w:lang w:val="en-US" w:eastAsia="zh-CN"/>
              </w:rPr>
              <w:t>综合素质</w:t>
            </w: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rPr>
              <w:t>拟委派担任本项目的项目负责人（设计负责人）具</w:t>
            </w:r>
            <w:r>
              <w:rPr>
                <w:rFonts w:hint="eastAsia" w:ascii="宋体" w:hAnsi="宋体" w:eastAsia="宋体" w:cs="宋体"/>
                <w:snapToGrid w:val="0"/>
                <w:color w:val="auto"/>
                <w:kern w:val="0"/>
                <w:sz w:val="24"/>
                <w:szCs w:val="24"/>
                <w:highlight w:val="none"/>
                <w:lang w:val="en-US" w:eastAsia="zh-CN"/>
              </w:rPr>
              <w:t>有</w:t>
            </w:r>
            <w:r>
              <w:rPr>
                <w:rFonts w:hint="eastAsia" w:ascii="宋体" w:hAnsi="宋体" w:eastAsia="宋体" w:cs="宋体"/>
                <w:color w:val="auto"/>
                <w:sz w:val="24"/>
                <w:szCs w:val="24"/>
                <w:highlight w:val="none"/>
                <w:lang w:val="en-US" w:eastAsia="zh-CN"/>
              </w:rPr>
              <w:t>工程类相关专业工程师或以上职称的</w:t>
            </w:r>
            <w:r>
              <w:rPr>
                <w:rFonts w:hint="eastAsia" w:ascii="宋体" w:hAnsi="宋体" w:eastAsia="宋体" w:cs="宋体"/>
                <w:snapToGrid w:val="0"/>
                <w:color w:val="auto"/>
                <w:kern w:val="0"/>
                <w:sz w:val="24"/>
                <w:szCs w:val="24"/>
                <w:highlight w:val="none"/>
                <w:lang w:val="en-US" w:eastAsia="zh-CN"/>
              </w:rPr>
              <w:t>，得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分，本项最高得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须</w:t>
            </w:r>
            <w:r>
              <w:rPr>
                <w:rFonts w:hint="eastAsia" w:ascii="宋体" w:hAnsi="宋体" w:eastAsia="宋体" w:cs="宋体"/>
                <w:snapToGrid w:val="0"/>
                <w:color w:val="auto"/>
                <w:kern w:val="0"/>
                <w:sz w:val="24"/>
                <w:szCs w:val="24"/>
                <w:highlight w:val="none"/>
              </w:rPr>
              <w:t>提供相关证书彩色扫描件（或彩色打印件）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.须提供拟派人员</w:t>
            </w:r>
            <w:r>
              <w:rPr>
                <w:rFonts w:hint="eastAsia" w:hAnsi="宋体" w:eastAsia="宋体" w:cs="宋体"/>
                <w:snapToGrid w:val="0"/>
                <w:color w:val="auto"/>
                <w:kern w:val="0"/>
                <w:sz w:val="24"/>
                <w:szCs w:val="24"/>
                <w:highlight w:val="none"/>
                <w:lang w:val="en-US" w:eastAsia="zh-CN"/>
              </w:rPr>
              <w:t>近一个月</w:t>
            </w:r>
            <w:r>
              <w:rPr>
                <w:rFonts w:hint="eastAsia" w:ascii="宋体" w:hAnsi="宋体" w:eastAsia="宋体" w:cs="宋体"/>
                <w:snapToGrid w:val="0"/>
                <w:color w:val="auto"/>
                <w:kern w:val="0"/>
                <w:sz w:val="24"/>
                <w:szCs w:val="24"/>
                <w:highlight w:val="none"/>
                <w:lang w:val="en-US" w:eastAsia="zh-CN"/>
              </w:rPr>
              <w:t>（其中必须有2026年08月）社保证明彩色扫描件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并加盖单位公章，拟派人员为退休返聘人员无法提供社保证明的，须提供退休证和劳动合同彩色扫描件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否则不得分。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项目团队成员资历</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3063" w:type="dxa"/>
            <w:shd w:val="clear" w:color="auto" w:fill="auto"/>
            <w:noWrap w:val="0"/>
            <w:vAlign w:val="center"/>
          </w:tcPr>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投标人拟委派其他主要人员配备情况（除设计负责人外）：</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1.拟派相关专业 (道路) 负责人：</w:t>
            </w:r>
            <w:r>
              <w:rPr>
                <w:rFonts w:hint="eastAsia" w:ascii="宋体" w:hAnsi="宋体" w:eastAsia="宋体" w:cs="宋体"/>
                <w:color w:val="auto"/>
                <w:sz w:val="24"/>
                <w:szCs w:val="24"/>
                <w:highlight w:val="none"/>
                <w:lang w:val="en-US" w:eastAsia="zh-CN"/>
              </w:rPr>
              <w:t>（1）具有注册土木工程师（道路工程）注册证书的，得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（2）具有注册土木工程师（岩土）注册证书的，得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（3）具有道路类相关专业高级工程师或以上职称的，得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2.拟派相关专业（造价）负责人：</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（1）具有一级造价工程师注册证书的，得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（2）①同时具有注册城乡规划师注册证书、咨询工程师（投资）证书、一级注册建造师注册证书、注册监理工程师证书的，得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分；②具有注册城乡规划师注册证书、咨询工程师（投资）证书、一级注册建造师注册证书、注册监理工程师证书任意一项证书的，每项得0.</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分；本小项最高得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（3）具有建筑类相关专业高级工程师或以上职称的，得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分；具有建筑类相关专业工程师职称的，得</w:t>
            </w:r>
            <w:r>
              <w:rPr>
                <w:rFonts w:hint="eastAsia"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val="en-US" w:eastAsia="zh-CN"/>
              </w:rPr>
              <w:t>分；本小项最高得</w:t>
            </w:r>
            <w:r>
              <w:rPr>
                <w:rFonts w:hint="eastAsia"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本项最高得</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p>
            <w:pPr>
              <w:jc w:val="left"/>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auto"/>
                <w:sz w:val="24"/>
                <w:szCs w:val="24"/>
                <w:highlight w:val="none"/>
                <w:lang w:val="en-US" w:eastAsia="zh-CN"/>
              </w:rPr>
              <w:t>合计</w:t>
            </w:r>
            <w:r>
              <w:rPr>
                <w:rFonts w:hint="eastAsia" w:ascii="宋体" w:hAnsi="宋体" w:eastAsia="宋体" w:cs="宋体"/>
                <w:color w:val="auto"/>
                <w:sz w:val="24"/>
                <w:szCs w:val="24"/>
                <w:highlight w:val="none"/>
              </w:rPr>
              <w:t>最高得</w:t>
            </w: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提供相关证书彩色扫描件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lang w:val="en-US" w:eastAsia="zh-CN"/>
              </w:rPr>
              <w:t>以上人员不能重复，</w:t>
            </w:r>
            <w:r>
              <w:rPr>
                <w:rFonts w:hint="eastAsia" w:ascii="宋体" w:hAnsi="宋体" w:eastAsia="宋体" w:cs="宋体"/>
                <w:color w:val="auto"/>
                <w:sz w:val="24"/>
                <w:szCs w:val="24"/>
                <w:highlight w:val="none"/>
              </w:rPr>
              <w:t>否则不得分。</w:t>
            </w:r>
          </w:p>
          <w:p>
            <w:pPr>
              <w:pStyle w:val="19"/>
              <w:keepNext w:val="0"/>
              <w:keepLines w:val="0"/>
              <w:pageBreakBefore w:val="0"/>
              <w:widowControl w:val="0"/>
              <w:numPr>
                <w:ilvl w:val="0"/>
                <w:numId w:val="0"/>
              </w:numPr>
              <w:kinsoku/>
              <w:overflowPunct/>
              <w:topLinePunct w:val="0"/>
              <w:autoSpaceDE/>
              <w:autoSpaceDN/>
              <w:bidi w:val="0"/>
              <w:spacing w:line="42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提供拟派人员</w:t>
            </w:r>
            <w:r>
              <w:rPr>
                <w:rFonts w:hint="eastAsia" w:hAnsi="宋体" w:eastAsia="宋体" w:cs="宋体"/>
                <w:color w:val="auto"/>
                <w:sz w:val="24"/>
                <w:szCs w:val="24"/>
                <w:highlight w:val="none"/>
                <w:lang w:eastAsia="zh-CN"/>
              </w:rPr>
              <w:t>近一个月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其中</w:t>
            </w:r>
            <w:r>
              <w:rPr>
                <w:rFonts w:hint="eastAsia" w:ascii="宋体" w:hAnsi="宋体" w:eastAsia="宋体" w:cs="宋体"/>
                <w:color w:val="auto"/>
                <w:sz w:val="24"/>
                <w:szCs w:val="24"/>
                <w:highlight w:val="none"/>
              </w:rPr>
              <w:t>必须有202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月）社保证明彩色扫描件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color w:val="auto"/>
                <w:sz w:val="24"/>
                <w:szCs w:val="24"/>
                <w:highlight w:val="none"/>
                <w:lang w:val="en-US" w:eastAsia="zh-CN"/>
              </w:rPr>
              <w:t>并加盖单位公章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拟派人员为退</w:t>
            </w:r>
            <w:r>
              <w:rPr>
                <w:rFonts w:hint="eastAsia" w:ascii="宋体" w:hAnsi="宋体" w:eastAsia="宋体" w:cs="宋体"/>
                <w:b w:val="0"/>
                <w:bCs w:val="0"/>
                <w:color w:val="auto"/>
                <w:sz w:val="24"/>
                <w:szCs w:val="24"/>
                <w:highlight w:val="none"/>
                <w:lang w:val="en-US" w:eastAsia="zh-CN"/>
              </w:rPr>
              <w:t>休返聘人员无法提供社保证明的，须提供退休证和劳动合同（返聘协议）彩色扫描件</w:t>
            </w:r>
            <w:r>
              <w:rPr>
                <w:rFonts w:hint="eastAsia" w:ascii="宋体" w:hAnsi="宋体" w:eastAsia="宋体" w:cs="宋体"/>
                <w:snapToGrid w:val="0"/>
                <w:color w:val="auto"/>
                <w:kern w:val="0"/>
                <w:sz w:val="24"/>
                <w:szCs w:val="24"/>
                <w:highlight w:val="none"/>
              </w:rPr>
              <w:t>（或彩色打印件）</w:t>
            </w:r>
            <w:r>
              <w:rPr>
                <w:rFonts w:hint="eastAsia" w:ascii="宋体" w:hAnsi="宋体" w:eastAsia="宋体" w:cs="宋体"/>
                <w:b w:val="0"/>
                <w:bCs w:val="0"/>
                <w:color w:val="auto"/>
                <w:sz w:val="24"/>
                <w:szCs w:val="24"/>
                <w:highlight w:val="none"/>
                <w:lang w:val="en-US" w:eastAsia="zh-CN"/>
              </w:rPr>
              <w:t>并加盖单位公章，</w:t>
            </w:r>
            <w:r>
              <w:rPr>
                <w:rFonts w:hint="eastAsia" w:ascii="宋体" w:hAnsi="宋体" w:eastAsia="宋体" w:cs="宋体"/>
                <w:color w:val="auto"/>
                <w:sz w:val="24"/>
                <w:szCs w:val="24"/>
                <w:highlight w:val="none"/>
              </w:rPr>
              <w:t>否则不得分。</w:t>
            </w:r>
          </w:p>
          <w:p>
            <w:pPr>
              <w:pStyle w:val="19"/>
              <w:keepNext w:val="0"/>
              <w:keepLines w:val="0"/>
              <w:pageBreakBefore w:val="0"/>
              <w:widowControl w:val="0"/>
              <w:numPr>
                <w:ilvl w:val="0"/>
                <w:numId w:val="0"/>
              </w:numPr>
              <w:kinsoku/>
              <w:overflowPunct/>
              <w:topLinePunct w:val="0"/>
              <w:autoSpaceDE/>
              <w:autoSpaceDN/>
              <w:bidi w:val="0"/>
              <w:spacing w:line="42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不符合评分标准和备注规定的，不予计分。</w:t>
            </w:r>
          </w:p>
          <w:p>
            <w:pPr>
              <w:keepNext w:val="0"/>
              <w:keepLines w:val="0"/>
              <w:pageBreakBefore w:val="0"/>
              <w:widowControl w:val="0"/>
              <w:kinsoku/>
              <w:overflowPunct/>
              <w:topLinePunct w:val="0"/>
              <w:autoSpaceDN/>
              <w:bidi w:val="0"/>
              <w:spacing w:line="460" w:lineRule="exact"/>
              <w:jc w:val="both"/>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vMerge w:val="restart"/>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企业荣誉</w:t>
            </w:r>
          </w:p>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企业获得省级或以上相关行业协会颁发的</w:t>
            </w:r>
            <w:r>
              <w:rPr>
                <w:rFonts w:hint="eastAsia" w:ascii="宋体" w:hAnsi="宋体" w:eastAsia="宋体" w:cs="宋体"/>
                <w:snapToGrid w:val="0"/>
                <w:color w:val="auto"/>
                <w:kern w:val="0"/>
                <w:sz w:val="24"/>
                <w:szCs w:val="24"/>
                <w:highlight w:val="none"/>
                <w:lang w:val="en-US" w:eastAsia="zh-CN"/>
              </w:rPr>
              <w:t>“优秀企业”</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称号</w:t>
            </w:r>
            <w:r>
              <w:rPr>
                <w:rFonts w:hint="eastAsia" w:ascii="宋体" w:hAnsi="宋体" w:eastAsia="宋体" w:cs="宋体"/>
                <w:snapToGrid w:val="0"/>
                <w:color w:val="auto"/>
                <w:kern w:val="0"/>
                <w:sz w:val="24"/>
                <w:szCs w:val="24"/>
                <w:highlight w:val="none"/>
              </w:rPr>
              <w:t>的，得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.证书称号须</w:t>
            </w:r>
            <w:r>
              <w:rPr>
                <w:rFonts w:hint="eastAsia" w:ascii="宋体" w:hAnsi="宋体" w:eastAsia="宋体" w:cs="宋体"/>
                <w:snapToGrid w:val="0"/>
                <w:color w:val="auto"/>
                <w:kern w:val="0"/>
                <w:sz w:val="24"/>
                <w:szCs w:val="24"/>
                <w:highlight w:val="none"/>
              </w:rPr>
              <w:t>由省级或以上行业协会颁发，须提供有关</w:t>
            </w:r>
            <w:r>
              <w:rPr>
                <w:rFonts w:hint="eastAsia" w:ascii="宋体" w:hAnsi="宋体" w:eastAsia="宋体" w:cs="宋体"/>
                <w:snapToGrid w:val="0"/>
                <w:color w:val="auto"/>
                <w:kern w:val="0"/>
                <w:sz w:val="24"/>
                <w:szCs w:val="24"/>
                <w:highlight w:val="none"/>
                <w:lang w:val="en-US" w:eastAsia="zh-CN"/>
              </w:rPr>
              <w:t>证明</w:t>
            </w:r>
            <w:r>
              <w:rPr>
                <w:rFonts w:hint="eastAsia" w:ascii="宋体" w:hAnsi="宋体" w:eastAsia="宋体" w:cs="宋体"/>
                <w:snapToGrid w:val="0"/>
                <w:color w:val="auto"/>
                <w:kern w:val="0"/>
                <w:sz w:val="24"/>
                <w:szCs w:val="24"/>
                <w:highlight w:val="none"/>
              </w:rPr>
              <w:t>彩色扫描件（或彩色打印件）</w:t>
            </w:r>
            <w:r>
              <w:rPr>
                <w:rFonts w:hint="eastAsia" w:ascii="宋体" w:hAnsi="宋体" w:eastAsia="宋体" w:cs="宋体"/>
                <w:snapToGrid w:val="0"/>
                <w:color w:val="auto"/>
                <w:kern w:val="0"/>
                <w:sz w:val="24"/>
                <w:szCs w:val="24"/>
                <w:highlight w:val="none"/>
                <w:lang w:val="en-US" w:eastAsia="zh-CN"/>
              </w:rPr>
              <w:t>并加盖单位公章</w:t>
            </w:r>
            <w:r>
              <w:rPr>
                <w:rFonts w:hint="eastAsia" w:ascii="宋体" w:hAnsi="宋体" w:eastAsia="宋体" w:cs="宋体"/>
                <w:snapToGrid w:val="0"/>
                <w:color w:val="auto"/>
                <w:kern w:val="0"/>
                <w:sz w:val="24"/>
                <w:szCs w:val="24"/>
                <w:highlight w:val="none"/>
              </w:rPr>
              <w:t>。</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颁发机构不符合要求的，不予得分。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行业协会需经民政部门备案。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221" w:type="dxa"/>
            <w:vMerge w:val="continue"/>
            <w:shd w:val="clear" w:color="auto" w:fill="auto"/>
            <w:noWrap w:val="0"/>
            <w:vAlign w:val="center"/>
          </w:tcPr>
          <w:p>
            <w:pPr>
              <w:keepNext w:val="0"/>
              <w:keepLines w:val="0"/>
              <w:pageBreakBefore w:val="0"/>
              <w:widowControl w:val="0"/>
              <w:kinsoku/>
              <w:overflowPunct/>
              <w:topLinePunct w:val="0"/>
              <w:autoSpaceDN/>
              <w:bidi w:val="0"/>
              <w:spacing w:line="460" w:lineRule="exact"/>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tc>
        <w:tc>
          <w:tcPr>
            <w:tcW w:w="3063" w:type="dxa"/>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rPr>
              <w:t>企业获得过“中国质量奖”称号证书的，得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分，本项最高得</w:t>
            </w:r>
            <w:r>
              <w:rPr>
                <w:rFonts w:hint="eastAsia" w:hAnsi="宋体" w:eastAsia="宋体" w:cs="宋体"/>
                <w:snapToGrid w:val="0"/>
                <w:color w:val="auto"/>
                <w:kern w:val="0"/>
                <w:sz w:val="24"/>
                <w:szCs w:val="24"/>
                <w:highlight w:val="none"/>
                <w:lang w:val="en-US" w:eastAsia="zh-CN"/>
              </w:rPr>
              <w:t>2.5</w:t>
            </w:r>
            <w:r>
              <w:rPr>
                <w:rFonts w:hint="eastAsia" w:ascii="宋体" w:hAnsi="宋体" w:eastAsia="宋体" w:cs="宋体"/>
                <w:snapToGrid w:val="0"/>
                <w:color w:val="auto"/>
                <w:kern w:val="0"/>
                <w:sz w:val="24"/>
                <w:szCs w:val="24"/>
                <w:highlight w:val="none"/>
              </w:rPr>
              <w:t>分。</w:t>
            </w:r>
          </w:p>
        </w:tc>
        <w:tc>
          <w:tcPr>
            <w:tcW w:w="3951" w:type="dxa"/>
            <w:gridSpan w:val="2"/>
            <w:shd w:val="clear" w:color="auto" w:fill="auto"/>
            <w:noWrap w:val="0"/>
            <w:vAlign w:val="center"/>
          </w:tcPr>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1.需提供相关证书彩色扫描件，否则不得分。</w:t>
            </w:r>
          </w:p>
          <w:p>
            <w:pPr>
              <w:keepNext w:val="0"/>
              <w:keepLines w:val="0"/>
              <w:pageBreakBefore w:val="0"/>
              <w:widowControl w:val="0"/>
              <w:kinsoku/>
              <w:overflowPunct/>
              <w:topLinePunct w:val="0"/>
              <w:autoSpaceDN/>
              <w:bidi w:val="0"/>
              <w:spacing w:line="460" w:lineRule="exact"/>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auto"/>
                <w:kern w:val="0"/>
                <w:sz w:val="24"/>
                <w:szCs w:val="24"/>
                <w:highlight w:val="none"/>
                <w:lang w:val="en-US" w:eastAsia="zh-CN"/>
              </w:rPr>
              <w:t>2.不符合评分标准和备注规定的，不予计分。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hAnsi="宋体" w:eastAsia="宋体" w:cs="宋体"/>
                <w:color w:val="000000" w:themeColor="text1"/>
                <w:sz w:val="24"/>
                <w:szCs w:val="24"/>
                <w:highlight w:val="none"/>
                <w:lang w:val="en-US" w:eastAsia="zh-CN"/>
                <w14:textFill>
                  <w14:solidFill>
                    <w14:schemeClr w14:val="tx1"/>
                  </w14:solidFill>
                </w14:textFill>
              </w:rPr>
              <w:t>技术部分（10分）</w:t>
            </w: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技术建议书</w:t>
            </w:r>
            <w:r>
              <w:rPr>
                <w:rFonts w:hint="eastAsia" w:hAnsi="宋体" w:eastAsia="宋体" w:cs="宋体"/>
                <w:color w:val="000000" w:themeColor="text1"/>
                <w:sz w:val="24"/>
                <w:szCs w:val="24"/>
                <w:highlight w:val="none"/>
                <w:lang w:val="en-US" w:eastAsia="zh-CN"/>
                <w14:textFill>
                  <w14:solidFill>
                    <w14:schemeClr w14:val="tx1"/>
                  </w14:solidFill>
                </w14:textFill>
              </w:rPr>
              <w:t>（10分）</w:t>
            </w:r>
          </w:p>
        </w:tc>
        <w:tc>
          <w:tcPr>
            <w:tcW w:w="4284" w:type="dxa"/>
            <w:gridSpan w:val="2"/>
            <w:noWrap w:val="0"/>
            <w:vAlign w:val="center"/>
          </w:tcPr>
          <w:p>
            <w:pPr>
              <w:autoSpaceDE w:val="0"/>
              <w:autoSpaceDN w:val="0"/>
              <w:spacing w:line="360" w:lineRule="exac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1.对项目基本情况的了解程度，包括对项目建设背景、项目建设的必要性及紧迫性等（2分）；</w:t>
            </w:r>
          </w:p>
          <w:p>
            <w:pPr>
              <w:autoSpaceDE w:val="0"/>
              <w:autoSpaceDN w:val="0"/>
              <w:spacing w:line="360" w:lineRule="exac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2.总体设计方案是否合理可行（2分）；</w:t>
            </w:r>
          </w:p>
          <w:p>
            <w:pP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3.质量保证措施是否合理可行（2分）；</w:t>
            </w:r>
          </w:p>
          <w:p>
            <w:pPr>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4.进度保证措施是否合理可行（2分）；</w:t>
            </w:r>
          </w:p>
          <w:p>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Times New Roman"/>
                <w:szCs w:val="21"/>
                <w:highlight w:val="none"/>
                <w:lang w:val="en-US" w:eastAsia="zh-CN"/>
              </w:rPr>
              <w:t>5.安全保证措施是否合理可行（2分）。</w:t>
            </w:r>
          </w:p>
        </w:tc>
        <w:tc>
          <w:tcPr>
            <w:tcW w:w="3951" w:type="dxa"/>
            <w:gridSpan w:val="2"/>
            <w:shd w:val="clear" w:color="auto" w:fill="auto"/>
            <w:noWrap w:val="0"/>
            <w:vAlign w:val="center"/>
          </w:tcPr>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81"/>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rPr>
                <w:rFonts w:hint="eastAsia" w:ascii="宋体" w:hAnsi="宋体" w:eastAsia="宋体" w:cs="Times New Roman"/>
                <w:kern w:val="2"/>
                <w:sz w:val="24"/>
                <w:szCs w:val="21"/>
                <w:highlight w:val="none"/>
                <w:lang w:val="en-US" w:eastAsia="zh-CN" w:bidi="ar-SA"/>
              </w:rPr>
            </w:pPr>
            <w:r>
              <w:rPr>
                <w:rFonts w:hint="eastAsia" w:ascii="宋体" w:hAnsi="宋体" w:eastAsia="宋体" w:cs="宋体"/>
                <w:snapToGrid w:val="0"/>
                <w:color w:val="auto"/>
                <w:kern w:val="0"/>
                <w:sz w:val="24"/>
                <w:szCs w:val="24"/>
                <w:highlight w:val="none"/>
              </w:rPr>
              <w:t>【差】得该项评分因素分值的60～70%（含60%）。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restart"/>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w:t>
            </w:r>
          </w:p>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0分）</w:t>
            </w:r>
          </w:p>
        </w:tc>
        <w:tc>
          <w:tcPr>
            <w:tcW w:w="595" w:type="dxa"/>
            <w:noWrap w:val="0"/>
            <w:vAlign w:val="center"/>
          </w:tcPr>
          <w:p>
            <w:pPr>
              <w:keepNext/>
              <w:keepLines w:val="0"/>
              <w:pageBreakBefore w:val="0"/>
              <w:widowControl/>
              <w:kinsoku/>
              <w:wordWrap w:val="0"/>
              <w:overflowPunct/>
              <w:topLinePunct w:val="0"/>
              <w:autoSpaceDE/>
              <w:autoSpaceDN/>
              <w:bidi w:val="0"/>
              <w:spacing w:line="360" w:lineRule="exact"/>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62" w:name="_Toc5338"/>
            <w:r>
              <w:rPr>
                <w:rFonts w:hint="eastAsia" w:ascii="宋体" w:hAnsi="宋体" w:eastAsia="宋体" w:cs="宋体"/>
                <w:color w:val="000000" w:themeColor="text1"/>
                <w:sz w:val="24"/>
                <w:szCs w:val="24"/>
                <w:highlight w:val="none"/>
                <w14:textFill>
                  <w14:solidFill>
                    <w14:schemeClr w14:val="tx1"/>
                  </w14:solidFill>
                </w14:textFill>
              </w:rPr>
              <w:t>评标基准价D</w:t>
            </w:r>
            <w:bookmarkEnd w:id="262"/>
          </w:p>
        </w:tc>
        <w:tc>
          <w:tcPr>
            <w:tcW w:w="8235" w:type="dxa"/>
            <w:gridSpan w:val="4"/>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2"/>
              <w:tblW w:w="7360" w:type="dxa"/>
              <w:tblInd w:w="113" w:type="dxa"/>
              <w:shd w:val="clear" w:color="auto" w:fill="FFFFFF"/>
              <w:tblLayout w:type="fixed"/>
              <w:tblCellMar>
                <w:top w:w="0" w:type="dxa"/>
                <w:left w:w="108" w:type="dxa"/>
                <w:bottom w:w="0" w:type="dxa"/>
                <w:right w:w="108" w:type="dxa"/>
              </w:tblCellMar>
            </w:tblPr>
            <w:tblGrid>
              <w:gridCol w:w="1408"/>
              <w:gridCol w:w="846"/>
              <w:gridCol w:w="760"/>
              <w:gridCol w:w="880"/>
              <w:gridCol w:w="831"/>
              <w:gridCol w:w="969"/>
              <w:gridCol w:w="913"/>
              <w:gridCol w:w="753"/>
            </w:tblGrid>
            <w:tr>
              <w:tblPrEx>
                <w:shd w:val="clear" w:color="auto" w:fill="FFFFFF"/>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r>
            <w:tr>
              <w:tblPrEx>
                <w:shd w:val="clear" w:color="auto" w:fill="FFFFFF"/>
                <w:tblCellMar>
                  <w:top w:w="0" w:type="dxa"/>
                  <w:left w:w="108" w:type="dxa"/>
                  <w:bottom w:w="0" w:type="dxa"/>
                  <w:right w:w="108" w:type="dxa"/>
                </w:tblCellMar>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.3</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.6</w:t>
                  </w:r>
                </w:p>
              </w:tc>
            </w:tr>
            <w:tr>
              <w:tblPrEx>
                <w:shd w:val="clear" w:color="auto" w:fill="FFFFFF"/>
                <w:tblCellMar>
                  <w:top w:w="0" w:type="dxa"/>
                  <w:left w:w="108" w:type="dxa"/>
                  <w:bottom w:w="0" w:type="dxa"/>
                  <w:right w:w="108" w:type="dxa"/>
                </w:tblCellMar>
              </w:tblPrEx>
              <w:trPr>
                <w:trHeight w:val="413"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w:t>
                  </w:r>
                </w:p>
              </w:tc>
            </w:tr>
            <w:tr>
              <w:tblPrEx>
                <w:tblCellMar>
                  <w:top w:w="0" w:type="dxa"/>
                  <w:left w:w="108" w:type="dxa"/>
                  <w:bottom w:w="0" w:type="dxa"/>
                  <w:right w:w="108" w:type="dxa"/>
                </w:tblCellMar>
              </w:tblPrEx>
              <w:trPr>
                <w:trHeight w:val="408"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.0</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.1</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.2</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.3</w:t>
                  </w:r>
                </w:p>
              </w:tc>
            </w:tr>
            <w:tr>
              <w:tblPrEx>
                <w:tblCellMar>
                  <w:top w:w="0" w:type="dxa"/>
                  <w:left w:w="108" w:type="dxa"/>
                  <w:bottom w:w="0" w:type="dxa"/>
                  <w:right w:w="108" w:type="dxa"/>
                </w:tblCellMar>
              </w:tblPrEx>
              <w:trPr>
                <w:trHeight w:val="396"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号球</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18</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w:t>
                  </w:r>
                </w:p>
              </w:tc>
            </w:tr>
            <w:tr>
              <w:tblPrEx>
                <w:tblCellMar>
                  <w:top w:w="0" w:type="dxa"/>
                  <w:left w:w="108" w:type="dxa"/>
                  <w:bottom w:w="0" w:type="dxa"/>
                  <w:right w:w="108" w:type="dxa"/>
                </w:tblCellMar>
              </w:tblPrEx>
              <w:trPr>
                <w:trHeight w:val="417" w:hRule="atLeast"/>
              </w:trPr>
              <w:tc>
                <w:tcPr>
                  <w:tcW w:w="1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下浮系数（%）</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.4</w:t>
                  </w:r>
                </w:p>
              </w:tc>
              <w:tc>
                <w:tcPr>
                  <w:tcW w:w="7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.5</w:t>
                  </w:r>
                </w:p>
              </w:tc>
              <w:tc>
                <w:tcPr>
                  <w:tcW w:w="8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.6</w:t>
                  </w:r>
                </w:p>
              </w:tc>
              <w:tc>
                <w:tcPr>
                  <w:tcW w:w="8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.7</w:t>
                  </w:r>
                </w:p>
              </w:tc>
              <w:tc>
                <w:tcPr>
                  <w:tcW w:w="9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.8</w:t>
                  </w:r>
                </w:p>
              </w:tc>
              <w:tc>
                <w:tcPr>
                  <w:tcW w:w="9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.9</w:t>
                  </w:r>
                </w:p>
              </w:tc>
              <w:tc>
                <w:tcPr>
                  <w:tcW w:w="7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keepLines w:val="0"/>
                    <w:pageBreakBefore w:val="0"/>
                    <w:widowControl/>
                    <w:kinsoku/>
                    <w:wordWrap w:val="0"/>
                    <w:overflowPunct/>
                    <w:topLinePunct w:val="0"/>
                    <w:autoSpaceDE/>
                    <w:autoSpaceDN/>
                    <w:bidi w:val="0"/>
                    <w:spacing w:line="400" w:lineRule="exact"/>
                    <w:jc w:val="center"/>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.0</w:t>
                  </w:r>
                </w:p>
              </w:tc>
            </w:tr>
          </w:tbl>
          <w:p>
            <w:pPr>
              <w:outlineLvl w:val="9"/>
              <w:rPr>
                <w:rFonts w:hint="eastAsia" w:ascii="宋体" w:hAnsi="宋体" w:eastAsia="宋体" w:cs="Times New Roman"/>
                <w:kern w:val="2"/>
                <w:sz w:val="24"/>
                <w:szCs w:val="21"/>
                <w:highlight w:val="none"/>
                <w:lang w:val="en-US" w:eastAsia="zh-CN" w:bidi="ar-SA"/>
              </w:rPr>
            </w:pPr>
            <w:r>
              <w:rPr>
                <w:rFonts w:hint="eastAsia" w:ascii="宋体" w:hAnsi="宋体" w:eastAsia="宋体" w:cs="宋体"/>
                <w:color w:val="000000" w:themeColor="text1"/>
                <w:sz w:val="24"/>
                <w:szCs w:val="24"/>
                <w:highlight w:val="none"/>
                <w14:textFill>
                  <w14:solidFill>
                    <w14:schemeClr w14:val="tx1"/>
                  </w14:solidFill>
                </w14:textFill>
              </w:rPr>
              <w:t>（2）评标基准价D＝招标控制价×（1－n）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0" w:type="dxa"/>
            <w:vMerge w:val="continue"/>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tc>
        <w:tc>
          <w:tcPr>
            <w:tcW w:w="595" w:type="dxa"/>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投标报价得分N</w:t>
            </w:r>
          </w:p>
        </w:tc>
        <w:tc>
          <w:tcPr>
            <w:tcW w:w="8235" w:type="dxa"/>
            <w:gridSpan w:val="4"/>
            <w:noWrap w:val="0"/>
            <w:vAlign w:val="center"/>
          </w:tcPr>
          <w:p>
            <w:pPr>
              <w:keepNext/>
              <w:keepLines w:val="0"/>
              <w:pageBreakBefore w:val="0"/>
              <w:widowControl/>
              <w:kinsoku/>
              <w:wordWrap w:val="0"/>
              <w:overflowPunct/>
              <w:topLinePunct w:val="0"/>
              <w:autoSpaceDE/>
              <w:autoSpaceDN/>
              <w:bidi w:val="0"/>
              <w:adjustRightInd/>
              <w:snapToGrid/>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采用内插法计算某投标人的投标报价得分N，即当投标人的投标总价等于评标基准价时得</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分，每高于评标基准价一个百分点扣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分,每低于评标基准价一个百分点扣</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分，扣完为止。公式如下：</w:t>
            </w:r>
          </w:p>
          <w:p>
            <w:pPr>
              <w:keepNext/>
              <w:keepLines w:val="0"/>
              <w:pageBreakBefore w:val="0"/>
              <w:widowControl/>
              <w:kinsoku/>
              <w:wordWrap w:val="0"/>
              <w:overflowPunct/>
              <w:topLinePunct w:val="0"/>
              <w:autoSpaceDE/>
              <w:autoSpaceDN/>
              <w:bidi w:val="0"/>
              <w:adjustRightInd/>
              <w:snapToGrid/>
              <w:spacing w:line="36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N＝</w:t>
            </w:r>
            <w:r>
              <w:rPr>
                <w:rFonts w:hint="eastAsia"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（|Di－D|÷D）×100×E</w:t>
            </w:r>
          </w:p>
          <w:p>
            <w:pPr>
              <w:keepNext/>
              <w:keepLines w:val="0"/>
              <w:pageBreakBefore w:val="0"/>
              <w:widowControl/>
              <w:kinsoku/>
              <w:wordWrap w:val="0"/>
              <w:overflowPunct/>
              <w:topLinePunct w:val="0"/>
              <w:autoSpaceDE/>
              <w:autoSpaceDN/>
              <w:bidi w:val="0"/>
              <w:adjustRightInd/>
              <w:snapToGrid/>
              <w:spacing w:before="0" w:beforeLines="0" w:after="0" w:afterLines="0" w:line="360" w:lineRule="exact"/>
              <w:textAlignment w:val="auto"/>
              <w:outlineLvl w:val="9"/>
              <w:rPr>
                <w:rFonts w:hint="eastAsia" w:ascii="宋体" w:hAnsi="宋体" w:eastAsia="宋体" w:cs="Times New Roman"/>
                <w:kern w:val="2"/>
                <w:sz w:val="24"/>
                <w:szCs w:val="21"/>
                <w:highlight w:val="none"/>
                <w:lang w:val="en-US" w:eastAsia="zh-CN" w:bidi="ar-SA"/>
              </w:rPr>
            </w:pPr>
            <w:bookmarkStart w:id="263" w:name="_Toc29477"/>
            <w:r>
              <w:rPr>
                <w:rFonts w:hint="eastAsia" w:ascii="宋体" w:hAnsi="宋体" w:eastAsia="宋体" w:cs="宋体"/>
                <w:color w:val="000000" w:themeColor="text1"/>
                <w:sz w:val="24"/>
                <w:szCs w:val="24"/>
                <w:highlight w:val="none"/>
                <w14:textFill>
                  <w14:solidFill>
                    <w14:schemeClr w14:val="tx1"/>
                  </w14:solidFill>
                </w14:textFill>
              </w:rPr>
              <w:t>式中：D为评标基准价；Di为某投标人的投标总价；E为扣分因子，当Di＞D时，E＝</w:t>
            </w:r>
            <w:r>
              <w:rPr>
                <w:rFonts w:hint="eastAsia" w:hAnsi="宋体" w:eastAsia="宋体" w:cs="宋体"/>
                <w:color w:val="000000" w:themeColor="text1"/>
                <w:sz w:val="24"/>
                <w:szCs w:val="24"/>
                <w:highlight w:val="none"/>
                <w:lang w:val="en-US" w:eastAsia="zh-CN"/>
                <w14:textFill>
                  <w14:solidFill>
                    <w14:schemeClr w14:val="tx1"/>
                  </w14:solidFill>
                </w14:textFill>
              </w:rPr>
              <w:t>0.2</w:t>
            </w:r>
            <w:r>
              <w:rPr>
                <w:rFonts w:hint="eastAsia" w:ascii="宋体" w:hAnsi="宋体" w:eastAsia="宋体" w:cs="宋体"/>
                <w:color w:val="000000" w:themeColor="text1"/>
                <w:sz w:val="24"/>
                <w:szCs w:val="24"/>
                <w:highlight w:val="none"/>
                <w14:textFill>
                  <w14:solidFill>
                    <w14:schemeClr w14:val="tx1"/>
                  </w14:solidFill>
                </w14:textFill>
              </w:rPr>
              <w:t>；当Di＜D时，E＝</w:t>
            </w:r>
            <w:r>
              <w:rPr>
                <w:rFonts w:hint="eastAsia" w:hAnsi="宋体" w:eastAsia="宋体" w:cs="宋体"/>
                <w:color w:val="000000" w:themeColor="text1"/>
                <w:sz w:val="24"/>
                <w:szCs w:val="24"/>
                <w:highlight w:val="none"/>
                <w:lang w:val="en-US" w:eastAsia="zh-CN"/>
                <w14:textFill>
                  <w14:solidFill>
                    <w14:schemeClr w14:val="tx1"/>
                  </w14:solidFill>
                </w14:textFill>
              </w:rPr>
              <w:t>0.1</w:t>
            </w:r>
            <w:r>
              <w:rPr>
                <w:rFonts w:hint="eastAsia" w:ascii="宋体" w:hAnsi="宋体" w:eastAsia="宋体" w:cs="宋体"/>
                <w:color w:val="000000" w:themeColor="text1"/>
                <w:sz w:val="24"/>
                <w:szCs w:val="24"/>
                <w:highlight w:val="none"/>
                <w14:textFill>
                  <w14:solidFill>
                    <w14:schemeClr w14:val="tx1"/>
                  </w14:solidFill>
                </w14:textFill>
              </w:rPr>
              <w:t>。</w:t>
            </w:r>
            <w:bookmarkEnd w:id="2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10" w:type="dxa"/>
            <w:gridSpan w:val="6"/>
            <w:noWrap w:val="0"/>
            <w:vAlign w:val="center"/>
          </w:tcPr>
          <w:p>
            <w:pPr>
              <w:keepNext/>
              <w:keepLines w:val="0"/>
              <w:pageBreakBefore w:val="0"/>
              <w:widowControl/>
              <w:kinsoku/>
              <w:wordWrap w:val="0"/>
              <w:overflowPunct/>
              <w:topLinePunct w:val="0"/>
              <w:autoSpaceDE/>
              <w:autoSpaceDN/>
              <w:bidi w:val="0"/>
              <w:snapToGrid w:val="0"/>
              <w:spacing w:line="360" w:lineRule="exact"/>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商务技术得分</w:t>
            </w:r>
            <w:r>
              <w:rPr>
                <w:rFonts w:hint="eastAsia" w:asciiTheme="minorEastAsia" w:hAnsiTheme="minorEastAsia" w:eastAsiaTheme="minorEastAsia" w:cstheme="minorEastAsia"/>
                <w:bCs/>
                <w:color w:val="000000" w:themeColor="text1"/>
                <w:highlight w:val="none"/>
                <w14:textFill>
                  <w14:solidFill>
                    <w14:schemeClr w14:val="tx1"/>
                  </w14:solidFill>
                </w14:textFill>
              </w:rPr>
              <w:t>+技术部分得分</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+投标报价得分=总得分</w:t>
            </w:r>
          </w:p>
        </w:tc>
      </w:tr>
    </w:tbl>
    <w:p>
      <w:pPr>
        <w:pageBreakBefore w:val="0"/>
        <w:kinsoku/>
        <w:wordWrap w:val="0"/>
        <w:overflowPunct/>
        <w:bidi w:val="0"/>
        <w:rPr>
          <w:rFonts w:hint="eastAsia"/>
          <w:color w:val="000000" w:themeColor="text1"/>
          <w:highlight w:val="none"/>
          <w14:textFill>
            <w14:solidFill>
              <w14:schemeClr w14:val="tx1"/>
            </w14:solidFill>
          </w14:textFill>
        </w:rPr>
      </w:pPr>
    </w:p>
    <w:p>
      <w:pPr>
        <w:pageBreakBefore w:val="0"/>
        <w:kinsoku/>
        <w:wordWrap w:val="0"/>
        <w:overflowPunct/>
        <w:bidi w:val="0"/>
        <w:spacing w:line="440" w:lineRule="exact"/>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kern w:val="0"/>
          <w:szCs w:val="24"/>
          <w:highlight w:val="none"/>
          <w14:textFill>
            <w14:solidFill>
              <w14:schemeClr w14:val="tx1"/>
            </w14:solidFill>
          </w14:textFill>
        </w:rPr>
        <w:t>备注：</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评分如出现小数点，则保留小数点后两位，第三位四舍五入。</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color w:val="000000" w:themeColor="text1"/>
          <w:kern w:val="1"/>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u w:val="double"/>
          <w14:textFill>
            <w14:solidFill>
              <w14:schemeClr w14:val="tx1"/>
            </w14:solidFill>
          </w14:textFill>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52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14.</w:t>
      </w:r>
      <w:r>
        <w:rPr>
          <w:rFonts w:hint="eastAsia" w:asciiTheme="minorEastAsia" w:hAnsiTheme="minorEastAsia" w:eastAsiaTheme="minorEastAsia" w:cstheme="minorEastAsia"/>
          <w:bCs/>
          <w:color w:val="000000" w:themeColor="text1"/>
          <w:spacing w:val="10"/>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spacing w:val="10"/>
          <w:kern w:val="0"/>
          <w:szCs w:val="24"/>
          <w:highlight w:val="none"/>
          <w14:textFill>
            <w14:solidFill>
              <w14:schemeClr w14:val="tx1"/>
            </w14:solidFill>
          </w14:textFill>
        </w:rPr>
        <w:t>.2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否决投标说明</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pPr>
        <w:pStyle w:val="37"/>
        <w:pageBreakBefore w:val="0"/>
        <w:kinsoku/>
        <w:wordWrap w:val="0"/>
        <w:overflowPunct/>
        <w:bidi w:val="0"/>
        <w:spacing w:line="40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pPr>
        <w:pStyle w:val="39"/>
        <w:keepNext/>
        <w:keepLines/>
        <w:pageBreakBefore w:val="0"/>
        <w:kinsoku/>
        <w:wordWrap w:val="0"/>
        <w:overflowPunct/>
        <w:bidi w:val="0"/>
        <w:ind w:firstLine="480"/>
        <w:jc w:val="both"/>
        <w:rPr>
          <w:rStyle w:val="52"/>
          <w:rFonts w:hint="eastAsia" w:ascii="宋体" w:hAnsi="宋体" w:eastAsia="宋体" w:cs="宋体"/>
          <w:b/>
          <w:bCs/>
          <w:color w:val="auto"/>
          <w:highlight w:val="none"/>
        </w:rPr>
      </w:pPr>
      <w:bookmarkStart w:id="264" w:name="_Toc23242"/>
      <w:r>
        <w:rPr>
          <w:rFonts w:hint="eastAsia" w:ascii="宋体" w:hAnsi="宋体" w:eastAsia="宋体" w:cs="宋体"/>
          <w:b/>
          <w:color w:val="000000" w:themeColor="text1"/>
          <w:highlight w:val="none"/>
          <w:lang w:val="en-US" w:eastAsia="zh-CN"/>
          <w14:textFill>
            <w14:solidFill>
              <w14:schemeClr w14:val="tx1"/>
            </w14:solidFill>
          </w14:textFill>
        </w:rPr>
        <w:t>15、</w:t>
      </w:r>
      <w:r>
        <w:rPr>
          <w:rStyle w:val="52"/>
          <w:rFonts w:hint="eastAsia" w:ascii="宋体" w:hAnsi="宋体" w:eastAsia="宋体" w:cs="宋体"/>
          <w:b/>
          <w:bCs/>
          <w:color w:val="auto"/>
          <w:highlight w:val="none"/>
          <w:lang w:val="en-US" w:eastAsia="zh-CN"/>
        </w:rPr>
        <w:t>评</w:t>
      </w:r>
      <w:r>
        <w:rPr>
          <w:rStyle w:val="52"/>
          <w:rFonts w:hint="eastAsia" w:ascii="宋体" w:hAnsi="宋体" w:eastAsia="宋体" w:cs="宋体"/>
          <w:b/>
          <w:bCs/>
          <w:color w:val="auto"/>
          <w:highlight w:val="none"/>
        </w:rPr>
        <w:t>标</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结果</w:t>
      </w:r>
      <w:r>
        <w:rPr>
          <w:rStyle w:val="52"/>
          <w:rFonts w:hint="eastAsia" w:ascii="宋体" w:hAnsi="宋体" w:eastAsia="宋体" w:cs="宋体"/>
          <w:b/>
          <w:bCs/>
          <w:color w:val="auto"/>
          <w:highlight w:val="none"/>
        </w:rPr>
        <w:t>公示</w:t>
      </w:r>
      <w:bookmarkEnd w:id="264"/>
    </w:p>
    <w:p>
      <w:pPr>
        <w:snapToGrid w:val="0"/>
        <w:spacing w:line="360" w:lineRule="auto"/>
        <w:ind w:firstLine="480" w:firstLineChars="200"/>
        <w:rPr>
          <w:rStyle w:val="52"/>
          <w:rFonts w:hint="eastAsia" w:ascii="宋体" w:hAnsi="宋体" w:eastAsia="宋体" w:cs="宋体"/>
          <w:b w:val="0"/>
          <w:bCs w:val="0"/>
          <w:color w:val="auto"/>
          <w:highlight w:val="none"/>
        </w:rPr>
      </w:pPr>
      <w:r>
        <w:rPr>
          <w:rStyle w:val="52"/>
          <w:rFonts w:hint="eastAsia" w:ascii="宋体" w:hAnsi="宋体" w:eastAsia="宋体" w:cs="宋体"/>
          <w:b w:val="0"/>
          <w:bCs w:val="0"/>
          <w:color w:val="auto"/>
          <w:highlight w:val="none"/>
        </w:rPr>
        <w:t>1</w:t>
      </w:r>
      <w:r>
        <w:rPr>
          <w:rStyle w:val="52"/>
          <w:rFonts w:hint="eastAsia" w:ascii="宋体" w:hAnsi="宋体" w:eastAsia="宋体" w:cs="宋体"/>
          <w:b w:val="0"/>
          <w:bCs w:val="0"/>
          <w:color w:val="auto"/>
          <w:highlight w:val="none"/>
          <w:lang w:val="en-US"/>
        </w:rPr>
        <w:t>5</w:t>
      </w:r>
      <w:r>
        <w:rPr>
          <w:rStyle w:val="52"/>
          <w:rFonts w:hint="eastAsia" w:ascii="宋体" w:hAnsi="宋体" w:eastAsia="宋体" w:cs="宋体"/>
          <w:b w:val="0"/>
          <w:bCs w:val="0"/>
          <w:color w:val="auto"/>
          <w:highlight w:val="none"/>
        </w:rPr>
        <w:t>.1 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韶关市公共资源交易中心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pPr>
        <w:pStyle w:val="39"/>
        <w:keepNext/>
        <w:keepLines/>
        <w:pageBreakBefore w:val="0"/>
        <w:kinsoku/>
        <w:wordWrap w:val="0"/>
        <w:overflowPunct/>
        <w:bidi w:val="0"/>
        <w:ind w:firstLine="480"/>
        <w:jc w:val="both"/>
        <w:rPr>
          <w:rFonts w:hint="eastAsia" w:ascii="宋体" w:hAnsi="宋体" w:eastAsia="宋体" w:cs="宋体"/>
          <w:color w:val="auto"/>
          <w:spacing w:val="0"/>
          <w:sz w:val="24"/>
          <w:szCs w:val="24"/>
          <w:highlight w:val="none"/>
          <w:lang w:eastAsia="zh-CN"/>
        </w:rPr>
      </w:pPr>
      <w:bookmarkStart w:id="265" w:name="_Toc27854"/>
      <w:bookmarkStart w:id="266" w:name="_Toc16384"/>
      <w:bookmarkStart w:id="267" w:name="_Toc6322"/>
      <w:bookmarkStart w:id="268" w:name="_Toc1221"/>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eastAsia="zh-CN"/>
        </w:rPr>
        <w:t>、</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定</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标</w:t>
      </w:r>
      <w:bookmarkEnd w:id="265"/>
      <w:bookmarkEnd w:id="266"/>
      <w:bookmarkEnd w:id="267"/>
      <w:bookmarkEnd w:id="268"/>
    </w:p>
    <w:p>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定标办法</w:t>
      </w:r>
    </w:p>
    <w:p>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本项目定标办法由招标人按投标人须知前附表的规定确定。</w:t>
      </w:r>
    </w:p>
    <w:p>
      <w:pPr>
        <w:snapToGrid w:val="0"/>
        <w:spacing w:line="360" w:lineRule="auto"/>
        <w:ind w:firstLine="482" w:firstLineChars="200"/>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（1）现行的法律、法规、规章、规范性文件及国家、省、市各级政府部门工作文件规定；</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（2）招标文件及其他补充通知和补充资料；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（3）评标报告以及定标候选人推荐名单；</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（4）定标候选人的</w:t>
      </w:r>
      <w:r>
        <w:rPr>
          <w:rStyle w:val="52"/>
          <w:rFonts w:hint="eastAsia" w:hAnsi="宋体" w:eastAsia="宋体" w:cs="宋体"/>
          <w:b w:val="0"/>
          <w:bCs w:val="0"/>
          <w:color w:val="auto"/>
          <w:szCs w:val="20"/>
          <w:highlight w:val="none"/>
          <w:lang w:val="en-US" w:eastAsia="zh-CN"/>
        </w:rPr>
        <w:t>定标</w:t>
      </w:r>
      <w:r>
        <w:rPr>
          <w:rStyle w:val="52"/>
          <w:rFonts w:hint="eastAsia" w:ascii="宋体" w:hAnsi="宋体" w:eastAsia="宋体" w:cs="宋体"/>
          <w:b w:val="0"/>
          <w:bCs w:val="0"/>
          <w:color w:val="auto"/>
          <w:szCs w:val="20"/>
          <w:highlight w:val="none"/>
          <w:lang w:val="en-US" w:eastAsia="zh-CN"/>
        </w:rPr>
        <w:t>文件；</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（5）开、评标全过程资料；</w:t>
      </w:r>
    </w:p>
    <w:p>
      <w:pPr>
        <w:snapToGrid w:val="0"/>
        <w:spacing w:line="360" w:lineRule="auto"/>
        <w:ind w:firstLine="480" w:firstLineChars="200"/>
        <w:rPr>
          <w:rStyle w:val="52"/>
          <w:rFonts w:hint="eastAsia" w:ascii="宋体" w:hAnsi="宋体" w:eastAsia="宋体" w:cs="宋体"/>
          <w:b w:val="0"/>
          <w:bCs w:val="0"/>
          <w:color w:val="auto"/>
          <w:szCs w:val="20"/>
          <w:highlight w:val="none"/>
          <w:lang w:val="en-US" w:eastAsia="zh-CN"/>
        </w:rPr>
      </w:pPr>
      <w:r>
        <w:rPr>
          <w:rStyle w:val="52"/>
          <w:rFonts w:hint="eastAsia" w:ascii="宋体" w:hAnsi="宋体" w:eastAsia="宋体" w:cs="宋体"/>
          <w:b w:val="0"/>
          <w:bCs w:val="0"/>
          <w:color w:val="auto"/>
          <w:szCs w:val="20"/>
          <w:highlight w:val="none"/>
          <w:lang w:val="en-US" w:eastAsia="zh-CN"/>
        </w:rPr>
        <w:t>（6）对定标候选人的考察评价资料（如有）；</w:t>
      </w:r>
    </w:p>
    <w:p>
      <w:pPr>
        <w:snapToGrid w:val="0"/>
        <w:spacing w:line="360" w:lineRule="auto"/>
        <w:ind w:firstLine="480" w:firstLineChars="200"/>
        <w:rPr>
          <w:rFonts w:hint="eastAsia" w:ascii="宋体" w:hAnsi="宋体" w:eastAsia="宋体" w:cs="宋体"/>
          <w:b/>
          <w:color w:val="auto"/>
          <w:highlight w:val="none"/>
        </w:rPr>
      </w:pPr>
      <w:r>
        <w:rPr>
          <w:rStyle w:val="52"/>
          <w:rFonts w:hint="eastAsia" w:ascii="宋体" w:hAnsi="宋体" w:eastAsia="宋体" w:cs="宋体"/>
          <w:b w:val="0"/>
          <w:bCs w:val="0"/>
          <w:color w:val="auto"/>
          <w:szCs w:val="20"/>
          <w:highlight w:val="none"/>
          <w:lang w:val="en-US" w:eastAsia="zh-CN"/>
        </w:rPr>
        <w:t>（7）关于本工程的其他相关资料。</w:t>
      </w:r>
      <w:r>
        <w:rPr>
          <w:rStyle w:val="52"/>
          <w:rFonts w:hint="eastAsia" w:ascii="宋体" w:hAnsi="宋体" w:eastAsia="宋体" w:cs="宋体"/>
          <w:b w:val="0"/>
          <w:bCs w:val="0"/>
          <w:color w:val="auto"/>
          <w:szCs w:val="20"/>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招标人应组建招标监督小组，招标</w:t>
      </w:r>
      <w:r>
        <w:rPr>
          <w:rFonts w:hint="eastAsia" w:hAnsi="宋体" w:eastAsia="宋体" w:cs="宋体"/>
          <w:b w:val="0"/>
          <w:bCs w:val="0"/>
          <w:color w:val="auto"/>
          <w:sz w:val="24"/>
          <w:szCs w:val="24"/>
          <w:highlight w:val="none"/>
          <w:u w:val="none"/>
          <w:lang w:val="en-US" w:eastAsia="zh-CN"/>
        </w:rPr>
        <w:t>监督小组应当推荐一名组长，</w:t>
      </w:r>
      <w:r>
        <w:rPr>
          <w:rFonts w:hint="eastAsia" w:ascii="宋体" w:hAnsi="宋体" w:eastAsia="宋体" w:cs="宋体"/>
          <w:strike w:val="0"/>
          <w:dstrike w:val="0"/>
          <w:color w:val="auto"/>
          <w:kern w:val="2"/>
          <w:sz w:val="24"/>
          <w:szCs w:val="24"/>
          <w:highlight w:val="none"/>
          <w:u w:val="none"/>
          <w:lang w:val="en-US" w:eastAsia="zh-CN"/>
        </w:rPr>
        <w:t>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w:t>
      </w:r>
      <w:r>
        <w:rPr>
          <w:rFonts w:hint="eastAsia" w:hAnsi="宋体" w:eastAsia="宋体" w:cs="宋体"/>
          <w:b w:val="0"/>
          <w:bCs w:val="0"/>
          <w:color w:val="auto"/>
          <w:sz w:val="24"/>
          <w:szCs w:val="24"/>
          <w:highlight w:val="none"/>
          <w:u w:val="none"/>
          <w:lang w:val="en-US" w:eastAsia="zh-CN"/>
        </w:rPr>
        <w:t>定标委员会应当推荐一名组长（若</w:t>
      </w:r>
      <w:r>
        <w:rPr>
          <w:rFonts w:hint="eastAsia" w:ascii="宋体" w:hAnsi="宋体" w:eastAsia="宋体" w:cs="宋体"/>
          <w:b w:val="0"/>
          <w:bCs w:val="0"/>
          <w:color w:val="auto"/>
          <w:sz w:val="24"/>
          <w:szCs w:val="24"/>
          <w:highlight w:val="none"/>
          <w:u w:val="none"/>
          <w:lang w:val="en-US" w:eastAsia="zh-CN"/>
        </w:rPr>
        <w:t>招标人的法定代表人或者主要负责人</w:t>
      </w:r>
      <w:r>
        <w:rPr>
          <w:rFonts w:hint="eastAsia" w:hAnsi="宋体" w:eastAsia="宋体" w:cs="宋体"/>
          <w:b w:val="0"/>
          <w:bCs w:val="0"/>
          <w:color w:val="auto"/>
          <w:sz w:val="24"/>
          <w:szCs w:val="24"/>
          <w:highlight w:val="none"/>
          <w:u w:val="none"/>
          <w:lang w:val="en-US" w:eastAsia="zh-CN"/>
        </w:rPr>
        <w:t>参加定标的由其直接</w:t>
      </w:r>
      <w:r>
        <w:rPr>
          <w:rFonts w:hint="eastAsia" w:ascii="宋体" w:hAnsi="宋体" w:eastAsia="宋体" w:cs="宋体"/>
          <w:b w:val="0"/>
          <w:bCs w:val="0"/>
          <w:color w:val="auto"/>
          <w:sz w:val="24"/>
          <w:szCs w:val="24"/>
          <w:highlight w:val="none"/>
          <w:u w:val="none"/>
          <w:lang w:val="en-US" w:eastAsia="zh-CN"/>
        </w:rPr>
        <w:t>担任定标委员会组长</w:t>
      </w:r>
      <w:r>
        <w:rPr>
          <w:rFonts w:hint="eastAsia" w:hAnsi="宋体" w:eastAsia="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w:t>
      </w:r>
      <w:r>
        <w:rPr>
          <w:rFonts w:hint="eastAsia" w:hAnsi="宋体" w:eastAsia="宋体" w:cs="宋体"/>
          <w:b w:val="0"/>
          <w:i w:val="0"/>
          <w:snapToGrid/>
          <w:color w:val="auto"/>
          <w:sz w:val="24"/>
          <w:szCs w:val="24"/>
          <w:highlight w:val="none"/>
          <w:u w:val="none"/>
          <w:shd w:val="clear" w:color="auto" w:fill="FFFFFF"/>
          <w:lang w:val="en-US" w:eastAsia="zh-CN"/>
        </w:rPr>
        <w:t>的定标文件</w:t>
      </w:r>
      <w:r>
        <w:rPr>
          <w:rFonts w:hint="eastAsia" w:ascii="宋体" w:hAnsi="宋体" w:eastAsia="宋体" w:cs="宋体"/>
          <w:b w:val="0"/>
          <w:i w:val="0"/>
          <w:snapToGrid/>
          <w:color w:val="auto"/>
          <w:sz w:val="24"/>
          <w:szCs w:val="24"/>
          <w:highlight w:val="none"/>
          <w:u w:val="none"/>
          <w:shd w:val="clear" w:color="auto" w:fill="FFFFFF"/>
          <w:lang w:eastAsia="zh-CN"/>
        </w:rPr>
        <w:t>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b w:val="0"/>
          <w:bCs w:val="0"/>
          <w:color w:val="auto"/>
          <w:spacing w:val="0"/>
          <w:position w:val="0"/>
          <w:sz w:val="24"/>
          <w:szCs w:val="24"/>
          <w:highlight w:val="none"/>
          <w:u w:val="none" w:color="auto"/>
          <w:lang w:eastAsia="zh-CN"/>
        </w:rPr>
        <w:t>代表介绍项目的概况及招标要求，以及定标方法与定标工作规则，不得发表具有倾向性的言论。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w:t>
      </w:r>
      <w:r>
        <w:rPr>
          <w:rFonts w:hint="eastAsia" w:ascii="宋体" w:hAnsi="宋体" w:eastAsia="宋体" w:cs="宋体"/>
          <w:b w:val="0"/>
          <w:bCs w:val="0"/>
          <w:color w:val="auto"/>
          <w:spacing w:val="0"/>
          <w:position w:val="0"/>
          <w:sz w:val="24"/>
          <w:szCs w:val="24"/>
          <w:highlight w:val="none"/>
          <w:u w:val="none" w:color="auto"/>
          <w:lang w:val="en-US" w:eastAsia="zh-CN"/>
        </w:rPr>
        <w:t>定标</w:t>
      </w:r>
      <w:r>
        <w:rPr>
          <w:rFonts w:hint="eastAsia" w:ascii="宋体" w:hAnsi="宋体" w:eastAsia="宋体" w:cs="宋体"/>
          <w:b w:val="0"/>
          <w:bCs w:val="0"/>
          <w:color w:val="auto"/>
          <w:spacing w:val="0"/>
          <w:position w:val="0"/>
          <w:sz w:val="24"/>
          <w:szCs w:val="24"/>
          <w:highlight w:val="none"/>
          <w:u w:val="none" w:color="auto"/>
          <w:lang w:eastAsia="zh-CN"/>
        </w:rPr>
        <w:t>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w:t>
      </w:r>
      <w:r>
        <w:rPr>
          <w:rFonts w:hint="eastAsia" w:hAnsi="宋体" w:eastAsia="宋体" w:cs="宋体"/>
          <w:color w:val="auto"/>
          <w:sz w:val="24"/>
          <w:szCs w:val="24"/>
          <w:highlight w:val="none"/>
          <w:u w:val="none"/>
          <w:shd w:val="clear" w:color="auto" w:fill="FFFFFF"/>
          <w:lang w:val="en-US" w:eastAsia="zh-CN"/>
        </w:rPr>
        <w:t>定标</w:t>
      </w:r>
      <w:r>
        <w:rPr>
          <w:rFonts w:hint="eastAsia" w:ascii="宋体" w:hAnsi="宋体" w:eastAsia="宋体" w:cs="宋体"/>
          <w:color w:val="auto"/>
          <w:sz w:val="24"/>
          <w:szCs w:val="24"/>
          <w:highlight w:val="none"/>
          <w:u w:val="none"/>
          <w:shd w:val="clear" w:color="auto" w:fill="FFFFFF"/>
        </w:rPr>
        <w:t>文件内容或项目细节存在疑问，可向招标人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color w:val="auto"/>
          <w:sz w:val="24"/>
          <w:szCs w:val="24"/>
          <w:highlight w:val="none"/>
          <w:u w:val="none"/>
          <w:shd w:val="clear" w:color="auto" w:fill="FFFFFF"/>
        </w:rPr>
        <w:t>代表提出。招标人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color w:val="auto"/>
          <w:sz w:val="24"/>
          <w:szCs w:val="24"/>
          <w:highlight w:val="none"/>
          <w:u w:val="none"/>
          <w:shd w:val="clear" w:color="auto" w:fill="FFFFFF"/>
        </w:rPr>
        <w:t>代表应现场作出答复，答复内容不得改变招标</w:t>
      </w:r>
      <w:r>
        <w:rPr>
          <w:rFonts w:hint="eastAsia" w:hAnsi="宋体" w:eastAsia="宋体" w:cs="宋体"/>
          <w:color w:val="auto"/>
          <w:sz w:val="24"/>
          <w:szCs w:val="24"/>
          <w:highlight w:val="none"/>
          <w:u w:val="none"/>
          <w:shd w:val="clear" w:color="auto" w:fill="FFFFFF"/>
          <w:lang w:val="en-US" w:eastAsia="zh-CN"/>
        </w:rPr>
        <w:t>投标</w:t>
      </w:r>
      <w:r>
        <w:rPr>
          <w:rFonts w:hint="eastAsia" w:ascii="宋体" w:hAnsi="宋体" w:eastAsia="宋体" w:cs="宋体"/>
          <w:color w:val="auto"/>
          <w:sz w:val="24"/>
          <w:szCs w:val="24"/>
          <w:highlight w:val="none"/>
          <w:u w:val="none"/>
          <w:shd w:val="clear" w:color="auto" w:fill="FFFFFF"/>
        </w:rPr>
        <w:t>实质性内容，不得明示或暗示中标人。问答过程需形成书面记录，并由提问人与答复人签字确认。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pPr>
        <w:pStyle w:val="2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1</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w:t>
      </w:r>
      <w:r>
        <w:rPr>
          <w:rFonts w:hint="eastAsia" w:hAnsi="宋体" w:eastAsia="宋体" w:cs="宋体"/>
          <w:b/>
          <w:bCs/>
          <w:color w:val="auto"/>
          <w:spacing w:val="0"/>
          <w:position w:val="0"/>
          <w:sz w:val="24"/>
          <w:szCs w:val="24"/>
          <w:highlight w:val="none"/>
          <w:u w:val="none" w:color="auto"/>
          <w:lang w:val="en-US" w:eastAsia="zh-CN"/>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color w:val="auto"/>
          <w:highlight w:val="none"/>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pPr>
        <w:pStyle w:val="39"/>
        <w:keepNext/>
        <w:keepLines/>
        <w:pageBreakBefore w:val="0"/>
        <w:kinsoku/>
        <w:wordWrap w:val="0"/>
        <w:overflowPunct/>
        <w:bidi w:val="0"/>
        <w:ind w:firstLine="480"/>
        <w:jc w:val="both"/>
        <w:rPr>
          <w:rFonts w:hint="eastAsia" w:ascii="宋体" w:hAnsi="宋体" w:eastAsia="宋体" w:cs="宋体"/>
          <w:b/>
          <w:bCs/>
          <w:color w:val="auto"/>
          <w:spacing w:val="0"/>
          <w:sz w:val="24"/>
          <w:szCs w:val="24"/>
          <w:highlight w:val="none"/>
        </w:rPr>
      </w:pPr>
      <w:bookmarkStart w:id="269" w:name="_Toc4967"/>
      <w:bookmarkStart w:id="270"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Theme="minorEastAsia" w:hAnsiTheme="minorEastAsia" w:eastAsiaTheme="minorEastAsia" w:cstheme="minorEastAsia"/>
          <w:b/>
          <w:color w:val="000000" w:themeColor="text1"/>
          <w:kern w:val="2"/>
          <w:highlight w:val="none"/>
          <w:lang w:val="en-US" w:eastAsia="zh-CN"/>
          <w14:textFill>
            <w14:solidFill>
              <w14:schemeClr w14:val="tx1"/>
            </w14:solidFill>
          </w14:textFill>
        </w:rPr>
        <w:t>结果</w:t>
      </w:r>
      <w:r>
        <w:rPr>
          <w:rFonts w:hint="eastAsia" w:ascii="宋体" w:hAnsi="宋体" w:eastAsia="宋体" w:cs="宋体"/>
          <w:b/>
          <w:bCs/>
          <w:color w:val="auto"/>
          <w:spacing w:val="0"/>
          <w:sz w:val="24"/>
          <w:szCs w:val="24"/>
          <w:highlight w:val="none"/>
        </w:rPr>
        <w:t>公示</w:t>
      </w:r>
      <w:bookmarkEnd w:id="269"/>
      <w:bookmarkEnd w:id="27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w:t>
      </w:r>
      <w:r>
        <w:rPr>
          <w:rFonts w:hint="eastAsia" w:ascii="宋体" w:hAnsi="宋体" w:eastAsia="宋体" w:cs="宋体"/>
          <w:b w:val="0"/>
          <w:bCs w:val="0"/>
          <w:color w:val="auto"/>
          <w:spacing w:val="0"/>
          <w:position w:val="0"/>
          <w:sz w:val="24"/>
          <w:szCs w:val="24"/>
          <w:highlight w:val="none"/>
          <w:u w:val="none" w:color="auto"/>
          <w:lang w:val="en-US" w:eastAsia="zh-CN"/>
        </w:rPr>
        <w:t>委员会</w:t>
      </w:r>
      <w:r>
        <w:rPr>
          <w:rFonts w:hint="eastAsia" w:ascii="宋体" w:hAnsi="宋体" w:eastAsia="宋体" w:cs="宋体"/>
          <w:strike w:val="0"/>
          <w:dstrike w:val="0"/>
          <w:color w:val="auto"/>
          <w:kern w:val="2"/>
          <w:sz w:val="24"/>
          <w:szCs w:val="24"/>
          <w:highlight w:val="none"/>
          <w:u w:val="none"/>
          <w:lang w:val="en-US" w:eastAsia="zh-CN" w:bidi="ar-SA"/>
        </w:rPr>
        <w:t>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pStyle w:val="37"/>
        <w:pageBreakBefore w:val="0"/>
        <w:kinsoku/>
        <w:wordWrap w:val="0"/>
        <w:overflowPunct/>
        <w:bidi w:val="0"/>
        <w:spacing w:line="400" w:lineRule="exact"/>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p>
    <w:p>
      <w:pP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bookmarkStart w:id="271" w:name="_Hlt69669771"/>
      <w:bookmarkEnd w:id="271"/>
      <w:bookmarkStart w:id="272" w:name="_Hlt112206772"/>
      <w:bookmarkEnd w:id="272"/>
      <w:bookmarkStart w:id="273" w:name="_Toc24184"/>
      <w:bookmarkStart w:id="274" w:name="_Toc11519"/>
      <w:bookmarkStart w:id="275" w:name="_Toc13416"/>
      <w:bookmarkStart w:id="276" w:name="_Toc16300"/>
      <w:bookmarkStart w:id="277" w:name="_Toc16649"/>
      <w:bookmarkStart w:id="278" w:name="_Toc16203"/>
      <w:bookmarkStart w:id="279" w:name="_Toc9083"/>
      <w:bookmarkStart w:id="280" w:name="_Toc21045"/>
      <w:bookmarkStart w:id="281" w:name="_Hlt69698765"/>
      <w:bookmarkStart w:id="282" w:name="_Hlt69698713"/>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第四节 否决投标条件</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3" w:name="_Toc25868"/>
      <w:r>
        <w:rPr>
          <w:rFonts w:hint="eastAsia" w:asciiTheme="minorEastAsia" w:hAnsiTheme="minorEastAsia" w:eastAsiaTheme="minorEastAsia" w:cstheme="minorEastAsia"/>
          <w:b/>
          <w:bCs/>
          <w:snapToGrid w:val="0"/>
          <w:color w:val="auto"/>
          <w:kern w:val="0"/>
          <w:szCs w:val="24"/>
          <w:highlight w:val="none"/>
        </w:rPr>
        <w:t>1．资格评审环节</w:t>
      </w:r>
      <w:bookmarkEnd w:id="283"/>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投标人有下列情形之一的，评标委员会应否决其投标。被否决的投标人，不进入形式评审环节。</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（1）有本章第三节第4.4条“禁止投标条款”规定的任何一种情形；</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（2）投标人资质不符合规定的；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pPr>
        <w:pageBreakBefore w:val="0"/>
        <w:kinsoku/>
        <w:wordWrap w:val="0"/>
        <w:overflowPunct/>
        <w:bidi w:val="0"/>
        <w:adjustRightInd w:val="0"/>
        <w:snapToGrid w:val="0"/>
        <w:spacing w:line="440" w:lineRule="exact"/>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（4）拟派项目经理、项目技术负责人、专职安全员、设计负责人的条件不符合规定的；拟派专职安全员数量不符合规定的；</w:t>
      </w:r>
    </w:p>
    <w:p>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（5）《项目经理简历表》中拟派项目经理与《开标一览表》不一致的；建造师的注册证书不是</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门颁发的；建造师</w:t>
      </w:r>
      <w:r>
        <w:rPr>
          <w:rFonts w:hint="eastAsia" w:asciiTheme="minorEastAsia" w:hAnsiTheme="minorEastAsia" w:eastAsiaTheme="minorEastAsia" w:cstheme="minorEastAsia"/>
          <w:snapToGrid w:val="0"/>
          <w:color w:val="auto"/>
          <w:kern w:val="0"/>
          <w:szCs w:val="24"/>
          <w:highlight w:val="none"/>
          <w:lang w:eastAsia="zh-CN"/>
        </w:rPr>
        <w:t>、</w:t>
      </w:r>
      <w:r>
        <w:rPr>
          <w:rFonts w:hint="eastAsia" w:asciiTheme="minorEastAsia" w:hAnsiTheme="minorEastAsia" w:eastAsiaTheme="minorEastAsia" w:cstheme="minorEastAsia"/>
          <w:snapToGrid w:val="0"/>
          <w:color w:val="auto"/>
          <w:kern w:val="0"/>
          <w:szCs w:val="24"/>
          <w:highlight w:val="none"/>
          <w:lang w:val="en-US" w:eastAsia="zh-CN"/>
        </w:rPr>
        <w:t>设计负责人</w:t>
      </w:r>
      <w:r>
        <w:rPr>
          <w:rFonts w:hint="eastAsia" w:asciiTheme="minorEastAsia" w:hAnsiTheme="minorEastAsia" w:eastAsiaTheme="minorEastAsia" w:cstheme="minorEastAsia"/>
          <w:snapToGrid w:val="0"/>
          <w:color w:val="auto"/>
          <w:kern w:val="0"/>
          <w:szCs w:val="24"/>
          <w:highlight w:val="none"/>
        </w:rPr>
        <w:t>的注册单位与投标人不一致的；项目管理班子组成人员的各类证书、证件、证明不在有效期内的（建造师注册证书不在使用有效期内的）；擅自修改、遗漏《项目经理任职声明》实质性内容的；</w:t>
      </w:r>
    </w:p>
    <w:p>
      <w:pPr>
        <w:pageBreakBefore w:val="0"/>
        <w:kinsoku/>
        <w:wordWrap w:val="0"/>
        <w:overflowPunct/>
        <w:bidi w:val="0"/>
        <w:adjustRightInd w:val="0"/>
        <w:snapToGrid w:val="0"/>
        <w:spacing w:line="440" w:lineRule="exact"/>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注：投标人已经工商变更，但其员工执业资格注册证书的注册单位名称未完成变更的，不得否决其投标。</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（7）投标人为外省建筑企业，但未提供“进粤企业和人员诚信信息登记平台”企业和拟派人员信息情况打印页或网页截图的。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4" w:name="_Toc16862"/>
      <w:r>
        <w:rPr>
          <w:rFonts w:hint="eastAsia" w:asciiTheme="minorEastAsia" w:hAnsiTheme="minorEastAsia" w:eastAsiaTheme="minorEastAsia" w:cstheme="minorEastAsia"/>
          <w:b/>
          <w:bCs/>
          <w:snapToGrid w:val="0"/>
          <w:color w:val="auto"/>
          <w:kern w:val="0"/>
          <w:szCs w:val="24"/>
          <w:highlight w:val="none"/>
        </w:rPr>
        <w:t>2．形式评审环节</w:t>
      </w:r>
      <w:bookmarkEnd w:id="284"/>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投标人有下列情形之一的，评标委员会应否决其投标。被否决的投标人，不进入响应性评审环节。</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）本章第三节第11.2.2目中规定的“所有投标人均应提供”的组成内容（包括该组成内容的所附资料）中，任何一项有缺漏的；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）投标文件未按规定签字、盖章的；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5" w:name="_Toc11607"/>
      <w:r>
        <w:rPr>
          <w:rFonts w:hint="eastAsia" w:asciiTheme="minorEastAsia" w:hAnsiTheme="minorEastAsia" w:eastAsiaTheme="minorEastAsia" w:cstheme="minorEastAsia"/>
          <w:b/>
          <w:bCs/>
          <w:snapToGrid w:val="0"/>
          <w:color w:val="auto"/>
          <w:kern w:val="0"/>
          <w:szCs w:val="24"/>
          <w:highlight w:val="none"/>
        </w:rPr>
        <w:t>3．响应性评审环节</w:t>
      </w:r>
      <w:bookmarkEnd w:id="285"/>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投标人有下列情形之一的，评标委员会应否决其投标。被否决的投标人，不进入详细评审阶段。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（1）承诺的投标有效期短于规定的；工期超出规定的；擅自修改、遗漏《投标函》《各项承诺一览表》实质性内容的；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pPr>
        <w:pageBreakBefore w:val="0"/>
        <w:kinsoku/>
        <w:wordWrap w:val="0"/>
        <w:overflowPunct/>
        <w:bidi w:val="0"/>
        <w:adjustRightInd w:val="0"/>
        <w:snapToGrid w:val="0"/>
        <w:spacing w:line="440" w:lineRule="exact"/>
        <w:outlineLvl w:val="1"/>
        <w:rPr>
          <w:rFonts w:hint="eastAsia" w:asciiTheme="minorEastAsia" w:hAnsiTheme="minorEastAsia" w:eastAsiaTheme="minorEastAsia" w:cstheme="minorEastAsia"/>
          <w:b/>
          <w:bCs/>
          <w:snapToGrid w:val="0"/>
          <w:color w:val="auto"/>
          <w:kern w:val="0"/>
          <w:szCs w:val="24"/>
          <w:highlight w:val="none"/>
        </w:rPr>
      </w:pPr>
      <w:bookmarkStart w:id="286" w:name="_Toc29578"/>
      <w:r>
        <w:rPr>
          <w:rFonts w:hint="eastAsia" w:asciiTheme="minorEastAsia" w:hAnsiTheme="minorEastAsia" w:eastAsiaTheme="minorEastAsia" w:cstheme="minorEastAsia"/>
          <w:b/>
          <w:bCs/>
          <w:snapToGrid w:val="0"/>
          <w:color w:val="auto"/>
          <w:kern w:val="0"/>
          <w:szCs w:val="24"/>
          <w:highlight w:val="none"/>
        </w:rPr>
        <w:t>4．其他</w:t>
      </w:r>
      <w:bookmarkEnd w:id="286"/>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在任何评标环节（或阶段），投标人有下列情形之一的，评标委员会应否决其投标。被否决的投标人，不进入下一环节（或阶段）。</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）不按评标委员会要求澄清、说明或补正的；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）有下列情形之一，被评标委员会认定属于串通投标的：</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①不同投标人的投标文件两处以上（含两处）错、漏一致；</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③不同投标人的投标各项报价存在异常一致或者呈规律性变化；</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④不同投标人的投标文件由同一单位或者同一个人编制；</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⑤不同投标人的投标文件中投标资料（包括电子资料）相互混装或项目班子成员出现同一人；</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⑥不同投标人的投标文件由同一电脑编制或同一台附属设备打印，或投标报价用同一个预算编制软件密码锁制作或出自同一电子文档；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⑦不同投标人的投标保证由同一企业或同一账户资金缴纳；</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⑧不同投标人委托同一个人或注册在同一家企业的注册人员或同一家企业为其投标提供投标咨询、商务报价、技术咨询（招标工程本身要求采用专有技术的除外）等服务。</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auto"/>
          <w:kern w:val="0"/>
          <w:szCs w:val="24"/>
          <w:highlight w:val="none"/>
        </w:rPr>
        <w:sectPr>
          <w:footerReference r:id="rId5" w:type="default"/>
          <w:endnotePr>
            <w:numFmt w:val="decimal"/>
          </w:endnotePr>
          <w:pgSz w:w="11906" w:h="16838"/>
          <w:pgMar w:top="1701" w:right="1531" w:bottom="1417" w:left="1531" w:header="850" w:footer="992" w:gutter="0"/>
          <w:pgNumType w:fmt="decimal" w:start="1"/>
          <w:cols w:space="720" w:num="1"/>
          <w:docGrid w:linePitch="327" w:charSpace="0"/>
        </w:sectPr>
      </w:pP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287" w:name="_Toc27297"/>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第二章</w:t>
      </w:r>
      <w:bookmarkStart w:id="288" w:name="_Hlt87793831"/>
      <w:bookmarkEnd w:id="288"/>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拟签订合同的主要条款</w:t>
      </w:r>
      <w:bookmarkEnd w:id="273"/>
      <w:bookmarkEnd w:id="274"/>
      <w:bookmarkEnd w:id="275"/>
      <w:bookmarkEnd w:id="276"/>
      <w:bookmarkEnd w:id="277"/>
      <w:bookmarkEnd w:id="278"/>
      <w:bookmarkEnd w:id="279"/>
      <w:bookmarkEnd w:id="280"/>
      <w:bookmarkEnd w:id="287"/>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281"/>
    <w:bookmarkEnd w:id="282"/>
    <w:p>
      <w:pPr>
        <w:pStyle w:val="39"/>
        <w:keepNext/>
        <w:keepLines/>
        <w:pageBreakBefore w:val="0"/>
        <w:kinsoku/>
        <w:wordWrap w:val="0"/>
        <w:overflowPunct/>
        <w:bidi w:val="0"/>
        <w:ind w:firstLine="480"/>
        <w:jc w:val="both"/>
        <w:rPr>
          <w:rFonts w:hint="eastAsia" w:asciiTheme="minorEastAsia" w:hAnsiTheme="minorEastAsia" w:eastAsiaTheme="minorEastAsia" w:cstheme="minorEastAsia"/>
          <w:b/>
          <w:color w:val="000000" w:themeColor="text1"/>
          <w:kern w:val="2"/>
          <w:highlight w:val="none"/>
          <w14:textFill>
            <w14:solidFill>
              <w14:schemeClr w14:val="tx1"/>
            </w14:solidFill>
          </w14:textFill>
        </w:rPr>
      </w:pPr>
      <w:bookmarkStart w:id="289" w:name="_Toc19931"/>
      <w:bookmarkStart w:id="290" w:name="_Toc18454"/>
      <w:bookmarkStart w:id="291" w:name="_Toc12651"/>
      <w:bookmarkStart w:id="292" w:name="_Toc28378"/>
      <w:bookmarkStart w:id="293" w:name="_Toc26552"/>
      <w:bookmarkStart w:id="294" w:name="_Toc7347"/>
      <w:bookmarkStart w:id="295" w:name="_Toc22879"/>
      <w:bookmarkStart w:id="296" w:name="_Toc326916629"/>
      <w:bookmarkStart w:id="297" w:name="_Toc21667"/>
      <w:bookmarkStart w:id="298" w:name="_Toc8465"/>
      <w:bookmarkStart w:id="299" w:name="_Toc8407"/>
      <w:bookmarkStart w:id="300" w:name="_Toc322793288"/>
      <w:bookmarkStart w:id="301" w:name="_Hlt69698722"/>
      <w:bookmarkStart w:id="302" w:name="_Hlt69698741"/>
      <w:bookmarkStart w:id="303" w:name="_Hlt69698769"/>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1</w:t>
      </w:r>
      <w:r>
        <w:rPr>
          <w:rFonts w:hint="eastAsia" w:asciiTheme="minorEastAsia" w:hAnsiTheme="minorEastAsia" w:eastAsiaTheme="minorEastAsia" w:cstheme="minorEastAsia"/>
          <w:b/>
          <w:color w:val="000000" w:themeColor="text1"/>
          <w:kern w:val="2"/>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highlight w:val="none"/>
          <w14:textFill>
            <w14:solidFill>
              <w14:schemeClr w14:val="tx1"/>
            </w14:solidFill>
          </w14:textFill>
        </w:rPr>
        <w:t>工程承包方式</w:t>
      </w:r>
      <w:bookmarkEnd w:id="289"/>
      <w:bookmarkEnd w:id="290"/>
      <w:bookmarkEnd w:id="291"/>
      <w:bookmarkEnd w:id="292"/>
      <w:bookmarkEnd w:id="293"/>
      <w:bookmarkEnd w:id="294"/>
      <w:bookmarkEnd w:id="295"/>
      <w:bookmarkEnd w:id="296"/>
      <w:bookmarkEnd w:id="297"/>
      <w:bookmarkEnd w:id="298"/>
      <w:bookmarkEnd w:id="299"/>
      <w:bookmarkEnd w:id="300"/>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1.1承包人按中标价以总承包方式在规定的期限内对</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highlight w:val="none"/>
          <w14:textFill>
            <w14:solidFill>
              <w14:schemeClr w14:val="tx1"/>
            </w14:solidFill>
          </w14:textFill>
        </w:rPr>
        <w:t>（包工</w:t>
      </w:r>
      <w:bookmarkStart w:id="304" w:name="_Hlt87948212"/>
      <w:bookmarkEnd w:id="304"/>
      <w:r>
        <w:rPr>
          <w:rFonts w:hint="eastAsia" w:asciiTheme="minorEastAsia" w:hAnsiTheme="minorEastAsia" w:eastAsiaTheme="minorEastAsia" w:cstheme="minorEastAsia"/>
          <w:color w:val="000000" w:themeColor="text1"/>
          <w:highlight w:val="none"/>
          <w14:textFill>
            <w14:solidFill>
              <w14:schemeClr w14:val="tx1"/>
            </w14:solidFill>
          </w14:textFill>
        </w:rPr>
        <w:t>包料、包质量、包机械、包绿色安全文明施工、包工期等）进行总承包，不允许转包和违法分包，如承包人无相应专业资质，确需分包须与发包人协商并得到发包人和监理人同意并报工程主管部门备案。</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 包工包料：材料符合招标文件要求</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及合同的相关约定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，报验使用；办理用工保险。</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 包质量：符合招标文件要求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及合同有关质量的相关约定</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1.1.3 包安全包文明施工：符合国家及省、市的相关规定及招标文件、合同的相关约定要求。</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 包工期：</w:t>
      </w:r>
      <w:r>
        <w:rPr>
          <w:rFonts w:hint="eastAsia"/>
          <w:snapToGrid w:val="0"/>
          <w:color w:val="000000" w:themeColor="text1"/>
          <w:kern w:val="0"/>
          <w:szCs w:val="21"/>
          <w:highlight w:val="none"/>
          <w14:textFill>
            <w14:solidFill>
              <w14:schemeClr w14:val="tx1"/>
            </w14:solidFill>
          </w14:textFill>
        </w:rPr>
        <w:t>本招标工程</w:t>
      </w:r>
      <w:r>
        <w:rPr>
          <w:rFonts w:hint="eastAsia" w:hAnsi="宋体" w:cs="宋体"/>
          <w:bCs/>
          <w:color w:val="000000" w:themeColor="text1"/>
          <w:szCs w:val="21"/>
          <w:highlight w:val="none"/>
          <w:lang w:eastAsia="zh-CN"/>
          <w14:textFill>
            <w14:solidFill>
              <w14:schemeClr w14:val="tx1"/>
            </w14:solidFill>
          </w14:textFill>
        </w:rPr>
        <w:t>设计、施工</w:t>
      </w:r>
      <w:r>
        <w:rPr>
          <w:rFonts w:hint="eastAsia"/>
          <w:snapToGrid w:val="0"/>
          <w:color w:val="000000" w:themeColor="text1"/>
          <w:kern w:val="0"/>
          <w:szCs w:val="21"/>
          <w:highlight w:val="none"/>
          <w14:textFill>
            <w14:solidFill>
              <w14:schemeClr w14:val="tx1"/>
            </w14:solidFill>
          </w14:textFill>
        </w:rPr>
        <w:t>必须在招标</w:t>
      </w:r>
      <w:r>
        <w:rPr>
          <w:rFonts w:hint="eastAsia"/>
          <w:snapToGrid w:val="0"/>
          <w:color w:val="000000" w:themeColor="text1"/>
          <w:kern w:val="0"/>
          <w:szCs w:val="21"/>
          <w:highlight w:val="none"/>
          <w:lang w:val="en-US" w:eastAsia="zh-CN"/>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规定</w:t>
      </w:r>
      <w:r>
        <w:rPr>
          <w:rFonts w:hint="eastAsia" w:ascii="宋体" w:hAnsi="宋体" w:eastAsia="宋体" w:cs="宋体"/>
          <w:color w:val="000000" w:themeColor="text1"/>
          <w:highlight w:val="none"/>
          <w:lang w:val="en-US" w:eastAsia="zh-CN"/>
          <w14:textFill>
            <w14:solidFill>
              <w14:schemeClr w14:val="tx1"/>
            </w14:solidFill>
          </w14:textFill>
        </w:rPr>
        <w:t>的</w:t>
      </w:r>
      <w:r>
        <w:rPr>
          <w:rFonts w:hint="eastAsia"/>
          <w:snapToGrid w:val="0"/>
          <w:color w:val="000000" w:themeColor="text1"/>
          <w:kern w:val="0"/>
          <w:szCs w:val="21"/>
          <w:highlight w:val="none"/>
          <w14:textFill>
            <w14:solidFill>
              <w14:schemeClr w14:val="tx1"/>
            </w14:solidFill>
          </w14:textFill>
        </w:rPr>
        <w:t>工期内完成</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 xml:space="preserve">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限额设计要求：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1.2.1若造价咨询单位按施工图编制或审核的建安工程费高于</w:t>
      </w:r>
      <w:r>
        <w:rPr>
          <w:rFonts w:hint="eastAsia" w:ascii="宋体" w:hAnsi="宋体" w:eastAsia="宋体" w:cs="宋体"/>
          <w:color w:val="000000" w:themeColor="text1"/>
          <w:sz w:val="24"/>
          <w:szCs w:val="24"/>
          <w:highlight w:val="none"/>
          <w14:textFill>
            <w14:solidFill>
              <w14:schemeClr w14:val="tx1"/>
            </w14:solidFill>
          </w14:textFill>
        </w:rPr>
        <w:t>建安工程费的中标价</w:t>
      </w:r>
      <w:r>
        <w:rPr>
          <w:rFonts w:hint="eastAsia" w:ascii="宋体" w:hAnsi="宋体" w:eastAsia="宋体" w:cs="宋体"/>
          <w:snapToGrid w:val="0"/>
          <w:color w:val="000000" w:themeColor="text1"/>
          <w:kern w:val="0"/>
          <w:sz w:val="24"/>
          <w:szCs w:val="24"/>
          <w:highlight w:val="none"/>
          <w14:textFill>
            <w14:solidFill>
              <w14:schemeClr w14:val="tx1"/>
            </w14:solidFill>
          </w14:textFill>
        </w:rPr>
        <w:t>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，承包人必须无条件对施工图进行修改，直至满足限额设计要求，不另行增加设计费，且由此造成发包人委托的造价咨询单位重复编制或审核施工图预算的费用由承包人承担，结算时在设计费中扣除。</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1.2.2</w:t>
      </w:r>
      <w:r>
        <w:rPr>
          <w:rFonts w:hint="eastAsia" w:ascii="宋体" w:hAnsi="宋体" w:eastAsia="宋体" w:cs="宋体"/>
          <w:color w:val="000000" w:themeColor="text1"/>
          <w:sz w:val="24"/>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pPr>
        <w:pStyle w:val="4"/>
        <w:keepNext/>
        <w:keepLines/>
        <w:pageBreakBefore w:val="0"/>
        <w:kinsoku/>
        <w:wordWrap w:val="0"/>
        <w:overflowPunct/>
        <w:bidi w:val="0"/>
        <w:spacing w:line="360" w:lineRule="auto"/>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05" w:name="_Toc25565"/>
      <w:bookmarkStart w:id="306" w:name="_Toc13437"/>
      <w:bookmarkStart w:id="307" w:name="_Toc28537"/>
      <w:bookmarkStart w:id="308" w:name="_Toc2286"/>
      <w:bookmarkStart w:id="309" w:name="_Toc6675"/>
      <w:bookmarkStart w:id="310" w:name="_Toc12755"/>
      <w:bookmarkStart w:id="311" w:name="_Toc3958"/>
      <w:bookmarkStart w:id="312" w:name="_Toc755"/>
      <w:bookmarkStart w:id="313" w:name="_Toc30405"/>
      <w:bookmarkStart w:id="314" w:name="_Toc11307"/>
      <w:bookmarkStart w:id="315" w:name="_Toc466640604"/>
      <w:bookmarkStart w:id="316" w:name="_Hlt87948447"/>
      <w:bookmarkStart w:id="317" w:name="_Hlt87948449"/>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工程结算原则</w:t>
      </w:r>
      <w:bookmarkEnd w:id="305"/>
      <w:bookmarkEnd w:id="306"/>
      <w:bookmarkEnd w:id="307"/>
      <w:bookmarkEnd w:id="308"/>
      <w:bookmarkEnd w:id="309"/>
      <w:bookmarkEnd w:id="310"/>
      <w:bookmarkEnd w:id="311"/>
      <w:bookmarkEnd w:id="312"/>
      <w:bookmarkEnd w:id="313"/>
      <w:bookmarkEnd w:id="314"/>
      <w:bookmarkEnd w:id="315"/>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费结算原则</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中标价即结算价，设计费总价包干结算时不做调整</w:t>
      </w:r>
      <w:r>
        <w:rPr>
          <w:rFonts w:hint="eastAsia" w:asciiTheme="minorEastAsia" w:hAnsiTheme="minorEastAsia" w:eastAsiaTheme="minorEastAsia" w:cstheme="minorEastAsia"/>
          <w:color w:val="000000" w:themeColor="text1"/>
          <w:kern w:val="1"/>
          <w:szCs w:val="24"/>
          <w:highlight w:val="none"/>
          <w14:textFill>
            <w14:solidFill>
              <w14:schemeClr w14:val="tx1"/>
            </w14:solidFill>
          </w14:textFill>
        </w:rPr>
        <w:t>。</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建安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工程费用结算基准价的确定：以经审核后的预算价乘以（1－承包人中标下浮率）作为此工程项目的建安工程结算基准价（不含预备费），其分部分项工程量清单对应的综合单价即为结算基准单价。</w:t>
      </w:r>
    </w:p>
    <w:p>
      <w:pPr>
        <w:pageBreakBefore w:val="0"/>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费用结算原则：发包人在不增减建设规模的情况下，结算价即为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结算基准价</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，但下列情形除外：</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 国家政策性人工价差调整：</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调整方式按省、市有关规定调整。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 当后继相关法律、法规、规章和政策引起安全文明施工费发生变化时，应当按照省建设行政主管部门或省、韶关市、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工程造价管理机构据此发布的规定调整；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.3.3 当后继相关法律、法规、规章和政策引起规费、税金等发生变化时，应当按照省政府或省、韶关市、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有关主管部门据此发布的规定调整；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人工费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施工图工程量清单预算</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及进度中的消耗量为准。</w:t>
      </w:r>
    </w:p>
    <w:p>
      <w:pPr>
        <w:pageBreakBefore w:val="0"/>
        <w:kinsoku/>
        <w:wordWrap w:val="0"/>
        <w:overflowPunct/>
        <w:bidi w:val="0"/>
        <w:spacing w:line="440" w:lineRule="exact"/>
        <w:ind w:firstLine="482" w:firstLineChars="200"/>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注：人工费、材料单价、机械台班的价差调整基数是以施工当季《</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（如信息价没有时参考施工当月&lt;韶关建筑工程造价信息&gt;）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公布的信息价（包括人工费、材料单价、机械台班）为F1与编制施工图工程量清单预算当季</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kern w:val="0"/>
          <w:szCs w:val="24"/>
          <w:highlight w:val="none"/>
          <w:u w:val="single"/>
          <w:lang w:val="en-US" w:eastAsia="zh-CN"/>
          <w14:textFill>
            <w14:solidFill>
              <w14:schemeClr w14:val="tx1"/>
            </w14:solidFill>
          </w14:textFill>
        </w:rPr>
        <w:t>南雄市</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建筑工程造价信息》</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（如信息价没有时参考预算编制当月</w:t>
      </w:r>
      <w:r>
        <w:rPr>
          <w:rFonts w:hint="eastAsia" w:asciiTheme="minorEastAsia" w:hAnsiTheme="minorEastAsia" w:eastAsiaTheme="minorEastAsia" w:cstheme="minorEastAsia"/>
          <w:b/>
          <w:color w:val="000000" w:themeColor="text1"/>
          <w:kern w:val="0"/>
          <w:szCs w:val="24"/>
          <w:highlight w:val="none"/>
          <w:u w:val="single"/>
          <w14:textFill>
            <w14:solidFill>
              <w14:schemeClr w14:val="tx1"/>
            </w14:solidFill>
          </w14:textFill>
        </w:rPr>
        <w:t>（招标文件所规定的设计预算编制工期内）</w:t>
      </w:r>
      <w:r>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t>&lt;韶关建筑工程造价信息&gt;）</w:t>
      </w:r>
      <w:r>
        <w:rPr>
          <w:rFonts w:hint="eastAsia" w:asciiTheme="minorEastAsia" w:hAnsiTheme="minorEastAsia" w:eastAsiaTheme="minorEastAsia" w:cstheme="minorEastAsia"/>
          <w:b/>
          <w:bCs/>
          <w:color w:val="000000" w:themeColor="text1"/>
          <w:kern w:val="0"/>
          <w:szCs w:val="24"/>
          <w:highlight w:val="none"/>
          <w:u w:val="single"/>
          <w14:textFill>
            <w14:solidFill>
              <w14:schemeClr w14:val="tx1"/>
            </w14:solidFill>
          </w14:textFill>
        </w:rPr>
        <w:t>公布的信息价（包括人工费、材料单价、机械台班）F0比较。</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1）人工费调整方式：按省、市有关规定调整。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2）材料补差方式：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当材料涨价时，材料补差= F0×（A-5%），当材料跌价时，材料补差= F0×（A+5%），材料补差只计算相应的规费和税金。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3）施工机械使用费补差方式：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调价系数A=（F1-F0）÷F0×100%</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当施工机械台班费涨价时，机械台班补差= F0×（A-10%），当施工机械台班费跌价时，机械台班补差= F0×（A+10%）， 施工机械使用费补差只计算相应的规费和税金。</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4）若项目规模、建设标准等发生变化，因变化而发生的措施项目费结算时进行相应增减。</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5）施工合同履行期间，由于非承包人原因导致工程变更的，发、承包双方应当按照GB50500-2013年《建设工程工程量清单计价规范》和省的有关规定，依据实际变更项目调整工程价款。工程变更引起工程量发生变化，出现本合同价款调整方式第3.3.5款情形的，应当按照其规定调整；其他情形的，按照以下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①结算基准价中有适用于变更工程项目的，按照该项目的单价或合价调整；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②结算基准价中没有适用、只有类似于变更工程项目的，可在合理范围内参照类似项目的单价或合价调整；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⑤如发包人只调整材料的等级、规格或品牌，则其综合单价按结算基准价中单价＋该项材料的价差（经发包人审定后的材料单价-结算基准价中的材料单价）进行调整，规费、税金按有关规定调整。</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6）建设工程完工后，发、承包双方和受其委托具有相应资质的工程造价咨询企业必须按照GB50500-2013年《建设工程工程量清单计价规范》和省的有关规定办理竣工结算。</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.3.5 工程造价调整项目若是结算基准价中没有的项目，其造价调整如下：</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按（1）GB50500-2013年《建设工程工程量清单计价规范》、（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清单项目如只单独调整人工、材料、机械台班价差的，其人工、材料、机械台班消耗量均以审定施工图预算中的该清单项目的人工、材料、机械台班消耗量为准。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承包人不得以不完全了解现场情况为理由，提出额外付款或延长工期等要求。对此类要求，发包人不作任何考虑及答复。</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合同履行期间，由于承包人原因导致发生设计变更或现场签证的，由此增加的工程造价费用，由承包人自行承担，发包人不予以考虑和补偿，同时按相关违约条款处罚。</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.4 如发包人减少建设规模，则</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经发包人确认的预算书</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扣减减少</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部分工程造价。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最终结算价由</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财政局投资评审中心审定为准</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 </w:t>
      </w:r>
    </w:p>
    <w:p>
      <w:pPr>
        <w:pageBreakBefore w:val="0"/>
        <w:kinsoku/>
        <w:wordWrap w:val="0"/>
        <w:overflowPunct/>
        <w:bidi w:val="0"/>
        <w:spacing w:line="360" w:lineRule="auto"/>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 预备费：</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由发包人掌握使用，不发生时不计入结算总价。使用范围用于以下情形：</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不发生时不计入结算总价</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（2）国家政策变化导致的调整。</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（3）施工期间市场物价涨落，引起工程所在地工程造价管理机构发布的价格信息中材料价格变化，主要建筑材料（具体参照第3.3.4条款）价格浮动超过+5%的。</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（4）施工合同签订时尚未确定或者不可预见的所需材料、设备、服务的采购。结算时按实际发生根据本招标文件的工程结算原则第3.3.5款进行结算。</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（5）因不可预见的原因施工局部调整或施工技术工艺调整或应急工作需要发生的工程量。</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（6）土石方工程等相应的投资概算范围之外的及因地质情况引起的基础变更的工程价款调整：其工程量按实调整，结算时按实际施工工作量及招标文件、合同约定进行结算。</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本工程结算不另行计取高温补贴费用、专业分包总包服务及配合费、设计优化及修改增加的费用。</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2.7</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pPr>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因本项目为设计、施工总承包，如果施工图由于设计深度原因导致的设计变更，不另行增加费用。</w:t>
      </w:r>
    </w:p>
    <w:p>
      <w:pPr>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2.9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项目工程费用最终结算价以</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财政局投资评审中心审定的结算价进行结算。</w:t>
      </w:r>
    </w:p>
    <w:bookmarkEnd w:id="316"/>
    <w:bookmarkEnd w:id="317"/>
    <w:p>
      <w:pPr>
        <w:pStyle w:val="39"/>
        <w:keepNext/>
        <w:keepLines/>
        <w:pageBreakBefore w:val="0"/>
        <w:kinsoku/>
        <w:wordWrap w:val="0"/>
        <w:overflowPunct/>
        <w:bidi w:val="0"/>
        <w:spacing w:line="500" w:lineRule="exact"/>
        <w:ind w:firstLine="480"/>
        <w:jc w:val="both"/>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pPr>
      <w:bookmarkStart w:id="318" w:name="_Hlt112206782"/>
      <w:bookmarkEnd w:id="318"/>
      <w:bookmarkStart w:id="319" w:name="_Toc29998"/>
      <w:bookmarkStart w:id="320" w:name="_Toc20983"/>
      <w:bookmarkStart w:id="321" w:name="_Toc2973"/>
      <w:bookmarkStart w:id="322" w:name="_Toc326916631"/>
      <w:bookmarkStart w:id="323" w:name="_Toc15300"/>
      <w:bookmarkStart w:id="324" w:name="_Toc16793"/>
      <w:bookmarkStart w:id="325" w:name="_Toc27145"/>
      <w:bookmarkStart w:id="326" w:name="_Toc11208"/>
      <w:bookmarkStart w:id="327" w:name="_Toc24211"/>
      <w:bookmarkStart w:id="328" w:name="_Toc23408"/>
      <w:bookmarkStart w:id="329" w:name="_Toc322793290"/>
      <w:bookmarkStart w:id="330" w:name="_Toc30894"/>
      <w:bookmarkStart w:id="331" w:name="_Hlt87951777"/>
      <w:r>
        <w:rPr>
          <w:rFonts w:hint="eastAsia" w:asciiTheme="minorEastAsia" w:hAnsiTheme="minorEastAsia" w:eastAsiaTheme="minorEastAsia" w:cstheme="minorEastAsia"/>
          <w:b/>
          <w:color w:val="000000" w:themeColor="text1"/>
          <w:kern w:val="2"/>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kern w:val="2"/>
          <w:szCs w:val="24"/>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kern w:val="2"/>
          <w:szCs w:val="24"/>
          <w:highlight w:val="none"/>
          <w14:textFill>
            <w14:solidFill>
              <w14:schemeClr w14:val="tx1"/>
            </w14:solidFill>
          </w14:textFill>
        </w:rPr>
        <w:t>工程付款办法</w:t>
      </w:r>
      <w:bookmarkEnd w:id="319"/>
      <w:bookmarkEnd w:id="320"/>
      <w:bookmarkEnd w:id="321"/>
      <w:bookmarkEnd w:id="322"/>
      <w:bookmarkEnd w:id="323"/>
      <w:bookmarkEnd w:id="324"/>
      <w:bookmarkEnd w:id="325"/>
      <w:bookmarkEnd w:id="326"/>
      <w:bookmarkEnd w:id="327"/>
      <w:bookmarkEnd w:id="328"/>
      <w:bookmarkEnd w:id="329"/>
      <w:bookmarkEnd w:id="330"/>
    </w:p>
    <w:bookmarkEnd w:id="331"/>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332" w:name="_Hlt66591689"/>
      <w:bookmarkEnd w:id="332"/>
      <w:bookmarkStart w:id="333" w:name="_Hlt88976467"/>
      <w:bookmarkEnd w:id="333"/>
      <w:bookmarkStart w:id="334" w:name="_Hlt66593437"/>
      <w:bookmarkEnd w:id="334"/>
      <w:bookmarkStart w:id="335" w:name="_Hlt66608388"/>
      <w:bookmarkEnd w:id="335"/>
      <w:bookmarkStart w:id="336" w:name="_Hlt70150985"/>
      <w:bookmarkEnd w:id="336"/>
      <w:bookmarkStart w:id="337" w:name="_Hlt69700007"/>
      <w:bookmarkEnd w:id="337"/>
      <w:bookmarkStart w:id="338" w:name="_Hlt69114106"/>
      <w:bookmarkEnd w:id="338"/>
      <w:bookmarkStart w:id="339" w:name="_Hlt69669774"/>
      <w:bookmarkEnd w:id="339"/>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设计费的支付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3.1.1完成施工图设计及交付施工图设计成果文件并经审查合格后1个月内发包人支付设计费的80%；</w:t>
      </w:r>
    </w:p>
    <w:p>
      <w:pPr>
        <w:pStyle w:val="37"/>
        <w:pageBreakBefore w:val="0"/>
        <w:kinsoku/>
        <w:wordWrap w:val="0"/>
        <w:overflowPunct/>
        <w:bidi w:val="0"/>
        <w:spacing w:line="500" w:lineRule="exact"/>
        <w:ind w:firstLine="480" w:firstLineChars="200"/>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3.1.2 工程竣工验收合格后，发包人支付余下20%的设计费。</w:t>
      </w:r>
    </w:p>
    <w:p>
      <w:pPr>
        <w:pStyle w:val="37"/>
        <w:pageBreakBefore w:val="0"/>
        <w:kinsoku/>
        <w:wordWrap w:val="0"/>
        <w:overflowPunct/>
        <w:bidi w:val="0"/>
        <w:spacing w:line="500" w:lineRule="exact"/>
        <w:ind w:firstLine="482"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b/>
          <w:bCs/>
          <w:color w:val="000000" w:themeColor="text1"/>
          <w:highlight w:val="none"/>
          <w14:textFill>
            <w14:solidFill>
              <w14:schemeClr w14:val="tx1"/>
            </w14:solidFill>
          </w14:textFill>
        </w:rPr>
        <w:t xml:space="preserve">.2 </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建安工程款的支付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.2.1 本工程</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支付</w:t>
      </w:r>
      <w:r>
        <w:rPr>
          <w:rFonts w:hint="eastAsia" w:asciiTheme="minorEastAsia" w:hAnsiTheme="minorEastAsia" w:eastAsiaTheme="minorEastAsia" w:cstheme="minorEastAsia"/>
          <w:color w:val="000000" w:themeColor="text1"/>
          <w:highlight w:val="none"/>
          <w14:textFill>
            <w14:solidFill>
              <w14:schemeClr w14:val="tx1"/>
            </w14:solidFill>
          </w14:textFill>
        </w:rPr>
        <w:t>施工预付款。</w:t>
      </w:r>
    </w:p>
    <w:p>
      <w:pPr>
        <w:pStyle w:val="37"/>
        <w:pageBreakBefore w:val="0"/>
        <w:kinsoku/>
        <w:wordWrap w:val="0"/>
        <w:overflowPunct/>
        <w:bidi w:val="0"/>
        <w:spacing w:line="500" w:lineRule="exact"/>
        <w:ind w:firstLine="480"/>
        <w:rPr>
          <w:rFonts w:hint="eastAsia" w:asciiTheme="minorEastAsia" w:hAnsiTheme="minorEastAsia" w:eastAsiaTheme="minorEastAsia" w:cstheme="minorEastAsia"/>
          <w:i/>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.2.2 </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施工预付款必须专用于合同工程，并按以下原则支付和抵扣：</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 施工预付款支付比例为：按施工合同价（预备费除外）的</w:t>
      </w:r>
      <w:r>
        <w:rPr>
          <w:rFonts w:hint="eastAsia" w:asciiTheme="minorEastAsia" w:hAnsiTheme="minorEastAsia" w:eastAsiaTheme="minorEastAsia" w:cstheme="minorEastAsia"/>
          <w:snapToGrid w:val="0"/>
          <w:color w:val="auto"/>
          <w:kern w:val="0"/>
          <w:szCs w:val="24"/>
          <w:highlight w:val="none"/>
          <w:u w:val="single"/>
        </w:rPr>
        <w:t xml:space="preserve">30% </w:t>
      </w:r>
      <w:r>
        <w:rPr>
          <w:rFonts w:hint="eastAsia" w:asciiTheme="minorEastAsia" w:hAnsiTheme="minorEastAsia" w:eastAsiaTheme="minorEastAsia" w:cstheme="minorEastAsia"/>
          <w:snapToGrid w:val="0"/>
          <w:color w:val="auto"/>
          <w:kern w:val="0"/>
          <w:szCs w:val="24"/>
          <w:highlight w:val="none"/>
        </w:rPr>
        <w:t>支付（视资金到位情况为准）。</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（2）本工程</w:t>
      </w:r>
      <w:r>
        <w:rPr>
          <w:rFonts w:hint="eastAsia" w:asciiTheme="minorEastAsia" w:hAnsiTheme="minorEastAsia" w:eastAsiaTheme="minorEastAsia" w:cstheme="minorEastAsia"/>
          <w:b/>
          <w:bCs/>
          <w:snapToGrid w:val="0"/>
          <w:color w:val="auto"/>
          <w:kern w:val="0"/>
          <w:szCs w:val="24"/>
          <w:highlight w:val="none"/>
          <w:u w:val="single"/>
          <w:lang w:val="en-US" w:eastAsia="zh-CN"/>
        </w:rPr>
        <w:t>不</w:t>
      </w:r>
      <w:r>
        <w:rPr>
          <w:rFonts w:hint="eastAsia" w:asciiTheme="minorEastAsia" w:hAnsiTheme="minorEastAsia" w:eastAsiaTheme="minorEastAsia" w:cstheme="minorEastAsia"/>
          <w:b/>
          <w:bCs/>
          <w:snapToGrid w:val="0"/>
          <w:color w:val="auto"/>
          <w:kern w:val="0"/>
          <w:szCs w:val="24"/>
          <w:highlight w:val="none"/>
          <w:u w:val="single"/>
        </w:rPr>
        <w:t>要求</w:t>
      </w:r>
      <w:r>
        <w:rPr>
          <w:rFonts w:hint="eastAsia" w:asciiTheme="minorEastAsia" w:hAnsiTheme="minorEastAsia" w:eastAsiaTheme="minorEastAsia" w:cstheme="minorEastAsia"/>
          <w:snapToGrid w:val="0"/>
          <w:color w:val="auto"/>
          <w:kern w:val="0"/>
          <w:szCs w:val="24"/>
          <w:highlight w:val="none"/>
        </w:rPr>
        <w:t>承包人提供与预付款等额的预付款银行保函</w:t>
      </w:r>
      <w:r>
        <w:rPr>
          <w:rFonts w:hint="eastAsia" w:asciiTheme="minorEastAsia" w:hAnsiTheme="minorEastAsia" w:eastAsiaTheme="minorEastAsia" w:cstheme="minorEastAsia"/>
          <w:b/>
          <w:snapToGrid w:val="0"/>
          <w:color w:val="auto"/>
          <w:kern w:val="0"/>
          <w:szCs w:val="24"/>
          <w:highlight w:val="none"/>
        </w:rPr>
        <w:t>。</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snapToGrid w:val="0"/>
          <w:color w:val="auto"/>
          <w:kern w:val="0"/>
          <w:highlight w:val="none"/>
        </w:rPr>
        <w:t>发包人在</w:t>
      </w:r>
      <w:r>
        <w:rPr>
          <w:rFonts w:hint="eastAsia" w:asciiTheme="minorEastAsia" w:hAnsiTheme="minorEastAsia" w:eastAsiaTheme="minorEastAsia" w:cstheme="minorEastAsia"/>
          <w:snapToGrid w:val="0"/>
          <w:color w:val="auto"/>
          <w:kern w:val="0"/>
          <w:szCs w:val="24"/>
          <w:highlight w:val="none"/>
        </w:rPr>
        <w:t>收到</w:t>
      </w:r>
      <w:r>
        <w:rPr>
          <w:rFonts w:hint="eastAsia" w:asciiTheme="minorEastAsia" w:hAnsiTheme="minorEastAsia" w:eastAsiaTheme="minorEastAsia" w:cstheme="minorEastAsia"/>
          <w:snapToGrid w:val="0"/>
          <w:color w:val="auto"/>
          <w:kern w:val="0"/>
          <w:highlight w:val="none"/>
        </w:rPr>
        <w:t>支付申请的7天内进行核实后，按程序向财政部门申请一次性支付</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预付款（工人工资预付款单独支付至工人工资专用账户）。</w:t>
      </w:r>
      <w:r>
        <w:rPr>
          <w:rFonts w:hint="eastAsia" w:asciiTheme="minorEastAsia" w:hAnsiTheme="minorEastAsia" w:eastAsiaTheme="minorEastAsia" w:cstheme="minorEastAsia"/>
          <w:b/>
          <w:snapToGrid w:val="0"/>
          <w:color w:val="000000" w:themeColor="text1"/>
          <w:kern w:val="0"/>
          <w:highlight w:val="none"/>
          <w14:textFill>
            <w14:solidFill>
              <w14:schemeClr w14:val="tx1"/>
            </w14:solidFill>
          </w14:textFill>
        </w:rPr>
        <w:t>凡未签订合同、未提供预付款保函或不具备施工条件的工程，发包人不预付工程款。</w:t>
      </w:r>
    </w:p>
    <w:p>
      <w:pPr>
        <w:pageBreakBefore w:val="0"/>
        <w:kinsoku/>
        <w:wordWrap w:val="0"/>
        <w:overflowPunct/>
        <w:bidi w:val="0"/>
        <w:adjustRightInd w:val="0"/>
        <w:snapToGrid w:val="0"/>
        <w:spacing w:line="500" w:lineRule="exact"/>
        <w:ind w:firstLine="56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预付款</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应从每支付期应支付给承包人的工程进度款中扣回，扣回比例为每支付期的工程进度款的50%，直到扣回的金额达到合同约定的预付款金额为止。</w:t>
      </w:r>
    </w:p>
    <w:p>
      <w:pPr>
        <w:pStyle w:val="37"/>
        <w:pageBreakBefore w:val="0"/>
        <w:kinsoku/>
        <w:wordWrap w:val="0"/>
        <w:overflowPunct/>
        <w:bidi w:val="0"/>
        <w:ind w:firstLine="480" w:firstLineChars="200"/>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.2.3</w:t>
      </w:r>
      <w:r>
        <w:rPr>
          <w:rFonts w:hint="eastAsia" w:hAnsi="宋体" w:cs="宋体"/>
          <w:color w:val="000000" w:themeColor="text1"/>
          <w:kern w:val="0"/>
          <w:szCs w:val="24"/>
          <w:highlight w:val="none"/>
          <w:lang w:bidi="ar"/>
          <w14:textFill>
            <w14:solidFill>
              <w14:schemeClr w14:val="tx1"/>
            </w14:solidFill>
          </w14:textFill>
        </w:rPr>
        <w:t>施工过程中按</w:t>
      </w:r>
      <w:r>
        <w:rPr>
          <w:rFonts w:hint="eastAsia" w:hAnsi="宋体" w:cs="宋体"/>
          <w:strike w:val="0"/>
          <w:dstrike w:val="0"/>
          <w:color w:val="000000" w:themeColor="text1"/>
          <w:kern w:val="0"/>
          <w:szCs w:val="24"/>
          <w:highlight w:val="none"/>
          <w:lang w:val="en-US" w:eastAsia="zh-CN" w:bidi="ar"/>
          <w14:textFill>
            <w14:solidFill>
              <w14:schemeClr w14:val="tx1"/>
            </w14:solidFill>
          </w14:textFill>
        </w:rPr>
        <w:t>工程进度</w:t>
      </w:r>
      <w:r>
        <w:rPr>
          <w:rFonts w:hint="eastAsia" w:hAnsi="宋体" w:cs="宋体"/>
          <w:color w:val="000000" w:themeColor="text1"/>
          <w:kern w:val="0"/>
          <w:szCs w:val="24"/>
          <w:highlight w:val="none"/>
          <w:lang w:bidi="ar"/>
          <w14:textFill>
            <w14:solidFill>
              <w14:schemeClr w14:val="tx1"/>
            </w14:solidFill>
          </w14:textFill>
        </w:rPr>
        <w:t>支付工程进度款：承包人按工程实际完成工程量（含变更及增加工程）申报，承包人必须将《已完成工程量报表》和《工程付款申请书》报监理单位核实。经监理单位审核、发包人审定后的工程进度款（指已经按照合同约定，扣除该支付期内因承包人违约而应扣除的管理费），</w:t>
      </w:r>
      <w:r>
        <w:rPr>
          <w:rFonts w:hint="eastAsia" w:hAnsi="宋体" w:cs="宋体"/>
          <w:color w:val="000000" w:themeColor="text1"/>
          <w:kern w:val="0"/>
          <w:szCs w:val="24"/>
          <w:highlight w:val="none"/>
          <w:lang w:val="en-US" w:eastAsia="zh-CN" w:bidi="ar"/>
          <w14:textFill>
            <w14:solidFill>
              <w14:schemeClr w14:val="tx1"/>
            </w14:solidFill>
          </w14:textFill>
        </w:rPr>
        <w:t>方可</w:t>
      </w:r>
      <w:r>
        <w:rPr>
          <w:rFonts w:hint="eastAsia" w:hAnsi="宋体" w:cs="宋体"/>
          <w:color w:val="000000" w:themeColor="text1"/>
          <w:kern w:val="0"/>
          <w:szCs w:val="24"/>
          <w:highlight w:val="none"/>
          <w:lang w:bidi="ar"/>
          <w14:textFill>
            <w14:solidFill>
              <w14:schemeClr w14:val="tx1"/>
            </w14:solidFill>
          </w14:textFill>
        </w:rPr>
        <w:t>支付工程进度款</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施工过程中按月支付工程进度款：承包人每月按</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工程形象进度申</w:t>
      </w:r>
      <w:r>
        <w:rPr>
          <w:rFonts w:hint="eastAsia" w:asciiTheme="minorEastAsia" w:hAnsiTheme="minorEastAsia" w:eastAsiaTheme="minorEastAsia" w:cstheme="minorEastAsia"/>
          <w:color w:val="000000" w:themeColor="text1"/>
          <w:highlight w:val="none"/>
          <w14:textFill>
            <w14:solidFill>
              <w14:schemeClr w14:val="tx1"/>
            </w14:solidFill>
          </w14:textFill>
        </w:rPr>
        <w:t>报，截止日为当月26日，形象进度和</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《工程付款申请书》</w:t>
      </w:r>
      <w:r>
        <w:rPr>
          <w:rFonts w:hint="eastAsia" w:asciiTheme="minorEastAsia" w:hAnsiTheme="minorEastAsia" w:eastAsiaTheme="minorEastAsia" w:cstheme="minorEastAsia"/>
          <w:color w:val="000000" w:themeColor="text1"/>
          <w:highlight w:val="none"/>
          <w14:textFill>
            <w14:solidFill>
              <w14:schemeClr w14:val="tx1"/>
            </w14:solidFill>
          </w14:textFill>
        </w:rPr>
        <w:t>由监理单位核实确认，经</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造价咨询单位（如有造价单位）审核，</w:t>
      </w:r>
      <w:r>
        <w:rPr>
          <w:rFonts w:hint="eastAsia" w:asciiTheme="minorEastAsia" w:hAnsiTheme="minorEastAsia" w:eastAsiaTheme="minorEastAsia" w:cstheme="minorEastAsia"/>
          <w:color w:val="000000" w:themeColor="text1"/>
          <w:highlight w:val="none"/>
          <w14:textFill>
            <w14:solidFill>
              <w14:schemeClr w14:val="tx1"/>
            </w14:solidFill>
          </w14:textFill>
        </w:rPr>
        <w:t>再经发包人审核确认后于申报工程进度款的次月支付。</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pPr>
        <w:pStyle w:val="37"/>
        <w:pageBreakBefore w:val="0"/>
        <w:kinsoku/>
        <w:wordWrap w:val="0"/>
        <w:overflowPunct/>
        <w:bidi w:val="0"/>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措施项目费中的“绿色施工安全防护措施费”拨付按照《广东省建设工程计价依据（2018）》执行，按照</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韶关市住房和城乡建设管理局《关于明确建筑工程安全防护、文明施工措施费用具体管理办法的通知》韶市建字〔2015〕26号文的</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有关规定支付。发生一般事故及以上等级重大安全事故的，发包人可扣除承包人金额相当于所有“绿色施工安全防护措施费”的工程管理费。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变更工程造价必须经监理单位核实及造价咨询单位（如有造价单位）审核，并经发包人核定后方可支付。</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.5 工程完工后可支付至80％（但不局限于80％）</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结算审核完成后，于次月支付至审定总造价的97%。</w:t>
      </w:r>
    </w:p>
    <w:p>
      <w:pPr>
        <w:pStyle w:val="37"/>
        <w:pageBreakBefore w:val="0"/>
        <w:kinsoku/>
        <w:wordWrap w:val="0"/>
        <w:overflowPunct/>
        <w:bidi w:val="0"/>
        <w:rPr>
          <w:rFonts w:hint="eastAsia" w:asciiTheme="minorEastAsia" w:hAnsiTheme="minorEastAsia" w:eastAsiaTheme="minorEastAsia" w:cstheme="minorEastAsia"/>
          <w:strike/>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.6 剩余3%为工程质量保证金，从工程竣工验收合格之日起满</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若未发现质量问题，</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承包人向发包人申请退还质量保证（或保证金），发包人按照《建设工程质量保证金管理办法》及合同的有关规定和约定将质量保证（或保证金）</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于次月</w:t>
      </w:r>
      <w:r>
        <w:rPr>
          <w:rFonts w:hint="eastAsia" w:asciiTheme="minorEastAsia" w:hAnsiTheme="minorEastAsia" w:eastAsiaTheme="minorEastAsia" w:cstheme="minorEastAsia"/>
          <w:bCs/>
          <w:snapToGrid w:val="0"/>
          <w:color w:val="000000" w:themeColor="text1"/>
          <w:kern w:val="0"/>
          <w:highlight w:val="none"/>
          <w14:textFill>
            <w14:solidFill>
              <w14:schemeClr w14:val="tx1"/>
            </w14:solidFill>
          </w14:textFill>
        </w:rPr>
        <w:t>退还给承包人</w:t>
      </w:r>
      <w:r>
        <w:rPr>
          <w:rFonts w:hint="eastAsia" w:asciiTheme="minorEastAsia" w:hAnsiTheme="minorEastAsia" w:eastAsiaTheme="minorEastAsia" w:cstheme="minorEastAsia"/>
          <w:bCs/>
          <w:color w:val="000000" w:themeColor="text1"/>
          <w:kern w:val="0"/>
          <w:highlight w:val="none"/>
          <w14:textFill>
            <w14:solidFill>
              <w14:schemeClr w14:val="tx1"/>
            </w14:solidFill>
          </w14:textFill>
        </w:rPr>
        <w:t>（不计息）。</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.7承包人提供的工程款发票必须按照发包人要求提供相应增值税发票给发包人，发包人收到符合要求的发票后方可支付工程款。</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如果承包人无法提供符合要求的发票，由此造成的相应损失由承包人承担。</w:t>
      </w:r>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highlight w:val="none"/>
          <w14:textFill>
            <w14:solidFill>
              <w14:schemeClr w14:val="tx1"/>
            </w14:solidFill>
          </w14:textFill>
        </w:rPr>
        <w:t>.8本项目为政府全额投资，所有支付手续经发包人审批后，还须报政府财政部门审批完毕方可支付，如经发包人审批后已及时履行了向财政部门申报审批手续，则发包人不支付延期付</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款的利息，承包人也不得因政府财政部门履行审批程序所造成的延期付款而暂停施工和相关服务。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highlight w:val="none"/>
          <w14:textFill>
            <w14:solidFill>
              <w14:schemeClr w14:val="tx1"/>
            </w14:solidFill>
          </w14:textFill>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本工程按政府有关要求或资金安排情况、合同有关约定，经双方协商可调整建安费支付办法。</w:t>
      </w:r>
    </w:p>
    <w:p>
      <w:pPr>
        <w:pStyle w:val="37"/>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补充条款：</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施工部分</w:t>
      </w:r>
    </w:p>
    <w:p>
      <w:pPr>
        <w:pStyle w:val="55"/>
        <w:pageBreakBefore w:val="0"/>
        <w:widowControl/>
        <w:kinsoku/>
        <w:wordWrap w:val="0"/>
        <w:overflowPunct/>
        <w:bidi w:val="0"/>
        <w:spacing w:line="360" w:lineRule="auto"/>
        <w:ind w:firstLine="482" w:firstLineChars="200"/>
        <w:jc w:val="left"/>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pPr>
      <w:r>
        <w:rPr>
          <w:rFonts w:hint="eastAsia" w:asciiTheme="minorEastAsia" w:hAnsiTheme="minorEastAsia" w:eastAsiaTheme="minorEastAsia" w:cstheme="minorEastAsia"/>
          <w:b/>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highlight w:val="none"/>
          <w:lang w:val="zh-CN"/>
          <w14:textFill>
            <w14:solidFill>
              <w14:schemeClr w14:val="tx1"/>
            </w14:solidFill>
          </w14:textFill>
        </w:rPr>
        <w:t>项目管理</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.1.1项目经理要求：</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项目经理与投标文件承诺不一致或未及时到位，发包人将按照下列方式对承包人进行处罚：</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擅自更换本工程项目经理的，</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即使发包人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事后</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批准同意更换，承包人仍需支付每换一次15万元的违约金（仅被羁押或判处刑罚、身亡可免责）。</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项目经理每延迟到位一天承包人应向发包人支付违约金5万元/天，超过10天（含10天）发包人有权单方解除合同，并要求承包人承担由此造成的一切损失。</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pPr>
        <w:pStyle w:val="55"/>
        <w:pageBreakBefore w:val="0"/>
        <w:widowControl/>
        <w:numPr>
          <w:ilvl w:val="0"/>
          <w:numId w:val="3"/>
        </w:numPr>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pPr>
        <w:pStyle w:val="55"/>
        <w:pageBreakBefore w:val="0"/>
        <w:widowControl/>
        <w:kinsoku/>
        <w:wordWrap w:val="0"/>
        <w:overflowPunct/>
        <w:bidi w:val="0"/>
        <w:spacing w:line="360" w:lineRule="auto"/>
        <w:ind w:firstLine="480" w:firstLineChars="20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上述违约金由承包人直接向发包人支付，未付清之前，发包人有权暂停支付工程款。</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.1.2承包人必须遵守国家相关法律法规、政府相关规定及</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南雄市古市镇人民政府</w:t>
      </w:r>
      <w:r>
        <w:rPr>
          <w:rFonts w:hint="eastAsia" w:asciiTheme="minorEastAsia" w:hAnsiTheme="minorEastAsia" w:eastAsiaTheme="minorEastAsia" w:cstheme="minorEastAsia"/>
          <w:color w:val="000000" w:themeColor="text1"/>
          <w:highlight w:val="none"/>
          <w14:textFill>
            <w14:solidFill>
              <w14:schemeClr w14:val="tx1"/>
            </w14:solidFill>
          </w14:textFill>
        </w:rPr>
        <w:t>的工程管理制度。</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.1.3承包人应根据工程实际需要，配备满足进度要求的施工机械，自备发电机保证供电稳定，所有费用已包含在合同价中。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.1.5在合同履行中如发包人、承包人双方发生争议，应协商、调解解决。协商、</w:t>
      </w:r>
    </w:p>
    <w:p>
      <w:pPr>
        <w:pStyle w:val="55"/>
        <w:pageBreakBefore w:val="0"/>
        <w:widowControl/>
        <w:kinsoku/>
        <w:wordWrap w:val="0"/>
        <w:overflowPunct/>
        <w:bidi w:val="0"/>
        <w:spacing w:line="360" w:lineRule="auto"/>
        <w:ind w:left="0" w:leftChars="0" w:firstLine="0" w:firstLineChars="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调解不成的，双方均可向工程所在地的人民法院提起诉讼，承包人不得以争议未解决为由擅自停工，否则将视为违约，由此产生工期的延误不予顺延。</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承包人未及时通知监理人到场检查，私自将隐蔽部位覆盖，监理人有权指示承包人采用钻孔探测揭开进行检查，由此增加的费用和工期延误责任由承包人承担。</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.1.7承包人必须编制合理的交通维护方案并负责实施，保证施工期间的交通组织符合</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公安交通管理的有关规定，确保施工安全，其费用包含在合同价中。</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.1.8发生伤亡事故，承包人应在第一时间通知发包人，并按规定立即上报有关部门，同时按法律、法规及相关规定的要求及时处理，否则记承包人严重违约责任一次。</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因承包人原因，承包人施工现场发生工伤或其他责任事故的，除按相关法律法规依法接受处理和赔偿所造成的损失外，承包人还须按下列标准向发包人支付惩罚性违约金：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（1）一次事故或全年累计死亡3人及以上：安全第一责任人在韶关市地区建设范围内公开检查；承包人必须撤换项目经理、安全主管，同时支付合同价款15％的惩罚性违约金。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（2）一次事故或全年累计死亡2人：安全第一责任人在韶关市地区建设范围内公开检查；承包人必须撤换项目经理、安全主管，同时支付合同价款10％的惩罚性违约金。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（3）全年死亡1人：安全第一责任人在韶关市地区建设范围内公开检查，并报其上级单位；承包人必须撤换项目经理、安全主管；同时支付合同价款5％的惩罚性违约金。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（4）重伤事故、造成10人及以上集体中毒住院、经济损失重大的火灾、设备及交通事故，依法由承包人承担责任，并支付惩罚性违约金3万元。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（5）因施工造成的道路交通中断、通讯中断、管线漏水漏气等全部责任事故，依法由承包人承担责任，并支付惩罚性违约金2万元。</w:t>
      </w:r>
    </w:p>
    <w:p>
      <w:pPr>
        <w:pStyle w:val="55"/>
        <w:pageBreakBefore w:val="0"/>
        <w:widowControl/>
        <w:kinsoku/>
        <w:wordWrap w:val="0"/>
        <w:overflowPunct/>
        <w:bidi w:val="0"/>
        <w:spacing w:line="360" w:lineRule="auto"/>
        <w:ind w:firstLine="420"/>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.1.9 承包人必须遵守有关环境保护的法律法规，并采取有效措施控制施工现场的各种粉尘、废气、废弃物、噪声、振动等对身体健康和周边环境造成的危害和污染，有关费用已包含在合同价中。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.1.10 工程竣工验收合格后30天内，承包人必须及时</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按</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.1.12 承包人全体现场施工人员佩戴安全帽，全部施工人员佩戴工作牌。</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.1.13 未经发包人书面许可，承包人不得在施工现场布置任何与本项目工程无关的商业广告，否则发包人有权要求承包人予以拆除，承包人并向发包人每次支付违约金10000元。</w:t>
      </w:r>
    </w:p>
    <w:p>
      <w:pPr>
        <w:pageBreakBefore w:val="0"/>
        <w:kinsoku/>
        <w:wordWrap w:val="0"/>
        <w:overflowPunct/>
        <w:autoSpaceDE w:val="0"/>
        <w:autoSpaceDN w:val="0"/>
        <w:bidi w:val="0"/>
        <w:adjustRightInd w:val="0"/>
        <w:snapToGrid w:val="0"/>
        <w:spacing w:beforeLines="50"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.1.14 承包人下列人员有以下情形的，承包人必须在24小时内将其调离，并应在3天内补充经发包人批准的相关合格人员。若承包人不及时履行，发包人则有权要求承包人按每人每次支付违约金1000元/天，具体情形如下：</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（1）发包人确认无法胜任工作者，包括：对分部分项工程施工进度及施工质量达不到合同要求负有责任的施工人员、不熟悉本专业的施工人员、工作责任心不强的施工人员等；</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（2）不积极配合发包人、监理工程师正常工作人员；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（3）违反承包人或发包人工地现场管理规定的人员；</w:t>
      </w:r>
    </w:p>
    <w:p>
      <w:pPr>
        <w:pageBreakBefore w:val="0"/>
        <w:kinsoku/>
        <w:wordWrap w:val="0"/>
        <w:overflowPunct/>
        <w:autoSpaceDE w:val="0"/>
        <w:autoSpaceDN w:val="0"/>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（4）无证上岗人员（适用于按规定必须有上岗证的）；</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（5）与本工程施工无关的人员。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 用工和劳务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.2.1承包人不得从为发包人或工程师服务的人员中招雇任何人员。</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.3施工准备工作</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.3.1承包人应充分认识到本工程的特殊性和复杂性，施工前应切实做好各项准备工作，包括但不限于以下（1）、（2）、（3）的内容：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（1）必须按要求完成临时设施建设和现场指挥部建设。</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（2）按照相关规定及发包人要求做好现场申报、宣传、走访、排查和解释工作。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（3）根据现场实际环境，做好防火、防盗、防坠落等各项措施，排除安全隐患，确保施工期间施工的安全。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.3.2存在设计图纸疑问，必须在施工前30日提出，不得在施工时临时提出，也不得以此手段要求任何索赔，由此造成的一切损失由承包人承担。</w:t>
      </w:r>
    </w:p>
    <w:p>
      <w:pPr>
        <w:pageBreakBefore w:val="0"/>
        <w:kinsoku/>
        <w:wordWrap w:val="0"/>
        <w:overflowPunct/>
        <w:bidi w:val="0"/>
        <w:spacing w:line="360" w:lineRule="auto"/>
        <w:ind w:left="480" w:leftChars="200"/>
        <w:rPr>
          <w:rFonts w:hint="eastAsia" w:asciiTheme="minorEastAsia" w:hAnsiTheme="minorEastAsia" w:eastAsiaTheme="minorEastAsia" w:cstheme="minorEastAsia"/>
          <w:strike/>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.4工程变更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充分考虑工程设计变更带来的风险。工程变更须按政府及发包人的有关规定、审批权限和审批程序进行审批，凡未经发包人审批同意，承包人擅自实施的，一律视为无效变更，结算时发包人不予承认。</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.4.3承包人应按</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人民政府办公室《关于加强市本级政府投资项目财政投资评审监督管理的实施意见》雄府办函[2023]5号的规定及时申报办理工程变更审批手续，并于申请当期工程款之前或一并申报完整的工程变更资料予以备案；凡不符合实施意见要求的变更均为无效变更。</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.5工程量计量的约定：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①承包人不得自行取消施工图或清单中的任何项目，发包人根据需要取消的未施工项目，经监理工程师核实后予以扣减，相应的措施费用予以扣减。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②承包人自身原因造成的返工工程量，不予计量。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③凡超出图纸范围又未经变更审批的工程量，不予计量。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④不符合工程质量标准的工程量，不予计量。</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⑤发包人书面通知承包人取消的工程量，不予计量。</w:t>
      </w:r>
    </w:p>
    <w:p>
      <w:pPr>
        <w:pStyle w:val="32"/>
        <w:pageBreakBefore w:val="0"/>
        <w:kinsoku/>
        <w:wordWrap w:val="0"/>
        <w:overflowPunct/>
        <w:bidi w:val="0"/>
        <w:spacing w:line="360" w:lineRule="auto"/>
        <w:jc w:val="left"/>
        <w:rPr>
          <w:rFonts w:hint="eastAsia" w:asciiTheme="minorEastAsia" w:hAnsiTheme="minorEastAsia" w:eastAsiaTheme="minorEastAsia" w:cstheme="minorEastAsia"/>
          <w:b w:val="0"/>
          <w:bCs/>
          <w:color w:val="000000" w:themeColor="text1"/>
          <w:highlight w:val="none"/>
          <w14:textFill>
            <w14:solidFill>
              <w14:schemeClr w14:val="tx1"/>
            </w14:solidFill>
          </w14:textFill>
        </w:rPr>
      </w:pPr>
      <w:r>
        <w:rPr>
          <w:rFonts w:hint="eastAsia" w:asciiTheme="minorEastAsia" w:hAnsiTheme="minorEastAsia" w:eastAsiaTheme="minorEastAsia" w:cstheme="minorEastAsia"/>
          <w:b w:val="0"/>
          <w:bCs/>
          <w:snapToGrid w:val="0"/>
          <w:color w:val="000000" w:themeColor="text1"/>
          <w:kern w:val="0"/>
          <w:sz w:val="24"/>
          <w:highlight w:val="none"/>
          <w14:textFill>
            <w14:solidFill>
              <w14:schemeClr w14:val="tx1"/>
            </w14:solidFill>
          </w14:textFill>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u w:val="singl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.6承包人对专业分包的总要求</w:t>
      </w:r>
    </w:p>
    <w:p>
      <w:pPr>
        <w:pageBreakBefore w:val="0"/>
        <w:kinsoku/>
        <w:wordWrap w:val="0"/>
        <w:overflowPunct/>
        <w:bidi w:val="0"/>
        <w:adjustRightInd w:val="0"/>
        <w:snapToGrid w:val="0"/>
        <w:spacing w:beforeLines="50"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.6.1承包人对本工程所有分包人的管理费和相互间的配合费用由承包人与分包人自行商定，已含在承包人的投标报价中，发包人不予任何补偿。承包人承担全部管理、组织、协调和配合工作。</w:t>
      </w:r>
    </w:p>
    <w:p>
      <w:pPr>
        <w:pageBreakBefore w:val="0"/>
        <w:kinsoku/>
        <w:wordWrap w:val="0"/>
        <w:overflowPunct/>
        <w:bidi w:val="0"/>
        <w:spacing w:line="360" w:lineRule="auto"/>
        <w:ind w:firstLine="495"/>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pPr>
        <w:pageBreakBefore w:val="0"/>
        <w:kinsoku/>
        <w:wordWrap w:val="0"/>
        <w:overflowPunct/>
        <w:bidi w:val="0"/>
        <w:adjustRightInd w:val="0"/>
        <w:snapToGrid w:val="0"/>
        <w:spacing w:line="360" w:lineRule="auto"/>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 措施项目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.7.1现场安全文明设计必须满足国家、省市相关的要求，除此之外，尚应满足如下要求：</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安全、文明、临时设施要求：①主要管理人员与投标文件内填写的应一致；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②施工现场应封闭施工。进出口要设大门、门卫和门卫制度。主进出口门头设企业标志，两侧要挂“七牌一图”，标牌应规范、整齐；</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④施工期间，承包人应随时根据现场情况对围挡进行维修和保护，确保施工界面达到韶关市、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⑤施工场内，建筑材料、构件和料具要按施工现场平面图的布置要求堆放整齐，并挂物料名称，品种，规格等标牌，施工现场渣土和垃圾清运应当采取喷淋压尘装载；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⑦施工现场的施工区、 办公区、生活区应当分开设置，实行区划管理，临时办公和生活用房应采用轻钢板房，并要具有抗强台风的措施，确保安全；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⑧工地内要配备经培训的急救人员、保健医药箱、安全急救措施和急救器材，要开展卫生、防病自救、互救宣传教育；</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⑨要建立治安保卫制度，责任要分解到人。承包人在施工过程中的施工人员应配备必要的劳动、安全保护用品并佩戴工作证，以及满足招标文件中其他相关规定。</w:t>
      </w:r>
    </w:p>
    <w:p>
      <w:pPr>
        <w:pageBreakBefore w:val="0"/>
        <w:numPr>
          <w:ilvl w:val="0"/>
          <w:numId w:val="4"/>
        </w:numPr>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②大气污染防治措施：采用洒水湿法抑尘；重点时段防护如：对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工地进出运输</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车辆进行冲洗；运送散装物料的机动车、存放散装物料的堆放场地必须用棚布遮盖，拌和设备尽量封闭；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③施工噪音防护措施：施工噪音执行《建筑施工噪音标准限值》（GB12523-90）规定的有关标准，未经环保部门批准中午和夜间不得施工作业；对高噪音的施工机械或加工环节尽量安排在远离民居的地方；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4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④</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针对固体废物可能产生的多种环境影响，须采取必要的措施分类收集，运至指定地点和按规定进行处理；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5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⑤</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制定建筑废弃物管理计划，达到绿色安全文明施工的要求；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instrText xml:space="preserve"> = 6 \* GB3 </w:instrTex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4"/>
          <w:highlight w:val="none"/>
          <w:lang w:val="zh-CN"/>
          <w14:textFill>
            <w14:solidFill>
              <w14:schemeClr w14:val="tx1"/>
            </w14:solidFill>
          </w14:textFill>
        </w:rPr>
        <w:t>⑥</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fldChar w:fldCharType="end"/>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红线范围内必须落实雨污分流，生活污水须经过化粪池处理后接入市政管网排放。</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以上须采取的所有措施费用及相关的费用已含在合同价中。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.7.2已完工程及设备保护费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①承包人应充分考虑本工程的</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已完工程及设备保护，其费用已包含在合同价内，结算不再调整；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②承包人应充分考虑施工影响范围内的地上、地下设施，建筑物的临时保护等措施，</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以及</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.7.3施工降排水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保证护栏的安全性。</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承包人应综合考虑施工期间除不可抗力原因外的气候条件造成的现场工程量的增加及其它风险（如发包人提供的地质报告等相关资料可能存在与实际不符）。</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雨季施工随时与气象部门保持联系，在大雨、台风到来之前按有关主管部门规定的防洪防汛应急措施等。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以上有关费用已含在合同价中，结算不作调整。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.7.4水土保持</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.7.5施工用水、用电等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（1）承包人根据现场条件和工程情况，接通生活和生产区场内外的给水、排水、施工用电、通讯等工作，</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同时承包人应自备充足的发电机，确保施工过程中的水、电安全稳定供应，结算费用不作调整。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（2）所有施工范围内涉及的清理、外运全部拆除物与垃圾，以及场地平整。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（3）为建设单位、监理单位提供施工现场临时办公用房和办公必须品，并开通通讯线路。</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（4）合同工期和顺延工期内临时用地（含占道）、房屋租赁的手续费和租金。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承包人在投标报价时应充分考虑施工场地现状与地形图不符的风险，谨慎报价，该部分报价为包干费用，承包人不得以任何理由提出增加费用。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.7.6与其他工程的衔接、管理与配合费</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.7.7因承包人原因而引起的罚款、索赔和指控等责任由承包人自行承担。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.7.8工程完工后需要恢复的建筑物、构筑物，承包人必须及时恢复，并使监理工程师和发包人满意，满足政府管理部门的规定和要求。</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.7.12根据广东省、韶关市、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建设主管部门的相关文件规定，承包人须在工程施工现场安装使用视频监控系统、工人实名制系统并接入至</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住建主管部门建筑工地视频监控专网及发包人视频监控系统。</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以上措施项目有关费用已含在合同价中，结算不作调整。</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 解除合同后续工程的补充约定</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承包人没有正当合理的理由中途退场，除扣除合同价款20％作为履约违约金外，承包人还须承当因其无故中途退场所造成的全部损失责任。</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.8.4承包人的已完工程结算时间由发包人确定。按本合同结算条款约定办理结算，同时必须按合同约定扣除违约金、赔偿金。</w:t>
      </w:r>
    </w:p>
    <w:p>
      <w:pPr>
        <w:pageBreakBefore w:val="0"/>
        <w:kinsoku/>
        <w:wordWrap w:val="0"/>
        <w:overflowPunct/>
        <w:bidi w:val="0"/>
        <w:spacing w:line="360" w:lineRule="auto"/>
        <w:ind w:left="-2" w:leftChars="-1" w:firstLine="424" w:firstLineChars="17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.8.5因承包人原因导致解除合同，发包人所遭受的一切损失，由承包人承担全部赔偿责任。</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.9承包人违约责任追究补充细则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.9.1工程质量达不到合同约定的质量标准承包人违约责任：如未达到合格标准，除则按合同价款的</w:t>
      </w:r>
      <w:r>
        <w:rPr>
          <w:rFonts w:hint="eastAsia" w:asciiTheme="minorEastAsia" w:hAnsiTheme="minorEastAsia" w:eastAsiaTheme="minorEastAsia" w:cstheme="minorEastAsia"/>
          <w:color w:val="000000" w:themeColor="text1"/>
          <w:szCs w:val="24"/>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%向发包人返纳质量违约金外，发包人有权利选择以下方式返工或修复，承包人不得异议：</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（1）发包人要求承包人在监理工程师和发包人要求的合理时间内，完成质量不合格工程的返工或修复工作，直至合同约定的质量标准，由此造成的工期延误和所有费用，全部由承包人承担；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（2）发包人直接委托其它承包人完成质量不合格部分工程的返工或修复工作，由此造成的工期延误和所有费用，全部由承包人承担。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（3）无论采取以上何种方式返工或修复，发包人均有权提请建设行政主管部门对其作不良行为记录，有权给予承包人履约评价为不合格，同时发包人有权拒绝承包人3年内参加发包人其它工程的投标。</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.9.2承包人违反本合同的约定，应当按约定向发包人承担相应的违约责任。本合同违约责任形式按以下情况分类：</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 限期改正。承包人未履行或未按时履行或未按质履行义务时，发包人有权提出书面警告，承包人必须在发包人限定的时间内履行义务。每一次书面警告扣除违约金人民币壹仟元（￥1000）。</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（2）一般违约责任。承包人按本合同约定应当承担一般违约责任时，在发包人提出书面警告或通知后扣除违约金人民币伍仟元（￥5000）/次。合同另有约定的除外。</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（3）严重违约责任。承包人按本合同约定应当承担严重违约责任时，在发包人提出书面警告或通知后扣除违约金伍万元（￥50000）/次。合同另有约定的除外。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（4）部分解除合同。三次受到发包人书面警告，发包人有权直接解除合同或部分解除合同，按承包人违约解除合同的条款执行。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.9.4承包人未按合同要求建立组织架构、派驻项目管理人员和投入设备，承包人必须按发包人要求限期整改，并承担相应违约责任。具体约定为：</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pPr>
        <w:pageBreakBefore w:val="0"/>
        <w:kinsoku/>
        <w:wordWrap w:val="0"/>
        <w:overflowPunct/>
        <w:bidi w:val="0"/>
        <w:adjustRightInd w:val="0"/>
        <w:snapToGrid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.9.7承包人项目经理和主要管理人员的考勤实行实名制打卡，承包人项目经理和主要管理人员的考勤若发现有弄虚作假行为，发现一次，承包人应承担一般违约责任1次。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.9.8对于难以胜任工作的承包人管理人员和主要操作技术人员，发包人有权要求承包人进行更换，直至发包人满意为止，且更换人员应在接到书面通知后的3天内到位。</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.9.10承包人未按合同及投标书所作的承诺投入机械、设备、材料等，被监理工程师或发包人发现后，承包人除必须限期改正外，应承担限期改正责任1次。</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.9.14因承包人原因造成工程投资增加的，承包人应赔偿发包人由此遭受的实际损失，情况严重时发包人有权单方解除本施工合同。</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（2）若承包人未严格按施工进度计划要求组织施工造成工期拖延，导致一些工程项目被迫进入雨季施工而引起投资增加的，承包人应承担严重违约责任1次，由此造成的投资增加由承包人负责。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（3）承包人未经监理工程师、发包人同意擅自改变施工技术方案和工艺，造成投资增加的，应承担严重违约责任1次，由此造成的投资增加由承包人负责。</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pPr>
        <w:pageBreakBefore w:val="0"/>
        <w:kinsoku/>
        <w:wordWrap w:val="0"/>
        <w:overflowPunct/>
        <w:bidi w:val="0"/>
        <w:adjustRightInd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（5）承包人提供虚假情况或制造现场假象造成设计变更及投资增加时，经监理公司、发包人发现，承包人应承担严重违约责任1次，造成的投资增加由承包人承担。 </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 承包人提供竣工资料的约定：</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本工程具备竣工验收条件后14天内，承包人按国家建设部、广东省及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.12工程移交及档案管理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.12.1工程完工后，承包人必须及时按城建相关档案管理规定整理及移交竣工档案，承包人办理工程结算需提交相关工程档案移交签字单，否则结算不予办理。</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.12.2工程竣工验收合格后承包人必须将成品移交给发包人指定的接管单位。在移交工作完成前，现场所有安全及成品保护责任和费用由承包人承担。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.12.3在向发包人指定的接管单位移交钥匙的同时提供下列清单：</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①办理钥匙移交清单（如有）；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②双方抄好水表电表底数；</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③列出详细的设备、物件移交清单，标明名称、数量、外观、状态等基本资料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.12.4按国家、省市和建设主管部门的相关规定应当移交的其他资料。</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.14在工程质量缺陷保修期内，承包人的违约责任。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.14.5若承包人按照发包人的要求及时履行了保修义务，并能提供证据说明质量缺陷非承包人的责任，保修费用及相关损失由缺陷责任方承担。</w:t>
      </w:r>
    </w:p>
    <w:p>
      <w:pPr>
        <w:pStyle w:val="57"/>
        <w:pageBreakBefore w:val="0"/>
        <w:kinsoku/>
        <w:wordWrap w:val="0"/>
        <w:overflowPunct/>
        <w:bidi w:val="0"/>
        <w:adjustRightInd w:val="0"/>
        <w:snapToGrid w:val="0"/>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highlight w:val="none"/>
          <w14:textFill>
            <w14:solidFill>
              <w14:schemeClr w14:val="tx1"/>
            </w14:solidFill>
          </w14:textFill>
        </w:rPr>
        <w:t>.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.15发包人有权根据有关管理制度对承包人的履约情况纳入履约信用评价和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第三方质量安全评估</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体系进行履约信用评价和</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评估，并将评价结果和评估结果报送给有关监管部门。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和</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第三方质量安全评估按发包人履约信用评价</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质量安全</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评估</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管理规定执行，评价内容包含人员到位情况、服务配合程度、工程质量、安全、项目后期服务及信用评价结果、评估结果的运用等。</w:t>
      </w:r>
    </w:p>
    <w:p>
      <w:pPr>
        <w:pageBreakBefore w:val="0"/>
        <w:tabs>
          <w:tab w:val="left" w:pos="1260"/>
        </w:tabs>
        <w:kinsoku/>
        <w:wordWrap w:val="0"/>
        <w:overflowPunct/>
        <w:bidi w:val="0"/>
        <w:snapToGrid w:val="0"/>
        <w:spacing w:line="360" w:lineRule="auto"/>
        <w:ind w:firstLine="442" w:firstLineChars="200"/>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pacing w:val="-10"/>
          <w:szCs w:val="24"/>
          <w:highlight w:val="none"/>
          <w14:textFill>
            <w14:solidFill>
              <w14:schemeClr w14:val="tx1"/>
            </w14:solidFill>
          </w14:textFill>
        </w:rPr>
        <w:t>.设计部分：</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.1 本合同设计总价包括所有设计事务工作收费、技术工作收费、税金和完成合同约定的所有与工程设计有关的全部费用。</w:t>
      </w:r>
    </w:p>
    <w:p>
      <w:pPr>
        <w:pageBreakBefore w:val="0"/>
        <w:tabs>
          <w:tab w:val="left" w:pos="1260"/>
        </w:tabs>
        <w:kinsoku/>
        <w:wordWrap w:val="0"/>
        <w:overflowPunct/>
        <w:bidi w:val="0"/>
        <w:snapToGrid w:val="0"/>
        <w:spacing w:line="360" w:lineRule="auto"/>
        <w:ind w:firstLine="44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pacing w:val="-10"/>
          <w:szCs w:val="24"/>
          <w:highlight w:val="none"/>
          <w14:textFill>
            <w14:solidFill>
              <w14:schemeClr w14:val="tx1"/>
            </w14:solidFill>
          </w14:textFill>
        </w:rPr>
        <w:t>.2 承包人必须严格按有关设计规范设</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Cs w:val="24"/>
          <w:highlight w:val="none"/>
          <w14:textFill>
            <w14:solidFill>
              <w14:schemeClr w14:val="tx1"/>
            </w14:solidFill>
          </w14:textFill>
        </w:rPr>
        <w:t xml:space="preserve">.3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40" w:name="_Toc390613831"/>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.4.知识产权和专利权</w:t>
      </w:r>
      <w:bookmarkEnd w:id="340"/>
    </w:p>
    <w:p>
      <w:pPr>
        <w:pageBreakBefore w:val="0"/>
        <w:tabs>
          <w:tab w:val="left" w:pos="1260"/>
        </w:tabs>
        <w:kinsoku/>
        <w:wordWrap w:val="0"/>
        <w:overflowPunct/>
        <w:bidi w:val="0"/>
        <w:snapToGrid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pPr>
        <w:pageBreakBefore w:val="0"/>
        <w:kinsoku/>
        <w:wordWrap w:val="0"/>
        <w:overflowPunct/>
        <w:bidi w:val="0"/>
        <w:spacing w:beforeLines="50" w:line="360" w:lineRule="auto"/>
        <w:ind w:firstLine="472" w:firstLineChars="19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.4.3承包人应保证发包人在本项目建设过程中使用其设计文件和设计文件的任何一部分时，发包人免受第三方提出侵犯其专利权、商标权或其他知识产权的起诉。</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承包人保证发包人使用承包人设计成果将不会对任何第三方构成侵权，如因此引起任何第三方向发包人提出侵权之诉讼或索赔，均由承包人承担处理、应诉和赔偿责任。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.4.4承包人提交给发包人的设计文件，其著作权、版权、专利权和使用权归发包人所有（署名权除外）。   </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承包人在合同有效期内，应当履行合同约定的义务，如因承包人的原因产生设计质量事故、工期延误或设计缺陷，造成损失的应承担赔偿责任。</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（1）因设计错误而造成一般质量事故的，承包人除应免收受损失部分的设计费外，还应无偿修改和完善设计，并承担给发包人造成的直接损失。</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（2）因设计错误而造成重大质量事故的，承包人承担给发包人造成的直接损失，发包人有权解除设计合同，并报请有关主管部门视事故造成的损失情况给予其他处罚。</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若因承包人原因导致提交的设计成果文件无法通过发包人组织的设计审查，发包人有权发出如下任何指令，承包人必须遵照执行。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（3）承包人须在发包人书面同意后，将该部分内容另行委托给其他具有相应资质等级的单位设计，直至通过设计审查，该部分设计费用已包含在合同价中，不另行计算，造成损失的依法承担赔偿责任。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承包人应赔偿因设计质量或设计图纸不完善带来的设计变更所引发的工程费增加、施工返工费、误工费等，处理原则如下：</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（1）由于设计质量或设计图纸不完善引起的施工返工，承包人应及时处理，并每次扣减设计合同价的2%作为违约金。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pPr>
        <w:pStyle w:val="70"/>
        <w:pageBreakBefore w:val="0"/>
        <w:kinsoku/>
        <w:wordWrap w:val="0"/>
        <w:overflowPunct/>
        <w:bidi w:val="0"/>
        <w:ind w:firstLine="602"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.7.1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工程变更的程序和管理按</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项目所在地的</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政府投资项目财政投资评审</w:t>
      </w:r>
      <w:r>
        <w:rPr>
          <w:rFonts w:hint="eastAsia" w:asciiTheme="minorEastAsia" w:hAnsiTheme="minorEastAsia" w:eastAsiaTheme="minorEastAsia" w:cstheme="minorEastAsia"/>
          <w:color w:val="000000" w:themeColor="text1"/>
          <w:szCs w:val="24"/>
          <w:highlight w:val="none"/>
          <w:lang w:val="en-US" w:eastAsia="zh-CN"/>
          <w14:textFill>
            <w14:solidFill>
              <w14:schemeClr w14:val="tx1"/>
            </w14:solidFill>
          </w14:textFill>
        </w:rPr>
        <w:t>相关文件</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执行。如因设计人的责任引起变更造成投资规模增加，按如下规定追究设计人的违约责任：</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（1）因设计人责任引起变更造成投资规模增加10%以上的，扣减设计人设计合同价20%的违约金；</w:t>
      </w:r>
    </w:p>
    <w:p>
      <w:pPr>
        <w:pStyle w:val="70"/>
        <w:pageBreakBefore w:val="0"/>
        <w:kinsoku/>
        <w:wordWrap w:val="0"/>
        <w:overflowPunct/>
        <w:bidi w:val="0"/>
        <w:ind w:firstLine="600" w:firstLineChars="2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（2）因设计人责任引起变更造成投资规模增加15%以上的，扣减设计人设计合同价30%的违约金；</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（3）因设计人责任引起变更造成投资规模增加20%以上的，扣减设计人设计合同价40%的违约金。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pPr>
        <w:pStyle w:val="8"/>
        <w:pageBreakBefore w:val="0"/>
        <w:kinsoku/>
        <w:wordWrap w:val="0"/>
        <w:overflowPunct/>
        <w:bidi w:val="0"/>
        <w:snapToGrid w:val="0"/>
        <w:spacing w:line="360" w:lineRule="auto"/>
        <w:ind w:left="63" w:right="63" w:firstLine="482" w:firstLineChars="200"/>
        <w:jc w:val="left"/>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kern w:val="0"/>
          <w:szCs w:val="24"/>
          <w:highlight w:val="none"/>
          <w14:textFill>
            <w14:solidFill>
              <w14:schemeClr w14:val="tx1"/>
            </w14:solidFill>
          </w14:textFill>
        </w:rPr>
        <w:t>.10 除招标文件规定的服务内容外，承包人还须完成以下各阶段服务内容：</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.10.1 施工图设计阶段</w:t>
      </w:r>
    </w:p>
    <w:p>
      <w:pPr>
        <w:pStyle w:val="37"/>
        <w:pageBreakBefore w:val="0"/>
        <w:kinsoku/>
        <w:wordWrap w:val="0"/>
        <w:overflowPunct/>
        <w:bidi w:val="0"/>
        <w:ind w:firstLine="240" w:firstLineChars="100"/>
        <w:jc w:val="left"/>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（1）负责完成并制作</w:t>
      </w:r>
      <w:r>
        <w:rPr>
          <w:rFonts w:hint="eastAsia" w:asciiTheme="minorEastAsia" w:hAnsiTheme="minorEastAsia" w:eastAsiaTheme="minorEastAsia" w:cstheme="minorEastAsia"/>
          <w:snapToGrid w:val="0"/>
          <w:color w:val="000000" w:themeColor="text1"/>
          <w:kern w:val="0"/>
          <w:highlight w:val="none"/>
          <w14:textFill>
            <w14:solidFill>
              <w14:schemeClr w14:val="tx1"/>
            </w14:solidFill>
          </w14:textFill>
        </w:rPr>
        <w:t>所有专项设计及红线范围内的所有工程及相关配套工程、设施等本项目涉及的全部专业的施工图设计文件；</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（2）对发包人的审核修改意见进行修改、完善，保证其设计意图的最终实现；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（3）根据项目开发进度要求及时提供各阶段报审图纸，协助发包人进行报审工作，根据审查结果在本合同约定的范围内进行修改调整，直至审查通过，并最终向发包人提交正式的施工图设计文件；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（4）协助发包人进行工程招标答疑。</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.10.2 施工配合阶段</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（1）负责工程设计交底，解答施工过程中施工承包人有关施工图的问题，项目负责人及各专业设计负责人，及时对施工中与设计有关的问题做出回应，保证设计满足施工要求；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（2）根据发包人要求，及时参加与设计有关的专题会，现场解决技术问题；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（3）协助发包人处理工程洽商和设计变更，负责有关设计修改，及时办理相关手续；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（4）参与与承包人相关的必要的验收以及项目竣工验收工作，并及时办理相关手续；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（5）提供产品选型、设备加工订货、建筑材料选择以及分包商考察等技术咨询工作； </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（6）应发包人要求协助审核各分包商的设计文件是否满足接口条件并签署意见，以保证其与总体设计协调一致，并满足工程要求。</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承包人义务及违约责任</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.11.1 承包人义务</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（1）中标通知书发出后30天内第一中标候选人不按招标文件约定条款签订设计合同的，视为自动放弃中标资格，没收投标保证金，并确定第二中标候选人为承包人，以此类推。并上报建设行政主管部门。</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（2）合同生效后，承包人要求终止或解除合同视为承包人违约，扣除履约保证金。</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（4）承包人应对发包人提供的文件、资料进行认真研究，对本项目的特点和不确定因素进行认真考虑，并提出合理建议和评价，对影响设计稳定的重大问题要进行多方案比较选择。</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（5）设计应尽可能减少施工难度，为施工创造方便合理的施工条件；应尽量减少施工对城市交通、市民生活以及水利、通航的干扰，并尽可能减少对施工期的影响。</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（6）未经发包人书面同意，承包人不得对已批准的设计和勘探点布置方案作重大修改、增减或删除。</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（7）承包人提交的全部设计文件应考虑地质因素、正常施工中可能出现的各种因素，对设计文件出现的遗漏或错误负责修改或补充。</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（8）承包人承诺在交付项目的部分或全部设计文件后，如有更好的新工艺、新技术、新材料、新设备等适用于本项目，应及时向发包人推荐并提供科学的评估和来源证明。</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（9）承包人驻</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南雄市</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办公的项目负责人（即投标文件所拟派的项目负责人）必须负责本项目设计全过程（包括施工图设计审查、施工图设计修编、图纸会审和技术交底）。</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10）承包人应委派1名参与并熟悉本项目设计任务，有现场处理经验的设计代表常驻项目现场。承包人应为派驻现场的设计工作人员提供工作、生活及交通等方面的便利条件及准备必要的劳动保护装备。在正常施工阶段，每月应保证最少20天在现场。</w:t>
      </w:r>
    </w:p>
    <w:p>
      <w:pPr>
        <w:pageBreakBefore w:val="0"/>
        <w:kinsoku/>
        <w:wordWrap w:val="0"/>
        <w:overflowPunct/>
        <w:bidi w:val="0"/>
        <w:adjustRightInd w:val="0"/>
        <w:snapToGrid w:val="0"/>
        <w:spacing w:line="360" w:lineRule="auto"/>
        <w:ind w:firstLine="240" w:firstLineChars="1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（11）承包人要按照批准的设计任务书，按照批准的总概算控制施工图设计，即限额设计。承包人要无条件对设计文件出现的遗漏或错误负责修改或补充，直到满足要求。</w:t>
      </w:r>
    </w:p>
    <w:p>
      <w:pPr>
        <w:pageBreakBefore w:val="0"/>
        <w:kinsoku/>
        <w:wordWrap w:val="0"/>
        <w:overflowPunct/>
        <w:bidi w:val="0"/>
        <w:adjustRightInd w:val="0"/>
        <w:snapToGrid w:val="0"/>
        <w:spacing w:line="360" w:lineRule="auto"/>
        <w:ind w:firstLine="244" w:firstLineChars="1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 xml:space="preserve"> （12）发包人及咨询</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单</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位、上级</w:t>
      </w:r>
      <w:r>
        <w:rPr>
          <w:rFonts w:hint="eastAsia" w:asciiTheme="minorEastAsia" w:hAnsiTheme="minorEastAsia" w:eastAsiaTheme="minorEastAsia" w:cstheme="minorEastAsia"/>
          <w:color w:val="000000" w:themeColor="text1"/>
          <w:spacing w:val="1"/>
          <w:szCs w:val="24"/>
          <w:highlight w:val="none"/>
          <w14:textFill>
            <w14:solidFill>
              <w14:schemeClr w14:val="tx1"/>
            </w14:solidFill>
          </w14:textFill>
        </w:rPr>
        <w:t>主</w:t>
      </w:r>
      <w:r>
        <w:rPr>
          <w:rFonts w:hint="eastAsia" w:asciiTheme="minorEastAsia" w:hAnsiTheme="minorEastAsia" w:eastAsiaTheme="minorEastAsia" w:cstheme="minorEastAsia"/>
          <w:color w:val="000000" w:themeColor="text1"/>
          <w:spacing w:val="2"/>
          <w:szCs w:val="24"/>
          <w:highlight w:val="none"/>
          <w14:textFill>
            <w14:solidFill>
              <w14:schemeClr w14:val="tx1"/>
            </w14:solidFill>
          </w14:textFill>
        </w:rPr>
        <w:t>管部门对设计</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文件的审查并不免除承包人的责任。</w:t>
      </w:r>
    </w:p>
    <w:p>
      <w:pPr>
        <w:pageBreakBefore w:val="0"/>
        <w:kinsoku/>
        <w:wordWrap w:val="0"/>
        <w:overflowPunct/>
        <w:bidi w:val="0"/>
        <w:adjustRightInd w:val="0"/>
        <w:snapToGrid w:val="0"/>
        <w:spacing w:line="360" w:lineRule="auto"/>
        <w:ind w:firstLine="360" w:firstLineChars="15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（13）中标通知书发出后三天内，中标单位法定代表人及主要负责人、项目经理、设计负责人应积极主动与发包人接洽工作，迅速有效推动工程前期工作顺利开展，逾期未履行，作违约处理。</w:t>
      </w:r>
    </w:p>
    <w:p>
      <w:pPr>
        <w:pageBreakBefore w:val="0"/>
        <w:kinsoku/>
        <w:wordWrap w:val="0"/>
        <w:overflowPunct/>
        <w:bidi w:val="0"/>
        <w:adjustRightInd w:val="0"/>
        <w:snapToGrid w:val="0"/>
        <w:spacing w:line="360" w:lineRule="auto"/>
        <w:ind w:firstLine="120" w:firstLineChars="5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.11.2 </w:t>
      </w: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承包人违约的处理</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（1）承包人发生合同约定的违约情况时，无论发包人是否解除合同，发包人均有权按相关规定</w:t>
      </w:r>
      <w:r>
        <w:rPr>
          <w:rFonts w:hint="eastAsia" w:asciiTheme="minorEastAsia" w:hAnsiTheme="minorEastAsia" w:eastAsiaTheme="minorEastAsia" w:cstheme="minorEastAsia"/>
          <w:color w:val="000000" w:themeColor="text1"/>
          <w:highlight w:val="none"/>
          <w14:textFill>
            <w14:solidFill>
              <w14:schemeClr w14:val="tx1"/>
            </w14:solidFill>
          </w14:textFill>
        </w:rPr>
        <w:t>扣除</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违约金，并由发包人将其违约行为记录在合同履约评价报告中，作为合同履约综合评价的依据。同时，发包人将</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的违约行为</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上报建设行政主管部门。</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开出的任何违约金，除合同另有规定外，均从发包人应向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支付的</w:t>
      </w:r>
      <w:r>
        <w:rPr>
          <w:rFonts w:hint="eastAsia" w:asciiTheme="minorEastAsia" w:hAnsiTheme="minorEastAsia" w:eastAsiaTheme="minorEastAsia" w:cstheme="minorEastAsia"/>
          <w:color w:val="000000" w:themeColor="text1"/>
          <w:highlight w:val="none"/>
          <w14:textFill>
            <w14:solidFill>
              <w14:schemeClr w14:val="tx1"/>
            </w14:solidFill>
          </w14:textFill>
        </w:rPr>
        <w:t>服务费</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中直接扣除。除非合同另有规定，发包人向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开出的任何违约金将导致承包人最终的应得结算价款相应地减少。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必须完全接受上述条款。</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（3）发包人按合同规定向</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开出的任何违约金的扣除时间，可以在发包人认为合适的任何一个期中支付月份中扣除。发包人扣除违约金时间的延迟或滞后并不代表对</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当时各种行为的认可或默认。</w:t>
      </w:r>
    </w:p>
    <w:p>
      <w:pPr>
        <w:pageBreakBefore w:val="0"/>
        <w:kinsoku/>
        <w:wordWrap w:val="0"/>
        <w:overflowPunct/>
        <w:bidi w:val="0"/>
        <w:spacing w:line="360" w:lineRule="auto"/>
        <w:ind w:firstLine="360" w:firstLineChars="15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承包人</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的违约金由发包人掌握使用。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.12发包人有权根据有关管理制度对承包人的履约情况纳入履约信用评价体系进行履约信用评价，并将评价结果报送给有关监管部门。</w:t>
      </w:r>
    </w:p>
    <w:p>
      <w:pPr>
        <w:pStyle w:val="7"/>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履约信用评价按发包人履约信用评价管理规定执行，评价内容包含人员到位情况、服务配合程度、服务成果质量、项目后期服务及履约信用评价结果的运用等。</w:t>
      </w:r>
    </w:p>
    <w:p>
      <w:pPr>
        <w:pStyle w:val="38"/>
        <w:keepNext/>
        <w:keepLines/>
        <w:pageBreakBefore w:val="0"/>
        <w:tabs>
          <w:tab w:val="left" w:pos="885"/>
        </w:tabs>
        <w:kinsoku/>
        <w:wordWrap w:val="0"/>
        <w:overflowPunct/>
        <w:bidi w:val="0"/>
        <w:spacing w:line="400" w:lineRule="exact"/>
        <w:jc w:val="cente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pPr>
      <w:bookmarkStart w:id="341" w:name="_Toc11306"/>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42" w:name="_Toc5081"/>
      <w:bookmarkStart w:id="343" w:name="_Toc31905"/>
      <w:bookmarkStart w:id="344" w:name="_Toc11753"/>
      <w:bookmarkStart w:id="345" w:name="_Toc28950"/>
      <w:bookmarkStart w:id="346" w:name="_Toc15865"/>
      <w:bookmarkStart w:id="347" w:name="_Toc18208"/>
      <w:bookmarkStart w:id="348" w:name="_Toc16036"/>
      <w:bookmarkStart w:id="349" w:name="_Toc10003"/>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第三</w:t>
      </w:r>
      <w:bookmarkStart w:id="350" w:name="_Hlt69669171"/>
      <w:bookmarkEnd w:id="350"/>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51" w:name="_Hlt87793839"/>
      <w:bookmarkEnd w:id="35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中标人须知</w:t>
      </w:r>
      <w:bookmarkEnd w:id="341"/>
      <w:bookmarkEnd w:id="342"/>
      <w:bookmarkEnd w:id="343"/>
      <w:bookmarkEnd w:id="344"/>
      <w:bookmarkEnd w:id="345"/>
      <w:bookmarkEnd w:id="346"/>
      <w:bookmarkEnd w:id="347"/>
      <w:bookmarkEnd w:id="348"/>
      <w:bookmarkEnd w:id="349"/>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01"/>
    <w:bookmarkEnd w:id="302"/>
    <w:bookmarkEnd w:id="303"/>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招标人向中标人发出的《中标通知书》对招标人和中标人均具有法律约束力。中标通知书发出后，招标人改变中标结果和中标人放弃中标的，应当承担法律责任。</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中标人不与招标人签订合同，招标人可以取消其中标人资格。给招标人造成经济损失的，招标人可以向中标人索赔。</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中标人在施工期间应严格遵守国家、省、市有关防火、爆破和施工安全以及文明施工、深夜施工、环卫城管等规定，建立规章制度和防护措施。否则，由此造成的经济损失和法律责任，均由中标人负责。</w:t>
      </w:r>
    </w:p>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中标人必须做好施工场地地下地上管线和邻近建筑物、构筑物（包括文物保护建筑）、名树名木（如有）的保护工作。</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中标人应按安全施工的要求，采取严格科学的安全措施，确保施工安全和第三者的安全，承担由于自身安全措施不力所造成的事故责任和发生的费用。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352" w:name="_Hlt93117969"/>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为保证施工现场的环境卫生，中标人在本项目施工过程中，所有的车辆必须按招标人规定的行车路线行驶。</w:t>
      </w:r>
    </w:p>
    <w:bookmarkEnd w:id="352"/>
    <w:p>
      <w:pPr>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3.6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中标人的投标书所报的项目管理班子人员（项目经理、技术负责人、施工员、质量员、安全员等）必须是</w:t>
      </w:r>
      <w:bookmarkStart w:id="353" w:name="_Hlt66261069"/>
      <w:bookmarkEnd w:id="353"/>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中标后实际的项目管理班子人员，否则招标人有权终止合同。</w:t>
      </w:r>
    </w:p>
    <w:p>
      <w:pPr>
        <w:pStyle w:val="7"/>
        <w:pageBreakBefore w:val="0"/>
        <w:kinsoku/>
        <w:wordWrap w:val="0"/>
        <w:overflowPunct/>
        <w:bidi w:val="0"/>
        <w:spacing w:line="360" w:lineRule="auto"/>
        <w:ind w:firstLine="48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highlight w:val="none"/>
          <w14:textFill>
            <w14:solidFill>
              <w14:schemeClr w14:val="tx1"/>
            </w14:solidFill>
          </w14:textFill>
        </w:rPr>
        <w:t>根据项目实施进度情况，招标人有权要求中标人增派项目管理人员，以满足项目的现场管理工作要求。</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项目竣工验收合格后三十个工作日内必须向招标人提供一式八份符合韶关市及</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城市建设档案馆要求的工程竣工档案（含纸质、声像及电子等形式的档案），声像及电子档案的制作费用由中标人承担。</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3.8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合同范围内的工程项目未经招标人同意一律不得分包，一经发现，取消中标人的承包资格，中标人承担由此引起的一切责任和经济损失。</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3.9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现场应自设检验实验室，用于对建筑材料、构件和建筑物进行一般性鉴定、检查等。</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3.10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中标人须服从工程监理单位对工程质量全方位的监理，施工中的年度计划、季度计划、月度计划、施工方案等应报送监理单位审批和招标人备案。施工中的质量保证等资料均应及时报送监理单位和招标人备案。</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3.11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招标文件、招标答疑书、投标文件和中标通知书是招标人与中标人双方签订的施工合同的主要组成部分，并与合同一样，具有相同的法律效力。</w:t>
      </w:r>
      <w:bookmarkStart w:id="354" w:name="_Hlt66508904"/>
      <w:bookmarkEnd w:id="354"/>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如中标通知书发出后，发现中标人的投标文件中有与招标文件所述内容及要求不符的，按招标文件执行。</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3.12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3.13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若设计超过了限额标准，中标人必须无条件优化，直至达到限额要求为止，设计及施工工期不予以顺延，招标人不再支付由此而增加的设计费。</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3.14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3.15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增加工程造价在施工14天前中标人必须提供详细的报价书（含工程项目名称、变更部位、理由、预计造价等）给监理单位核实并报招标人或有关审核部门核定后，方可施工。</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3.16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中标人中标后，必须按规定到韶关市公共资源交易中心办理相关手续方可领取中标通知书。</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3.17 </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中标人中标后必须按招标人的要求采购材料及设备。</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 3.18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中标通知书发出后，中标方应在30个日历天内缴工人工资保证金、意外伤害险等。</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中标人必须在项目开工前，在项目所在地银行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设立工人工资支付专用账户和安全文明施工措施费专用帐户</w:t>
      </w:r>
      <w:r>
        <w:rPr>
          <w:rFonts w:hint="eastAsia" w:asciiTheme="minorEastAsia" w:hAnsiTheme="minorEastAsia" w:eastAsiaTheme="minorEastAsia" w:cstheme="minorEastAsia"/>
          <w:b/>
          <w:bCs/>
          <w:snapToGrid w:val="0"/>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中标人应在工资专户开立后2个工作日内，将开户银行及其账号、开户协议等资料提交给招标人。</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中标人应建立劳动用工管理台账，并按月将工人工资支付明细表报招标人备案。若中标人拖延按工期延误处理，拖延一天，则计算工期延误一天。</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中标人必须按相关规定做好用工实名制管理，建立考勤机制，并实施实名信息化管理。</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3.19</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3.20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若中标人自中标通知书发出之日起20个工作日内仍未提供履约担保的，视同中标单位自动放弃中标资格，招标人通报建设行政主管部门后有权另行选择中标人。</w:t>
      </w:r>
    </w:p>
    <w:p>
      <w:pPr>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3.21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若中标人自中标通知书发出之日起30天内仍未签订合同，视同中标人自动放弃中标权利，招标人通报建设行政主管部门后有权另行选择中标人。</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pPr>
        <w:pageBreakBefore w:val="0"/>
        <w:kinsoku/>
        <w:wordWrap w:val="0"/>
        <w:overflowPunct/>
        <w:bidi w:val="0"/>
        <w:snapToGrid w:val="0"/>
        <w:spacing w:line="360" w:lineRule="auto"/>
        <w:ind w:firstLine="472" w:firstLineChars="196"/>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 xml:space="preserve"> 3.23 </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根据《</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印发〈广东省住房和城乡建设厅 广东省发展改革委关于房屋建筑和市政基础设施工程建设项目招标投标全过程信息公开的管理规定〉的通知</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》（粤建规范〔2018〕6号）文件精神，产生中标候选人后，招标人应将中标候选人投标文件商务部分除涉及商业秘密的其他资料在广东省招标投标监管网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公示，公示期不得少于3日。</w:t>
      </w:r>
    </w:p>
    <w:p>
      <w:pPr>
        <w:pageBreakBefore w:val="0"/>
        <w:kinsoku/>
        <w:wordWrap w:val="0"/>
        <w:overflowPunct/>
        <w:bidi w:val="0"/>
        <w:snapToGrid w:val="0"/>
        <w:spacing w:line="360" w:lineRule="auto"/>
        <w:ind w:firstLine="560"/>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招标人应当在发出中标通知书15日内，将中标结果依法在广东省招标投标监管网、</w:t>
      </w:r>
      <w:r>
        <w:rPr>
          <w:rFonts w:hint="eastAsia" w:asciiTheme="minorEastAsia" w:hAnsiTheme="minorEastAsia" w:eastAsiaTheme="minorEastAsia" w:cstheme="minorEastAsia"/>
          <w:b/>
          <w:bCs/>
          <w:color w:val="000000" w:themeColor="text1"/>
          <w:kern w:val="0"/>
          <w:szCs w:val="24"/>
          <w:highlight w:val="none"/>
          <w14:textFill>
            <w14:solidFill>
              <w14:schemeClr w14:val="tx1"/>
            </w14:solidFill>
          </w14:textFill>
        </w:rPr>
        <w:t>广东省公共资源交易平台（韶关市）</w:t>
      </w: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公示。</w:t>
      </w:r>
    </w:p>
    <w:p>
      <w:pPr>
        <w:pStyle w:val="37"/>
        <w:pageBreakBefore w:val="0"/>
        <w:kinsoku/>
        <w:wordWrap w:val="0"/>
        <w:overflowPunct/>
        <w:bidi w:val="0"/>
        <w:ind w:firstLine="590" w:firstLineChars="245"/>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 xml:space="preserve">如果其他投标人或其他利害关系人对公示内容有异议，一经查实有虚假内容等违法违规情况的，将取消其中标候选人资格，并由招投标监管部门按有关规定处理。 </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3.24中标人须按韶关市、</w:t>
      </w:r>
      <w:r>
        <w:rPr>
          <w:rFonts w:hint="eastAsia" w:asciiTheme="minorEastAsia" w:hAnsiTheme="minorEastAsia" w:eastAsiaTheme="minorEastAsia" w:cstheme="minorEastAsia"/>
          <w:color w:val="000000" w:themeColor="text1"/>
          <w:szCs w:val="24"/>
          <w:highlight w:val="none"/>
          <w:lang w:eastAsia="zh-CN"/>
          <w14:textFill>
            <w14:solidFill>
              <w14:schemeClr w14:val="tx1"/>
            </w14:solidFill>
          </w14:textFill>
        </w:rPr>
        <w:t>南雄市</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关于建筑垃圾运输、建筑渣土管理和扬尘治理等有关规定执行。</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3.25中标人须按相关规定要求，设置本工程符合相关要求的永久性标牌及规划公示牌，投标人在投标报价时综合考虑在报价内，招标人不另行支付该部分费用。</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3.26中标人须服从招标人的项目管理方式；中标人须无条件组织施工班组按招标人提供的管理软件（如有）及管理流程进行施工管理。</w:t>
      </w:r>
    </w:p>
    <w:p>
      <w:pPr>
        <w:pStyle w:val="7"/>
        <w:pageBreakBefore w:val="0"/>
        <w:kinsoku/>
        <w:wordWrap w:val="0"/>
        <w:overflowPunct/>
        <w:bidi w:val="0"/>
        <w:spacing w:line="360" w:lineRule="auto"/>
        <w:ind w:firstLine="482" w:firstLineChars="20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人应根据施工任务做好工期分析工作，按工期节点要求进行人料机的安排，及时根据计划的实施情况调整人料机的投入。</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人作为总承包单位，应合理安排施工工作，统筹各专业单位（如有）的工作界面，不得影响施工进度。</w:t>
      </w:r>
      <w:r>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t>中标</w:t>
      </w: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人应根据工作面的变化情况及工程进度要求，合理增配人员及施工机械设备。</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3.27施工视频监控系统必须符合韶市建字〔2014〕163号文件规定，并在投标报价中综合考虑，招标人及项目业主不再另行支付该部分费用。</w:t>
      </w:r>
    </w:p>
    <w:p>
      <w:pPr>
        <w:pageBreakBefore w:val="0"/>
        <w:kinsoku/>
        <w:wordWrap w:val="0"/>
        <w:overflowPunct/>
        <w:bidi w:val="0"/>
        <w:spacing w:line="360" w:lineRule="auto"/>
        <w:ind w:firstLine="420" w:firstLineChars="175"/>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开工一个月内必须按相关规定和要求安装视频监控系统，并接入相关部门监控系统，如未按时安装视频监控系统，发包人有权在措施费中扣除相关费用。</w:t>
      </w:r>
    </w:p>
    <w:p>
      <w:pPr>
        <w:pageBreakBefore w:val="0"/>
        <w:kinsoku/>
        <w:wordWrap w:val="0"/>
        <w:overflowPunct/>
        <w:bidi w:val="0"/>
        <w:spacing w:line="360" w:lineRule="auto"/>
        <w:ind w:firstLine="354"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3.28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pPr>
        <w:pageBreakBefore w:val="0"/>
        <w:kinsoku/>
        <w:wordWrap w:val="0"/>
        <w:overflowPunct/>
        <w:bidi w:val="0"/>
        <w:spacing w:line="360" w:lineRule="auto"/>
        <w:ind w:firstLine="352" w:firstLineChars="147"/>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如因招标人原因（自然灾害等不可抗力因素除外），工程不能按期开工，或开工后全部停滞，工期按相关规定予以顺延。停工发生后，若可复工时，中标人应在收到招标人发出的复工通知书后3日内开始复工。</w:t>
      </w:r>
    </w:p>
    <w:p>
      <w:pPr>
        <w:pageBreakBefore w:val="0"/>
        <w:kinsoku/>
        <w:wordWrap w:val="0"/>
        <w:overflowPunct/>
        <w:bidi w:val="0"/>
        <w:spacing w:line="360" w:lineRule="auto"/>
        <w:ind w:firstLine="560"/>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3.29</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pPr>
        <w:pageBreakBefore w:val="0"/>
        <w:kinsoku/>
        <w:wordWrap w:val="0"/>
        <w:overflowPunct/>
        <w:bidi w:val="0"/>
        <w:spacing w:line="360" w:lineRule="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3.30</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中标人须在收到初步设计文件之日起三天内无条件对初步设计文件进行审核，如发现遗漏或错误，须向招标人提出书面报告。</w:t>
      </w:r>
    </w:p>
    <w:p>
      <w:pPr>
        <w:pageBreakBefore w:val="0"/>
        <w:kinsoku/>
        <w:wordWrap w:val="0"/>
        <w:overflowPunct/>
        <w:bidi w:val="0"/>
        <w:spacing w:line="360" w:lineRule="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3.31</w:t>
      </w:r>
      <w:r>
        <w:rPr>
          <w:rFonts w:hint="eastAsia" w:asciiTheme="minorEastAsia" w:hAnsiTheme="minorEastAsia" w:eastAsiaTheme="minorEastAsia" w:cstheme="minorEastAsia"/>
          <w:b/>
          <w:color w:val="000000" w:themeColor="text1"/>
          <w:highlight w:val="none"/>
          <w14:textFill>
            <w14:solidFill>
              <w14:schemeClr w14:val="tx1"/>
            </w14:solidFill>
          </w14:textFill>
        </w:rPr>
        <w:t>中标人须在收到中标通知书之日十天内向招标人提交各阶段详细的工期计划承诺书。</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若中标单位有下列行为之一的，除依照有关法律、法规进行处罚外，将通过市建设与房地产信息网站予以及时曝光，并作为今后该单位参与投标的评分扣分依据直至取消投标资格。</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1.建设单位违反规定指定分包单位的；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2.施工单位转包、违法分包或违反投标承诺分包工程的；   </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3.非原参加投标中标的项目经理负责组织施工或在实施过程违反粤建市〔2009〕8号第九条规定更换项目经理的、项目的其他主要管理人员与中标文件确定的人员不相符的；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4.投标文件确定的大型机械设备没有进入施工现场的；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5.建设、监理、施工等单位串通，签认虚假工程量或工程造价的；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6.施工现场管理不到位的；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7.非本人资格证书登记所在的单位从事工程项目施工管理的；</w:t>
      </w:r>
    </w:p>
    <w:p>
      <w:pPr>
        <w:pStyle w:val="55"/>
        <w:pageBreakBefore w:val="0"/>
        <w:widowControl/>
        <w:kinsoku/>
        <w:wordWrap w:val="0"/>
        <w:overflowPunct/>
        <w:bidi w:val="0"/>
        <w:spacing w:line="360" w:lineRule="auto"/>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8.项目经理同时承担超过一项工程项目的；</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9.违反有关法律、法规、规章规定的其它行为。</w:t>
      </w:r>
    </w:p>
    <w:p>
      <w:pPr>
        <w:pStyle w:val="55"/>
        <w:pageBreakBefore w:val="0"/>
        <w:widowControl/>
        <w:kinsoku/>
        <w:wordWrap w:val="0"/>
        <w:overflowPunct/>
        <w:bidi w:val="0"/>
        <w:spacing w:line="360" w:lineRule="auto"/>
        <w:ind w:firstLine="480"/>
        <w:jc w:val="left"/>
        <w:rPr>
          <w:rFonts w:hint="eastAsia" w:asciiTheme="minorEastAsia" w:hAnsiTheme="minorEastAsia" w:eastAsiaTheme="minorEastAsia" w:cstheme="minorEastAsia"/>
          <w:b/>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8"/>
          <w:highlight w:val="none"/>
          <w14:textFill>
            <w14:solidFill>
              <w14:schemeClr w14:val="tx1"/>
            </w14:solidFill>
          </w14:textFill>
        </w:rPr>
        <w:t>3.33依据《关于印发&lt;广东省建筑工程领域工人工资支付专用账户管理办法&gt;的通知》（粤人社规[2018]14号）文件精神，中标人必须设立工人工资支付专用账户，专门用于发放作业工人工资。</w:t>
      </w:r>
      <w:bookmarkStart w:id="355" w:name="_Hlt69698776"/>
    </w:p>
    <w:p>
      <w:pPr>
        <w:pStyle w:val="37"/>
        <w:pageBreakBefore w:val="0"/>
        <w:kinsoku/>
        <w:wordWrap w:val="0"/>
        <w:overflowPunct/>
        <w:bidi w:val="0"/>
        <w:ind w:firstLine="480" w:firstLineChars="200"/>
        <w:rPr>
          <w:rFonts w:hint="eastAsia" w:asciiTheme="minorEastAsia" w:hAnsiTheme="minorEastAsia" w:eastAsiaTheme="minorEastAsia" w:cstheme="minorEastAsia"/>
          <w:bCs/>
          <w:color w:val="000000" w:themeColor="text1"/>
          <w:highlight w:val="none"/>
          <w14:textFill>
            <w14:solidFill>
              <w14:schemeClr w14:val="tx1"/>
            </w14:solidFill>
          </w14:textFill>
        </w:rPr>
      </w:pPr>
      <w:r>
        <w:rPr>
          <w:rFonts w:hint="eastAsia" w:asciiTheme="minorEastAsia" w:hAnsiTheme="minorEastAsia" w:eastAsiaTheme="minorEastAsia" w:cstheme="minorEastAsia"/>
          <w:bCs/>
          <w:color w:val="000000" w:themeColor="text1"/>
          <w:highlight w:val="none"/>
          <w14:textFill>
            <w14:solidFill>
              <w14:schemeClr w14:val="tx1"/>
            </w14:solidFill>
          </w14:textFill>
        </w:rPr>
        <w:t>根据《韶关市建设领域施工企业工人工资支付保证金管理办法》（韶人社〔2017〕133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4"/>
          <w:highlight w:val="none"/>
          <w14:textFill>
            <w14:solidFill>
              <w14:schemeClr w14:val="tx1"/>
            </w14:solidFill>
          </w14:textFill>
        </w:rPr>
        <w:t>3.34</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必须经招标人同意，否则参照信息价中相近且低于其标准的材料信息价作为该项材料的结算价。</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3.35</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中标人应按招标人提供的场地出平图先行进行场地平整。</w:t>
      </w:r>
    </w:p>
    <w:p>
      <w:pPr>
        <w:pStyle w:val="37"/>
        <w:pageBreakBefore w:val="0"/>
        <w:kinsoku/>
        <w:wordWrap w:val="0"/>
        <w:overflowPunct/>
        <w:bidi w:val="0"/>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3.36</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中标人必须根据设计施工图及现场编制施工组织设计及专项施工方案报有关部门审批。</w:t>
      </w:r>
    </w:p>
    <w:p>
      <w:pPr>
        <w:pStyle w:val="57"/>
        <w:pageBreakBefore w:val="0"/>
        <w:kinsoku/>
        <w:wordWrap w:val="0"/>
        <w:overflowPunct/>
        <w:bidi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3.37危险性较大的分部分项工程安全管理约定</w:t>
      </w:r>
    </w:p>
    <w:p>
      <w:pPr>
        <w:pStyle w:val="57"/>
        <w:pageBreakBefore w:val="0"/>
        <w:kinsoku/>
        <w:wordWrap w:val="0"/>
        <w:overflowPunct/>
        <w:bidi w:val="0"/>
        <w:adjustRightInd w:val="0"/>
        <w:snapToGrid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pPr>
        <w:pStyle w:val="37"/>
        <w:pageBreakBefore w:val="0"/>
        <w:kinsoku/>
        <w:wordWrap w:val="0"/>
        <w:overflowPunct/>
        <w:bidi w:val="0"/>
        <w:ind w:firstLine="482" w:firstLineChars="200"/>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3.38</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中标人项目经理和主要管理人员的考勤实行实名制打卡，中标人项目经理和主要管理人员的考勤若发现有弄虚作假行为，发现一次，中标人应承担一般违约责任1次。</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 xml:space="preserve">39 </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pPr>
        <w:pStyle w:val="37"/>
        <w:pageBreakBefore w:val="0"/>
        <w:kinsoku/>
        <w:wordWrap w:val="0"/>
        <w:overflowPunct/>
        <w:bidi w:val="0"/>
        <w:ind w:firstLine="482" w:firstLineChars="20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其他事项</w:t>
      </w:r>
    </w:p>
    <w:p>
      <w:pPr>
        <w:pageBreakBefore w:val="0"/>
        <w:kinsoku/>
        <w:wordWrap w:val="0"/>
        <w:overflowPunct/>
        <w:bidi w:val="0"/>
        <w:spacing w:line="360" w:lineRule="auto"/>
        <w:ind w:firstLine="542" w:firstLineChars="225"/>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3.4</w:t>
      </w:r>
      <w:r>
        <w:rPr>
          <w:rFonts w:hint="eastAsia" w:asciiTheme="minorEastAsia" w:hAnsiTheme="minorEastAsia" w:eastAsiaTheme="minorEastAsia" w:cstheme="minorEastAsia"/>
          <w:b/>
          <w:color w:val="000000" w:themeColor="text1"/>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b/>
          <w:color w:val="000000" w:themeColor="text1"/>
          <w:highlight w:val="none"/>
          <w:shd w:val="clear" w:color="auto" w:fill="FFFFFF"/>
          <w14:textFill>
            <w14:solidFill>
              <w14:schemeClr w14:val="tx1"/>
            </w14:solidFill>
          </w14:textFill>
        </w:rPr>
        <w:t xml:space="preserve">.1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招标文件中涉及的合同实质性内容以及拟签合同的主要条款内容、中标须知、相关附件、格式内容等为中标后拟签合同实质性内容，在订立合同时不得擅自进行更改。</w:t>
      </w:r>
    </w:p>
    <w:p>
      <w:pPr>
        <w:pStyle w:val="32"/>
        <w:pageBreakBefore w:val="0"/>
        <w:kinsoku/>
        <w:wordWrap w:val="0"/>
        <w:overflowPunct/>
        <w:bidi w:val="0"/>
        <w:spacing w:line="360" w:lineRule="auto"/>
        <w:ind w:firstLine="480"/>
        <w:jc w:val="left"/>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3.4</w:t>
      </w:r>
      <w:r>
        <w:rPr>
          <w:rFonts w:hint="eastAsia" w:asciiTheme="minorEastAsia" w:hAnsiTheme="minorEastAsia" w:eastAsiaTheme="minorEastAsia" w:cstheme="minorEastAsia"/>
          <w:color w:val="000000" w:themeColor="text1"/>
          <w:sz w:val="24"/>
          <w:highlight w:val="none"/>
          <w:shd w:val="clear" w:color="auto" w:fill="FFFFFF"/>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4"/>
          <w:highlight w:val="none"/>
          <w:shd w:val="clear" w:color="auto" w:fill="FFFFFF"/>
          <w14:textFill>
            <w14:solidFill>
              <w14:schemeClr w14:val="tx1"/>
            </w14:solidFill>
          </w14:textFill>
        </w:rPr>
        <w:t>.2</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中标人应按《关于印发&lt;</w:t>
      </w:r>
      <w:r>
        <w:rPr>
          <w:rFonts w:hint="eastAsia" w:asciiTheme="minorEastAsia" w:hAnsiTheme="minorEastAsia" w:eastAsiaTheme="minorEastAsia" w:cstheme="minorEastAsia"/>
          <w:b w:val="0"/>
          <w:snapToGrid w:val="0"/>
          <w:color w:val="000000" w:themeColor="text1"/>
          <w:kern w:val="0"/>
          <w:sz w:val="24"/>
          <w:highlight w:val="none"/>
          <w:lang w:eastAsia="zh-CN"/>
          <w14:textFill>
            <w14:solidFill>
              <w14:schemeClr w14:val="tx1"/>
            </w14:solidFill>
          </w14:textFill>
        </w:rPr>
        <w:t>南雄市</w:t>
      </w:r>
      <w:r>
        <w:rPr>
          <w:rFonts w:hint="eastAsia" w:asciiTheme="minorEastAsia" w:hAnsiTheme="minorEastAsia" w:eastAsiaTheme="minorEastAsia" w:cstheme="minorEastAsia"/>
          <w:b w:val="0"/>
          <w:snapToGrid w:val="0"/>
          <w:color w:val="000000" w:themeColor="text1"/>
          <w:kern w:val="0"/>
          <w:sz w:val="24"/>
          <w:highlight w:val="none"/>
          <w14:textFill>
            <w14:solidFill>
              <w14:schemeClr w14:val="tx1"/>
            </w14:solidFill>
          </w14:textFill>
        </w:rPr>
        <w:t>安全生产责任保险实施方案（2020-2021）年&gt;的通知》文件办理安全生产责任保险。</w:t>
      </w:r>
    </w:p>
    <w:p>
      <w:pPr>
        <w:pStyle w:val="32"/>
        <w:pageBreakBefore w:val="0"/>
        <w:kinsoku/>
        <w:wordWrap w:val="0"/>
        <w:overflowPunct/>
        <w:bidi w:val="0"/>
        <w:spacing w:line="360" w:lineRule="auto"/>
        <w:ind w:firstLine="480"/>
        <w:jc w:val="left"/>
        <w:rPr>
          <w:rFonts w:hint="default" w:eastAsiaTheme="minorEastAsia"/>
          <w:highlight w:val="none"/>
          <w:lang w:val="en-US" w:eastAsia="zh-CN"/>
        </w:rPr>
      </w:pPr>
      <w:r>
        <w:rPr>
          <w:rFonts w:hint="eastAsia" w:asciiTheme="minorEastAsia" w:hAnsiTheme="minorEastAsia" w:eastAsiaTheme="minorEastAsia" w:cstheme="minorEastAsia"/>
          <w:b/>
          <w:bCs/>
          <w:snapToGrid w:val="0"/>
          <w:color w:val="000000" w:themeColor="text1"/>
          <w:kern w:val="0"/>
          <w:sz w:val="24"/>
          <w:highlight w:val="none"/>
          <w:lang w:val="en-US" w:eastAsia="zh-CN"/>
          <w14:textFill>
            <w14:solidFill>
              <w14:schemeClr w14:val="tx1"/>
            </w14:solidFill>
          </w14:textFill>
        </w:rPr>
        <w:t>3.40.3</w:t>
      </w:r>
      <w:r>
        <w:rPr>
          <w:rFonts w:hint="eastAsia" w:asciiTheme="minorEastAsia" w:hAnsiTheme="minorEastAsia" w:eastAsiaTheme="minorEastAsia" w:cstheme="minorEastAsia"/>
          <w:b w:val="0"/>
          <w:snapToGrid w:val="0"/>
          <w:color w:val="000000" w:themeColor="text1"/>
          <w:kern w:val="0"/>
          <w:sz w:val="24"/>
          <w:highlight w:val="none"/>
          <w:lang w:val="en-US" w:eastAsia="zh-CN"/>
          <w14:textFill>
            <w14:solidFill>
              <w14:schemeClr w14:val="tx1"/>
            </w14:solidFill>
          </w14:textFill>
        </w:rPr>
        <w:t>本项目由中标人支付招标代理费及评标专家酬劳。招标代理服务费以中标金额为计价基数，参照《招标代理服务收费管理暂行办法》（计价格[2002]1980号）相关规定计算招标代理服务费；评标专家酬劳（包括食宿费用、交通费、专家评审劳务费等）由招标代理机构先垫付，中标人须在中标公告公示期结束后,向招标代理机构一次性付清评标专家酬劳（以当天评委签收为准）。</w:t>
      </w:r>
    </w:p>
    <w:p>
      <w:pPr>
        <w:pStyle w:val="37"/>
        <w:pageBreakBefore w:val="0"/>
        <w:kinsoku/>
        <w:wordWrap w:val="0"/>
        <w:overflowPunct/>
        <w:bidi w:val="0"/>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38"/>
        <w:keepNext/>
        <w:keepLines/>
        <w:pageBreakBefore w:val="0"/>
        <w:tabs>
          <w:tab w:val="left" w:pos="885"/>
        </w:tabs>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 w:val="24"/>
          <w:highlight w:val="none"/>
          <w14:textFill>
            <w14:solidFill>
              <w14:schemeClr w14:val="tx1"/>
            </w14:solidFill>
          </w14:textFill>
        </w:rPr>
        <w:br w:type="page"/>
      </w:r>
      <w:bookmarkStart w:id="356" w:name="_Toc27728"/>
      <w:bookmarkStart w:id="357" w:name="_Toc28287"/>
      <w:bookmarkStart w:id="358" w:name="_Toc21424"/>
      <w:bookmarkStart w:id="359" w:name="_Toc18638"/>
      <w:bookmarkStart w:id="360" w:name="_Toc20219"/>
      <w:bookmarkStart w:id="361" w:name="_Toc22772"/>
      <w:bookmarkStart w:id="362" w:name="_Toc24187"/>
      <w:bookmarkStart w:id="363" w:name="_Toc25756"/>
      <w:bookmarkStart w:id="364" w:name="_Toc29153"/>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第四</w:t>
      </w:r>
      <w:bookmarkStart w:id="365" w:name="_Hlt69669176"/>
      <w:bookmarkEnd w:id="365"/>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章</w:t>
      </w:r>
      <w:bookmarkStart w:id="366" w:name="_Hlt87793847"/>
      <w:bookmarkEnd w:id="366"/>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 投标人提交的其他材料</w:t>
      </w:r>
      <w:bookmarkEnd w:id="356"/>
      <w:bookmarkEnd w:id="357"/>
      <w:bookmarkEnd w:id="358"/>
      <w:bookmarkEnd w:id="359"/>
      <w:bookmarkEnd w:id="360"/>
      <w:bookmarkEnd w:id="361"/>
      <w:bookmarkEnd w:id="362"/>
      <w:bookmarkEnd w:id="363"/>
      <w:bookmarkEnd w:id="364"/>
    </w:p>
    <w:p>
      <w:pPr>
        <w:pStyle w:val="37"/>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355"/>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67" w:name="_Hlt66104911"/>
      <w:bookmarkEnd w:id="367"/>
      <w:bookmarkStart w:id="368" w:name="_Hlt66531751"/>
      <w:bookmarkEnd w:id="368"/>
      <w:bookmarkStart w:id="369" w:name="_Toc32573"/>
      <w:bookmarkStart w:id="370" w:name="_Toc18673"/>
      <w:bookmarkStart w:id="371" w:name="_Toc1109"/>
      <w:bookmarkStart w:id="372" w:name="_Toc21505"/>
      <w:bookmarkStart w:id="373" w:name="_Toc31172"/>
      <w:bookmarkStart w:id="374" w:name="_Toc28975"/>
      <w:bookmarkStart w:id="375" w:name="_Toc5733"/>
      <w:bookmarkStart w:id="376" w:name="_Toc5994"/>
      <w:bookmarkStart w:id="377" w:name="_Toc1993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w:t>
      </w:r>
      <w:bookmarkStart w:id="378" w:name="_Hlt69356768"/>
      <w:bookmarkEnd w:id="378"/>
      <w:bookmarkStart w:id="379" w:name="_Hlt66677316"/>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投标保证</w:t>
      </w:r>
      <w:bookmarkEnd w:id="369"/>
      <w:bookmarkEnd w:id="370"/>
      <w:bookmarkEnd w:id="371"/>
      <w:bookmarkEnd w:id="372"/>
      <w:bookmarkEnd w:id="373"/>
      <w:bookmarkEnd w:id="374"/>
      <w:bookmarkEnd w:id="375"/>
      <w:bookmarkEnd w:id="376"/>
      <w:bookmarkEnd w:id="377"/>
      <w:bookmarkEnd w:id="379"/>
    </w:p>
    <w:p>
      <w:pPr>
        <w:pageBreakBefore w:val="0"/>
        <w:kinsoku/>
        <w:wordWrap w:val="0"/>
        <w:overflowPunct/>
        <w:bidi w:val="0"/>
        <w:snapToGrid w:val="0"/>
        <w:spacing w:beforeLines="50" w:line="360" w:lineRule="auto"/>
        <w:ind w:firstLine="482"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1.1</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投标保证的形式包括投标保证金、投标保证担保、投标保证保险三种，由投标人自主选择。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1.2</w:t>
      </w:r>
      <w:r>
        <w:rPr>
          <w:rFonts w:hint="eastAsia" w:asciiTheme="minorEastAsia" w:hAnsiTheme="minorEastAsia" w:eastAsiaTheme="minorEastAsia" w:cstheme="minorEastAsia"/>
          <w:color w:val="000000" w:themeColor="text1"/>
          <w:highlight w:val="none"/>
          <w14:textFill>
            <w14:solidFill>
              <w14:schemeClr w14:val="tx1"/>
            </w14:solidFill>
          </w14:textFill>
        </w:rPr>
        <w:t>投标人撤回已提交的投标文件，应当在投标截止时间前书面通知招标人。投标截止后投标人撤销投标文件的，招标人可以不退还投标保证。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1.3</w:t>
      </w:r>
      <w:r>
        <w:rPr>
          <w:rFonts w:hint="eastAsia" w:asciiTheme="minorEastAsia" w:hAnsiTheme="minorEastAsia" w:eastAsiaTheme="minorEastAsia" w:cstheme="minorEastAsia"/>
          <w:color w:val="000000" w:themeColor="text1"/>
          <w:highlight w:val="none"/>
          <w14:textFill>
            <w14:solidFill>
              <w14:schemeClr w14:val="tx1"/>
            </w14:solidFill>
          </w14:textFill>
        </w:rPr>
        <w:t>投标保证的退还方式：</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1.4</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投标人中标后不与招标人依据招标文件要求签订工程合同的，由建设行政主管部门按规定处理其投标保证。</w:t>
      </w:r>
    </w:p>
    <w:p>
      <w:pPr>
        <w:pStyle w:val="58"/>
        <w:pageBreakBefore w:val="0"/>
        <w:kinsoku/>
        <w:wordWrap w:val="0"/>
        <w:overflowPunct/>
        <w:bidi w:val="0"/>
        <w:snapToGrid w:val="0"/>
        <w:ind w:firstLine="57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1.5</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组成联合体时由联合体牵头人缴纳投标保证。</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80" w:name="_Hlt87793359"/>
      <w:bookmarkEnd w:id="380"/>
      <w:bookmarkStart w:id="381" w:name="_Hlt87792499"/>
      <w:bookmarkEnd w:id="381"/>
      <w:bookmarkStart w:id="382" w:name="_Toc3054"/>
      <w:bookmarkStart w:id="383" w:name="_Toc10164"/>
      <w:bookmarkStart w:id="384" w:name="_Toc20998"/>
      <w:bookmarkStart w:id="385" w:name="_Toc3284"/>
      <w:bookmarkStart w:id="386" w:name="_Toc22441"/>
      <w:bookmarkStart w:id="387" w:name="_Toc19536"/>
      <w:bookmarkStart w:id="388" w:name="_Toc23304"/>
      <w:bookmarkStart w:id="389" w:name="_Toc985"/>
      <w:bookmarkStart w:id="390" w:name="_Toc13264"/>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履约保证金</w:t>
      </w:r>
      <w:bookmarkEnd w:id="382"/>
      <w:bookmarkEnd w:id="383"/>
      <w:bookmarkEnd w:id="384"/>
      <w:bookmarkEnd w:id="385"/>
      <w:bookmarkEnd w:id="386"/>
      <w:bookmarkEnd w:id="387"/>
      <w:bookmarkEnd w:id="388"/>
      <w:bookmarkEnd w:id="389"/>
      <w:bookmarkEnd w:id="390"/>
    </w:p>
    <w:bookmarkEnd w:id="1"/>
    <w:p>
      <w:pPr>
        <w:pageBreakBefore w:val="0"/>
        <w:widowControl/>
        <w:kinsoku/>
        <w:wordWrap w:val="0"/>
        <w:overflowPunct/>
        <w:bidi w:val="0"/>
        <w:adjustRightInd/>
        <w:snapToGrid/>
        <w:spacing w:line="360" w:lineRule="auto"/>
        <w:ind w:firstLine="482" w:firstLineChars="200"/>
        <w:jc w:val="left"/>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391" w:name="_Toc466640610"/>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2.1</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中标人须在领取中标通知书之日起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5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个工作日内、签订合同前向招标人提交金额为中标价</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lang w:val="en-US" w:eastAsia="zh-CN"/>
          <w14:textFill>
            <w14:solidFill>
              <w14:schemeClr w14:val="tx1"/>
            </w14:solidFill>
          </w14:textFill>
        </w:rPr>
        <w:t>3</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的履约保证。</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联合体中标的，由联合体牵头人提交。同时招标人向中标人提供合同价</w:t>
      </w:r>
      <w:r>
        <w:rPr>
          <w:rFonts w:hint="eastAsia" w:asciiTheme="minorEastAsia" w:hAnsiTheme="minorEastAsia" w:eastAsiaTheme="minorEastAsia" w:cstheme="minorEastAsia"/>
          <w:snapToGrid w:val="0"/>
          <w:color w:val="000000" w:themeColor="text1"/>
          <w:kern w:val="0"/>
          <w:szCs w:val="24"/>
          <w:highlight w:val="none"/>
          <w:u w:val="none"/>
          <w:lang w:val="en-US" w:eastAsia="zh-CN"/>
          <w14:textFill>
            <w14:solidFill>
              <w14:schemeClr w14:val="tx1"/>
            </w14:solidFill>
          </w14:textFill>
        </w:rPr>
        <w:t>3</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000000" w:themeColor="text1"/>
          <w:kern w:val="0"/>
          <w:szCs w:val="24"/>
          <w:highlight w:val="none"/>
          <w:u w:val="none"/>
          <w14:textFill>
            <w14:solidFill>
              <w14:schemeClr w14:val="tx1"/>
            </w14:solidFill>
          </w14:textFill>
        </w:rPr>
        <w:t>30</w:t>
      </w:r>
      <w:r>
        <w:rPr>
          <w:rFonts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天)。</w:t>
      </w:r>
    </w:p>
    <w:p>
      <w:pPr>
        <w:pageBreakBefore w:val="0"/>
        <w:widowControl/>
        <w:kinsoku/>
        <w:wordWrap w:val="0"/>
        <w:overflowPunct/>
        <w:bidi w:val="0"/>
        <w:adjustRightInd/>
        <w:snapToGrid/>
        <w:spacing w:line="360" w:lineRule="auto"/>
        <w:ind w:firstLine="480" w:firstLineChars="2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bidi="ar"/>
          <w14:textFill>
            <w14:solidFill>
              <w14:schemeClr w14:val="tx1"/>
            </w14:solidFill>
          </w14:textFill>
        </w:rPr>
        <w:t>注：</w:t>
      </w:r>
      <w:r>
        <w:rPr>
          <w:rFonts w:hint="eastAsia" w:asciiTheme="minorEastAsia" w:hAnsiTheme="minorEastAsia" w:eastAsiaTheme="minorEastAsia" w:cstheme="minorEastAsia"/>
          <w:i w:val="0"/>
          <w:iCs w:val="0"/>
          <w:snapToGrid w:val="0"/>
          <w:color w:val="000000" w:themeColor="text1"/>
          <w:kern w:val="0"/>
          <w:sz w:val="24"/>
          <w:szCs w:val="24"/>
          <w:highlight w:val="none"/>
          <w:lang w:val="en-US" w:eastAsia="zh-CN" w:bidi="ar"/>
          <w14:textFill>
            <w14:solidFill>
              <w14:schemeClr w14:val="tx1"/>
            </w14:solidFill>
          </w14:textFill>
        </w:rPr>
        <w:t>根据《保障农民工工资支付条例》，发包人必须落实工程款支付担保制度， 需有项目预付款。 2017 年 2 月，国务院出台《关于促进建筑业持续健康发展的意见》， 要求“严格执行工程预付款制度，及时按合同约定足额向承包单位支付预付款。通过工 程款支付担保等经济、法律手段约束建设单位履约行为，预防拖欠工程款。”</w:t>
      </w:r>
    </w:p>
    <w:p>
      <w:pPr>
        <w:pageBreakBefore w:val="0"/>
        <w:kinsoku/>
        <w:wordWrap w:val="0"/>
        <w:overflowPunct/>
        <w:bidi w:val="0"/>
        <w:adjustRightInd w:val="0"/>
        <w:snapToGrid w:val="0"/>
        <w:spacing w:line="360" w:lineRule="auto"/>
        <w:ind w:firstLine="562"/>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2.2</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000000" w:themeColor="text1"/>
          <w:kern w:val="0"/>
          <w:szCs w:val="24"/>
          <w:highlight w:val="none"/>
          <w:u w:val="none"/>
          <w:lang w:bidi="ar"/>
          <w14:textFill>
            <w14:solidFill>
              <w14:schemeClr w14:val="tx1"/>
            </w14:solidFill>
          </w14:textFill>
        </w:rPr>
        <w:t>28</w:t>
      </w:r>
      <w:r>
        <w:rPr>
          <w:rFonts w:asciiTheme="minorEastAsia" w:hAnsiTheme="minorEastAsia" w:eastAsiaTheme="minorEastAsia" w:cstheme="minorEastAsia"/>
          <w:snapToGrid w:val="0"/>
          <w:color w:val="000000" w:themeColor="text1"/>
          <w:kern w:val="0"/>
          <w:szCs w:val="24"/>
          <w:highlight w:val="none"/>
          <w:lang w:bidi="ar"/>
          <w14:textFill>
            <w14:solidFill>
              <w14:schemeClr w14:val="tx1"/>
            </w14:solidFill>
          </w14:textFill>
        </w:rPr>
        <w:t>天止。</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2.3</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在工程实施过程中，如果中标人（即招标阶段的中标人，下同）由于自身的资金、技术、质量、非不可抗力等原因给招标人（即招标阶段的招标人，下同）造成经济损失，扣除相应履约保证。</w:t>
      </w:r>
    </w:p>
    <w:p>
      <w:pPr>
        <w:pageBreakBefore w:val="0"/>
        <w:kinsoku/>
        <w:wordWrap w:val="0"/>
        <w:overflowPunct/>
        <w:bidi w:val="0"/>
        <w:adjustRightInd w:val="0"/>
        <w:snapToGrid w:val="0"/>
        <w:spacing w:line="360" w:lineRule="auto"/>
        <w:ind w:firstLine="482"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2.5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项目通过竣工验收之日后28天内，招标人将履约保证</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或全部履约保证金（不计算利息）</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退还给中标人。</w:t>
      </w:r>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392" w:name="_Toc1728"/>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szCs w:val="24"/>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质量保证</w:t>
      </w:r>
      <w:bookmarkEnd w:id="392"/>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3.1</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本工程缺陷责任期为</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1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年（自通过竣工验收之日起计），在此期间预留金额为结算价</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u w:val="single"/>
          <w14:textFill>
            <w14:solidFill>
              <w14:schemeClr w14:val="tx1"/>
            </w14:solidFill>
          </w14:textFill>
        </w:rPr>
        <w:t>3%</w:t>
      </w:r>
      <w:r>
        <w:rPr>
          <w:rFonts w:hint="eastAsia" w:asciiTheme="minorEastAsia" w:hAnsiTheme="minorEastAsia" w:eastAsiaTheme="minorEastAsia" w:cstheme="minorEastAsia"/>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的质量保证。</w:t>
      </w:r>
    </w:p>
    <w:p>
      <w:pPr>
        <w:pageBreakBefore w:val="0"/>
        <w:kinsoku/>
        <w:wordWrap w:val="0"/>
        <w:overflowPunct/>
        <w:bidi w:val="0"/>
        <w:adjustRightInd w:val="0"/>
        <w:snapToGrid w:val="0"/>
        <w:spacing w:line="360" w:lineRule="auto"/>
        <w:ind w:firstLine="56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3.2</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质量保证的形式包括质量保证金、质量保证担保、质量保证保险三种，由中标人自主选择。</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（1）采用质量保证金形式的，在结清审定总造价时一次性扣留相应金额作为质量保证金。</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（2）采用质量保证担保或质量保证保险的，中标人应在竣工验收时向招标人提交有效的银行保函原件或保险合同原件（或保险单），银行保函或保险合同原件（或保险单）的有效期不得短于缺陷责任期。</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3.3</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由他人原因造成的缺陷，招标人负责组织维修，中标人不承担费用，且招标人不得从质量保证中扣除费用。</w:t>
      </w:r>
    </w:p>
    <w:p>
      <w:pPr>
        <w:pageBreakBefore w:val="0"/>
        <w:kinsoku/>
        <w:wordWrap w:val="0"/>
        <w:overflowPunct/>
        <w:bidi w:val="0"/>
        <w:adjustRightInd w:val="0"/>
        <w:snapToGrid w:val="0"/>
        <w:spacing w:line="360" w:lineRule="auto"/>
        <w:ind w:firstLine="561"/>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t>3.4</w:t>
      </w: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pPr>
        <w:pageBreakBefore w:val="0"/>
        <w:kinsoku/>
        <w:wordWrap w:val="0"/>
        <w:overflowPunct/>
        <w:bidi w:val="0"/>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kern w:val="0"/>
          <w:szCs w:val="24"/>
          <w:highlight w:val="none"/>
          <w14:textFill>
            <w14:solidFill>
              <w14:schemeClr w14:val="tx1"/>
            </w14:solidFill>
          </w14:textFill>
        </w:rPr>
        <w:br w:type="page"/>
      </w:r>
    </w:p>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393" w:name="_Toc29236"/>
      <w:bookmarkStart w:id="394" w:name="_Toc16873"/>
      <w:bookmarkStart w:id="395" w:name="_Toc17661"/>
      <w:bookmarkStart w:id="396" w:name="_Toc26916"/>
      <w:bookmarkStart w:id="397" w:name="_Toc12936"/>
      <w:bookmarkStart w:id="398" w:name="_Toc4262"/>
      <w:bookmarkStart w:id="399" w:name="_Toc18214"/>
      <w:bookmarkStart w:id="400" w:name="_Toc25046"/>
      <w:bookmarkStart w:id="401" w:name="_Toc22105"/>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第五章 招标工程的技术要求</w:t>
      </w:r>
      <w:bookmarkEnd w:id="391"/>
      <w:bookmarkEnd w:id="393"/>
      <w:bookmarkEnd w:id="394"/>
      <w:bookmarkEnd w:id="395"/>
      <w:bookmarkEnd w:id="396"/>
      <w:bookmarkEnd w:id="397"/>
      <w:bookmarkEnd w:id="398"/>
      <w:bookmarkEnd w:id="399"/>
      <w:bookmarkEnd w:id="400"/>
      <w:bookmarkEnd w:id="401"/>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402" w:name="_Hlt87793346"/>
      <w:bookmarkEnd w:id="402"/>
      <w:bookmarkStart w:id="403" w:name="_Hlt69116854"/>
      <w:bookmarkEnd w:id="403"/>
      <w:bookmarkStart w:id="404" w:name="_Hlt75685840"/>
      <w:bookmarkEnd w:id="404"/>
      <w:bookmarkStart w:id="405" w:name="_Hlt69359335"/>
      <w:bookmarkEnd w:id="405"/>
      <w:bookmarkStart w:id="406" w:name="_Hlt66104926"/>
      <w:bookmarkEnd w:id="406"/>
      <w:bookmarkStart w:id="407" w:name="_Hlt80411122"/>
      <w:bookmarkEnd w:id="407"/>
      <w:bookmarkStart w:id="408" w:name="_Hlt69358207"/>
      <w:bookmarkEnd w:id="408"/>
      <w:bookmarkStart w:id="409" w:name="_Hlt68774758"/>
      <w:bookmarkEnd w:id="409"/>
      <w:bookmarkStart w:id="410" w:name="_Hlt69265216"/>
      <w:bookmarkEnd w:id="410"/>
      <w:bookmarkStart w:id="411" w:name="_Hlt87793370"/>
      <w:bookmarkEnd w:id="411"/>
      <w:bookmarkStart w:id="412" w:name="_Hlt69357851"/>
      <w:bookmarkEnd w:id="412"/>
      <w:bookmarkStart w:id="413" w:name="_Toc25463"/>
      <w:bookmarkStart w:id="414" w:name="_Toc1173"/>
      <w:bookmarkStart w:id="415" w:name="_Toc466640611"/>
      <w:bookmarkStart w:id="416" w:name="_Toc5215"/>
      <w:bookmarkStart w:id="417" w:name="_Toc8935"/>
      <w:bookmarkStart w:id="418" w:name="_Toc7837"/>
      <w:bookmarkStart w:id="419" w:name="_Toc1436"/>
      <w:bookmarkStart w:id="420" w:name="_Toc31511"/>
      <w:bookmarkStart w:id="421" w:name="_Toc21545"/>
    </w:p>
    <w:p>
      <w:pPr>
        <w:pStyle w:val="4"/>
        <w:pageBreakBefore w:val="0"/>
        <w:kinsoku/>
        <w:wordWrap w:val="0"/>
        <w:overflowPunct/>
        <w:bidi w:val="0"/>
        <w:spacing w:line="360" w:lineRule="auto"/>
        <w:ind w:firstLine="241" w:firstLineChars="100"/>
        <w:outlineLvl w:val="1"/>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422" w:name="_Toc2180"/>
      <w:bookmarkStart w:id="423" w:name="_Toc30918"/>
      <w:r>
        <w:rPr>
          <w:rFonts w:hint="eastAsia" w:asciiTheme="minorEastAsia" w:hAnsiTheme="minorEastAsia" w:eastAsiaTheme="minorEastAsia" w:cstheme="minorEastAsia"/>
          <w:b/>
          <w:bCs/>
          <w:color w:val="000000" w:themeColor="text1"/>
          <w:szCs w:val="22"/>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工程的技术要求</w:t>
      </w:r>
      <w:bookmarkEnd w:id="413"/>
      <w:bookmarkEnd w:id="414"/>
      <w:bookmarkEnd w:id="415"/>
      <w:bookmarkEnd w:id="416"/>
      <w:bookmarkEnd w:id="417"/>
      <w:bookmarkEnd w:id="418"/>
      <w:bookmarkEnd w:id="419"/>
      <w:bookmarkEnd w:id="420"/>
      <w:bookmarkEnd w:id="421"/>
      <w:bookmarkEnd w:id="422"/>
      <w:bookmarkEnd w:id="423"/>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color w:val="000000" w:themeColor="text1"/>
          <w:kern w:val="0"/>
          <w:sz w:val="24"/>
          <w:szCs w:val="24"/>
          <w:highlight w:val="none"/>
          <w14:textFill>
            <w14:solidFill>
              <w14:schemeClr w14:val="tx1"/>
            </w14:solidFill>
          </w14:textFill>
        </w:rPr>
      </w:pPr>
      <w:bookmarkStart w:id="424" w:name="_Hlt78709799"/>
      <w:bookmarkEnd w:id="424"/>
      <w:bookmarkStart w:id="425" w:name="_Hlt69358458"/>
      <w:bookmarkEnd w:id="425"/>
      <w:bookmarkStart w:id="426" w:name="_Hlt69359243"/>
      <w:bookmarkEnd w:id="426"/>
      <w:bookmarkStart w:id="427" w:name="_Hlt69635252"/>
      <w:bookmarkEnd w:id="427"/>
      <w:bookmarkStart w:id="428" w:name="_Hlt69116858"/>
      <w:bookmarkEnd w:id="428"/>
      <w:bookmarkStart w:id="429" w:name="_Hlt69359086"/>
      <w:bookmarkEnd w:id="429"/>
      <w:bookmarkStart w:id="430" w:name="_Hlt69359245"/>
      <w:bookmarkEnd w:id="430"/>
      <w:bookmarkStart w:id="431" w:name="_Toc26078"/>
      <w:bookmarkStart w:id="432" w:name="_Toc28705"/>
      <w:bookmarkStart w:id="433" w:name="_Toc16151"/>
      <w:r>
        <w:rPr>
          <w:rFonts w:hint="eastAsia" w:ascii="宋体" w:hAnsi="宋体" w:eastAsia="宋体" w:cs="宋体"/>
          <w:b/>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kern w:val="0"/>
          <w:sz w:val="24"/>
          <w:szCs w:val="24"/>
          <w:highlight w:val="none"/>
          <w14:textFill>
            <w14:solidFill>
              <w14:schemeClr w14:val="tx1"/>
            </w14:solidFill>
          </w14:textFill>
        </w:rPr>
        <w:t>工程设计标准规范</w:t>
      </w:r>
      <w:bookmarkEnd w:id="431"/>
      <w:bookmarkEnd w:id="432"/>
      <w:bookmarkEnd w:id="433"/>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本工程设计必须达到且不限于以下规范的要求：</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）《民用建筑设计通则》（GB50352-2019）；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（2）《城市道路工程设计规范》CJJ37-2012(2016 年版)</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《室外排水设计规范》（GB50013-2006-2016 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《污水综合排放标准》（GB8978-2015）； </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（5）《建筑与市政工程无障碍通用规范》（GB55019-2021）</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（6）《城市道路工程设计规范》CJJ37-2012(2016 年版)；</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《镇(乡)村排水工程技术规程》（CJJ124-2008）</w:t>
      </w:r>
      <w:r>
        <w:rPr>
          <w:rFonts w:hint="eastAsia" w:ascii="宋体" w:hAnsi="宋体" w:eastAsia="宋体" w:cs="宋体"/>
          <w:color w:val="000000" w:themeColor="text1"/>
          <w:sz w:val="24"/>
          <w:szCs w:val="24"/>
          <w:highlight w:val="none"/>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《公共建筑节能设计标准》（GB 50189-2015）；</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《火灾自动报警系统设计规范》（GB50116-2013）</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《建筑给排水设计规范》（GB50015-2019）；</w:t>
      </w:r>
    </w:p>
    <w:p>
      <w:pPr>
        <w:pageBreakBefore w:val="0"/>
        <w:shd w:val="clear" w:color="auto" w:fill="auto"/>
        <w:kinsoku/>
        <w:wordWrap w:val="0"/>
        <w:overflowPunct/>
        <w:bidi w:val="0"/>
        <w:spacing w:line="360" w:lineRule="auto"/>
        <w:ind w:left="547" w:leftChars="228"/>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国家、行业及韶关市地方先行的相关标准及规范。</w:t>
      </w:r>
    </w:p>
    <w:p>
      <w:pPr>
        <w:pageBreakBefore w:val="0"/>
        <w:kinsoku/>
        <w:wordWrap w:val="0"/>
        <w:overflowPunct/>
        <w:bidi w:val="0"/>
        <w:adjustRightInd w:val="0"/>
        <w:snapToGrid w:val="0"/>
        <w:spacing w:line="440" w:lineRule="exact"/>
        <w:ind w:left="420"/>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注：以上设计规范或规定如有更新，则以更新后的规范及规定为准</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w:t>
      </w:r>
    </w:p>
    <w:p>
      <w:pPr>
        <w:pStyle w:val="7"/>
        <w:pageBreakBefore w:val="0"/>
        <w:kinsoku/>
        <w:wordWrap w:val="0"/>
        <w:overflowPunct/>
        <w:bidi w:val="0"/>
        <w:rPr>
          <w:rFonts w:hint="eastAsia" w:ascii="宋体" w:hAnsi="宋体" w:eastAsia="宋体" w:cs="宋体"/>
          <w:color w:val="000000" w:themeColor="text1"/>
          <w:sz w:val="24"/>
          <w:szCs w:val="24"/>
          <w:highlight w:val="none"/>
          <w14:textFill>
            <w14:solidFill>
              <w14:schemeClr w14:val="tx1"/>
            </w14:solidFill>
          </w14:textFill>
        </w:rPr>
      </w:pP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bCs/>
          <w:color w:val="000000" w:themeColor="text1"/>
          <w:sz w:val="24"/>
          <w:szCs w:val="24"/>
          <w:highlight w:val="none"/>
          <w14:textFill>
            <w14:solidFill>
              <w14:schemeClr w14:val="tx1"/>
            </w14:solidFill>
          </w14:textFill>
        </w:rPr>
      </w:pPr>
      <w:bookmarkStart w:id="434" w:name="_Toc30539"/>
      <w:bookmarkStart w:id="435" w:name="_Toc28294"/>
      <w:bookmarkStart w:id="436" w:name="_Toc25668"/>
      <w:r>
        <w:rPr>
          <w:rFonts w:hint="eastAsia" w:ascii="宋体" w:hAnsi="宋体" w:eastAsia="宋体" w:cs="宋体"/>
          <w:b/>
          <w:bCs/>
          <w:color w:val="000000" w:themeColor="text1"/>
          <w:sz w:val="24"/>
          <w:szCs w:val="24"/>
          <w:highlight w:val="none"/>
          <w14:textFill>
            <w14:solidFill>
              <w14:schemeClr w14:val="tx1"/>
            </w14:solidFill>
          </w14:textFill>
        </w:rPr>
        <w:t>2.施工</w:t>
      </w:r>
      <w:r>
        <w:rPr>
          <w:rFonts w:hint="eastAsia" w:ascii="宋体" w:hAnsi="宋体" w:eastAsia="宋体" w:cs="宋体"/>
          <w:b/>
          <w:snapToGrid w:val="0"/>
          <w:color w:val="000000" w:themeColor="text1"/>
          <w:sz w:val="24"/>
          <w:szCs w:val="24"/>
          <w:highlight w:val="none"/>
          <w14:textFill>
            <w14:solidFill>
              <w14:schemeClr w14:val="tx1"/>
            </w14:solidFill>
          </w14:textFill>
        </w:rPr>
        <w:t>规范</w:t>
      </w:r>
      <w:bookmarkEnd w:id="434"/>
      <w:bookmarkEnd w:id="435"/>
      <w:bookmarkEnd w:id="436"/>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．市政基础设施工程建设项目</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市政基础设施工程建设项目必须执行的现行技术规范，包括且不限于：</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（1）《公路路基施工技术规范》；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（2）《市政道路工程质量检验评定标准》；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（3）《市政排水管渠工程质量检验评定标准》；</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（4）《给水排水管道工程施工及验收规范》；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（5）《城市道路路基工程施工及验收规范》；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（6）《水泥砼路面施工及验收规范》；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（7）《公路水泥砼路面施工技术规范》；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（8）《埋地硬聚氯乙烯排水管道工程技术规程》；</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（9）《沥青路面施工及验收规范》；</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（10）《广东省市政工程施工质量技术资料统一用表》。</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（11）《城市道路照明设计标准》（CJJ45-2015）；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（12）《低压配电设计规范》（GB50054-2011）；</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（13）《城市道路照明工程施工及验收规程》（CJJ89-2012）；</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（14）《LED道路照明工程技术规范》（DB44/T 1898-2016）；</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（15）《灯具第1部分：一般要求与试验》（GB7000.1-2015）；</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（16）《电缆工程电缆设计标准》（GB50217-2018）；</w:t>
      </w:r>
    </w:p>
    <w:p>
      <w:pPr>
        <w:pStyle w:val="6"/>
        <w:pageBreakBefore w:val="0"/>
        <w:kinsoku/>
        <w:wordWrap w:val="0"/>
        <w:overflowPunct/>
        <w:bidi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（17）其他现行国家、广东省关于市政工程的技术及验收规范、定额、规程、标准。</w:t>
      </w:r>
    </w:p>
    <w:p>
      <w:pPr>
        <w:pStyle w:val="4"/>
        <w:pageBreakBefore w:val="0"/>
        <w:kinsoku/>
        <w:wordWrap w:val="0"/>
        <w:overflowPunct/>
        <w:autoSpaceDE/>
        <w:autoSpaceDN/>
        <w:bidi w:val="0"/>
        <w:snapToGrid w:val="0"/>
        <w:spacing w:line="440" w:lineRule="exact"/>
        <w:ind w:firstLine="480"/>
        <w:jc w:val="both"/>
        <w:rPr>
          <w:rFonts w:hint="eastAsia" w:ascii="宋体" w:hAnsi="宋体" w:eastAsia="宋体" w:cs="宋体"/>
          <w:b/>
          <w:snapToGrid w:val="0"/>
          <w:color w:val="000000" w:themeColor="text1"/>
          <w:sz w:val="24"/>
          <w:szCs w:val="24"/>
          <w:highlight w:val="none"/>
          <w14:textFill>
            <w14:solidFill>
              <w14:schemeClr w14:val="tx1"/>
            </w14:solidFill>
          </w14:textFill>
        </w:rPr>
      </w:pPr>
      <w:bookmarkStart w:id="437" w:name="_Toc7299"/>
      <w:bookmarkStart w:id="438" w:name="_Toc28818"/>
      <w:bookmarkStart w:id="439" w:name="_Toc2849"/>
      <w:bookmarkStart w:id="440" w:name="_Toc9288"/>
      <w:bookmarkStart w:id="441" w:name="_Toc31093"/>
      <w:bookmarkStart w:id="442" w:name="_Toc27980"/>
      <w:bookmarkStart w:id="443" w:name="_Toc30285"/>
      <w:r>
        <w:rPr>
          <w:rFonts w:hint="eastAsia" w:ascii="宋体" w:hAnsi="宋体" w:eastAsia="宋体" w:cs="宋体"/>
          <w:b/>
          <w:snapToGrid w:val="0"/>
          <w:color w:val="000000" w:themeColor="text1"/>
          <w:sz w:val="24"/>
          <w:szCs w:val="24"/>
          <w:highlight w:val="none"/>
          <w14:textFill>
            <w14:solidFill>
              <w14:schemeClr w14:val="tx1"/>
            </w14:solidFill>
          </w14:textFill>
        </w:rPr>
        <w:t>3</w:t>
      </w:r>
      <w:r>
        <w:rPr>
          <w:rFonts w:hint="eastAsia" w:hAnsi="宋体" w:eastAsia="宋体" w:cs="宋体"/>
          <w:b/>
          <w:snapToGrid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snapToGrid w:val="0"/>
          <w:color w:val="000000" w:themeColor="text1"/>
          <w:sz w:val="24"/>
          <w:szCs w:val="24"/>
          <w:highlight w:val="none"/>
          <w14:textFill>
            <w14:solidFill>
              <w14:schemeClr w14:val="tx1"/>
            </w14:solidFill>
          </w14:textFill>
        </w:rPr>
        <w:t>备查要求</w:t>
      </w:r>
      <w:bookmarkEnd w:id="437"/>
      <w:bookmarkEnd w:id="438"/>
      <w:bookmarkEnd w:id="439"/>
      <w:bookmarkEnd w:id="440"/>
      <w:bookmarkEnd w:id="441"/>
      <w:bookmarkEnd w:id="442"/>
      <w:bookmarkEnd w:id="443"/>
    </w:p>
    <w:p>
      <w:pPr>
        <w:pageBreakBefore w:val="0"/>
        <w:tabs>
          <w:tab w:val="left" w:pos="0"/>
        </w:tabs>
        <w:kinsoku/>
        <w:wordWrap w:val="0"/>
        <w:overflowPunct/>
        <w:bidi w:val="0"/>
        <w:adjustRightInd w:val="0"/>
        <w:snapToGrid w:val="0"/>
        <w:ind w:firstLine="480" w:firstLineChars="200"/>
        <w:jc w:val="left"/>
        <w:rPr>
          <w:rFonts w:hint="eastAsia" w:ascii="宋体" w:hAnsi="宋体" w:eastAsia="宋体" w:cs="宋体"/>
          <w:b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人必须在施工现场准备至少一套上述规范，</w:t>
      </w:r>
      <w:r>
        <w:rPr>
          <w:rFonts w:hint="eastAsia" w:ascii="宋体" w:hAnsi="宋体" w:eastAsia="宋体" w:cs="宋体"/>
          <w:snapToGrid w:val="0"/>
          <w:color w:val="000000" w:themeColor="text1"/>
          <w:kern w:val="0"/>
          <w:sz w:val="24"/>
          <w:szCs w:val="24"/>
          <w:highlight w:val="none"/>
          <w14:textFill>
            <w14:solidFill>
              <w14:schemeClr w14:val="tx1"/>
            </w14:solidFill>
          </w14:textFill>
        </w:rPr>
        <w:t>发包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人和监理单位可随时检查</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人的上述规范，并监督</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w:t>
      </w:r>
      <w:r>
        <w:rPr>
          <w:rFonts w:hint="eastAsia" w:ascii="宋体" w:hAnsi="宋体" w:eastAsia="宋体" w:cs="宋体"/>
          <w:bCs/>
          <w:snapToGrid w:val="0"/>
          <w:color w:val="000000" w:themeColor="text1"/>
          <w:kern w:val="0"/>
          <w:sz w:val="24"/>
          <w:szCs w:val="24"/>
          <w:highlight w:val="none"/>
          <w14:textFill>
            <w14:solidFill>
              <w14:schemeClr w14:val="tx1"/>
            </w14:solidFill>
          </w14:textFill>
        </w:rPr>
        <w:t>人按规范要求执行。</w:t>
      </w:r>
    </w:p>
    <w:p>
      <w:pPr>
        <w:pageBreakBefore w:val="0"/>
        <w:kinsoku/>
        <w:wordWrap w:val="0"/>
        <w:overflowPunct/>
        <w:bidi w:val="0"/>
        <w:spacing w:line="360" w:lineRule="auto"/>
        <w:outlineLvl w:val="9"/>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44" w:name="_Toc466640612"/>
    </w:p>
    <w:bookmarkEnd w:id="444"/>
    <w:p>
      <w:pPr>
        <w:pStyle w:val="6"/>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445" w:name="_Hlt69670335"/>
      <w:bookmarkEnd w:id="445"/>
    </w:p>
    <w:p>
      <w:pPr>
        <w:pageBreakBefore w:val="0"/>
        <w:kinsoku/>
        <w:wordWrap w:val="0"/>
        <w:overflowPunct/>
        <w:bidi w:val="0"/>
        <w:rPr>
          <w:rFonts w:hint="eastAsia"/>
          <w:color w:val="000000" w:themeColor="text1"/>
          <w:highlight w:val="none"/>
          <w14:textFill>
            <w14:solidFill>
              <w14:schemeClr w14:val="tx1"/>
            </w14:solidFill>
          </w14:textFill>
        </w:rPr>
      </w:pPr>
      <w:bookmarkStart w:id="446" w:name="_Toc16295"/>
      <w:bookmarkStart w:id="447" w:name="_Toc27843"/>
      <w:bookmarkStart w:id="448" w:name="_Toc466640614"/>
      <w:bookmarkStart w:id="449" w:name="_Toc23899"/>
      <w:bookmarkStart w:id="450" w:name="_Toc1911"/>
      <w:bookmarkStart w:id="451" w:name="_Toc12955"/>
      <w:bookmarkStart w:id="452" w:name="_Toc5639"/>
      <w:bookmarkStart w:id="453" w:name="_Toc5422"/>
      <w:bookmarkStart w:id="454" w:name="_Toc6133"/>
      <w:bookmarkStart w:id="455" w:name="_Hlt69698785"/>
    </w:p>
    <w:p>
      <w:pPr>
        <w:pageBreakBefore w:val="0"/>
        <w:kinsoku/>
        <w:wordWrap w:val="0"/>
        <w:overflowPunct/>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pStyle w:val="2"/>
        <w:pageBreakBefore w:val="0"/>
        <w:kinsoku/>
        <w:wordWrap w:val="0"/>
        <w:overflowPunct/>
        <w:bidi w:val="0"/>
        <w:rPr>
          <w:rFonts w:hint="eastAsia"/>
          <w:color w:val="000000" w:themeColor="text1"/>
          <w:highlight w:val="none"/>
          <w14:textFill>
            <w14:solidFill>
              <w14:schemeClr w14:val="tx1"/>
            </w14:solidFill>
          </w14:textFill>
        </w:rPr>
      </w:pPr>
    </w:p>
    <w:bookmarkEnd w:id="446"/>
    <w:bookmarkEnd w:id="447"/>
    <w:bookmarkEnd w:id="448"/>
    <w:bookmarkEnd w:id="449"/>
    <w:bookmarkEnd w:id="450"/>
    <w:bookmarkEnd w:id="451"/>
    <w:bookmarkEnd w:id="452"/>
    <w:bookmarkEnd w:id="453"/>
    <w:bookmarkEnd w:id="454"/>
    <w:p>
      <w:pPr>
        <w:pStyle w:val="38"/>
        <w:keepNext/>
        <w:keepLines/>
        <w:pageBreakBefore w:val="0"/>
        <w:tabs>
          <w:tab w:val="left" w:pos="885"/>
        </w:tabs>
        <w:kinsoku/>
        <w:wordWrap w:val="0"/>
        <w:overflowPunct/>
        <w:bidi w:val="0"/>
        <w:spacing w:line="240" w:lineRule="auto"/>
        <w:jc w:val="cente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pPr>
      <w:bookmarkStart w:id="456" w:name="_Toc30549"/>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 xml:space="preserve">第六章  </w:t>
      </w:r>
      <w:r>
        <w:rPr>
          <w:rFonts w:hint="eastAsia" w:asciiTheme="minorEastAsia" w:hAnsiTheme="minorEastAsia" w:eastAsiaTheme="minorEastAsia" w:cstheme="minorEastAsia"/>
          <w:b/>
          <w:color w:val="000000" w:themeColor="text1"/>
          <w:kern w:val="44"/>
          <w:sz w:val="36"/>
          <w:szCs w:val="36"/>
          <w:highlight w:val="none"/>
          <w:lang w:eastAsia="zh-CN"/>
          <w14:textFill>
            <w14:solidFill>
              <w14:schemeClr w14:val="tx1"/>
            </w14:solidFill>
          </w14:textFill>
        </w:rPr>
        <w:t>投标文件格式</w:t>
      </w:r>
      <w:bookmarkEnd w:id="456"/>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55"/>
    <w:p>
      <w:pPr>
        <w:pStyle w:val="4"/>
        <w:pageBreakBefore w:val="0"/>
        <w:kinsoku/>
        <w:wordWrap w:val="0"/>
        <w:overflowPunct/>
        <w:bidi w:val="0"/>
        <w:spacing w:before="120"/>
        <w:jc w:val="left"/>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pPr>
      <w:bookmarkStart w:id="457" w:name="_附件一：投标函"/>
      <w:bookmarkEnd w:id="457"/>
      <w:bookmarkStart w:id="458" w:name="_附件一：对招标文件条款自愿接受承诺书"/>
      <w:bookmarkEnd w:id="458"/>
      <w:bookmarkStart w:id="459" w:name="_附件五：综合评审合理低价法"/>
      <w:bookmarkEnd w:id="459"/>
      <w:bookmarkStart w:id="460" w:name="_附件二：近三年度主要施工项目（竣工及在建）一览表"/>
      <w:bookmarkEnd w:id="460"/>
      <w:bookmarkStart w:id="461" w:name="_附件二：工期承诺书"/>
      <w:bookmarkEnd w:id="461"/>
      <w:bookmarkStart w:id="462" w:name="_附件四：工期承诺书"/>
      <w:bookmarkEnd w:id="462"/>
      <w:bookmarkStart w:id="463" w:name="_Toc3855"/>
      <w:bookmarkStart w:id="464" w:name="_Toc2902"/>
      <w:bookmarkStart w:id="465" w:name="_Toc39136360"/>
      <w:bookmarkStart w:id="466" w:name="_Toc12406"/>
      <w:bookmarkStart w:id="467" w:name="_Toc12527"/>
      <w:bookmarkStart w:id="468" w:name="_Toc19410"/>
      <w:bookmarkStart w:id="469" w:name="_Toc133160683"/>
      <w:bookmarkStart w:id="470" w:name="_Toc132687128"/>
      <w:bookmarkStart w:id="471" w:name="_Toc142468134"/>
      <w:bookmarkStart w:id="472" w:name="_Toc137444778"/>
      <w:bookmarkStart w:id="473" w:name="_Toc78794873"/>
      <w:bookmarkStart w:id="474" w:name="_Toc133815902"/>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格式一 封面</w:t>
      </w:r>
      <w:bookmarkEnd w:id="463"/>
      <w:bookmarkEnd w:id="464"/>
      <w:bookmarkEnd w:id="465"/>
      <w:bookmarkEnd w:id="466"/>
      <w:bookmarkEnd w:id="467"/>
      <w:bookmarkEnd w:id="468"/>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jc w:val="right"/>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bookmarkStart w:id="475" w:name="_附件十：单项工程费汇总表"/>
      <w:bookmarkEnd w:id="475"/>
      <w:bookmarkStart w:id="476" w:name="_Hlt68774664"/>
      <w:bookmarkEnd w:id="476"/>
      <w:bookmarkStart w:id="477" w:name="_Hlt69116778"/>
      <w:bookmarkEnd w:id="477"/>
      <w:bookmarkStart w:id="478" w:name="_附件二十四：技术标提问单"/>
      <w:bookmarkEnd w:id="478"/>
      <w:bookmarkStart w:id="479" w:name="_附件二十五：综合评审合理低价法"/>
      <w:bookmarkEnd w:id="479"/>
      <w:bookmarkStart w:id="480" w:name="_Toc15791"/>
      <w:bookmarkStart w:id="481" w:name="_Toc26795"/>
      <w:bookmarkStart w:id="482" w:name="_Toc39136361"/>
      <w:bookmarkStart w:id="483" w:name="_Toc5872"/>
      <w:bookmarkStart w:id="484" w:name="_Toc28483"/>
      <w:bookmarkStart w:id="485" w:name="_Hlt66847557"/>
      <w:bookmarkStart w:id="486" w:name="_Toc66849200"/>
      <w:bookmarkStart w:id="487" w:name="_Toc106418843"/>
      <w:bookmarkStart w:id="488" w:name="_Toc466640620"/>
      <w:bookmarkStart w:id="489" w:name="_Toc104711098"/>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24"/>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52"/>
          <w:szCs w:val="52"/>
          <w:highlight w:val="none"/>
          <w:u w:val="single"/>
          <w14:textFill>
            <w14:solidFill>
              <w14:schemeClr w14:val="tx1"/>
            </w14:solidFill>
          </w14:textFill>
        </w:rPr>
        <w:t>（项目名称）</w:t>
      </w:r>
      <w:r>
        <w:rPr>
          <w:rFonts w:hint="eastAsia" w:asciiTheme="minorEastAsia" w:hAnsiTheme="minorEastAsia" w:eastAsiaTheme="minorEastAsia" w:cstheme="minorEastAsia"/>
          <w:b/>
          <w:snapToGrid w:val="0"/>
          <w:color w:val="000000" w:themeColor="text1"/>
          <w:sz w:val="52"/>
          <w:szCs w:val="52"/>
          <w:highlight w:val="none"/>
          <w14:textFill>
            <w14:solidFill>
              <w14:schemeClr w14:val="tx1"/>
            </w14:solidFill>
          </w14:textFill>
        </w:rPr>
        <w:t>招标</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投</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文</w:t>
      </w:r>
      <w:r>
        <w:rPr>
          <w:rFonts w:hint="eastAsia" w:asciiTheme="minorEastAsia" w:hAnsiTheme="minorEastAsia" w:eastAsiaTheme="minorEastAsia" w:cstheme="minorEastAsia"/>
          <w:b/>
          <w:snapToGrid w:val="0"/>
          <w:color w:val="000000" w:themeColor="text1"/>
          <w:sz w:val="72"/>
          <w:szCs w:val="2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snapToGrid w:val="0"/>
          <w:color w:val="000000" w:themeColor="text1"/>
          <w:sz w:val="72"/>
          <w:szCs w:val="20"/>
          <w:highlight w:val="none"/>
          <w14:textFill>
            <w14:solidFill>
              <w14:schemeClr w14:val="tx1"/>
            </w14:solidFill>
          </w14:textFill>
        </w:rPr>
        <w:t>件</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pP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r>
        <w:rPr>
          <w:rFonts w:hint="eastAsia" w:asciiTheme="minorEastAsia" w:hAnsiTheme="minorEastAsia" w:eastAsiaTheme="minorEastAsia" w:cstheme="minorEastAsia"/>
          <w:b/>
          <w:snapToGrid w:val="0"/>
          <w:color w:val="000000" w:themeColor="text1"/>
          <w:sz w:val="56"/>
          <w:szCs w:val="16"/>
          <w:highlight w:val="none"/>
          <w:lang w:val="en-US" w:eastAsia="zh-CN"/>
          <w14:textFill>
            <w14:solidFill>
              <w14:schemeClr w14:val="tx1"/>
            </w14:solidFill>
          </w14:textFill>
        </w:rPr>
        <w:t>商务</w:t>
      </w:r>
      <w:r>
        <w:rPr>
          <w:rFonts w:hint="eastAsia" w:asciiTheme="minorEastAsia" w:hAnsiTheme="minorEastAsia" w:eastAsiaTheme="minorEastAsia" w:cstheme="minorEastAsia"/>
          <w:b/>
          <w:snapToGrid w:val="0"/>
          <w:color w:val="000000" w:themeColor="text1"/>
          <w:sz w:val="56"/>
          <w:szCs w:val="16"/>
          <w:highlight w:val="none"/>
          <w:lang w:val="en-US" w:eastAsia="zh-CN"/>
          <w14:textFill>
            <w14:solidFill>
              <w14:schemeClr w14:val="tx1"/>
            </w14:solidFill>
          </w14:textFill>
        </w:rPr>
        <w:t>技术</w:t>
      </w:r>
      <w:r>
        <w:rPr>
          <w:rFonts w:hint="eastAsia" w:asciiTheme="minorEastAsia" w:hAnsiTheme="minorEastAsia" w:eastAsiaTheme="minorEastAsia" w:cstheme="minorEastAsia"/>
          <w:b/>
          <w:snapToGrid w:val="0"/>
          <w:color w:val="000000" w:themeColor="text1"/>
          <w:sz w:val="56"/>
          <w:szCs w:val="16"/>
          <w:highlight w:val="none"/>
          <w:lang w:val="en-US" w:eastAsia="zh-CN"/>
          <w14:textFill>
            <w14:solidFill>
              <w14:schemeClr w14:val="tx1"/>
            </w14:solidFill>
          </w14:textFill>
        </w:rPr>
        <w:t>标书</w:t>
      </w:r>
      <w:r>
        <w:rPr>
          <w:rFonts w:hint="eastAsia" w:asciiTheme="minorEastAsia" w:hAnsiTheme="minorEastAsia" w:eastAsiaTheme="minorEastAsia" w:cstheme="minorEastAsia"/>
          <w:b/>
          <w:snapToGrid w:val="0"/>
          <w:color w:val="000000" w:themeColor="text1"/>
          <w:sz w:val="56"/>
          <w:szCs w:val="16"/>
          <w:highlight w:val="none"/>
          <w:lang w:eastAsia="zh-CN"/>
          <w14:textFill>
            <w14:solidFill>
              <w14:schemeClr w14:val="tx1"/>
            </w14:solidFill>
          </w14:textFill>
        </w:rPr>
        <w:t>）</w:t>
      </w: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投标人：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r>
        <w:rPr>
          <w:rFonts w:hint="eastAsia" w:hAnsi="宋体" w:eastAsia="宋体" w:cs="宋体"/>
          <w:bCs/>
          <w:snapToGrid w:val="0"/>
          <w:color w:val="000000" w:themeColor="text1"/>
          <w:sz w:val="32"/>
          <w:highlight w:val="none"/>
          <w14:textFill>
            <w14:solidFill>
              <w14:schemeClr w14:val="tx1"/>
            </w14:solidFill>
          </w14:textFill>
        </w:rPr>
        <w:t>法定代表人或其委托代理人：</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Cs/>
          <w:snapToGrid w:val="0"/>
          <w:color w:val="000000" w:themeColor="text1"/>
          <w:sz w:val="32"/>
          <w:highlight w:val="none"/>
          <w:u w:val="singl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hAnsi="宋体" w:eastAsia="宋体" w:cs="宋体"/>
          <w:b/>
          <w:snapToGrid w:val="0"/>
          <w:color w:val="000000" w:themeColor="text1"/>
          <w:highlight w:val="none"/>
          <w14:textFill>
            <w14:solidFill>
              <w14:schemeClr w14:val="tx1"/>
            </w14:solidFill>
          </w14:textFill>
        </w:rPr>
      </w:pP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年</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月</w:t>
      </w:r>
      <w:r>
        <w:rPr>
          <w:rFonts w:hint="eastAsia" w:hAnsi="宋体" w:eastAsia="宋体" w:cs="宋体"/>
          <w:bCs/>
          <w:snapToGrid w:val="0"/>
          <w:color w:val="000000" w:themeColor="text1"/>
          <w:sz w:val="32"/>
          <w:highlight w:val="none"/>
          <w:u w:val="single"/>
          <w14:textFill>
            <w14:solidFill>
              <w14:schemeClr w14:val="tx1"/>
            </w14:solidFill>
          </w14:textFill>
        </w:rPr>
        <w:t xml:space="preserve">      </w:t>
      </w:r>
      <w:r>
        <w:rPr>
          <w:rFonts w:hint="eastAsia" w:hAnsi="宋体" w:eastAsia="宋体" w:cs="宋体"/>
          <w:bCs/>
          <w:snapToGrid w:val="0"/>
          <w:color w:val="000000" w:themeColor="text1"/>
          <w:sz w:val="32"/>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490" w:name="_Toc469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格式二 </w:t>
      </w:r>
      <w:bookmarkEnd w:id="480"/>
      <w:bookmarkEnd w:id="481"/>
      <w:bookmarkEnd w:id="482"/>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投标函</w:t>
      </w:r>
      <w:bookmarkEnd w:id="483"/>
      <w:bookmarkEnd w:id="484"/>
      <w:bookmarkEnd w:id="490"/>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bookmarkStart w:id="491" w:name="_Toc29375"/>
      <w:bookmarkStart w:id="492" w:name="_Toc21577"/>
      <w:bookmarkStart w:id="493" w:name="_Toc28636"/>
      <w:bookmarkStart w:id="494" w:name="_Toc27121"/>
      <w:bookmarkStart w:id="495" w:name="_Toc18294"/>
      <w:bookmarkStart w:id="496" w:name="_Toc39136362"/>
      <w:bookmarkStart w:id="497" w:name="_Toc9280"/>
      <w:bookmarkStart w:id="498" w:name="_Toc8657"/>
      <w:bookmarkStart w:id="499" w:name="_Toc10604"/>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投  标  函</w:t>
      </w:r>
      <w:bookmarkEnd w:id="491"/>
      <w:bookmarkEnd w:id="492"/>
      <w:bookmarkEnd w:id="493"/>
      <w:bookmarkEnd w:id="494"/>
      <w:bookmarkEnd w:id="495"/>
      <w:bookmarkEnd w:id="496"/>
      <w:bookmarkEnd w:id="497"/>
      <w:bookmarkEnd w:id="498"/>
      <w:bookmarkEnd w:id="49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1.在研</w:t>
      </w:r>
      <w:r>
        <w:rPr>
          <w:rFonts w:hint="eastAsia" w:asciiTheme="minorEastAsia" w:hAnsiTheme="minorEastAsia" w:eastAsiaTheme="minorEastAsia" w:cstheme="minorEastAsia"/>
          <w:color w:val="000000" w:themeColor="text1"/>
          <w:szCs w:val="22"/>
          <w:highlight w:val="none"/>
          <w:u w:val="none"/>
          <w14:textFill>
            <w14:solidFill>
              <w14:schemeClr w14:val="tx1"/>
            </w14:solidFill>
          </w14:textFill>
        </w:rPr>
        <w:t>究</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（项目名称）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）的投标总价竞投本项目。</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2.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如果我方中标，我方保证按照合同约定的开工日期开始本项目的</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，本工程</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设计、施工</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个日历天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其中：</w:t>
      </w:r>
      <w:r>
        <w:rPr>
          <w:rFonts w:hint="eastAsia" w:asciiTheme="minorEastAsia" w:hAnsiTheme="minorEastAsia" w:eastAsiaTheme="minorEastAsia" w:cstheme="minorEastAsia"/>
          <w:color w:val="000000" w:themeColor="text1"/>
          <w:szCs w:val="22"/>
          <w:highlight w:val="none"/>
          <w:lang w:val="en-US" w:eastAsia="zh-CN"/>
          <w14:textFill>
            <w14:solidFill>
              <w14:schemeClr w14:val="tx1"/>
            </w14:solidFill>
          </w14:textFill>
        </w:rPr>
        <w:t>设计</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日历天，施工工期为</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日历天</w:t>
      </w:r>
      <w:r>
        <w:rPr>
          <w:rFonts w:hint="eastAsia" w:asciiTheme="minorEastAsia" w:hAnsiTheme="minorEastAsia" w:eastAsiaTheme="minorEastAsia" w:cstheme="minorEastAsia"/>
          <w:color w:val="000000" w:themeColor="text1"/>
          <w:szCs w:val="22"/>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内竣工，并确保工程质量达到</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2"/>
          <w:highlight w:val="none"/>
          <w14:textFill>
            <w14:solidFill>
              <w14:schemeClr w14:val="tx1"/>
            </w14:solidFill>
          </w14:textFill>
        </w:rPr>
        <w:t>标准和维修其中的任何缺陷</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4．我方在此声明，我方不存在本工程招标文件所列示的“禁止投标条款”所列出的任何一种情形，并愿意承担因我方就此弄虚作假所引起的一切法律后果。</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 我方理解你方不一定要接纳收到的最低投标总价或任何投标总价的投标人中标，也不要求你方解释我方是否中标的原因。</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080" w:firstLineChars="170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jc w:val="lef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0" w:name="_Toc11265"/>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格式三 工程项目总价表</w:t>
      </w:r>
      <w:bookmarkEnd w:id="500"/>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pPr>
      <w:bookmarkStart w:id="501" w:name="_Toc25629"/>
      <w:bookmarkStart w:id="502" w:name="_Toc5052"/>
      <w:bookmarkStart w:id="503" w:name="_Toc20338"/>
      <w:bookmarkStart w:id="504" w:name="_Toc25829"/>
      <w:bookmarkStart w:id="505" w:name="_Toc453"/>
      <w:bookmarkStart w:id="506" w:name="_Toc39136364"/>
      <w:bookmarkStart w:id="507" w:name="_Toc7915"/>
      <w:r>
        <w:rPr>
          <w:rFonts w:hint="eastAsia" w:asciiTheme="minorEastAsia" w:hAnsiTheme="minorEastAsia" w:eastAsiaTheme="minorEastAsia" w:cstheme="minorEastAsia"/>
          <w:b/>
          <w:bCs/>
          <w:color w:val="000000" w:themeColor="text1"/>
          <w:szCs w:val="22"/>
          <w:highlight w:val="none"/>
          <w14:textFill>
            <w14:solidFill>
              <w14:schemeClr w14:val="tx1"/>
            </w14:solidFill>
          </w14:textFill>
        </w:rPr>
        <w:t>工程项目总价表</w:t>
      </w:r>
      <w:bookmarkEnd w:id="501"/>
      <w:bookmarkEnd w:id="502"/>
      <w:bookmarkEnd w:id="503"/>
      <w:bookmarkEnd w:id="504"/>
      <w:bookmarkEnd w:id="505"/>
    </w:p>
    <w:p>
      <w:pPr>
        <w:pageBreakBefore w:val="0"/>
        <w:kinsoku/>
        <w:wordWrap w:val="0"/>
        <w:overflowPunct/>
        <w:bidi w:val="0"/>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94"/>
        <w:gridCol w:w="1706"/>
        <w:gridCol w:w="2057"/>
        <w:gridCol w:w="1347"/>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项目名称</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报价基数（元）</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1"/>
                <w:sz w:val="24"/>
                <w:szCs w:val="24"/>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投标报价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（元）</w:t>
            </w: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w:t>
            </w:r>
          </w:p>
        </w:tc>
        <w:tc>
          <w:tcPr>
            <w:tcW w:w="994" w:type="dxa"/>
            <w:noWrap w:val="0"/>
            <w:vAlign w:val="center"/>
          </w:tcPr>
          <w:p>
            <w:pPr>
              <w:pageBreakBefore w:val="0"/>
              <w:widowControl/>
              <w:kinsoku/>
              <w:wordWrap w:val="0"/>
              <w:overflowPunct/>
              <w:bidi w:val="0"/>
              <w:ind w:right="-122" w:rightChars="-51"/>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设计费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1"/>
                <w:sz w:val="24"/>
                <w:szCs w:val="24"/>
                <w:highlight w:val="none"/>
                <w:lang w:val="zh-CN"/>
                <w14:textFill>
                  <w14:solidFill>
                    <w14:schemeClr w14:val="tx1"/>
                  </w14:solidFill>
                </w14:textFill>
              </w:rPr>
              <w:t>投标费率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按最高投标限价</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范围内</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自行报</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价及</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投标费</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率。报价基数作为暂定量，仅作为投标报价编制依据，不作为结算依据。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建安工程费</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投标下浮率</w:t>
            </w:r>
            <w:r>
              <w:rPr>
                <w:rFonts w:hint="eastAsia" w:asciiTheme="minorEastAsia" w:hAnsiTheme="minorEastAsia" w:eastAsiaTheme="minorEastAsia" w:cstheme="minorEastAsia"/>
                <w:color w:val="000000" w:themeColor="text1"/>
                <w:kern w:val="0"/>
                <w:sz w:val="24"/>
                <w:szCs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本项目为限额设计，</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工程结算价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未超过建安工程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按实结算，超过建安工程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费中标价的</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则按建安工程</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费</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中标</w:t>
            </w: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价</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结算。建安工程投标报价=</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报价基数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×（1-投标下浮率）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5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3</w:t>
            </w:r>
          </w:p>
        </w:tc>
        <w:tc>
          <w:tcPr>
            <w:tcW w:w="994"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合计（1+</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1706"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p>
        </w:tc>
        <w:tc>
          <w:tcPr>
            <w:tcW w:w="2057" w:type="dxa"/>
            <w:noWrap w:val="0"/>
            <w:vAlign w:val="center"/>
          </w:tcPr>
          <w:p>
            <w:pPr>
              <w:pageBreakBefore w:val="0"/>
              <w:widowControl/>
              <w:kinsoku/>
              <w:wordWrap w:val="0"/>
              <w:overflowPunct/>
              <w:bidi w:val="0"/>
              <w:jc w:val="cente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w:t>
            </w:r>
          </w:p>
        </w:tc>
        <w:tc>
          <w:tcPr>
            <w:tcW w:w="1347" w:type="dxa"/>
            <w:noWrap w:val="0"/>
            <w:vAlign w:val="center"/>
          </w:tcPr>
          <w:p>
            <w:pPr>
              <w:pageBreakBefore w:val="0"/>
              <w:widowControl/>
              <w:kinsoku/>
              <w:wordWrap w:val="0"/>
              <w:overflowPunct/>
              <w:bidi w:val="0"/>
              <w:jc w:val="both"/>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p>
        </w:tc>
        <w:tc>
          <w:tcPr>
            <w:tcW w:w="2636" w:type="dxa"/>
            <w:noWrap w:val="0"/>
            <w:vAlign w:val="center"/>
          </w:tcPr>
          <w:p>
            <w:pPr>
              <w:pageBreakBefore w:val="0"/>
              <w:widowControl/>
              <w:kinsoku/>
              <w:wordWrap w:val="0"/>
              <w:overflowPunct/>
              <w:bidi w:val="0"/>
              <w:jc w:val="left"/>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p>
        </w:tc>
      </w:tr>
    </w:tbl>
    <w:p>
      <w:pPr>
        <w:pStyle w:val="32"/>
        <w:pageBreakBefore w:val="0"/>
        <w:kinsoku/>
        <w:wordWrap w:val="0"/>
        <w:overflowPunct/>
        <w:bidi w:val="0"/>
        <w:rPr>
          <w:rFonts w:ascii="宋体" w:hAnsi="宋体" w:cs="宋体"/>
          <w:color w:val="000000" w:themeColor="text1"/>
          <w:sz w:val="24"/>
          <w:highlight w:val="none"/>
          <w:lang w:val="zh-CN"/>
          <w14:textFill>
            <w14:solidFill>
              <w14:schemeClr w14:val="tx1"/>
            </w14:solidFill>
          </w14:textFill>
        </w:rPr>
      </w:pPr>
    </w:p>
    <w:p>
      <w:pPr>
        <w:pStyle w:val="6"/>
        <w:pageBreakBefore w:val="0"/>
        <w:kinsoku/>
        <w:wordWrap w:val="0"/>
        <w:overflowPunct/>
        <w:bidi w:val="0"/>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注：投标报价、</w:t>
      </w:r>
      <w:r>
        <w:rPr>
          <w:rFonts w:hint="eastAsia" w:ascii="宋体" w:hAnsi="宋体" w:eastAsia="宋体" w:cs="宋体"/>
          <w:color w:val="000000" w:themeColor="text1"/>
          <w:szCs w:val="21"/>
          <w:highlight w:val="none"/>
          <w:lang w:eastAsia="zh-CN"/>
          <w14:textFill>
            <w14:solidFill>
              <w14:schemeClr w14:val="tx1"/>
            </w14:solidFill>
          </w14:textFill>
        </w:rPr>
        <w:t>投标下浮</w:t>
      </w:r>
      <w:r>
        <w:rPr>
          <w:rFonts w:hint="eastAsia" w:ascii="宋体" w:hAnsi="宋体" w:eastAsia="宋体" w:cs="宋体"/>
          <w:color w:val="000000" w:themeColor="text1"/>
          <w:szCs w:val="21"/>
          <w:highlight w:val="none"/>
          <w14:textFill>
            <w14:solidFill>
              <w14:schemeClr w14:val="tx1"/>
            </w14:solidFill>
          </w14:textFill>
        </w:rPr>
        <w:t>率均保留至小数点后两位</w:t>
      </w:r>
      <w:r>
        <w:rPr>
          <w:rFonts w:hint="eastAsia" w:ascii="宋体" w:hAnsi="宋体" w:eastAsia="宋体" w:cs="宋体"/>
          <w:color w:val="000000" w:themeColor="text1"/>
          <w:szCs w:val="21"/>
          <w:highlight w:val="none"/>
          <w:lang w:eastAsia="zh-CN"/>
          <w14:textFill>
            <w14:solidFill>
              <w14:schemeClr w14:val="tx1"/>
            </w14:solidFill>
          </w14:textFill>
        </w:rPr>
        <w:t>，投标费率保留至小数点后三位。</w:t>
      </w:r>
    </w:p>
    <w:p>
      <w:pPr>
        <w:pageBreakBefore w:val="0"/>
        <w:kinsoku/>
        <w:wordWrap w:val="0"/>
        <w:overflowPunct/>
        <w:bidi w:val="0"/>
        <w:adjustRightInd w:val="0"/>
        <w:snapToGrid w:val="0"/>
        <w:spacing w:line="276" w:lineRule="auto"/>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outlineLvl w:val="9"/>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ageBreakBefore w:val="0"/>
        <w:kinsoku/>
        <w:wordWrap w:val="0"/>
        <w:overflowPunct/>
        <w:bidi w:val="0"/>
        <w:adjustRightInd w:val="0"/>
        <w:snapToGrid w:val="0"/>
        <w:spacing w:line="276" w:lineRule="auto"/>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ageBreakBefore w:val="0"/>
        <w:kinsoku/>
        <w:wordWrap w:val="0"/>
        <w:overflowPunct/>
        <w:bidi w:val="0"/>
        <w:adjustRightInd w:val="0"/>
        <w:snapToGrid w:val="0"/>
        <w:spacing w:line="276" w:lineRule="auto"/>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spacing w:line="276" w:lineRule="auto"/>
        <w:rPr>
          <w:rFonts w:hint="eastAsia" w:asciiTheme="minorEastAsia" w:hAnsiTheme="minorEastAsia" w:eastAsiaTheme="minorEastAsia" w:cstheme="minorEastAsia"/>
          <w:color w:val="000000" w:themeColor="text1"/>
          <w:szCs w:val="24"/>
          <w:highlight w:val="none"/>
          <w14:textFill>
            <w14:solidFill>
              <w14:schemeClr w14:val="tx1"/>
            </w14:solidFill>
          </w14:textFill>
        </w:rPr>
        <w:sectPr>
          <w:footerReference r:id="rId6" w:type="default"/>
          <w:endnotePr>
            <w:numFmt w:val="decimal"/>
          </w:endnotePr>
          <w:pgSz w:w="11906" w:h="16838"/>
          <w:pgMar w:top="1701" w:right="1335" w:bottom="1417" w:left="1531" w:header="850" w:footer="992" w:gutter="0"/>
          <w:pgNumType w:fmt="decimal"/>
          <w:cols w:space="720" w:num="1"/>
          <w:docGrid w:linePitch="327" w:charSpace="0"/>
        </w:sect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p>
    <w:p>
      <w:pPr>
        <w:pStyle w:val="4"/>
        <w:pageBreakBefore w:val="0"/>
        <w:kinsoku/>
        <w:wordWrap w:val="0"/>
        <w:overflowPunct/>
        <w:bidi w:val="0"/>
        <w:spacing w:before="120"/>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bookmarkStart w:id="508" w:name="_Toc28529"/>
      <w:bookmarkStart w:id="509" w:name="_Toc18655"/>
      <w:bookmarkStart w:id="510" w:name="_Toc20987"/>
      <w:bookmarkStart w:id="511" w:name="_Toc919"/>
      <w:bookmarkStart w:id="512" w:name="_Toc21928"/>
      <w:bookmarkStart w:id="513" w:name="_Toc1017"/>
      <w:bookmarkStart w:id="514" w:name="_Toc32555"/>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格式</w:t>
      </w:r>
      <w:r>
        <w:rPr>
          <w:rStyle w:val="60"/>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四</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 各项</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承诺</w:t>
      </w:r>
      <w:r>
        <w:rPr>
          <w:rStyle w:val="60"/>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一览表</w:t>
      </w:r>
      <w:bookmarkEnd w:id="506"/>
      <w:bookmarkEnd w:id="507"/>
      <w:bookmarkEnd w:id="508"/>
      <w:bookmarkEnd w:id="509"/>
      <w:bookmarkEnd w:id="510"/>
      <w:bookmarkEnd w:id="511"/>
    </w:p>
    <w:bookmarkEnd w:id="512"/>
    <w:bookmarkEnd w:id="513"/>
    <w:bookmarkEnd w:id="514"/>
    <w:p>
      <w:pPr>
        <w:pageBreakBefore w:val="0"/>
        <w:kinsoku/>
        <w:wordWrap w:val="0"/>
        <w:overflowPunct/>
        <w:bidi w:val="0"/>
        <w:spacing w:line="480" w:lineRule="auto"/>
        <w:jc w:val="cente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15" w:name="_Toc39136365"/>
      <w:bookmarkStart w:id="516" w:name="_Toc30877"/>
      <w:bookmarkStart w:id="517" w:name="_Toc21521"/>
      <w:bookmarkStart w:id="518" w:name="_Toc20729"/>
      <w:bookmarkStart w:id="519" w:name="_Toc31113"/>
      <w:bookmarkStart w:id="520" w:name="_Toc18136"/>
      <w:bookmarkStart w:id="521" w:name="_Toc16438"/>
      <w:bookmarkStart w:id="522" w:name="_Toc1527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各项承诺一览表</w:t>
      </w:r>
      <w:bookmarkEnd w:id="515"/>
      <w:bookmarkEnd w:id="516"/>
      <w:bookmarkEnd w:id="517"/>
      <w:bookmarkEnd w:id="518"/>
    </w:p>
    <w:bookmarkEnd w:id="519"/>
    <w:bookmarkEnd w:id="520"/>
    <w:bookmarkEnd w:id="521"/>
    <w:bookmarkEnd w:id="522"/>
    <w:tbl>
      <w:tblPr>
        <w:tblStyle w:val="22"/>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081"/>
        <w:gridCol w:w="3226"/>
        <w:gridCol w:w="4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1081"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承诺标题</w:t>
            </w:r>
          </w:p>
        </w:tc>
        <w:tc>
          <w:tcPr>
            <w:tcW w:w="3226" w:type="dxa"/>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承诺内容</w:t>
            </w:r>
          </w:p>
        </w:tc>
        <w:tc>
          <w:tcPr>
            <w:tcW w:w="4796" w:type="dxa"/>
            <w:tcBorders>
              <w:bottom w:val="single" w:color="auto" w:sz="4" w:space="0"/>
            </w:tcBorders>
            <w:noWrap w:val="0"/>
            <w:vAlign w:val="top"/>
          </w:tcPr>
          <w:p>
            <w:pPr>
              <w:pStyle w:val="37"/>
              <w:pageBreakBefore w:val="0"/>
              <w:kinsoku/>
              <w:wordWrap w:val="0"/>
              <w:overflowPunct/>
              <w:bidi w:val="0"/>
              <w:spacing w:line="38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违约承诺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对招标文件条款自愿接受承诺书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我方保证接受招标文件的所有条款，响应招标文件的所有要求，并同意招标文件为施工承包合同的组成部分</w:t>
            </w:r>
          </w:p>
        </w:tc>
        <w:tc>
          <w:tcPr>
            <w:tcW w:w="4796" w:type="dxa"/>
            <w:tcBorders>
              <w:tr2bl w:val="single" w:color="auto" w:sz="4" w:space="0"/>
            </w:tcBorders>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无禁止投标</w:t>
            </w:r>
          </w:p>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情形的承诺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宋体" w:hAnsi="宋体" w:eastAsia="宋体" w:cs="宋体"/>
                <w:b/>
                <w:bCs/>
                <w:snapToGrid w:val="0"/>
                <w:color w:val="000000" w:themeColor="text1"/>
                <w:kern w:val="0"/>
                <w:sz w:val="21"/>
                <w:szCs w:val="21"/>
                <w:highlight w:val="none"/>
                <w14:textFill>
                  <w14:solidFill>
                    <w14:schemeClr w14:val="tx1"/>
                  </w14:solidFill>
                </w14:textFill>
              </w:rPr>
              <w:t>2.4</w:t>
            </w:r>
            <w:r>
              <w:rPr>
                <w:rFonts w:hint="eastAsia" w:ascii="宋体" w:hAnsi="宋体" w:eastAsia="宋体" w:cs="宋体"/>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自觉抵制围标串标和弄虚作假行为的承诺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081" w:type="dxa"/>
            <w:noWrap w:val="0"/>
            <w:vAlign w:val="center"/>
          </w:tcPr>
          <w:p>
            <w:pPr>
              <w:pageBreakBefore w:val="0"/>
              <w:kinsoku/>
              <w:wordWrap w:val="0"/>
              <w:overflowPunct/>
              <w:bidi w:val="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履约保证的承诺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796" w:type="dxa"/>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工期、进度承诺书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w:t>
            </w:r>
            <w:r>
              <w:rPr>
                <w:rFonts w:hint="eastAsia" w:ascii="宋体" w:hAnsi="宋体" w:eastAsia="宋体" w:cs="宋体"/>
                <w:b/>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1"/>
                <w:szCs w:val="21"/>
                <w:highlight w:val="none"/>
                <w:u w:val="single"/>
                <w14:textFill>
                  <w14:solidFill>
                    <w14:schemeClr w14:val="tx1"/>
                  </w14:solidFill>
                </w14:textFill>
              </w:rPr>
              <w:t>日历天内（</w:t>
            </w:r>
            <w:r>
              <w:rPr>
                <w:rFonts w:hint="eastAsia" w:ascii="宋体" w:hAnsi="宋体" w:eastAsia="宋体" w:cs="宋体"/>
                <w:color w:val="000000" w:themeColor="text1"/>
                <w:sz w:val="21"/>
                <w:szCs w:val="21"/>
                <w:highlight w:val="none"/>
                <w14:textFill>
                  <w14:solidFill>
                    <w14:schemeClr w14:val="tx1"/>
                  </w14:solidFill>
                </w14:textFill>
              </w:rPr>
              <w:t>其中：设计工期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日历天；施工工期</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日历天</w:t>
            </w:r>
            <w:r>
              <w:rPr>
                <w:rFonts w:hint="eastAsia" w:ascii="宋体" w:hAnsi="宋体" w:eastAsia="宋体" w:cs="宋体"/>
                <w:b/>
                <w:bCs/>
                <w:color w:val="000000" w:themeColor="text1"/>
                <w:sz w:val="21"/>
                <w:szCs w:val="21"/>
                <w:highlight w:val="none"/>
                <w:u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完成工程</w:t>
            </w:r>
            <w:r>
              <w:rPr>
                <w:rFonts w:hint="eastAsia" w:hAnsi="宋体" w:cs="宋体"/>
                <w:color w:val="000000" w:themeColor="text1"/>
                <w:sz w:val="21"/>
                <w:szCs w:val="21"/>
                <w:highlight w:val="none"/>
                <w:lang w:eastAsia="zh-CN"/>
                <w14:textFill>
                  <w14:solidFill>
                    <w14:schemeClr w14:val="tx1"/>
                  </w14:solidFill>
                </w14:textFill>
              </w:rPr>
              <w:t>设计、施工</w:t>
            </w:r>
            <w:r>
              <w:rPr>
                <w:rFonts w:hint="eastAsia" w:ascii="宋体" w:hAnsi="宋体" w:eastAsia="宋体" w:cs="宋体"/>
                <w:color w:val="000000" w:themeColor="text1"/>
                <w:sz w:val="21"/>
                <w:szCs w:val="21"/>
                <w:highlight w:val="none"/>
                <w14:textFill>
                  <w14:solidFill>
                    <w14:schemeClr w14:val="tx1"/>
                  </w14:solidFill>
                </w14:textFill>
              </w:rPr>
              <w:t>并通过竣工验收。</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若因我方原因，没有按期完成设计工作的，</w:t>
            </w:r>
            <w:r>
              <w:rPr>
                <w:rFonts w:hint="eastAsia" w:ascii="宋体" w:hAnsi="宋体" w:eastAsia="宋体" w:cs="宋体"/>
                <w:color w:val="000000" w:themeColor="text1"/>
                <w:sz w:val="21"/>
                <w:szCs w:val="21"/>
                <w:highlight w:val="none"/>
                <w:lang w:eastAsia="zh-CN"/>
                <w14:textFill>
                  <w14:solidFill>
                    <w14:schemeClr w14:val="tx1"/>
                  </w14:solidFill>
                </w14:textFill>
              </w:rPr>
              <w:t>我方</w:t>
            </w:r>
            <w:r>
              <w:rPr>
                <w:rFonts w:hint="eastAsia" w:ascii="宋体" w:hAnsi="宋体" w:eastAsia="宋体" w:cs="宋体"/>
                <w:color w:val="000000" w:themeColor="text1"/>
                <w:sz w:val="21"/>
                <w:szCs w:val="21"/>
                <w:highlight w:val="none"/>
                <w14:textFill>
                  <w14:solidFill>
                    <w14:schemeClr w14:val="tx1"/>
                  </w14:solidFill>
                </w14:textFill>
              </w:rPr>
              <w:t>须在逾期第壹天起每天按设计费合同价款的1‰向招标人返纳逾期违约金</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逾期违约金的最高限额为合同</w:t>
            </w:r>
            <w:r>
              <w:rPr>
                <w:rFonts w:hint="eastAsia" w:ascii="宋体" w:hAnsi="宋体" w:eastAsia="宋体" w:cs="宋体"/>
                <w:color w:val="000000" w:themeColor="text1"/>
                <w:sz w:val="21"/>
                <w:szCs w:val="21"/>
                <w:highlight w:val="none"/>
                <w14:textFill>
                  <w14:solidFill>
                    <w14:schemeClr w14:val="tx1"/>
                  </w14:solidFill>
                </w14:textFill>
              </w:rPr>
              <w:t>设计</w:t>
            </w:r>
            <w:r>
              <w:rPr>
                <w:rFonts w:hint="eastAsia" w:ascii="宋体" w:hAnsi="宋体" w:eastAsia="宋体" w:cs="宋体"/>
                <w:color w:val="000000" w:themeColor="text1"/>
                <w:sz w:val="21"/>
                <w:szCs w:val="21"/>
                <w:highlight w:val="none"/>
                <w:lang w:eastAsia="zh-CN"/>
                <w14:textFill>
                  <w14:solidFill>
                    <w14:schemeClr w14:val="tx1"/>
                  </w14:solidFill>
                </w14:textFill>
              </w:rPr>
              <w:t>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工程没有按期竣工并通过验收时，我方在逾期第壹天起每天按合同价款的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‰向招标人返纳逾期竣工违约金</w:t>
            </w:r>
            <w:r>
              <w:rPr>
                <w:rFonts w:hint="eastAsia" w:ascii="宋体" w:hAnsi="宋体" w:eastAsia="宋体" w:cs="宋体"/>
                <w:color w:val="000000" w:themeColor="text1"/>
                <w:sz w:val="21"/>
                <w:szCs w:val="21"/>
                <w:highlight w:val="none"/>
                <w:lang w:eastAsia="zh-CN"/>
                <w14:textFill>
                  <w14:solidFill>
                    <w14:schemeClr w14:val="tx1"/>
                  </w14:solidFill>
                </w14:textFill>
              </w:rPr>
              <w:t>，逾期竣工违约金的最高限额为合同施工价款的</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安全、文明施工承诺书</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我方保证在施工期间严格遵守国家、省、市有关安全、文明施工规定，确保施工安全和第三者的安全，根据施工现场情况保证安全防护、文明施工措施费投入。</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若因我方原因，在施工期间发生安全事故，造成施工人员或第三者的伤亡，我方愿意承担由此造成的一切经济损失和法律责任。</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若我方在施工中发生一般事故及以上等级生产安全事故，可扣除相当于所有“安全防护、文明施工措施费”的管理费。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质量承诺书</w:t>
            </w:r>
          </w:p>
        </w:tc>
        <w:tc>
          <w:tcPr>
            <w:tcW w:w="3226" w:type="dxa"/>
            <w:noWrap w:val="0"/>
            <w:vAlign w:val="center"/>
          </w:tcPr>
          <w:p>
            <w:pPr>
              <w:pStyle w:val="37"/>
              <w:pageBreakBefore w:val="0"/>
              <w:kinsoku/>
              <w:wordWrap w:val="0"/>
              <w:overflowPunct/>
              <w:bidi w:val="0"/>
              <w:spacing w:line="380" w:lineRule="exact"/>
              <w:ind w:firstLine="56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我方保证按照现行的国家和广东省的有关施工技术规范及现行标准，达到合格标准</w:t>
            </w:r>
          </w:p>
        </w:tc>
        <w:tc>
          <w:tcPr>
            <w:tcW w:w="479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未能在限期内完成质量安全隐患整改的，每逾期一天，向建设单位交纳罚金¥1000元；</w:t>
            </w:r>
          </w:p>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未按规定委派专业人员参加检验批、分部分项工程验收，不及时签署验收记录的，一次向建设（委托）单位交纳违约金¥2000元/次、项；</w:t>
            </w:r>
          </w:p>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不按规定委派相关人员参加项目竣工验收的，一次向建设单位交纳违约金¥50000元/项，不签署意见的交纳违约金¥50000元。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账户承诺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我方保证招标人的资金随时可划入合同中规定的我方账户。</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若因我方原因造成招标人的资金无法划入合同中规定的我方</w:t>
            </w:r>
            <w:r>
              <w:rPr>
                <w:rFonts w:hint="eastAsia" w:ascii="宋体" w:hAnsi="宋体" w:eastAsia="宋体" w:cs="宋体"/>
                <w:color w:val="000000" w:themeColor="text1"/>
                <w:sz w:val="21"/>
                <w:szCs w:val="21"/>
                <w:highlight w:val="none"/>
                <w14:textFill>
                  <w14:solidFill>
                    <w14:schemeClr w14:val="tx1"/>
                  </w14:solidFill>
                </w14:textFill>
              </w:rPr>
              <w:t>账</w:t>
            </w:r>
            <w:r>
              <w:rPr>
                <w:rFonts w:hint="eastAsia" w:ascii="宋体" w:hAnsi="宋体" w:eastAsia="宋体" w:cs="宋体"/>
                <w:color w:val="000000" w:themeColor="text1"/>
                <w:spacing w:val="-2"/>
                <w:sz w:val="21"/>
                <w:szCs w:val="21"/>
                <w:highlight w:val="none"/>
                <w14:textFill>
                  <w14:solidFill>
                    <w14:schemeClr w14:val="tx1"/>
                  </w14:solidFill>
                </w14:textFill>
              </w:rPr>
              <w:t>户，如时间达到30日历天，招标人有权终止合同。我方承担由此造成的所有责任及经济损失。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工程的配合服务承诺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我方服从业主管理，保证配合与工程承包范围内相关的其他标段（工种、分项）工程施工单位的工程施工，不提出额外增加费用的要求。</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若因我方未及时配合与工程承包范围内相关的其他标段（工种、分项）工程施工单位的工程施工，给招标人或其他施工单位造成损失的，我方承担所有的责任及经济损失。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1081" w:type="dxa"/>
            <w:noWrap w:val="0"/>
            <w:vAlign w:val="center"/>
          </w:tcPr>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中标人员承诺</w:t>
            </w:r>
          </w:p>
        </w:tc>
        <w:tc>
          <w:tcPr>
            <w:tcW w:w="3226" w:type="dxa"/>
            <w:noWrap w:val="0"/>
            <w:vAlign w:val="center"/>
          </w:tcPr>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pacing w:val="-2"/>
                <w:sz w:val="21"/>
                <w:szCs w:val="21"/>
                <w:highlight w:val="none"/>
                <w14:textFill>
                  <w14:solidFill>
                    <w14:schemeClr w14:val="tx1"/>
                  </w14:solidFill>
                </w14:textFill>
              </w:rPr>
            </w:pPr>
          </w:p>
          <w:p>
            <w:pPr>
              <w:pStyle w:val="66"/>
              <w:pageBreakBefore w:val="0"/>
              <w:kinsoku/>
              <w:wordWrap w:val="0"/>
              <w:overflowPunct/>
              <w:bidi w:val="0"/>
              <w:spacing w:line="300" w:lineRule="exact"/>
              <w:ind w:firstLine="412"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我方保证投标文件中所拟派的中标人员全部配合施工现场管理施工。</w:t>
            </w:r>
          </w:p>
        </w:tc>
        <w:tc>
          <w:tcPr>
            <w:tcW w:w="4796" w:type="dxa"/>
            <w:noWrap w:val="0"/>
            <w:vAlign w:val="center"/>
          </w:tcPr>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设计单位未能在招标人通知的时间内（提前一天通知，紧急情况随时通知）参加设计交底、处理有关设计问题、参加必要部位隐蔽验收和竣工验收等工作，每人次交纳违约金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14:textFill>
                  <w14:solidFill>
                    <w14:schemeClr w14:val="tx1"/>
                  </w14:solidFill>
                </w14:textFill>
              </w:rPr>
              <w:t>1000元。</w:t>
            </w:r>
          </w:p>
          <w:p>
            <w:pPr>
              <w:pStyle w:val="67"/>
              <w:pageBreakBefore w:val="0"/>
              <w:kinsoku/>
              <w:wordWrap w:val="0"/>
              <w:overflowPunct/>
              <w:bidi w:val="0"/>
              <w:spacing w:line="300" w:lineRule="exact"/>
              <w:ind w:left="0" w:leftChars="0" w:firstLine="420" w:firstLineChars="200"/>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设计单位驻韶办公的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负责人（即投标文件所拟派的</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负责人）必须负责本项目设计全过程（包括施工图设计审查、施工图设计修编、跟踪服务、图纸会审和技术交底）。</w:t>
            </w:r>
            <w:r>
              <w:rPr>
                <w:rFonts w:hint="eastAsia" w:ascii="宋体" w:hAnsi="宋体" w:eastAsia="宋体" w:cs="宋体"/>
                <w:snapToGrid w:val="0"/>
                <w:color w:val="000000" w:themeColor="text1"/>
                <w:sz w:val="21"/>
                <w:szCs w:val="21"/>
                <w:highlight w:val="none"/>
                <w:lang w:eastAsia="zh-CN"/>
                <w14:textFill>
                  <w14:solidFill>
                    <w14:schemeClr w14:val="tx1"/>
                  </w14:solidFill>
                </w14:textFill>
              </w:rPr>
              <w:t>设计</w:t>
            </w:r>
            <w:r>
              <w:rPr>
                <w:rFonts w:hint="eastAsia" w:ascii="宋体" w:hAnsi="宋体" w:eastAsia="宋体" w:cs="宋体"/>
                <w:snapToGrid w:val="0"/>
                <w:color w:val="000000" w:themeColor="text1"/>
                <w:sz w:val="21"/>
                <w:szCs w:val="21"/>
                <w:highlight w:val="none"/>
                <w14:textFill>
                  <w14:solidFill>
                    <w14:schemeClr w14:val="tx1"/>
                  </w14:solidFill>
                </w14:textFill>
              </w:rPr>
              <w:t>负责人未准时参加上述环节工作的，每缺席一次交纳违约金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snapToGrid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sz w:val="21"/>
                <w:szCs w:val="21"/>
                <w:highlight w:val="none"/>
                <w14:textFill>
                  <w14:solidFill>
                    <w14:schemeClr w14:val="tx1"/>
                  </w14:solidFill>
                </w14:textFill>
              </w:rPr>
              <w:t>000元（以招标人发出的违约通知为准）。</w:t>
            </w:r>
          </w:p>
          <w:p>
            <w:pPr>
              <w:pStyle w:val="67"/>
              <w:pageBreakBefore w:val="0"/>
              <w:kinsoku/>
              <w:wordWrap w:val="0"/>
              <w:overflowPunct/>
              <w:bidi w:val="0"/>
              <w:spacing w:line="300" w:lineRule="exact"/>
              <w:ind w:left="0" w:leftChars="0"/>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项目管理班子人员承诺</w:t>
            </w:r>
          </w:p>
        </w:tc>
        <w:tc>
          <w:tcPr>
            <w:tcW w:w="3226" w:type="dxa"/>
            <w:noWrap w:val="0"/>
            <w:vAlign w:val="center"/>
          </w:tcPr>
          <w:p>
            <w:pPr>
              <w:pStyle w:val="64"/>
              <w:pageBreakBefore w:val="0"/>
              <w:kinsoku/>
              <w:wordWrap w:val="0"/>
              <w:overflowPunct/>
              <w:bidi w:val="0"/>
              <w:spacing w:line="4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我方保证投标文件中所拟派的项目经理、技术负责人、施工员、质量员、安全员等工程管理人员全部在施工现场管理施工</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承诺施工期间如左所叙施工现场管理人员按要求每日办理签到手续，如未经招标人同意未办理签到，向建设单位每人每天支付违约金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pacing w:val="-2"/>
                <w:sz w:val="21"/>
                <w:szCs w:val="21"/>
                <w:highlight w:val="none"/>
                <w14:textFill>
                  <w14:solidFill>
                    <w14:schemeClr w14:val="tx1"/>
                  </w14:solidFill>
                </w14:textFill>
              </w:rPr>
              <w:t>00元（项目经理未签到每天支付违约金</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000元）；</w:t>
            </w:r>
          </w:p>
          <w:p>
            <w:pPr>
              <w:pStyle w:val="62"/>
              <w:pageBreakBefore w:val="0"/>
              <w:kinsoku/>
              <w:wordWrap w:val="0"/>
              <w:overflowPunct/>
              <w:bidi w:val="0"/>
              <w:spacing w:line="380" w:lineRule="exact"/>
              <w:ind w:firstLine="412"/>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若我方的投标文件中所拟派的如左所述任何一个管理人员未经招标人或招标人同意擅自离岗，在一个月内达到10次/人，或项目经理、技术负责人在施工过程中每月驻场少于2</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sz w:val="21"/>
                <w:szCs w:val="21"/>
                <w:highlight w:val="none"/>
                <w14:textFill>
                  <w14:solidFill>
                    <w14:schemeClr w14:val="tx1"/>
                  </w14:solidFill>
                </w14:textFill>
              </w:rPr>
              <w:t>天的，招标人有权终止合同。我方承担由此造成的所有责任及经济损失。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对支付农民工工资的承诺</w:t>
            </w:r>
          </w:p>
        </w:tc>
        <w:tc>
          <w:tcPr>
            <w:tcW w:w="3226" w:type="dxa"/>
            <w:noWrap w:val="0"/>
            <w:vAlign w:val="center"/>
          </w:tcPr>
          <w:p>
            <w:pPr>
              <w:pStyle w:val="62"/>
              <w:pageBreakBefore w:val="0"/>
              <w:kinsoku/>
              <w:wordWrap w:val="0"/>
              <w:overflowPunct/>
              <w:bidi w:val="0"/>
              <w:spacing w:line="380" w:lineRule="exact"/>
              <w:ind w:firstLine="206"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w:t>
            </w:r>
          </w:p>
        </w:tc>
        <w:tc>
          <w:tcPr>
            <w:tcW w:w="4796" w:type="dxa"/>
            <w:noWrap w:val="0"/>
            <w:vAlign w:val="center"/>
          </w:tcPr>
          <w:p>
            <w:pPr>
              <w:pStyle w:val="62"/>
              <w:pageBreakBefore w:val="0"/>
              <w:kinsoku/>
              <w:wordWrap w:val="0"/>
              <w:overflowPunct/>
              <w:bidi w:val="0"/>
              <w:spacing w:line="380" w:lineRule="exact"/>
              <w:ind w:firstLine="412"/>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如我方中标，我方无条件同意按照用工合同支付</w:t>
            </w:r>
            <w:r>
              <w:rPr>
                <w:rFonts w:hint="eastAsia" w:ascii="宋体" w:hAnsi="宋体" w:eastAsia="宋体" w:cs="宋体"/>
                <w:color w:val="000000" w:themeColor="text1"/>
                <w:sz w:val="21"/>
                <w:szCs w:val="21"/>
                <w:highlight w:val="none"/>
                <w14:textFill>
                  <w14:solidFill>
                    <w14:schemeClr w14:val="tx1"/>
                  </w14:solidFill>
                </w14:textFill>
              </w:rPr>
              <w:t>农民工工资。否则，招标人有权终止合同，扣除履约保证金，并由招标人先行垫付农民工被拖欠的工资，数额以未结清的工程数为限。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施工组织设计承诺</w:t>
            </w:r>
          </w:p>
        </w:tc>
        <w:tc>
          <w:tcPr>
            <w:tcW w:w="322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我方保证施工组织设计按照国家省市有关规定进行编写。</w:t>
            </w:r>
          </w:p>
        </w:tc>
        <w:tc>
          <w:tcPr>
            <w:tcW w:w="4796" w:type="dxa"/>
            <w:noWrap w:val="0"/>
            <w:vAlign w:val="center"/>
          </w:tcPr>
          <w:p>
            <w:pPr>
              <w:pStyle w:val="62"/>
              <w:pageBreakBefore w:val="0"/>
              <w:kinsoku/>
              <w:wordWrap w:val="0"/>
              <w:overflowPunct/>
              <w:bidi w:val="0"/>
              <w:spacing w:line="380" w:lineRule="exact"/>
              <w:ind w:firstLine="210" w:firstLineChars="1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如我方的施工组织设计未根据招标项目情况按照国家省市有关规定进行编写的，扣除全部履约保证金。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081" w:type="dxa"/>
            <w:noWrap w:val="0"/>
            <w:vAlign w:val="center"/>
          </w:tcPr>
          <w:p>
            <w:pPr>
              <w:pStyle w:val="68"/>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设计承诺</w:t>
            </w:r>
          </w:p>
        </w:tc>
        <w:tc>
          <w:tcPr>
            <w:tcW w:w="322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如我方中标，我方保证按设计规范及有关法律法规进行设计，并准时提供相应设计文件经审图机构审查通过。</w:t>
            </w:r>
          </w:p>
        </w:tc>
        <w:tc>
          <w:tcPr>
            <w:tcW w:w="4796" w:type="dxa"/>
            <w:noWrap w:val="0"/>
            <w:vAlign w:val="center"/>
          </w:tcPr>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由于设计人设计工作错误造成工程设计质量事故，根据责任情况，负责赔偿工程损失费，但最高不超过该项目应收设计费总额，负责采取补救措施。</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施工期间除发包人要求或特殊地质原因外，因设计质量和深度不够的原因引起的工程返工或需要设计变更引起工程造价增加的，每次扣减设计合同价款中设计费的2％，扣完为止。</w:t>
            </w:r>
          </w:p>
          <w:p>
            <w:pPr>
              <w:pStyle w:val="69"/>
              <w:pageBreakBefore w:val="0"/>
              <w:kinsoku/>
              <w:wordWrap w:val="0"/>
              <w:overflowPunct/>
              <w:bidi w:val="0"/>
              <w:spacing w:line="300" w:lineRule="exact"/>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因设计单位自身原因造成工程结算超施工招标中标价的，扣除应付设计合同价款中的余款。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3"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综合服务能力承诺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我方保证中标后，自行解决施工中遇到的各种外部问题，协调周边企业、村民关系，并承担由此产生的所以责任及损失。</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4"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081" w:type="dxa"/>
            <w:noWrap w:val="0"/>
            <w:vAlign w:val="center"/>
          </w:tcPr>
          <w:p>
            <w:pPr>
              <w:pStyle w:val="62"/>
              <w:pageBreakBefore w:val="0"/>
              <w:kinsoku/>
              <w:wordWrap w:val="0"/>
              <w:overflowPunct/>
              <w:bidi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廉政承诺</w:t>
            </w:r>
          </w:p>
        </w:tc>
        <w:tc>
          <w:tcPr>
            <w:tcW w:w="3226" w:type="dxa"/>
            <w:noWrap w:val="0"/>
            <w:vAlign w:val="center"/>
          </w:tcPr>
          <w:p>
            <w:pPr>
              <w:pStyle w:val="62"/>
              <w:pageBreakBefore w:val="0"/>
              <w:kinsoku/>
              <w:wordWrap w:val="0"/>
              <w:overflowPunct/>
              <w:bidi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如我方中标，我方将严格执行国家、广东省、韶关市有关工程建设廉政的有关法律法规及双方签订的廉政合同。</w:t>
            </w:r>
          </w:p>
        </w:tc>
        <w:tc>
          <w:tcPr>
            <w:tcW w:w="4796" w:type="dxa"/>
            <w:noWrap w:val="0"/>
            <w:vAlign w:val="center"/>
          </w:tcPr>
          <w:p>
            <w:pPr>
              <w:pStyle w:val="62"/>
              <w:pageBreakBefore w:val="0"/>
              <w:kinsoku/>
              <w:wordWrap w:val="0"/>
              <w:overflowPunct/>
              <w:bidi w:val="0"/>
              <w:spacing w:line="38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7" w:hRule="atLeast"/>
          <w:jc w:val="center"/>
        </w:trPr>
        <w:tc>
          <w:tcPr>
            <w:tcW w:w="656" w:type="dxa"/>
            <w:shd w:val="clear" w:color="auto" w:fill="auto"/>
            <w:noWrap w:val="0"/>
            <w:vAlign w:val="center"/>
          </w:tcPr>
          <w:p>
            <w:pPr>
              <w:pStyle w:val="3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081" w:type="dxa"/>
            <w:noWrap w:val="0"/>
            <w:vAlign w:val="center"/>
          </w:tcPr>
          <w:p>
            <w:pPr>
              <w:pageBreakBefore w:val="0"/>
              <w:kinsoku/>
              <w:wordWrap w:val="0"/>
              <w:overflowPunct/>
              <w:bidi w:val="0"/>
              <w:spacing w:line="3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对外协调关系承诺</w:t>
            </w:r>
          </w:p>
        </w:tc>
        <w:tc>
          <w:tcPr>
            <w:tcW w:w="322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我方保证中标后，自行解决施工中遇到的各种外部问题，协调周边企业、村民关系，并承担由此产生的所有责任及损失。</w:t>
            </w:r>
          </w:p>
        </w:tc>
        <w:tc>
          <w:tcPr>
            <w:tcW w:w="4796" w:type="dxa"/>
            <w:noWrap w:val="0"/>
            <w:vAlign w:val="center"/>
          </w:tcPr>
          <w:p>
            <w:pPr>
              <w:pStyle w:val="9"/>
              <w:pageBreakBefore w:val="0"/>
              <w:kinsoku/>
              <w:wordWrap w:val="0"/>
              <w:overflowPunct/>
              <w:bidi w:val="0"/>
              <w:spacing w:line="30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若我方未能按招标文件所承诺的各项承诺完成时，我方同意按比例扣除相应履约保证金，并承担由此引起的所有责任。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4" w:hRule="atLeast"/>
          <w:jc w:val="center"/>
        </w:trPr>
        <w:tc>
          <w:tcPr>
            <w:tcW w:w="656" w:type="dxa"/>
            <w:shd w:val="clear" w:color="auto" w:fill="auto"/>
            <w:noWrap w:val="0"/>
            <w:vAlign w:val="center"/>
          </w:tcPr>
          <w:p>
            <w:pPr>
              <w:pStyle w:val="37"/>
              <w:pageBreakBefore w:val="0"/>
              <w:kinsoku/>
              <w:wordWrap w:val="0"/>
              <w:overflowPunct/>
              <w:bidi w:val="0"/>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081" w:type="dxa"/>
            <w:noWrap w:val="0"/>
            <w:vAlign w:val="center"/>
          </w:tcPr>
          <w:p>
            <w:pPr>
              <w:pStyle w:val="62"/>
              <w:pageBreakBefore w:val="0"/>
              <w:kinsoku/>
              <w:wordWrap w:val="0"/>
              <w:overflowPunct/>
              <w:bidi w:val="0"/>
              <w:adjustRightInd w:val="0"/>
              <w:snapToGrid w:val="0"/>
              <w:spacing w:line="38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投标文件信息公开承诺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我方提供完整的电子文件。如</w:t>
            </w:r>
            <w:r>
              <w:rPr>
                <w:rFonts w:hint="eastAsia" w:ascii="宋体" w:hAnsi="宋体" w:eastAsia="宋体" w:cs="宋体"/>
                <w:color w:val="000000" w:themeColor="text1"/>
                <w:sz w:val="21"/>
                <w:szCs w:val="21"/>
                <w:highlight w:val="none"/>
                <w:lang w:eastAsia="zh-CN"/>
                <w14:textFill>
                  <w14:solidFill>
                    <w14:schemeClr w14:val="tx1"/>
                  </w14:solidFill>
                </w14:textFill>
              </w:rPr>
              <w:t>果</w:t>
            </w:r>
            <w:r>
              <w:rPr>
                <w:rFonts w:hint="eastAsia" w:ascii="宋体" w:hAnsi="宋体" w:eastAsia="宋体" w:cs="宋体"/>
                <w:color w:val="000000" w:themeColor="text1"/>
                <w:sz w:val="21"/>
                <w:szCs w:val="21"/>
                <w:highlight w:val="none"/>
                <w14:textFill>
                  <w14:solidFill>
                    <w14:schemeClr w14:val="tx1"/>
                  </w14:solidFill>
                </w14:textFill>
              </w:rPr>
              <w:t>我方成为本项目中标候选人，我方同意并授权招标人</w:t>
            </w:r>
            <w:r>
              <w:rPr>
                <w:rFonts w:hint="eastAsia" w:ascii="宋体" w:hAnsi="宋体" w:eastAsia="宋体" w:cs="宋体"/>
                <w:color w:val="000000" w:themeColor="text1"/>
                <w:sz w:val="21"/>
                <w:szCs w:val="21"/>
                <w:highlight w:val="none"/>
                <w:lang w:eastAsia="zh-CN"/>
                <w14:textFill>
                  <w14:solidFill>
                    <w14:schemeClr w14:val="tx1"/>
                  </w14:solidFill>
                </w14:textFill>
              </w:rPr>
              <w:t>在评标结果公示期内公开</w:t>
            </w:r>
            <w:r>
              <w:rPr>
                <w:rFonts w:hint="eastAsia" w:ascii="宋体" w:hAnsi="宋体" w:eastAsia="宋体" w:cs="宋体"/>
                <w:color w:val="000000" w:themeColor="text1"/>
                <w:sz w:val="21"/>
                <w:szCs w:val="21"/>
                <w:highlight w:val="none"/>
                <w14:textFill>
                  <w14:solidFill>
                    <w14:schemeClr w14:val="tx1"/>
                  </w14:solidFill>
                </w14:textFill>
              </w:rPr>
              <w:t>我方商务部分的</w:t>
            </w:r>
            <w:r>
              <w:rPr>
                <w:rFonts w:hint="eastAsia" w:ascii="宋体" w:hAnsi="宋体" w:eastAsia="宋体" w:cs="宋体"/>
                <w:color w:val="000000" w:themeColor="text1"/>
                <w:sz w:val="21"/>
                <w:szCs w:val="21"/>
                <w:highlight w:val="none"/>
                <w:lang w:eastAsia="zh-CN"/>
                <w14:textFill>
                  <w14:solidFill>
                    <w14:schemeClr w14:val="tx1"/>
                  </w14:solidFill>
                </w14:textFill>
              </w:rPr>
              <w:t>全部</w:t>
            </w:r>
            <w:r>
              <w:rPr>
                <w:rFonts w:hint="eastAsia" w:ascii="宋体" w:hAnsi="宋体" w:eastAsia="宋体" w:cs="宋体"/>
                <w:color w:val="000000" w:themeColor="text1"/>
                <w:sz w:val="21"/>
                <w:szCs w:val="21"/>
                <w:highlight w:val="none"/>
                <w14:textFill>
                  <w14:solidFill>
                    <w14:schemeClr w14:val="tx1"/>
                  </w14:solidFill>
                </w14:textFill>
              </w:rPr>
              <w:t>内容。</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0" w:firstLineChars="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0"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19</w:t>
            </w:r>
          </w:p>
        </w:tc>
        <w:tc>
          <w:tcPr>
            <w:tcW w:w="1081" w:type="dxa"/>
            <w:noWrap w:val="0"/>
            <w:vAlign w:val="center"/>
          </w:tcPr>
          <w:p>
            <w:pPr>
              <w:pageBreakBefore w:val="0"/>
              <w:kinsoku/>
              <w:wordWrap w:val="0"/>
              <w:overflowPunct/>
              <w:bidi w:val="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按时签订合同的承诺</w:t>
            </w:r>
          </w:p>
        </w:tc>
        <w:tc>
          <w:tcPr>
            <w:tcW w:w="322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796" w:type="dxa"/>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7" w:hRule="atLeast"/>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质量安全受检承诺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如我方不配合或未通过相关的监督检查及考核，我方承诺接受业主单位、发包单位的相关管理规定和处罚，并承担相应的责任。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shd w:val="clear" w:color="auto" w:fill="auto"/>
            <w:noWrap w:val="0"/>
            <w:vAlign w:val="center"/>
          </w:tcPr>
          <w:p>
            <w:pPr>
              <w:pStyle w:val="7"/>
              <w:pageBreakBefore w:val="0"/>
              <w:kinsoku/>
              <w:wordWrap w:val="0"/>
              <w:overflowPunct/>
              <w:bidi w:val="0"/>
              <w:spacing w:line="38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21</w:t>
            </w:r>
          </w:p>
        </w:tc>
        <w:tc>
          <w:tcPr>
            <w:tcW w:w="1081" w:type="dxa"/>
            <w:noWrap w:val="0"/>
            <w:vAlign w:val="center"/>
          </w:tcPr>
          <w:p>
            <w:pPr>
              <w:pStyle w:val="62"/>
              <w:pageBreakBefore w:val="0"/>
              <w:kinsoku/>
              <w:wordWrap w:val="0"/>
              <w:overflowPunct/>
              <w:bidi w:val="0"/>
              <w:snapToGrid w:val="0"/>
              <w:spacing w:line="400" w:lineRule="exact"/>
              <w:ind w:firstLine="0" w:firstLineChars="0"/>
              <w:jc w:val="center"/>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对工程预付款的使用承诺</w:t>
            </w:r>
          </w:p>
        </w:tc>
        <w:tc>
          <w:tcPr>
            <w:tcW w:w="3226" w:type="dxa"/>
            <w:noWrap w:val="0"/>
            <w:vAlign w:val="center"/>
          </w:tcPr>
          <w:p>
            <w:pPr>
              <w:pStyle w:val="62"/>
              <w:pageBreakBefore w:val="0"/>
              <w:kinsoku/>
              <w:wordWrap w:val="0"/>
              <w:overflowPunct/>
              <w:bidi w:val="0"/>
              <w:snapToGrid w:val="0"/>
              <w:spacing w:line="400" w:lineRule="exact"/>
              <w:ind w:firstLine="420" w:firstLineChars="200"/>
              <w:rPr>
                <w:rFonts w:hint="eastAsia" w:ascii="宋体" w:hAnsi="宋体" w:eastAsia="宋体" w:cs="宋体"/>
                <w:snapToGrid w:val="0"/>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我方保证工程预付款用于主要建筑材料的备料及支付工人工资。</w:t>
            </w:r>
          </w:p>
        </w:tc>
        <w:tc>
          <w:tcPr>
            <w:tcW w:w="4796" w:type="dxa"/>
            <w:tcBorders>
              <w:tr2bl w:val="single" w:color="auto" w:sz="4" w:space="0"/>
            </w:tcBorders>
            <w:noWrap w:val="0"/>
            <w:vAlign w:val="center"/>
          </w:tcPr>
          <w:p>
            <w:pPr>
              <w:pStyle w:val="62"/>
              <w:pageBreakBefore w:val="0"/>
              <w:kinsoku/>
              <w:wordWrap w:val="0"/>
              <w:overflowPunct/>
              <w:bidi w:val="0"/>
              <w:adjustRightInd w:val="0"/>
              <w:snapToGrid w:val="0"/>
              <w:spacing w:line="380" w:lineRule="exact"/>
              <w:ind w:firstLine="420"/>
              <w:rPr>
                <w:rFonts w:hint="eastAsia" w:ascii="宋体" w:hAnsi="宋体" w:eastAsia="宋体" w:cs="宋体"/>
                <w:snapToGrid w:val="0"/>
                <w:color w:val="000000" w:themeColor="text1"/>
                <w:kern w:val="0"/>
                <w:sz w:val="21"/>
                <w:szCs w:val="21"/>
                <w:highlight w:val="none"/>
                <w14:textFill>
                  <w14:solidFill>
                    <w14:schemeClr w14:val="tx1"/>
                  </w14:solidFill>
                </w14:textFill>
              </w:rPr>
            </w:pPr>
          </w:p>
        </w:tc>
      </w:tr>
    </w:tbl>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70"/>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注：所有违约金均从中标人的进度款中扣除，最终结算以扣除违约金总数后的金额为准。</w:t>
      </w:r>
    </w:p>
    <w:p>
      <w:pPr>
        <w:pStyle w:val="37"/>
        <w:pageBreakBefore w:val="0"/>
        <w:kinsoku/>
        <w:wordWrap w:val="0"/>
        <w:overflowPunct/>
        <w:bidi w:val="0"/>
        <w:spacing w:line="400" w:lineRule="exact"/>
        <w:jc w:val="lef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（盖单位章）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（签字或盖章）</w:t>
      </w:r>
    </w:p>
    <w:p>
      <w:pPr>
        <w:pStyle w:val="11"/>
        <w:pageBreakBefore w:val="0"/>
        <w:kinsoku/>
        <w:wordWrap w:val="0"/>
        <w:overflowPunct/>
        <w:bidi w:val="0"/>
        <w:adjustRightInd w:val="0"/>
        <w:snapToGrid w:val="0"/>
        <w:spacing w:line="420" w:lineRule="exact"/>
        <w:ind w:firstLine="480" w:firstLineChars="200"/>
        <w:jc w:val="righ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p>
    <w:p>
      <w:pPr>
        <w:pageBreakBefore w:val="0"/>
        <w:widowControl/>
        <w:kinsoku/>
        <w:wordWrap w:val="0"/>
        <w:overflowPunct/>
        <w:bidi w:val="0"/>
        <w:jc w:val="righ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月</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日</w:t>
      </w:r>
      <w: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3" w:name="_Toc21570"/>
      <w:bookmarkStart w:id="524" w:name="_Toc30764"/>
      <w:bookmarkStart w:id="525" w:name="_Toc10981"/>
      <w:bookmarkStart w:id="526" w:name="_Toc6896"/>
      <w:bookmarkStart w:id="527" w:name="_Toc30463"/>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授权委托书</w:t>
      </w:r>
      <w:bookmarkEnd w:id="523"/>
      <w:bookmarkEnd w:id="524"/>
      <w:bookmarkEnd w:id="525"/>
      <w:bookmarkEnd w:id="526"/>
      <w:bookmarkEnd w:id="527"/>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授权委托书</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本人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（投标人名称）的法定代表人，现委托</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（姓名）为我方代理人。代理人根据授权，以我方名义签署、澄清、说明、补正、递交、撤回、修改</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（项目名称）投标文件、签订合同和处理有关事宜，其法律后果由我方承担。</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委托期限：至</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年   月   日</w:t>
      </w:r>
      <w:r>
        <w:rPr>
          <w:rFonts w:hint="eastAsia" w:asciiTheme="minorEastAsia" w:hAnsiTheme="minorEastAsia" w:eastAsiaTheme="minorEastAsia" w:cstheme="minorEastAsia"/>
          <w:i/>
          <w:iCs/>
          <w:snapToGrid w:val="0"/>
          <w:color w:val="000000" w:themeColor="text1"/>
          <w:kern w:val="0"/>
          <w:szCs w:val="24"/>
          <w:highlight w:val="none"/>
          <w:u w:val="single"/>
          <w14:textFill>
            <w14:solidFill>
              <w14:schemeClr w14:val="tx1"/>
            </w14:solidFill>
          </w14:textFill>
        </w:rPr>
        <w:t>（不得短于招标文件规定的投标有效期）</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代理人无转委托权。</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  标  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ind w:firstLine="5520" w:firstLineChars="23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v:textbox>
              </v:shape>
            </w:pict>
          </mc:Fallback>
        </mc:AlternateContent>
      </w:r>
    </w:p>
    <w:p>
      <w:pPr>
        <w:pStyle w:val="8"/>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headerReference r:id="rId7" w:type="default"/>
          <w:footerReference r:id="rId8" w:type="default"/>
          <w:endnotePr>
            <w:numFmt w:val="decimal"/>
          </w:endnotePr>
          <w:pgSz w:w="11906" w:h="16838"/>
          <w:pgMar w:top="1701" w:right="1531" w:bottom="1417" w:left="1531" w:header="850" w:footer="737"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28" w:name="_Toc8784"/>
      <w:bookmarkStart w:id="529" w:name="_Toc12031"/>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六</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法定代表人身份证明</w:t>
      </w:r>
      <w:bookmarkEnd w:id="528"/>
      <w:bookmarkEnd w:id="529"/>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法定代表人身份证明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系</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（投标人名称）的法定代表人。</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特此证明。</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日       </w:t>
      </w: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ind w:firstLine="720" w:firstLineChars="300"/>
        <w:rPr>
          <w:rFonts w:hint="eastAsia" w:asciiTheme="minorEastAsia" w:hAnsiTheme="minorEastAsia" w:eastAsiaTheme="minorEastAsia" w:cstheme="minorEastAsia"/>
          <w:i/>
          <w:iCs/>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pPr>
                        <w:jc w:val="center"/>
                        <w:rPr>
                          <w:rFonts w:hint="default"/>
                          <w:szCs w:val="21"/>
                        </w:rPr>
                      </w:pPr>
                    </w:p>
                    <w:p>
                      <w:pPr>
                        <w:jc w:val="center"/>
                        <w:rPr>
                          <w:rFonts w:hint="default"/>
                          <w:szCs w:val="21"/>
                        </w:rPr>
                      </w:pPr>
                    </w:p>
                    <w:p>
                      <w:pPr>
                        <w:jc w:val="center"/>
                        <w:rPr>
                          <w:rFonts w:hint="default"/>
                          <w:szCs w:val="21"/>
                        </w:rPr>
                      </w:pPr>
                    </w:p>
                    <w:p>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v:textbox>
              </v:shape>
            </w:pict>
          </mc:Fallback>
        </mc:AlternateContent>
      </w:r>
    </w:p>
    <w:p>
      <w:pPr>
        <w:pageBreakBefore w:val="0"/>
        <w:tabs>
          <w:tab w:val="left" w:pos="654"/>
          <w:tab w:val="left" w:pos="1734"/>
          <w:tab w:val="left" w:pos="2814"/>
          <w:tab w:val="left" w:pos="3894"/>
          <w:tab w:val="left" w:pos="5334"/>
          <w:tab w:val="left" w:pos="6414"/>
          <w:tab w:val="left" w:pos="7254"/>
          <w:tab w:val="left" w:pos="8574"/>
          <w:tab w:val="left" w:pos="9654"/>
        </w:tabs>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8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0" w:name="_Toc26395"/>
      <w:bookmarkStart w:id="531" w:name="_Toc16430"/>
      <w:bookmarkStart w:id="532" w:name="_Toc30665"/>
      <w:bookmarkStart w:id="533" w:name="_Toc24305"/>
      <w:bookmarkStart w:id="534" w:name="_Toc26875"/>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七</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联合体协议书</w:t>
      </w:r>
      <w:bookmarkEnd w:id="530"/>
      <w:bookmarkEnd w:id="531"/>
      <w:bookmarkEnd w:id="532"/>
      <w:bookmarkEnd w:id="533"/>
      <w:bookmarkEnd w:id="534"/>
    </w:p>
    <w:p>
      <w:pPr>
        <w:pStyle w:val="48"/>
        <w:pageBreakBefore w:val="0"/>
        <w:widowControl w:val="0"/>
        <w:kinsoku/>
        <w:wordWrap w:val="0"/>
        <w:overflowPunct/>
        <w:bidi w:val="0"/>
        <w:adjustRightInd w:val="0"/>
        <w:snapToGrid w:val="0"/>
        <w:spacing w:before="240" w:after="240" w:line="44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联合体协议书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法定住所：</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（项目名称）（以下简称“本项目”）的投标并争取赢得本项目EPC总承包合同（以下简称合同）。现就联合体投标事宜订立如下协议：</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1．</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（某成员单位名称）为联合体牵头人。</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4．联合体各成员单位内部的职责分工如下：</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pPr>
        <w:pStyle w:val="48"/>
        <w:pageBreakBefore w:val="0"/>
        <w:widowControl w:val="0"/>
        <w:kinsoku/>
        <w:wordWrap w:val="0"/>
        <w:overflowPunct/>
        <w:bidi w:val="0"/>
        <w:adjustRightInd w:val="0"/>
        <w:snapToGrid w:val="0"/>
        <w:spacing w:line="440" w:lineRule="exact"/>
        <w:ind w:firstLine="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8．本协议书一式</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份，联合体成员和招标人各执一份。</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牵头人名称：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成员二名称：</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（盖单位章）</w:t>
      </w:r>
    </w:p>
    <w:p>
      <w:pPr>
        <w:pStyle w:val="48"/>
        <w:pageBreakBefore w:val="0"/>
        <w:widowControl w:val="0"/>
        <w:kinsoku/>
        <w:wordWrap w:val="0"/>
        <w:overflowPunct/>
        <w:bidi w:val="0"/>
        <w:adjustRightInd w:val="0"/>
        <w:snapToGrid w:val="0"/>
        <w:spacing w:line="440" w:lineRule="exact"/>
        <w:ind w:firstLine="0"/>
        <w:jc w:val="both"/>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（签字或盖章）</w:t>
      </w: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ind w:firstLine="3840" w:firstLineChars="1600"/>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 xml:space="preserve"> ……</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z w:val="24"/>
          <w:szCs w:val="24"/>
          <w:highlight w:val="none"/>
          <w:u w:val="single"/>
          <w:lang w:eastAsia="zh-CN"/>
          <w14:textFill>
            <w14:solidFill>
              <w14:schemeClr w14:val="tx1"/>
            </w14:solidFill>
          </w14:textFill>
        </w:rPr>
        <w:t>日</w:t>
      </w:r>
    </w:p>
    <w:p>
      <w:pPr>
        <w:pStyle w:val="48"/>
        <w:pageBreakBefore w:val="0"/>
        <w:widowControl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t>说明：《联合体协议书》由委托代理人签字或盖章的，应附法定代表人签字或盖章的授权委托书。</w:t>
      </w:r>
    </w:p>
    <w:p>
      <w:pPr>
        <w:pStyle w:val="48"/>
        <w:pageBreakBefore w:val="0"/>
        <w:widowControl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35" w:name="_Toc3679"/>
      <w:bookmarkStart w:id="536" w:name="_Toc31264"/>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八</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投标人基本情况表</w:t>
      </w:r>
      <w:bookmarkEnd w:id="535"/>
      <w:bookmarkEnd w:id="536"/>
    </w:p>
    <w:p>
      <w:pPr>
        <w:pStyle w:val="48"/>
        <w:pageBreakBefore w:val="0"/>
        <w:widowControl w:val="0"/>
        <w:kinsoku/>
        <w:wordWrap w:val="0"/>
        <w:overflowPunct/>
        <w:bidi w:val="0"/>
        <w:adjustRightInd w:val="0"/>
        <w:snapToGrid w:val="0"/>
        <w:spacing w:before="260" w:after="260" w:line="400" w:lineRule="exact"/>
        <w:ind w:firstLine="0"/>
        <w:jc w:val="center"/>
        <w:rPr>
          <w:rFonts w:hint="eastAsia" w:asciiTheme="minorEastAsia" w:hAnsiTheme="minorEastAsia" w:eastAsiaTheme="minorEastAsia" w:cstheme="minorEastAsia"/>
          <w:snapToGrid w:val="0"/>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sz w:val="24"/>
          <w:szCs w:val="24"/>
          <w:highlight w:val="none"/>
          <w14:textFill>
            <w14:solidFill>
              <w14:schemeClr w14:val="tx1"/>
            </w14:solidFill>
          </w14:textFill>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537"/>
        <w:gridCol w:w="1137"/>
        <w:gridCol w:w="832"/>
        <w:gridCol w:w="458"/>
        <w:gridCol w:w="831"/>
        <w:gridCol w:w="267"/>
        <w:gridCol w:w="733"/>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投标人名称</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注册地址</w:t>
            </w:r>
          </w:p>
        </w:tc>
        <w:tc>
          <w:tcPr>
            <w:tcW w:w="3506"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邮政编码</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36" w:type="dxa"/>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联系方式</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联系人</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  话</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536" w:type="dxa"/>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传  真</w:t>
            </w:r>
          </w:p>
        </w:tc>
        <w:tc>
          <w:tcPr>
            <w:tcW w:w="196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89"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电子邮箱</w:t>
            </w:r>
          </w:p>
        </w:tc>
        <w:tc>
          <w:tcPr>
            <w:tcW w:w="2468"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单位性质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法定代表人</w:t>
            </w:r>
          </w:p>
        </w:tc>
        <w:tc>
          <w:tcPr>
            <w:tcW w:w="15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姓名</w:t>
            </w:r>
          </w:p>
        </w:tc>
        <w:tc>
          <w:tcPr>
            <w:tcW w:w="1137"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技术职称</w:t>
            </w:r>
          </w:p>
        </w:tc>
        <w:tc>
          <w:tcPr>
            <w:tcW w:w="1098"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733"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电话</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成立时间</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4589" w:type="dxa"/>
            <w:gridSpan w:val="6"/>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员工总人数（个）：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企业资质</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类型和等级</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restart"/>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其中</w:t>
            </w: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项目经理</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营业执照号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高级职称人员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注册资金</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中级职称人员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开户银行</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初级职称人员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基本账户</w:t>
            </w:r>
          </w:p>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银行账号</w:t>
            </w:r>
          </w:p>
        </w:tc>
        <w:tc>
          <w:tcPr>
            <w:tcW w:w="2674" w:type="dxa"/>
            <w:gridSpan w:val="2"/>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290" w:type="dxa"/>
            <w:gridSpan w:val="2"/>
            <w:vMerge w:val="continue"/>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c>
          <w:tcPr>
            <w:tcW w:w="1831" w:type="dxa"/>
            <w:gridSpan w:val="3"/>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技术员</w:t>
            </w:r>
          </w:p>
        </w:tc>
        <w:tc>
          <w:tcPr>
            <w:tcW w:w="1468"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经营范围</w:t>
            </w:r>
          </w:p>
        </w:tc>
        <w:tc>
          <w:tcPr>
            <w:tcW w:w="7263" w:type="dxa"/>
            <w:gridSpan w:val="8"/>
            <w:noWrap/>
            <w:vAlign w:val="center"/>
          </w:tcPr>
          <w:p>
            <w:pPr>
              <w:pStyle w:val="44"/>
              <w:pageBreakBefore w:val="0"/>
              <w:kinsoku/>
              <w:wordWrap w:val="0"/>
              <w:overflowPunct/>
              <w:bidi w:val="0"/>
              <w:adjustRightInd w:val="0"/>
              <w:snapToGrid w:val="0"/>
              <w:jc w:val="left"/>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关联企业情况</w:t>
            </w:r>
          </w:p>
        </w:tc>
        <w:tc>
          <w:tcPr>
            <w:tcW w:w="7263" w:type="dxa"/>
            <w:gridSpan w:val="8"/>
            <w:noWrap/>
            <w:vAlign w:val="center"/>
          </w:tcPr>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包括但不限于与投标人存在以下关系的不同单位：</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1．法定代表人为同一人的。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2．存在控股、管理关系的。</w:t>
            </w:r>
          </w:p>
          <w:p>
            <w:pPr>
              <w:pStyle w:val="44"/>
              <w:pageBreakBefore w:val="0"/>
              <w:kinsoku/>
              <w:wordWrap w:val="0"/>
              <w:overflowPunct/>
              <w:bidi w:val="0"/>
              <w:adjustRightInd w:val="0"/>
              <w:snapToGrid w:val="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3．主要人员相互任职的。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36" w:type="dxa"/>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备注</w:t>
            </w:r>
          </w:p>
        </w:tc>
        <w:tc>
          <w:tcPr>
            <w:tcW w:w="7263" w:type="dxa"/>
            <w:gridSpan w:val="8"/>
            <w:noWrap/>
            <w:vAlign w:val="center"/>
          </w:tcPr>
          <w:p>
            <w:pPr>
              <w:pStyle w:val="44"/>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p>
        </w:tc>
      </w:tr>
    </w:tbl>
    <w:p>
      <w:pPr>
        <w:pStyle w:val="44"/>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highlight w:val="none"/>
          <w14:textFill>
            <w14:solidFill>
              <w14:schemeClr w14:val="tx1"/>
            </w14:solidFill>
          </w14:textFill>
        </w:rPr>
        <w:t>说明：</w:t>
      </w:r>
    </w:p>
    <w:bookmarkEnd w:id="485"/>
    <w:bookmarkEnd w:id="486"/>
    <w:bookmarkEnd w:id="487"/>
    <w:bookmarkEnd w:id="488"/>
    <w:bookmarkEnd w:id="489"/>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bookmarkStart w:id="537" w:name="_Toc1659"/>
      <w:bookmarkStart w:id="538" w:name="_Toc48547015"/>
      <w:bookmarkStart w:id="539" w:name="_Toc210101349"/>
      <w:bookmarkStart w:id="540" w:name="_Toc535300004"/>
      <w:bookmarkStart w:id="541" w:name="_Toc534641863"/>
      <w:bookmarkStart w:id="542" w:name="_Toc118541763"/>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1．《投标人基本情况表》后应附以下资料：</w:t>
      </w:r>
    </w:p>
    <w:p>
      <w:pPr>
        <w:pStyle w:val="48"/>
        <w:keepNext w:val="0"/>
        <w:keepLines w:val="0"/>
        <w:pageBreakBefore w:val="0"/>
        <w:widowControl w:val="0"/>
        <w:kinsoku/>
        <w:wordWrap w:val="0"/>
        <w:overflowPunct/>
        <w:topLinePunct w:val="0"/>
        <w:autoSpaceDE/>
        <w:autoSpaceDN/>
        <w:bidi w:val="0"/>
        <w:adjustRightInd w:val="0"/>
        <w:snapToGrid w:val="0"/>
        <w:spacing w:line="360" w:lineRule="exact"/>
        <w:ind w:firstLine="420"/>
        <w:textAlignment w:val="auto"/>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（1）企业营业执照、资质证书、安全生产许可证</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施工企业提供</w:t>
      </w:r>
      <w:r>
        <w:rPr>
          <w:rFonts w:hint="eastAsia" w:asciiTheme="minorEastAsia" w:hAnsiTheme="minorEastAsia" w:eastAsiaTheme="minorEastAsia" w:cstheme="minorEastAsia"/>
          <w:snapToGrid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snapToGrid w:val="0"/>
          <w:color w:val="000000" w:themeColor="text1"/>
          <w:sz w:val="21"/>
          <w:szCs w:val="21"/>
          <w:highlight w:val="none"/>
          <w:lang w:val="en-US" w:eastAsia="zh-CN"/>
          <w14:textFill>
            <w14:solidFill>
              <w14:schemeClr w14:val="tx1"/>
            </w14:solidFill>
          </w14:textFill>
        </w:rPr>
        <w:t>扫描</w:t>
      </w: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件</w:t>
      </w:r>
      <w:r>
        <w:rPr>
          <w:rFonts w:hint="eastAsia" w:asciiTheme="minorEastAsia" w:hAnsiTheme="minorEastAsia" w:eastAsiaTheme="minorEastAsia" w:cstheme="minorEastAsia"/>
          <w:b w:val="0"/>
          <w:bCs w:val="0"/>
          <w:snapToGrid w:val="0"/>
          <w:color w:val="000000" w:themeColor="text1"/>
          <w:sz w:val="21"/>
          <w:szCs w:val="21"/>
          <w:highlight w:val="none"/>
          <w14:textFill>
            <w14:solidFill>
              <w14:schemeClr w14:val="tx1"/>
            </w14:solidFill>
          </w14:textFill>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000000" w:themeColor="text1"/>
          <w:sz w:val="21"/>
          <w:szCs w:val="21"/>
          <w:highlight w:val="none"/>
          <w14:textFill>
            <w14:solidFill>
              <w14:schemeClr w14:val="tx1"/>
            </w14:solidFill>
          </w14:textFill>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（2）外省建筑企业须提供“进粤企业和人员诚信信息登记平台”企业信息情况打印页或网页截图。</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2．联合体投标的，联合体成员单位均应填写《投标人基本情况表》并提供以上所需资料。</w:t>
      </w:r>
    </w:p>
    <w:p>
      <w:pPr>
        <w:pStyle w:val="48"/>
        <w:pageBreakBefore w:val="0"/>
        <w:widowControl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sectPr>
          <w:endnotePr>
            <w:numFmt w:val="decimal"/>
          </w:endnotePr>
          <w:pgSz w:w="11906" w:h="16838"/>
          <w:pgMar w:top="122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sz w:val="21"/>
          <w:szCs w:val="21"/>
          <w:highlight w:val="none"/>
          <w14:textFill>
            <w14:solidFill>
              <w14:schemeClr w14:val="tx1"/>
            </w14:solidFill>
          </w14:textFill>
        </w:rPr>
        <w:t>3.《法人和非法人组织公共信用信息报告》打印件（在“信用中国”网站企业查询界面中下载）。</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3" w:name="_Toc789"/>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九</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项目经理简历表</w:t>
      </w:r>
      <w:bookmarkEnd w:id="537"/>
      <w:bookmarkEnd w:id="543"/>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91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9"/>
        <w:gridCol w:w="955"/>
        <w:gridCol w:w="580"/>
        <w:gridCol w:w="642"/>
        <w:gridCol w:w="1284"/>
        <w:gridCol w:w="1931"/>
        <w:gridCol w:w="27"/>
        <w:gridCol w:w="1692"/>
        <w:gridCol w:w="13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2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8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3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19"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1724"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0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50"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9196"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以项目经理身份参与过的主要业绩（已完工项目）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exact"/>
        </w:trPr>
        <w:tc>
          <w:tcPr>
            <w:tcW w:w="769"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35"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26"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5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69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1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项目经理：</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outlineLvl w:val="9"/>
        <w:rPr>
          <w:rFonts w:hint="eastAsia"/>
          <w:color w:val="000000" w:themeColor="text1"/>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说明：《项目经理简历表》后应附拟派项目经理以下资料：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2．建造师电子注册证书（在使用有效期内的有效电子证书）彩色扫描件；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3．B类安全生产考核合格证书彩色扫描件或广东省建筑施工企业管理人员安全生产考核系统考核合格信息彩色扫描件；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）彩色扫描件；拟派项目经理为退休返聘人员无法提供社保证明的，提供退休证和劳动合同彩色扫描件。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4" w:name="_Toc17185"/>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十</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项目经理任职声明</w:t>
      </w:r>
      <w:bookmarkEnd w:id="544"/>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项目经理任职声明</w:t>
      </w: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45" w:name="_Toc21599"/>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（招标人名称）：</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我方在此声明，我方拟派往</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（项目名称）的项目经理</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（项目经理姓名）现阶段没有担任任何在施（包括已中标未开工、已开工未竣工）建设工程项目的项目经理。</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我方保证上述信息的真实和准确，并愿意承担因我方就此弄虚作假所引起的一切法律后果。</w:t>
      </w:r>
    </w:p>
    <w:p>
      <w:pPr>
        <w:pageBreakBefore w:val="0"/>
        <w:kinsoku/>
        <w:wordWrap w:val="0"/>
        <w:overflowPunct/>
        <w:bidi w:val="0"/>
        <w:adjustRightInd w:val="0"/>
        <w:snapToGrid w:val="0"/>
        <w:spacing w:line="440" w:lineRule="exact"/>
        <w:ind w:firstLine="48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特此承诺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投标人：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（盖单位章）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（签字或盖章）</w:t>
      </w:r>
    </w:p>
    <w:p>
      <w:pPr>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日</w:t>
      </w: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20"/>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6" w:name="_Toc29406"/>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项目技术负责人简历表</w:t>
      </w:r>
      <w:bookmarkEnd w:id="545"/>
      <w:bookmarkEnd w:id="546"/>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以项目技术负责人身份参与过的主要业绩（已完工项目）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项目技术负责人简历表</w:t>
      </w:r>
    </w:p>
    <w:p>
      <w:pPr>
        <w:pStyle w:val="49"/>
        <w:pageBreakBefore w:val="0"/>
        <w:kinsoku/>
        <w:wordWrap w:val="0"/>
        <w:overflowPunct/>
        <w:bidi w:val="0"/>
        <w:adjustRightInd w:val="0"/>
        <w:snapToGrid w:val="0"/>
        <w:spacing w:line="440" w:lineRule="exact"/>
        <w:jc w:val="both"/>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项目技术负责人：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说明：《项目技术负责人简历表》后应附拟派项目技术负责人以下资料：</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）彩色扫描件；拟派技术负责人为退休返聘人员无法提供社保证明的，提供退休证和劳动合同彩色扫描件。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4.</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“进粤企业和人员诚信信息登记平台”个人信息情况打印页或网页截图。（适用于省外建筑企业）</w:t>
      </w:r>
    </w:p>
    <w:p>
      <w:pPr>
        <w:pStyle w:val="4"/>
        <w:pageBreakBefore w:val="0"/>
        <w:kinsoku/>
        <w:wordWrap w:val="0"/>
        <w:overflowPunct/>
        <w:bidi w:val="0"/>
        <w:spacing w:before="120"/>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bookmarkStart w:id="547" w:name="_Toc29878"/>
      <w:bookmarkStart w:id="548" w:name="_Toc31518"/>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bCs/>
          <w:color w:val="000000" w:themeColor="text1"/>
          <w:szCs w:val="24"/>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 xml:space="preserve"> 项目设计负责人简历表</w:t>
      </w:r>
      <w:bookmarkEnd w:id="547"/>
      <w:bookmarkEnd w:id="548"/>
    </w:p>
    <w:p>
      <w:pPr>
        <w:pageBreakBefore w:val="0"/>
        <w:kinsoku/>
        <w:wordWrap w:val="0"/>
        <w:overflowPunct/>
        <w:bidi w:val="0"/>
        <w:adjustRightInd w:val="0"/>
        <w:snapToGrid w:val="0"/>
        <w:spacing w:line="440" w:lineRule="exact"/>
        <w:jc w:val="left"/>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p>
    <w:tbl>
      <w:tblPr>
        <w:tblStyle w:val="2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以项目设计负责人身份参与过的主要业绩（已完工项目）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质量等级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bl>
    <w:p>
      <w:pPr>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b/>
          <w:bCs/>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项目设计负责人简历表</w:t>
      </w:r>
    </w:p>
    <w:p>
      <w:pPr>
        <w:pageBreakBefore w:val="0"/>
        <w:kinsoku/>
        <w:wordWrap w:val="0"/>
        <w:overflowPunct/>
        <w:bidi w:val="0"/>
        <w:adjustRightInd w:val="0"/>
        <w:snapToGrid w:val="0"/>
        <w:spacing w:line="44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项目</w:t>
      </w:r>
      <w:r>
        <w:rPr>
          <w:rFonts w:hint="eastAsia" w:asciiTheme="minorEastAsia" w:hAnsiTheme="minorEastAsia" w:eastAsiaTheme="minorEastAsia" w:cstheme="minorEastAsia"/>
          <w:snapToGrid w:val="0"/>
          <w:color w:val="000000" w:themeColor="text1"/>
          <w:kern w:val="0"/>
          <w:sz w:val="24"/>
          <w:szCs w:val="24"/>
          <w:highlight w:val="none"/>
          <w:lang w:val="en-US" w:eastAsia="zh-CN"/>
          <w14:textFill>
            <w14:solidFill>
              <w14:schemeClr w14:val="tx1"/>
            </w14:solidFill>
          </w14:textFill>
        </w:rPr>
        <w:t>设计</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负责人：</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（签字）</w:t>
      </w:r>
    </w:p>
    <w:p>
      <w:pPr>
        <w:pStyle w:val="49"/>
        <w:pageBreakBefore w:val="0"/>
        <w:kinsoku/>
        <w:wordWrap w:val="0"/>
        <w:overflowPunct/>
        <w:bidi w:val="0"/>
        <w:adjustRightInd w:val="0"/>
        <w:snapToGrid w:val="0"/>
        <w:spacing w:line="440" w:lineRule="exact"/>
        <w:jc w:val="right"/>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p>
    <w:p>
      <w:pPr>
        <w:pStyle w:val="49"/>
        <w:pageBreakBefore w:val="0"/>
        <w:kinsoku/>
        <w:wordWrap w:val="0"/>
        <w:overflowPunct/>
        <w:bidi w:val="0"/>
        <w:adjustRightInd w:val="0"/>
        <w:snapToGrid w:val="0"/>
        <w:spacing w:line="440" w:lineRule="exact"/>
        <w:jc w:val="cente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年</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月</w:t>
      </w:r>
      <w:r>
        <w:rPr>
          <w:rFonts w:hint="eastAsia" w:asciiTheme="minorEastAsia" w:hAnsiTheme="minorEastAsia" w:eastAsiaTheme="minorEastAsia" w:cstheme="minorEastAsia"/>
          <w:snapToGrid w:val="0"/>
          <w:color w:val="000000" w:themeColor="text1"/>
          <w:kern w:val="0"/>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kern w:val="0"/>
          <w:sz w:val="24"/>
          <w:szCs w:val="24"/>
          <w:highlight w:val="none"/>
          <w14:textFill>
            <w14:solidFill>
              <w14:schemeClr w14:val="tx1"/>
            </w14:solidFill>
          </w14:textFill>
        </w:rPr>
        <w:t>日</w:t>
      </w: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ind w:firstLine="57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说明：《项目设计负责人简历表》后应附拟派项目设计负责人以下资料：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1．身份证彩色扫描件；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注册</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证彩色扫描件；</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）彩色扫描件；拟派设计负责人为退休返聘人员无法提供社保证明的，提供退休证和劳动合同彩色扫描件。</w:t>
      </w:r>
      <w:bookmarkEnd w:id="538"/>
      <w:bookmarkEnd w:id="539"/>
      <w:bookmarkEnd w:id="540"/>
      <w:bookmarkEnd w:id="541"/>
      <w:bookmarkEnd w:id="542"/>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br w:type="page"/>
      </w:r>
      <w:bookmarkStart w:id="549" w:name="_Toc10080"/>
      <w:bookmarkStart w:id="550" w:name="_Toc8264"/>
    </w:p>
    <w:p>
      <w:pPr>
        <w:pStyle w:val="4"/>
        <w:pageBreakBefore w:val="0"/>
        <w:kinsoku/>
        <w:wordWrap w:val="0"/>
        <w:overflowPunct/>
        <w:bidi w:val="0"/>
        <w:spacing w:before="120"/>
        <w:rPr>
          <w:rFonts w:hint="eastAsia" w:asciiTheme="minorEastAsia" w:hAnsiTheme="minorEastAsia" w:eastAsiaTheme="minorEastAsia" w:cstheme="minorEastAsia"/>
          <w:bCs/>
          <w:snapToGrid w:val="0"/>
          <w:color w:val="000000" w:themeColor="text1"/>
          <w:szCs w:val="24"/>
          <w:highlight w:val="none"/>
          <w14:textFill>
            <w14:solidFill>
              <w14:schemeClr w14:val="tx1"/>
            </w14:solidFill>
          </w14:textFill>
        </w:rPr>
      </w:pPr>
      <w:bookmarkStart w:id="551" w:name="_Toc23027"/>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格式十</w:t>
      </w:r>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三</w:t>
      </w:r>
      <w:r>
        <w:rPr>
          <w:rFonts w:hint="eastAsia" w:asciiTheme="minorEastAsia" w:hAnsiTheme="minorEastAsia" w:eastAsiaTheme="minorEastAsia" w:cstheme="minorEastAsia"/>
          <w:b/>
          <w:snapToGrid w:val="0"/>
          <w:color w:val="000000" w:themeColor="text1"/>
          <w:szCs w:val="24"/>
          <w:highlight w:val="none"/>
          <w14:textFill>
            <w14:solidFill>
              <w14:schemeClr w14:val="tx1"/>
            </w14:solidFill>
          </w14:textFill>
        </w:rPr>
        <w:t xml:space="preserve"> 项目管理机构组成表</w:t>
      </w:r>
      <w:bookmarkEnd w:id="549"/>
      <w:bookmarkEnd w:id="551"/>
    </w:p>
    <w:p>
      <w:pPr>
        <w:pageBreakBefore w:val="0"/>
        <w:kinsoku/>
        <w:wordWrap w:val="0"/>
        <w:overflowPunct/>
        <w:bidi w:val="0"/>
        <w:adjustRightInd w:val="0"/>
        <w:snapToGrid w:val="0"/>
        <w:spacing w:before="260" w:after="260" w:line="440" w:lineRule="exact"/>
        <w:jc w:val="cente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Cs w:val="24"/>
          <w:highlight w:val="none"/>
          <w14:textFill>
            <w14:solidFill>
              <w14:schemeClr w14:val="tx1"/>
            </w14:solidFill>
          </w14:textFill>
        </w:rPr>
        <w:t>项目管理机构组成表</w:t>
      </w:r>
    </w:p>
    <w:tbl>
      <w:tblPr>
        <w:tblStyle w:val="22"/>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项目技术</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w:t>
            </w:r>
          </w:p>
        </w:tc>
        <w:tc>
          <w:tcPr>
            <w:tcW w:w="1424" w:type="dxa"/>
            <w:tcBorders>
              <w:top w:val="single" w:color="auto" w:sz="6" w:space="0"/>
              <w:left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项目设计</w:t>
            </w:r>
          </w:p>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6</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7</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8</w:t>
            </w: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424"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w:t>
            </w:r>
          </w:p>
        </w:tc>
        <w:tc>
          <w:tcPr>
            <w:tcW w:w="1358"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902"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81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154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c>
          <w:tcPr>
            <w:tcW w:w="2169"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val="0"/>
              <w:overflowPunct/>
              <w:bidi w:val="0"/>
              <w:adjustRightInd w:val="0"/>
              <w:snapToGrid w:val="0"/>
              <w:jc w:val="cente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p>
        </w:tc>
      </w:tr>
      <w:bookmarkEnd w:id="550"/>
    </w:tbl>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bookmarkStart w:id="552" w:name="_Toc8648"/>
      <w:bookmarkStart w:id="553" w:name="_Toc36804690"/>
      <w:bookmarkStart w:id="554" w:name="_Toc25577"/>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说明：</w:t>
      </w:r>
    </w:p>
    <w:p>
      <w:pPr>
        <w:pageBreakBefore w:val="0"/>
        <w:kinsoku/>
        <w:wordWrap w:val="0"/>
        <w:overflowPunct/>
        <w:bidi w:val="0"/>
        <w:adjustRightInd w:val="0"/>
        <w:snapToGrid w:val="0"/>
        <w:spacing w:line="400" w:lineRule="exact"/>
        <w:ind w:firstLine="480" w:firstLineChars="200"/>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1．《项目管理机构组成表》后应附表中拟派人员（项目经理、项目技术负责人、项目设计负责人除外）以下资料：</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（1）身份证证彩色扫描件；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（2）职称证或岗位证或培训证</w:t>
      </w:r>
      <w:r>
        <w:rPr>
          <w:rFonts w:hint="eastAsia" w:asciiTheme="minorEastAsia" w:hAnsiTheme="minorEastAsia" w:eastAsiaTheme="minorEastAsia" w:cstheme="minorEastAsia"/>
          <w:snapToGrid w:val="0"/>
          <w:color w:val="000000" w:themeColor="text1"/>
          <w:kern w:val="0"/>
          <w:szCs w:val="24"/>
          <w:highlight w:val="none"/>
          <w:lang w:val="en-US" w:eastAsia="zh-CN"/>
          <w14:textFill>
            <w14:solidFill>
              <w14:schemeClr w14:val="tx1"/>
            </w14:solidFill>
          </w14:textFill>
        </w:rPr>
        <w:t>或执业证书</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（3）专职安全员须提供C类安全生产考核合格证书证彩色扫描件或“广东省建筑施工企业管理人员安全生产考核系统”考核合格信息打印页；</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（4）在本单位缴纳社保的证明（</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近一个月，其中必须有2026年8月</w:t>
      </w: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）彩色扫描件；拟派人员为退休返聘人员无法提供社保证明的，提供退休证和劳动合同彩色扫描件；</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（5）“进粤企业和人员诚信信息登记平台”个人信息情况打印页或网页截图。（适用于省外建筑企业）。</w:t>
      </w:r>
    </w:p>
    <w:p>
      <w:pPr>
        <w:pageBreakBefore w:val="0"/>
        <w:kinsoku/>
        <w:wordWrap w:val="0"/>
        <w:overflowPunct/>
        <w:bidi w:val="0"/>
        <w:adjustRightInd w:val="0"/>
        <w:snapToGrid w:val="0"/>
        <w:spacing w:line="400" w:lineRule="exact"/>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Cs w:val="24"/>
          <w:highlight w:val="none"/>
          <w14:textFill>
            <w14:solidFill>
              <w14:schemeClr w14:val="tx1"/>
            </w14:solidFill>
          </w14:textFill>
        </w:rPr>
        <w:t xml:space="preserve">    2．联合体投标的，《项目管理机构组成表》应包括联合体成员单位参与项目管理机构的人员，并提供以上所需资料。</w:t>
      </w: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p>
      <w:pPr>
        <w:pageBreakBefore w:val="0"/>
        <w:kinsoku/>
        <w:wordWrap w:val="0"/>
        <w:overflowPunct/>
        <w:bidi w:val="0"/>
        <w:spacing w:before="136"/>
        <w:outlineLvl w:val="9"/>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pPr>
    </w:p>
    <w:bookmarkEnd w:id="552"/>
    <w:bookmarkEnd w:id="553"/>
    <w:bookmarkEnd w:id="554"/>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bookmarkStart w:id="555" w:name="_Toc9816"/>
      <w:bookmarkStart w:id="556" w:name="_Toc22541"/>
      <w:bookmarkStart w:id="557" w:name="_Toc8821"/>
      <w:bookmarkStart w:id="558" w:name="_Toc26622"/>
      <w:bookmarkStart w:id="559" w:name="_Toc8121"/>
      <w:bookmarkStart w:id="560" w:name="_Toc23446"/>
      <w:bookmarkStart w:id="561" w:name="_Toc6918"/>
      <w:bookmarkStart w:id="562" w:name="_Toc26638"/>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3" w:name="_Toc26911"/>
      <w:bookmarkStart w:id="564" w:name="_Toc30092"/>
      <w:bookmarkStart w:id="565" w:name="_Toc20511"/>
      <w:bookmarkStart w:id="566" w:name="_Toc9141"/>
      <w:bookmarkStart w:id="567" w:name="_Toc4456"/>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格式十四 定标文件封面</w:t>
      </w:r>
      <w:bookmarkEnd w:id="563"/>
      <w:bookmarkEnd w:id="564"/>
      <w:bookmarkEnd w:id="565"/>
    </w:p>
    <w:bookmarkEnd w:id="566"/>
    <w:bookmarkEnd w:id="567"/>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rPr>
          <w:rStyle w:val="52"/>
          <w:rFonts w:hint="eastAsia" w:ascii="宋体" w:hAnsi="宋体" w:eastAsia="宋体" w:cs="宋体"/>
          <w:b/>
          <w:bCs/>
          <w:color w:val="auto"/>
          <w:sz w:val="24"/>
          <w:szCs w:val="24"/>
          <w:highlight w:val="none"/>
        </w:rPr>
      </w:pPr>
    </w:p>
    <w:p>
      <w:pPr>
        <w:pStyle w:val="84"/>
        <w:snapToGrid w:val="0"/>
        <w:spacing w:line="240" w:lineRule="auto"/>
        <w:ind w:firstLine="0"/>
        <w:jc w:val="center"/>
        <w:rPr>
          <w:rStyle w:val="52"/>
          <w:rFonts w:hint="eastAsia" w:ascii="宋体" w:hAnsi="宋体" w:eastAsia="宋体" w:cs="宋体"/>
          <w:b/>
          <w:bCs/>
          <w:color w:val="auto"/>
          <w:sz w:val="52"/>
          <w:szCs w:val="52"/>
          <w:highlight w:val="none"/>
        </w:rPr>
      </w:pPr>
      <w:r>
        <w:rPr>
          <w:rStyle w:val="52"/>
          <w:rFonts w:hint="eastAsia" w:ascii="宋体" w:hAnsi="宋体" w:eastAsia="宋体" w:cs="宋体"/>
          <w:color w:val="auto"/>
          <w:sz w:val="52"/>
          <w:szCs w:val="52"/>
          <w:highlight w:val="none"/>
          <w:u w:val="single"/>
        </w:rPr>
        <w:t xml:space="preserve">       </w:t>
      </w:r>
      <w:r>
        <w:rPr>
          <w:rStyle w:val="52"/>
          <w:rFonts w:hint="eastAsia" w:ascii="宋体" w:hAnsi="宋体" w:eastAsia="宋体" w:cs="宋体"/>
          <w:b/>
          <w:bCs/>
          <w:color w:val="auto"/>
          <w:sz w:val="52"/>
          <w:szCs w:val="52"/>
          <w:highlight w:val="none"/>
          <w:u w:val="single"/>
        </w:rPr>
        <w:t>（</w:t>
      </w:r>
      <w:r>
        <w:rPr>
          <w:rStyle w:val="52"/>
          <w:rFonts w:hint="eastAsia" w:hAnsi="宋体" w:cs="宋体"/>
          <w:b/>
          <w:bCs/>
          <w:color w:val="auto"/>
          <w:sz w:val="52"/>
          <w:szCs w:val="52"/>
          <w:highlight w:val="none"/>
          <w:u w:val="single"/>
        </w:rPr>
        <w:t>项目名称</w:t>
      </w:r>
      <w:r>
        <w:rPr>
          <w:rStyle w:val="52"/>
          <w:rFonts w:hint="eastAsia" w:ascii="宋体" w:hAnsi="宋体" w:eastAsia="宋体" w:cs="宋体"/>
          <w:b/>
          <w:bCs/>
          <w:color w:val="auto"/>
          <w:sz w:val="52"/>
          <w:szCs w:val="52"/>
          <w:highlight w:val="none"/>
          <w:u w:val="single"/>
        </w:rPr>
        <w:t>）</w:t>
      </w:r>
      <w:r>
        <w:rPr>
          <w:rStyle w:val="52"/>
          <w:rFonts w:hint="eastAsia" w:ascii="宋体" w:hAnsi="宋体" w:eastAsia="宋体" w:cs="宋体"/>
          <w:b/>
          <w:bCs/>
          <w:color w:val="auto"/>
          <w:sz w:val="52"/>
          <w:szCs w:val="52"/>
          <w:highlight w:val="none"/>
        </w:rPr>
        <w:t xml:space="preserve">招标 </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48"/>
        <w:pageBreakBefore w:val="0"/>
        <w:widowControl w:val="0"/>
        <w:kinsoku/>
        <w:wordWrap w:val="0"/>
        <w:overflowPunct/>
        <w:bidi w:val="0"/>
        <w:adjustRightInd w:val="0"/>
        <w:snapToGrid w:val="0"/>
        <w:ind w:firstLine="0"/>
        <w:jc w:val="center"/>
        <w:rPr>
          <w:rFonts w:hint="eastAsia" w:asciiTheme="minorEastAsia" w:hAnsiTheme="minorEastAsia" w:eastAsiaTheme="minorEastAsia" w:cstheme="minorEastAsia"/>
          <w:b/>
          <w:snapToGrid w:val="0"/>
          <w:color w:val="000000" w:themeColor="text1"/>
          <w:sz w:val="32"/>
          <w:highlight w:val="none"/>
          <w14:textFill>
            <w14:solidFill>
              <w14:schemeClr w14:val="tx1"/>
            </w14:solidFill>
          </w14:textFill>
        </w:rPr>
      </w:pPr>
    </w:p>
    <w:p>
      <w:pPr>
        <w:pStyle w:val="84"/>
        <w:snapToGrid w:val="0"/>
        <w:spacing w:line="240" w:lineRule="auto"/>
        <w:ind w:firstLine="0"/>
        <w:jc w:val="center"/>
        <w:rPr>
          <w:rStyle w:val="52"/>
          <w:rFonts w:hint="eastAsia" w:ascii="宋体" w:hAnsi="宋体" w:eastAsia="宋体" w:cs="宋体"/>
          <w:b/>
          <w:bCs/>
          <w:color w:val="auto"/>
          <w:sz w:val="72"/>
          <w:szCs w:val="72"/>
          <w:highlight w:val="none"/>
        </w:rPr>
      </w:pPr>
      <w:r>
        <w:rPr>
          <w:rStyle w:val="52"/>
          <w:rFonts w:hint="eastAsia" w:hAnsi="宋体" w:cs="宋体"/>
          <w:b/>
          <w:bCs/>
          <w:color w:val="auto"/>
          <w:sz w:val="72"/>
          <w:szCs w:val="72"/>
          <w:highlight w:val="none"/>
          <w:lang w:val="en-US" w:eastAsia="zh-CN"/>
        </w:rPr>
        <w:t>定</w:t>
      </w:r>
      <w:r>
        <w:rPr>
          <w:rStyle w:val="52"/>
          <w:rFonts w:hint="eastAsia" w:ascii="宋体" w:hAnsi="宋体" w:eastAsia="宋体" w:cs="宋体"/>
          <w:b/>
          <w:bCs/>
          <w:color w:val="auto"/>
          <w:sz w:val="72"/>
          <w:szCs w:val="72"/>
          <w:highlight w:val="none"/>
        </w:rPr>
        <w:t xml:space="preserve">  标  文  件</w:t>
      </w:r>
    </w:p>
    <w:p>
      <w:pPr>
        <w:pStyle w:val="84"/>
        <w:snapToGrid w:val="0"/>
        <w:spacing w:line="240" w:lineRule="auto"/>
        <w:ind w:firstLine="0"/>
        <w:jc w:val="center"/>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b/>
          <w:bCs/>
          <w:color w:val="auto"/>
          <w:sz w:val="40"/>
          <w:szCs w:val="40"/>
          <w:highlight w:val="none"/>
        </w:rPr>
      </w:pPr>
    </w:p>
    <w:p>
      <w:pPr>
        <w:pStyle w:val="84"/>
        <w:snapToGrid w:val="0"/>
        <w:spacing w:line="240" w:lineRule="auto"/>
        <w:jc w:val="center"/>
        <w:rPr>
          <w:rStyle w:val="52"/>
          <w:rFonts w:hint="eastAsia" w:ascii="宋体" w:hAnsi="宋体" w:eastAsia="宋体" w:cs="宋体"/>
          <w:b/>
          <w:bCs/>
          <w:color w:val="auto"/>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jc w:val="center"/>
        <w:rPr>
          <w:rStyle w:val="52"/>
          <w:rFonts w:hint="eastAsia" w:ascii="宋体" w:hAnsi="宋体" w:eastAsia="宋体" w:cs="宋体"/>
          <w:b/>
          <w:bCs/>
          <w:color w:val="auto"/>
          <w:sz w:val="32"/>
          <w:szCs w:val="32"/>
          <w:highlight w:val="none"/>
        </w:rPr>
      </w:pPr>
    </w:p>
    <w:p>
      <w:pPr>
        <w:pStyle w:val="84"/>
        <w:snapToGrid w:val="0"/>
        <w:spacing w:line="240" w:lineRule="auto"/>
        <w:rPr>
          <w:rStyle w:val="52"/>
          <w:rFonts w:hint="eastAsia" w:ascii="宋体" w:hAnsi="宋体" w:eastAsia="宋体" w:cs="宋体"/>
          <w:b/>
          <w:bCs/>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投标人：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（盖单位章）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rPr>
      </w:pPr>
      <w:r>
        <w:rPr>
          <w:rStyle w:val="52"/>
          <w:rFonts w:hint="eastAsia" w:ascii="宋体" w:hAnsi="宋体" w:eastAsia="宋体" w:cs="宋体"/>
          <w:color w:val="auto"/>
          <w:sz w:val="32"/>
          <w:szCs w:val="32"/>
          <w:highlight w:val="none"/>
        </w:rPr>
        <w:t>法定代表人或其委托代理人：</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（签字或盖章）</w:t>
      </w:r>
    </w:p>
    <w:p>
      <w:pPr>
        <w:pStyle w:val="84"/>
        <w:snapToGrid w:val="0"/>
        <w:spacing w:line="240" w:lineRule="auto"/>
        <w:ind w:firstLine="0"/>
        <w:jc w:val="center"/>
        <w:rPr>
          <w:rStyle w:val="52"/>
          <w:rFonts w:hint="eastAsia" w:ascii="宋体" w:hAnsi="宋体" w:eastAsia="宋体" w:cs="宋体"/>
          <w:color w:val="auto"/>
          <w:sz w:val="32"/>
          <w:szCs w:val="32"/>
          <w:highlight w:val="none"/>
        </w:rPr>
      </w:pPr>
    </w:p>
    <w:p>
      <w:pPr>
        <w:pStyle w:val="84"/>
        <w:snapToGrid w:val="0"/>
        <w:spacing w:line="240" w:lineRule="auto"/>
        <w:ind w:firstLine="0"/>
        <w:jc w:val="center"/>
        <w:rPr>
          <w:rStyle w:val="52"/>
          <w:rFonts w:hint="eastAsia" w:ascii="宋体" w:hAnsi="宋体" w:eastAsia="宋体" w:cs="宋体"/>
          <w:color w:val="auto"/>
          <w:sz w:val="32"/>
          <w:szCs w:val="32"/>
          <w:highlight w:val="none"/>
          <w:u w:val="single"/>
        </w:rPr>
      </w:pPr>
    </w:p>
    <w:p>
      <w:pPr>
        <w:pStyle w:val="84"/>
        <w:snapToGrid w:val="0"/>
        <w:spacing w:line="240" w:lineRule="auto"/>
        <w:ind w:firstLine="0"/>
        <w:jc w:val="center"/>
        <w:rPr>
          <w:rStyle w:val="52"/>
          <w:rFonts w:hint="eastAsia" w:ascii="宋体" w:hAnsi="宋体" w:eastAsia="宋体" w:cs="宋体"/>
          <w:b/>
          <w:bCs/>
          <w:color w:val="auto"/>
          <w:highlight w:val="none"/>
        </w:rPr>
      </w:pP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年</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月</w:t>
      </w:r>
      <w:r>
        <w:rPr>
          <w:rStyle w:val="52"/>
          <w:rFonts w:hint="eastAsia" w:ascii="宋体" w:hAnsi="宋体" w:eastAsia="宋体" w:cs="宋体"/>
          <w:color w:val="auto"/>
          <w:sz w:val="32"/>
          <w:szCs w:val="32"/>
          <w:highlight w:val="none"/>
          <w:u w:val="single"/>
        </w:rPr>
        <w:t xml:space="preserve">      </w:t>
      </w:r>
      <w:r>
        <w:rPr>
          <w:rStyle w:val="52"/>
          <w:rFonts w:hint="eastAsia" w:ascii="宋体" w:hAnsi="宋体" w:eastAsia="宋体" w:cs="宋体"/>
          <w:color w:val="auto"/>
          <w:sz w:val="32"/>
          <w:szCs w:val="32"/>
          <w:highlight w:val="none"/>
        </w:rPr>
        <w:t>日</w:t>
      </w:r>
    </w:p>
    <w:p>
      <w:pP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pPr>
        <w:pStyle w:val="4"/>
        <w:pageBreakBefore w:val="0"/>
        <w:kinsoku/>
        <w:wordWrap w:val="0"/>
        <w:overflowPunct/>
        <w:bidi w:val="0"/>
        <w:spacing w:before="120"/>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pPr>
      <w:bookmarkStart w:id="568" w:name="_Toc2398"/>
      <w:bookmarkStart w:id="569" w:name="_Toc6621"/>
      <w:bookmarkStart w:id="570" w:name="_Toc22084"/>
      <w:r>
        <w:rPr>
          <w:rFonts w:hint="eastAsia" w:asciiTheme="minorEastAsia" w:hAnsiTheme="minorEastAsia" w:eastAsiaTheme="minorEastAsia" w:cstheme="minorEastAsia"/>
          <w:b/>
          <w:snapToGrid w:val="0"/>
          <w:color w:val="000000" w:themeColor="text1"/>
          <w:szCs w:val="24"/>
          <w:highlight w:val="none"/>
          <w:lang w:val="en-US" w:eastAsia="zh-CN"/>
          <w14:textFill>
            <w14:solidFill>
              <w14:schemeClr w14:val="tx1"/>
            </w14:solidFill>
          </w14:textFill>
        </w:rPr>
        <w:t>格式十五 定标因素评审资料</w:t>
      </w:r>
      <w:bookmarkEnd w:id="568"/>
    </w:p>
    <w:bookmarkEnd w:id="569"/>
    <w:bookmarkEnd w:id="570"/>
    <w:p>
      <w:pPr>
        <w:jc w:val="left"/>
        <w:rPr>
          <w:rFonts w:hint="eastAsia" w:ascii="宋体" w:hAnsi="宋体" w:eastAsia="宋体" w:cs="宋体"/>
          <w:color w:val="auto"/>
          <w:sz w:val="24"/>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Style w:val="52"/>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1"/>
          <w:szCs w:val="21"/>
          <w:highlight w:val="none"/>
          <w:lang w:val="en-US" w:eastAsia="zh-CN"/>
        </w:rPr>
        <w:t>投标人根据“</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章 第</w:t>
      </w:r>
      <w:r>
        <w:rPr>
          <w:rFonts w:hint="eastAsia" w:hAnsi="宋体" w:eastAsia="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rPr>
        <w:t>定标</w:t>
      </w:r>
      <w:r>
        <w:rPr>
          <w:rFonts w:hint="eastAsia" w:ascii="宋体" w:hAnsi="宋体" w:eastAsia="宋体" w:cs="宋体"/>
          <w:b w:val="0"/>
          <w:bCs w:val="0"/>
          <w:color w:val="auto"/>
          <w:sz w:val="21"/>
          <w:szCs w:val="21"/>
          <w:highlight w:val="none"/>
          <w:lang w:val="en-US" w:eastAsia="zh-CN"/>
        </w:rPr>
        <w:t>”载明的</w:t>
      </w:r>
      <w:r>
        <w:rPr>
          <w:rFonts w:hint="eastAsia" w:ascii="宋体" w:hAnsi="宋体" w:eastAsia="宋体" w:cs="宋体"/>
          <w:b w:val="0"/>
          <w:bCs w:val="0"/>
          <w:color w:val="auto"/>
          <w:sz w:val="21"/>
          <w:szCs w:val="21"/>
          <w:highlight w:val="none"/>
          <w:lang w:eastAsia="zh-CN"/>
        </w:rPr>
        <w:t>定标因素，</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lang w:eastAsia="zh-CN"/>
        </w:rPr>
        <w:t>评审资料。</w:t>
      </w:r>
    </w:p>
    <w:p>
      <w:pP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pPr>
      <w:r>
        <w:rPr>
          <w:rFonts w:hint="eastAsia" w:asciiTheme="minorEastAsia" w:hAnsiTheme="minorEastAsia" w:eastAsiaTheme="minorEastAsia" w:cstheme="minorEastAsia"/>
          <w:b/>
          <w:color w:val="000000" w:themeColor="text1"/>
          <w:kern w:val="44"/>
          <w:szCs w:val="30"/>
          <w:highlight w:val="none"/>
          <w14:textFill>
            <w14:solidFill>
              <w14:schemeClr w14:val="tx1"/>
            </w14:solidFill>
          </w14:textFill>
        </w:rPr>
        <w:br w:type="page"/>
      </w:r>
    </w:p>
    <w:bookmarkEnd w:id="555"/>
    <w:bookmarkEnd w:id="556"/>
    <w:bookmarkEnd w:id="557"/>
    <w:bookmarkEnd w:id="558"/>
    <w:bookmarkEnd w:id="559"/>
    <w:bookmarkEnd w:id="560"/>
    <w:bookmarkEnd w:id="561"/>
    <w:bookmarkEnd w:id="562"/>
    <w:p>
      <w:pPr>
        <w:pStyle w:val="62"/>
        <w:pageBreakBefore w:val="0"/>
        <w:kinsoku/>
        <w:wordWrap w:val="0"/>
        <w:overflowPunct/>
        <w:bidi w:val="0"/>
        <w:spacing w:line="440" w:lineRule="exact"/>
        <w:ind w:firstLine="0" w:firstLineChars="0"/>
        <w:rPr>
          <w:rFonts w:hint="eastAsia" w:asciiTheme="minorEastAsia" w:hAnsiTheme="minorEastAsia" w:eastAsiaTheme="minorEastAsia" w:cstheme="minorEastAsia"/>
          <w:color w:val="000000" w:themeColor="text1"/>
          <w:szCs w:val="32"/>
          <w:highlight w:val="none"/>
          <w14:textFill>
            <w14:solidFill>
              <w14:schemeClr w14:val="tx1"/>
            </w14:solidFill>
          </w14:textFill>
        </w:rPr>
      </w:pPr>
    </w:p>
    <w:p>
      <w:pPr>
        <w:pStyle w:val="3"/>
        <w:pageBreakBefore w:val="0"/>
        <w:kinsoku/>
        <w:wordWrap w:val="0"/>
        <w:overflowPunct/>
        <w:bidi w:val="0"/>
        <w:jc w:val="cente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pPr>
      <w:bookmarkStart w:id="571" w:name="_Toc466640622"/>
      <w:bookmarkStart w:id="572" w:name="_Toc3894"/>
      <w:bookmarkStart w:id="573" w:name="_Toc9802"/>
      <w:bookmarkStart w:id="574" w:name="_Toc26594"/>
      <w:bookmarkStart w:id="575" w:name="_Toc420"/>
      <w:bookmarkStart w:id="576" w:name="_Toc1879"/>
      <w:bookmarkStart w:id="577" w:name="_Toc8715"/>
      <w:bookmarkStart w:id="578" w:name="_Toc19434"/>
      <w:bookmarkStart w:id="579" w:name="_Toc13641"/>
      <w:bookmarkStart w:id="580" w:name="_Toc3242"/>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第</w:t>
      </w:r>
      <w:r>
        <w:rPr>
          <w:rFonts w:hint="eastAsia" w:asciiTheme="minorEastAsia" w:hAnsiTheme="minorEastAsia" w:eastAsiaTheme="minorEastAsia" w:cstheme="minorEastAsia"/>
          <w:b/>
          <w:color w:val="000000" w:themeColor="text1"/>
          <w:kern w:val="44"/>
          <w:sz w:val="36"/>
          <w:szCs w:val="36"/>
          <w:highlight w:val="none"/>
          <w:lang w:val="en-US" w:eastAsia="zh-CN"/>
          <w14:textFill>
            <w14:solidFill>
              <w14:schemeClr w14:val="tx1"/>
            </w14:solidFill>
          </w14:textFill>
        </w:rPr>
        <w:t>七</w:t>
      </w:r>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 xml:space="preserve">章  </w:t>
      </w:r>
      <w:bookmarkEnd w:id="469"/>
      <w:bookmarkEnd w:id="470"/>
      <w:bookmarkEnd w:id="471"/>
      <w:bookmarkEnd w:id="472"/>
      <w:bookmarkEnd w:id="571"/>
      <w:r>
        <w:rPr>
          <w:rFonts w:hint="eastAsia" w:asciiTheme="minorEastAsia" w:hAnsiTheme="minorEastAsia" w:eastAsiaTheme="minorEastAsia" w:cstheme="minorEastAsia"/>
          <w:b/>
          <w:color w:val="000000" w:themeColor="text1"/>
          <w:kern w:val="44"/>
          <w:sz w:val="36"/>
          <w:szCs w:val="36"/>
          <w:highlight w:val="none"/>
          <w14:textFill>
            <w14:solidFill>
              <w14:schemeClr w14:val="tx1"/>
            </w14:solidFill>
          </w14:textFill>
        </w:rPr>
        <w:t>建设工程合同</w:t>
      </w:r>
      <w:bookmarkEnd w:id="572"/>
      <w:bookmarkEnd w:id="573"/>
      <w:bookmarkEnd w:id="574"/>
      <w:bookmarkEnd w:id="575"/>
      <w:bookmarkEnd w:id="576"/>
      <w:bookmarkEnd w:id="577"/>
      <w:bookmarkEnd w:id="578"/>
      <w:bookmarkEnd w:id="579"/>
      <w:bookmarkEnd w:id="580"/>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bookmarkEnd w:id="473"/>
    <w:bookmarkEnd w:id="474"/>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略。总承包合同参照住房城乡建设部、国家工商行政管理总局制定的《建设项目工程总承包合同（示范文本）》GF-2020-0216。</w:t>
      </w:r>
    </w:p>
    <w:p>
      <w:pPr>
        <w:pageBreakBefore w:val="0"/>
        <w:kinsoku/>
        <w:wordWrap w:val="0"/>
        <w:overflowPunct/>
        <w:bidi w:val="0"/>
        <w:spacing w:line="360" w:lineRule="auto"/>
        <w:ind w:firstLine="480" w:firstLineChars="200"/>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 xml:space="preserve"> </w:t>
      </w:r>
    </w:p>
    <w:p>
      <w:pPr>
        <w:pStyle w:val="5"/>
        <w:pageBreakBefore w:val="0"/>
        <w:kinsoku/>
        <w:wordWrap w:val="0"/>
        <w:overflowPunct/>
        <w:bidi w:val="0"/>
        <w:ind w:left="4511" w:leftChars="174" w:hanging="4093" w:hangingChars="1274"/>
        <w:jc w:val="cente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pPr>
      <w:bookmarkStart w:id="581" w:name="_Toc10193"/>
      <w:bookmarkStart w:id="582" w:name="_Toc30503"/>
      <w:bookmarkStart w:id="583" w:name="_Toc16029"/>
      <w:bookmarkStart w:id="584" w:name="_Toc32046"/>
      <w:bookmarkStart w:id="585" w:name="_Toc20232"/>
      <w:bookmarkStart w:id="586" w:name="_Toc5870"/>
      <w:bookmarkStart w:id="587" w:name="_Toc10603"/>
      <w:bookmarkStart w:id="588" w:name="_Toc2994"/>
      <w:bookmarkStart w:id="589" w:name="_Toc5845"/>
      <w:bookmarkStart w:id="590" w:name="_Toc29713"/>
      <w:bookmarkStart w:id="591" w:name="_Toc951"/>
      <w:r>
        <w:rPr>
          <w:rFonts w:hint="eastAsia" w:asciiTheme="minorEastAsia" w:hAnsiTheme="minorEastAsia" w:eastAsiaTheme="minorEastAsia" w:cstheme="minorEastAsia"/>
          <w:bCs/>
          <w:color w:val="000000" w:themeColor="text1"/>
          <w:sz w:val="32"/>
          <w:szCs w:val="32"/>
          <w:highlight w:val="none"/>
          <w14:textFill>
            <w14:solidFill>
              <w14:schemeClr w14:val="tx1"/>
            </w14:solidFill>
          </w14:textFill>
        </w:rPr>
        <w:t>廉政合同</w:t>
      </w:r>
      <w:bookmarkEnd w:id="581"/>
      <w:bookmarkEnd w:id="582"/>
      <w:bookmarkEnd w:id="583"/>
      <w:bookmarkEnd w:id="584"/>
      <w:bookmarkEnd w:id="585"/>
      <w:bookmarkEnd w:id="586"/>
      <w:bookmarkEnd w:id="587"/>
      <w:bookmarkEnd w:id="588"/>
      <w:bookmarkEnd w:id="589"/>
      <w:bookmarkEnd w:id="590"/>
      <w:r>
        <w:rPr>
          <w:rFonts w:hint="eastAsia" w:asciiTheme="minorEastAsia" w:hAnsiTheme="minorEastAsia" w:eastAsiaTheme="minorEastAsia" w:cstheme="minorEastAsia"/>
          <w:bCs/>
          <w:color w:val="000000" w:themeColor="text1"/>
          <w:sz w:val="32"/>
          <w:szCs w:val="32"/>
          <w:highlight w:val="none"/>
          <w:lang w:val="en-US" w:eastAsia="zh-CN"/>
          <w14:textFill>
            <w14:solidFill>
              <w14:schemeClr w14:val="tx1"/>
            </w14:solidFill>
          </w14:textFill>
        </w:rPr>
        <w:t>格式</w:t>
      </w:r>
      <w:bookmarkEnd w:id="591"/>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tabs>
          <w:tab w:val="left" w:pos="9100"/>
        </w:tabs>
        <w:kinsoku/>
        <w:wordWrap w:val="0"/>
        <w:overflowPunct/>
        <w:autoSpaceDE w:val="0"/>
        <w:autoSpaceDN w:val="0"/>
        <w:bidi w:val="0"/>
        <w:adjustRightInd w:val="0"/>
        <w:spacing w:line="460" w:lineRule="atLeast"/>
        <w:ind w:left="101" w:right="101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中标人：（全称）</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p>
    <w:p>
      <w:pPr>
        <w:pageBreakBefore w:val="0"/>
        <w:kinsoku/>
        <w:wordWrap w:val="0"/>
        <w:overflowPunct/>
        <w:autoSpaceDE w:val="0"/>
        <w:autoSpaceDN w:val="0"/>
        <w:bidi w:val="0"/>
        <w:adjustRightInd w:val="0"/>
        <w:spacing w:before="6" w:line="150" w:lineRule="exact"/>
        <w:jc w:val="left"/>
        <w:rPr>
          <w:rFonts w:hint="eastAsia" w:asciiTheme="minorEastAsia" w:hAnsiTheme="minorEastAsia" w:eastAsiaTheme="minorEastAsia" w:cstheme="minorEastAsia"/>
          <w:color w:val="000000" w:themeColor="text1"/>
          <w:kern w:val="0"/>
          <w:szCs w:val="15"/>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3"/>
          <w:highlight w:val="none"/>
          <w14:textFill>
            <w14:solidFill>
              <w14:schemeClr w14:val="tx1"/>
            </w14:solidFill>
          </w14:textFill>
        </w:rPr>
        <w:t>根据国家、省有关廉政建设的规定，为做好合同工程的廉政建设，保证工程质量与施工安</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全，提高建设资金的有效使用和投资效益，合同双方当事人就加强合同工程的廉政建设，订立本合同。</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1</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双方权利和义务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严格遵守国家、省有关法律法规的规定。</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严格执行合同工程一切合同文件，自觉按合同办事。</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合同双方当事人的业务活动应坚持公平</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公开</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公正和诚信的原</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则</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（法律认定的商业 秘密和合同文件另有规定除外</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，不得损害国家和集体利益，不得违反工程建设管理规章制度。</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建立健全廉政制度</w:t>
      </w:r>
      <w:r>
        <w:rPr>
          <w:rFonts w:hint="eastAsia" w:asciiTheme="minorEastAsia" w:hAnsiTheme="minorEastAsia" w:eastAsiaTheme="minorEastAsia" w:cstheme="minorEastAsia"/>
          <w:color w:val="000000" w:themeColor="text1"/>
          <w:spacing w:val="-1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开展廉政教育</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设立廉政告示牌</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公布举报电话</w:t>
      </w:r>
      <w:r>
        <w:rPr>
          <w:rFonts w:hint="eastAsia" w:asciiTheme="minorEastAsia" w:hAnsiTheme="minorEastAsia" w:eastAsiaTheme="minorEastAsia" w:cstheme="minorEastAsia"/>
          <w:color w:val="000000" w:themeColor="text1"/>
          <w:spacing w:val="-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监督并认真查 处违法违纪行为。</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发现对方在业务活动中有违反廉政建设规定的行为，应及时给予提醒和纠正。</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1.6</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发现对方严重违反合同的行为</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有向其上级部门举报</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建议给予处理并要求告知处理 结果的权利。没有上级部门的，可按本合同第二部分《通用条款》第87 条规定处理。</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2</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招标人义务</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招标人及其工作人员不得索取或接受中标人的礼金</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有价证券和贵重物品</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不得在承 包人报销任何应由招标人或其工作人员个人支付的费用。</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招标人及其工作人员不得参加中标人安排的宴</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和娱乐活动</w:t>
      </w:r>
      <w:r>
        <w:rPr>
          <w:rFonts w:hint="eastAsia" w:asciiTheme="minorEastAsia" w:hAnsiTheme="minorEastAsia" w:eastAsiaTheme="minorEastAsia" w:cstheme="minorEastAsia"/>
          <w:color w:val="000000" w:themeColor="text1"/>
          <w:spacing w:val="-12"/>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不得接受中标人提供的通讯、交通工具和高档办公用品等物品。</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2.3</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招标人及其工作人员不得要求或者接受中标人为其住房装修</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position w:val="-2"/>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position w:val="-2"/>
          <w:highlight w:val="none"/>
          <w14:textFill>
            <w14:solidFill>
              <w14:schemeClr w14:val="tx1"/>
            </w14:solidFill>
          </w14:textFill>
        </w:rPr>
        <w:t>配偶子</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女工作安排以及出国出境、旅游等提供方便。</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2.4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招标人及其工作人员不得以任何理由向中标人推荐</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分</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包人、推销材料和工程设备，不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得要求中标人购买合同以外的材料和工程设备。</w:t>
      </w:r>
    </w:p>
    <w:p>
      <w:pPr>
        <w:pageBreakBefore w:val="0"/>
        <w:kinsoku/>
        <w:wordWrap w:val="0"/>
        <w:overflowPunct/>
        <w:autoSpaceDE w:val="0"/>
        <w:autoSpaceDN w:val="0"/>
        <w:bidi w:val="0"/>
        <w:adjustRightInd w:val="0"/>
        <w:spacing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2.5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招标人及其工作人员要秉公办事</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不准营私舞弊</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不准利用职权私自为合同工程安排 施工队伍，也不得从事与合同工程有关的各种有偿中介活动。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2.6 </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招标人及其工作人员（含其配偶、子女）不得从事</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与</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 xml:space="preserve">合同工程有关的材料和工程设备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供应、工程分包、劳务等经济活动。</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3</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中标人义务</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中标人不得以任何理由向招标人及其工作人员行贿或馈赠礼金</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有价证券</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贵重礼品。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spacing w:val="5"/>
          <w:kern w:val="0"/>
          <w:highlight w:val="none"/>
          <w14:textFill>
            <w14:solidFill>
              <w14:schemeClr w14:val="tx1"/>
            </w14:solidFill>
          </w14:textFill>
        </w:rPr>
        <w:t>中标人不得以任何名义为招标人及其</w:t>
      </w:r>
      <w:r>
        <w:rPr>
          <w:rFonts w:hint="eastAsia" w:asciiTheme="minorEastAsia" w:hAnsiTheme="minorEastAsia" w:eastAsiaTheme="minorEastAsia" w:cstheme="minorEastAsia"/>
          <w:color w:val="000000" w:themeColor="text1"/>
          <w:spacing w:val="4"/>
          <w:kern w:val="0"/>
          <w:highlight w:val="none"/>
          <w14:textFill>
            <w14:solidFill>
              <w14:schemeClr w14:val="tx1"/>
            </w14:solidFill>
          </w14:textFill>
        </w:rPr>
        <w:t>工</w:t>
      </w:r>
      <w:r>
        <w:rPr>
          <w:rFonts w:hint="eastAsia" w:asciiTheme="minorEastAsia" w:hAnsiTheme="minorEastAsia" w:eastAsiaTheme="minorEastAsia" w:cstheme="minorEastAsia"/>
          <w:color w:val="000000" w:themeColor="text1"/>
          <w:spacing w:val="6"/>
          <w:kern w:val="0"/>
          <w:highlight w:val="none"/>
          <w14:textFill>
            <w14:solidFill>
              <w14:schemeClr w14:val="tx1"/>
            </w14:solidFill>
          </w14:textFill>
        </w:rPr>
        <w:t xml:space="preserve">作人员报销应由招标人或其工作人员个人支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付的任何费用。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3.3</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中标人不得以任何理由安排招标人及其工作人员参加宴</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请</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（工作餐除外</w:t>
      </w:r>
      <w:r>
        <w:rPr>
          <w:rFonts w:hint="eastAsia" w:asciiTheme="minorEastAsia" w:hAnsiTheme="minorEastAsia" w:eastAsiaTheme="minorEastAsia" w:cstheme="minorEastAsia"/>
          <w:color w:val="000000" w:themeColor="text1"/>
          <w:spacing w:val="-7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及娱乐活动。</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3.4</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中标人不得为招标人和个人购置或提供通讯、交通工具和高档办公用品等物品。</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3.5</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中标人不得为招标人及其工作人员的住房装修</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婚丧嫁娶活动</w:t>
      </w:r>
      <w:r>
        <w:rPr>
          <w:rFonts w:hint="eastAsia" w:asciiTheme="minorEastAsia" w:hAnsiTheme="minorEastAsia" w:eastAsiaTheme="minorEastAsia" w:cstheme="minorEastAsia"/>
          <w:color w:val="000000" w:themeColor="text1"/>
          <w:spacing w:val="-18"/>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配偶子女工作安排以 及出国出境、旅游等提供方便。</w:t>
      </w:r>
    </w:p>
    <w:p>
      <w:pPr>
        <w:pageBreakBefore w:val="0"/>
        <w:kinsoku/>
        <w:wordWrap w:val="0"/>
        <w:overflowPunct/>
        <w:autoSpaceDE w:val="0"/>
        <w:autoSpaceDN w:val="0"/>
        <w:bidi w:val="0"/>
        <w:adjustRightInd w:val="0"/>
        <w:spacing w:before="72" w:line="360" w:lineRule="auto"/>
        <w:ind w:right="185"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4</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违约责任</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4.1</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招标人及其工作人员违反本合同第1 条和第2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予处分；涉嫌犯罪的，移交司法机关追究刑事责任；给中标人造成损失的，应予赔偿。</w:t>
      </w:r>
    </w:p>
    <w:p>
      <w:pPr>
        <w:pageBreakBefore w:val="0"/>
        <w:kinsoku/>
        <w:wordWrap w:val="0"/>
        <w:overflowPunct/>
        <w:autoSpaceDE w:val="0"/>
        <w:autoSpaceDN w:val="0"/>
        <w:bidi w:val="0"/>
        <w:adjustRightInd w:val="0"/>
        <w:spacing w:before="72" w:line="360" w:lineRule="auto"/>
        <w:ind w:right="185"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4.2</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中标人及其工作人员违反本合同第1 条和第3 条规定</w:t>
      </w:r>
      <w:r>
        <w:rPr>
          <w:rFonts w:hint="eastAsia" w:asciiTheme="minorEastAsia" w:hAnsiTheme="minorEastAsia" w:eastAsiaTheme="minorEastAsia" w:cstheme="minorEastAsia"/>
          <w:color w:val="000000" w:themeColor="text1"/>
          <w:spacing w:val="-36"/>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应按照廉政建设的有关规定给 予处分</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情节严重的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给予中标人1～3 年内不得进入工程建设市场的处罚</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涉嫌犯罪的</w:t>
      </w:r>
      <w:r>
        <w:rPr>
          <w:rFonts w:hint="eastAsia" w:asciiTheme="minorEastAsia" w:hAnsiTheme="minorEastAsia" w:eastAsiaTheme="minorEastAsia" w:cstheme="minorEastAsia"/>
          <w:color w:val="000000" w:themeColor="text1"/>
          <w:spacing w:val="-24"/>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移交 司法机关追究刑事责任；给招标人造成损失的，应予赔偿；</w:t>
      </w:r>
    </w:p>
    <w:p>
      <w:pPr>
        <w:pageBreakBefore w:val="0"/>
        <w:kinsoku/>
        <w:wordWrap w:val="0"/>
        <w:overflowPunct/>
        <w:autoSpaceDE w:val="0"/>
        <w:autoSpaceDN w:val="0"/>
        <w:bidi w:val="0"/>
        <w:adjustRightInd w:val="0"/>
        <w:spacing w:before="16" w:line="360" w:lineRule="auto"/>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5</w:t>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双方约定</w:t>
      </w:r>
    </w:p>
    <w:p>
      <w:pPr>
        <w:pageBreakBefore w:val="0"/>
        <w:kinsoku/>
        <w:wordWrap w:val="0"/>
        <w:overflowPunct/>
        <w:autoSpaceDE w:val="0"/>
        <w:autoSpaceDN w:val="0"/>
        <w:bidi w:val="0"/>
        <w:adjustRightInd w:val="0"/>
        <w:spacing w:line="360" w:lineRule="auto"/>
        <w:ind w:right="184" w:firstLine="484"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本合同由合同双方当事人或其上</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级</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部门负责监督执行，并由合</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同</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 xml:space="preserve">双方当事人或其上级部门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相互约请对本合同执行情况进行检查。</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6</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 xml:space="preserve"> 合同法律效力</w:t>
      </w:r>
    </w:p>
    <w:p>
      <w:pPr>
        <w:pageBreakBefore w:val="0"/>
        <w:kinsoku/>
        <w:wordWrap w:val="0"/>
        <w:overflowPunct/>
        <w:autoSpaceDE w:val="0"/>
        <w:autoSpaceDN w:val="0"/>
        <w:bidi w:val="0"/>
        <w:adjustRightInd w:val="0"/>
        <w:spacing w:line="360" w:lineRule="auto"/>
        <w:ind w:right="184"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本合同作为</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Cs w:val="28"/>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工程施工合同的附件，与施工合同具有同等的法律效力。</w:t>
      </w:r>
    </w:p>
    <w:p>
      <w:pPr>
        <w:pageBreakBefore w:val="0"/>
        <w:kinsoku/>
        <w:wordWrap w:val="0"/>
        <w:overflowPunct/>
        <w:autoSpaceDE w:val="0"/>
        <w:autoSpaceDN w:val="0"/>
        <w:bidi w:val="0"/>
        <w:adjustRightInd w:val="0"/>
        <w:spacing w:line="360" w:lineRule="auto"/>
        <w:ind w:right="184" w:firstLine="482" w:firstLineChars="200"/>
        <w:jc w:val="left"/>
        <w:rPr>
          <w:rFonts w:hint="eastAsia" w:asciiTheme="minorEastAsia" w:hAnsiTheme="minorEastAsia" w:eastAsiaTheme="minorEastAsia" w:cstheme="minorEastAsia"/>
          <w:color w:val="000000" w:themeColor="text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7</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合同生效</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本合同自合同双方当事人签署之日起生效，至合同工程竣工验收合格之日后失效。</w:t>
      </w:r>
    </w:p>
    <w:p>
      <w:pPr>
        <w:pageBreakBefore w:val="0"/>
        <w:kinsoku/>
        <w:wordWrap w:val="0"/>
        <w:overflowPunct/>
        <w:autoSpaceDE w:val="0"/>
        <w:autoSpaceDN w:val="0"/>
        <w:bidi w:val="0"/>
        <w:adjustRightInd w:val="0"/>
        <w:spacing w:line="360" w:lineRule="auto"/>
        <w:ind w:firstLine="482" w:firstLineChars="200"/>
        <w:jc w:val="left"/>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8</w:t>
      </w:r>
      <w:r>
        <w:rPr>
          <w:rFonts w:hint="eastAsia" w:asciiTheme="minorEastAsia" w:hAnsiTheme="minorEastAsia" w:eastAsiaTheme="minorEastAsia" w:cstheme="minorEastAsia"/>
          <w:b/>
          <w:bCs/>
          <w:color w:val="000000" w:themeColor="text1"/>
          <w:kern w:val="0"/>
          <w:szCs w:val="28"/>
          <w:highlight w:val="none"/>
          <w14:textFill>
            <w14:solidFill>
              <w14:schemeClr w14:val="tx1"/>
            </w14:solidFill>
          </w14:textFill>
        </w:rPr>
        <w:tab/>
      </w:r>
      <w:r>
        <w:rPr>
          <w:rFonts w:hint="eastAsia" w:asciiTheme="minorEastAsia" w:hAnsiTheme="minorEastAsia" w:eastAsiaTheme="minorEastAsia" w:cstheme="minorEastAsia"/>
          <w:b/>
          <w:bCs/>
          <w:color w:val="000000" w:themeColor="text1"/>
          <w:spacing w:val="1"/>
          <w:kern w:val="0"/>
          <w:szCs w:val="28"/>
          <w:highlight w:val="none"/>
          <w14:textFill>
            <w14:solidFill>
              <w14:schemeClr w14:val="tx1"/>
            </w14:solidFill>
          </w14:textFill>
        </w:rPr>
        <w:t>合同份数</w:t>
      </w:r>
    </w:p>
    <w:p>
      <w:pPr>
        <w:pageBreakBefore w:val="0"/>
        <w:kinsoku/>
        <w:wordWrap w:val="0"/>
        <w:overflowPunct/>
        <w:autoSpaceDE w:val="0"/>
        <w:autoSpaceDN w:val="0"/>
        <w:bidi w:val="0"/>
        <w:adjustRightInd w:val="0"/>
        <w:spacing w:line="360" w:lineRule="auto"/>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本合同一</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式</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份，合同双方当事人各</w:t>
      </w:r>
      <w:r>
        <w:rPr>
          <w:rFonts w:hint="eastAsia" w:asciiTheme="minorEastAsia" w:hAnsiTheme="minorEastAsia" w:eastAsiaTheme="minorEastAsia" w:cstheme="minorEastAsia"/>
          <w:color w:val="000000" w:themeColor="text1"/>
          <w:spacing w:val="2"/>
          <w:kern w:val="0"/>
          <w:highlight w:val="none"/>
          <w14:textFill>
            <w14:solidFill>
              <w14:schemeClr w14:val="tx1"/>
            </w14:solidFill>
          </w14:textFill>
        </w:rPr>
        <w:t>执</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kern w:val="0"/>
          <w:highlight w:val="none"/>
          <w14:textFill>
            <w14:solidFill>
              <w14:schemeClr w14:val="tx1"/>
            </w14:solidFill>
          </w14:textFill>
        </w:rPr>
        <w:t>份。有上级部门的，合同双方当事人应各送</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交其上级部门一份。</w:t>
      </w:r>
    </w:p>
    <w:p>
      <w:pPr>
        <w:pageBreakBefore w:val="0"/>
        <w:kinsoku/>
        <w:wordWrap w:val="0"/>
        <w:overflowPunct/>
        <w:autoSpaceDE w:val="0"/>
        <w:autoSpaceDN w:val="0"/>
        <w:bidi w:val="0"/>
        <w:adjustRightInd w:val="0"/>
        <w:spacing w:before="3" w:line="130" w:lineRule="exact"/>
        <w:jc w:val="left"/>
        <w:rPr>
          <w:rFonts w:hint="eastAsia" w:asciiTheme="minorEastAsia" w:hAnsiTheme="minorEastAsia" w:eastAsiaTheme="minorEastAsia" w:cstheme="minorEastAsia"/>
          <w:color w:val="000000" w:themeColor="text1"/>
          <w:kern w:val="0"/>
          <w:szCs w:val="13"/>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200" w:lineRule="exact"/>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发 包 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（公章）</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承 包 人 </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（公章）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（签字）</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法定代表人</w:t>
      </w:r>
      <w:r>
        <w:rPr>
          <w:rFonts w:hint="eastAsia" w:asciiTheme="minorEastAsia" w:hAnsiTheme="minorEastAsia" w:eastAsiaTheme="minorEastAsia" w:cstheme="minorEastAsia"/>
          <w:color w:val="000000" w:themeColor="text1"/>
          <w:spacing w:val="-120"/>
          <w:kern w:val="0"/>
          <w:highlight w:val="none"/>
          <w14:textFill>
            <w14:solidFill>
              <w14:schemeClr w14:val="tx1"/>
            </w14:solidFill>
          </w14:textFill>
        </w:rPr>
        <w:t>：</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（签字） </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联系电话：</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ab/>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联系电话：</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上级部门：（公章）            </w:t>
      </w:r>
      <w:r>
        <w:rPr>
          <w:rFonts w:hint="eastAsia" w:asciiTheme="minorEastAsia" w:hAnsiTheme="minorEastAsia" w:eastAsiaTheme="minorEastAsia" w:cstheme="minorEastAsia"/>
          <w:color w:val="000000" w:themeColor="text1"/>
          <w:kern w:val="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上级部门：（公章）</w:t>
      </w: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p>
    <w:p>
      <w:pPr>
        <w:pageBreakBefore w:val="0"/>
        <w:kinsoku/>
        <w:wordWrap w:val="0"/>
        <w:overflowPunct/>
        <w:autoSpaceDE w:val="0"/>
        <w:autoSpaceDN w:val="0"/>
        <w:bidi w:val="0"/>
        <w:adjustRightInd w:val="0"/>
        <w:spacing w:line="400" w:lineRule="exact"/>
        <w:ind w:firstLine="480" w:firstLineChars="200"/>
        <w:jc w:val="left"/>
        <w:rPr>
          <w:rFonts w:hint="eastAsia"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highlight w:val="none"/>
          <w14:textFill>
            <w14:solidFill>
              <w14:schemeClr w14:val="tx1"/>
            </w14:solidFill>
          </w14:textFill>
        </w:rPr>
        <w:t xml:space="preserve">          年   月    日                                年   月   日</w:t>
      </w: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p>
      <w:pPr>
        <w:pageBreakBefore w:val="0"/>
        <w:kinsoku/>
        <w:wordWrap w:val="0"/>
        <w:overflowPunct/>
        <w:bidi w:val="0"/>
        <w:rPr>
          <w:rFonts w:hint="eastAsia" w:asciiTheme="minorEastAsia" w:hAnsiTheme="minorEastAsia" w:eastAsiaTheme="minorEastAsia" w:cstheme="minorEastAsia"/>
          <w:color w:val="000000" w:themeColor="text1"/>
          <w:highlight w:val="none"/>
          <w14:textFill>
            <w14:solidFill>
              <w14:schemeClr w14:val="tx1"/>
            </w14:solidFill>
          </w14:textFill>
        </w:rPr>
      </w:pPr>
    </w:p>
    <w:sectPr>
      <w:headerReference r:id="rId9" w:type="default"/>
      <w:footerReference r:id="rId10" w:type="default"/>
      <w:endnotePr>
        <w:numFmt w:val="decimal"/>
      </w:endnotePr>
      <w:pgSz w:w="11907" w:h="16840"/>
      <w:pgMar w:top="1134" w:right="1134" w:bottom="1021" w:left="1418" w:header="567" w:footer="510" w:gutter="0"/>
      <w:pgNumType w:fmt="decimal"/>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Bodoni MT">
    <w:altName w:val="Segoe Print"/>
    <w:panose1 w:val="02070603080606020203"/>
    <w:charset w:val="00"/>
    <w:family w:val="roman"/>
    <w:pitch w:val="default"/>
    <w:sig w:usb0="00000000" w:usb1="00000000" w:usb2="00000000" w:usb3="00000000" w:csb0="20000001"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rFonts w:hint="eastAsia"/>
      </w:rPr>
      <w:tab/>
    </w:r>
  </w:p>
  <w:p>
    <w:pPr>
      <w:pStyle w:val="7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XxwCs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lfHAK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pPr>
      <w:pStyle w:val="7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pPr>
      <w:pStyle w:val="7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105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105</w:t>
                    </w:r>
                    <w:r>
                      <w:fldChar w:fldCharType="end"/>
                    </w:r>
                  </w:p>
                </w:txbxContent>
              </v:textbox>
            </v:shape>
          </w:pict>
        </mc:Fallback>
      </mc:AlternateContent>
    </w:r>
    <w:r>
      <w:rPr>
        <w:rFonts w:hint="eastAsia"/>
      </w:rPr>
      <w:tab/>
    </w:r>
  </w:p>
  <w:p>
    <w:pPr>
      <w:pStyle w:val="7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fldChar w:fldCharType="begin"/>
                          </w:r>
                          <w:r>
                            <w:instrText xml:space="preserve"> PAGE  \* MERGEFORMAT </w:instrText>
                          </w:r>
                          <w:r>
                            <w:fldChar w:fldCharType="separate"/>
                          </w:r>
                          <w:r>
                            <w:t>117</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pPr>
                      <w:pStyle w:val="13"/>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C099E3A4"/>
    <w:multiLevelType w:val="singleLevel"/>
    <w:tmpl w:val="C099E3A4"/>
    <w:lvl w:ilvl="0" w:tentative="0">
      <w:start w:val="1"/>
      <w:numFmt w:val="chineseCounting"/>
      <w:suff w:val="nothing"/>
      <w:lvlText w:val="第%1、"/>
      <w:lvlJc w:val="left"/>
      <w:rPr>
        <w:rFonts w:hint="eastAsia"/>
      </w:rPr>
    </w:lvl>
  </w:abstractNum>
  <w:abstractNum w:abstractNumId="2">
    <w:nsid w:val="CFABDD9F"/>
    <w:multiLevelType w:val="singleLevel"/>
    <w:tmpl w:val="CFABDD9F"/>
    <w:lvl w:ilvl="0" w:tentative="0">
      <w:start w:val="1"/>
      <w:numFmt w:val="decimal"/>
      <w:suff w:val="nothing"/>
      <w:lvlText w:val="（%1）"/>
      <w:lvlJc w:val="left"/>
    </w:lvl>
  </w:abstractNum>
  <w:abstractNum w:abstractNumId="3">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2b56eff9-4bef-4219-8874-9567fb1cde91"/>
  </w:docVars>
  <w:rsids>
    <w:rsidRoot w:val="4C5944B1"/>
    <w:rsid w:val="000B7698"/>
    <w:rsid w:val="000F7646"/>
    <w:rsid w:val="00101AE9"/>
    <w:rsid w:val="0011760F"/>
    <w:rsid w:val="001E0850"/>
    <w:rsid w:val="00281ECB"/>
    <w:rsid w:val="002F176F"/>
    <w:rsid w:val="003A1942"/>
    <w:rsid w:val="003B643A"/>
    <w:rsid w:val="003E2709"/>
    <w:rsid w:val="004218C1"/>
    <w:rsid w:val="004B2B21"/>
    <w:rsid w:val="004F7FD5"/>
    <w:rsid w:val="0055689E"/>
    <w:rsid w:val="005E6BB8"/>
    <w:rsid w:val="0064163D"/>
    <w:rsid w:val="007C3F91"/>
    <w:rsid w:val="008C4168"/>
    <w:rsid w:val="00901845"/>
    <w:rsid w:val="00936991"/>
    <w:rsid w:val="00943625"/>
    <w:rsid w:val="00954357"/>
    <w:rsid w:val="00954A54"/>
    <w:rsid w:val="009E5347"/>
    <w:rsid w:val="00A322B9"/>
    <w:rsid w:val="00A80EA7"/>
    <w:rsid w:val="00AF685C"/>
    <w:rsid w:val="00B16179"/>
    <w:rsid w:val="00B37196"/>
    <w:rsid w:val="00C04E0C"/>
    <w:rsid w:val="00CB07F4"/>
    <w:rsid w:val="00CB4007"/>
    <w:rsid w:val="00CD4D5B"/>
    <w:rsid w:val="00D561CD"/>
    <w:rsid w:val="00DA5A23"/>
    <w:rsid w:val="00DF3269"/>
    <w:rsid w:val="00E76514"/>
    <w:rsid w:val="00ED4B12"/>
    <w:rsid w:val="00EF5BA2"/>
    <w:rsid w:val="00F95669"/>
    <w:rsid w:val="010F7FF3"/>
    <w:rsid w:val="01284AF4"/>
    <w:rsid w:val="012C10F1"/>
    <w:rsid w:val="012F41F1"/>
    <w:rsid w:val="01341807"/>
    <w:rsid w:val="016A5229"/>
    <w:rsid w:val="01A93FA3"/>
    <w:rsid w:val="01C53654"/>
    <w:rsid w:val="01E704A0"/>
    <w:rsid w:val="01F123E4"/>
    <w:rsid w:val="02251150"/>
    <w:rsid w:val="025D633B"/>
    <w:rsid w:val="02665093"/>
    <w:rsid w:val="02673FAD"/>
    <w:rsid w:val="027F7030"/>
    <w:rsid w:val="028E13EB"/>
    <w:rsid w:val="029933CC"/>
    <w:rsid w:val="02AD1871"/>
    <w:rsid w:val="02AE7397"/>
    <w:rsid w:val="02D70973"/>
    <w:rsid w:val="02D84414"/>
    <w:rsid w:val="02E1151B"/>
    <w:rsid w:val="032C3B6B"/>
    <w:rsid w:val="033923C2"/>
    <w:rsid w:val="0348159A"/>
    <w:rsid w:val="03724869"/>
    <w:rsid w:val="0385459C"/>
    <w:rsid w:val="0385634A"/>
    <w:rsid w:val="038A7E04"/>
    <w:rsid w:val="038C5CCB"/>
    <w:rsid w:val="03B44328"/>
    <w:rsid w:val="03C50E3C"/>
    <w:rsid w:val="03D319EF"/>
    <w:rsid w:val="03F46BE4"/>
    <w:rsid w:val="041A1188"/>
    <w:rsid w:val="042E69E2"/>
    <w:rsid w:val="04360B53"/>
    <w:rsid w:val="049727D9"/>
    <w:rsid w:val="04C24D0C"/>
    <w:rsid w:val="04C72908"/>
    <w:rsid w:val="04EA57F9"/>
    <w:rsid w:val="06204F50"/>
    <w:rsid w:val="064E3EFE"/>
    <w:rsid w:val="06656ADB"/>
    <w:rsid w:val="067526A6"/>
    <w:rsid w:val="06826B71"/>
    <w:rsid w:val="068308FE"/>
    <w:rsid w:val="068A58D2"/>
    <w:rsid w:val="0694486B"/>
    <w:rsid w:val="06F37A6F"/>
    <w:rsid w:val="06FF1426"/>
    <w:rsid w:val="07283BBC"/>
    <w:rsid w:val="07312D1A"/>
    <w:rsid w:val="07351E35"/>
    <w:rsid w:val="0741366C"/>
    <w:rsid w:val="074A1D85"/>
    <w:rsid w:val="075E313A"/>
    <w:rsid w:val="077C17D7"/>
    <w:rsid w:val="07A10088"/>
    <w:rsid w:val="07A76DE7"/>
    <w:rsid w:val="07C21547"/>
    <w:rsid w:val="07C40809"/>
    <w:rsid w:val="07E13D6B"/>
    <w:rsid w:val="07E8334B"/>
    <w:rsid w:val="081E0766"/>
    <w:rsid w:val="082D0D5E"/>
    <w:rsid w:val="082D559A"/>
    <w:rsid w:val="083E11BD"/>
    <w:rsid w:val="08915791"/>
    <w:rsid w:val="08AA23AF"/>
    <w:rsid w:val="08C47915"/>
    <w:rsid w:val="08E27D9B"/>
    <w:rsid w:val="08E51639"/>
    <w:rsid w:val="08F54BC3"/>
    <w:rsid w:val="092752BD"/>
    <w:rsid w:val="097D402B"/>
    <w:rsid w:val="09B554AF"/>
    <w:rsid w:val="09C86F91"/>
    <w:rsid w:val="09EB1836"/>
    <w:rsid w:val="0A006D29"/>
    <w:rsid w:val="0A0159BF"/>
    <w:rsid w:val="0A1421D6"/>
    <w:rsid w:val="0A3D0CAE"/>
    <w:rsid w:val="0A560A40"/>
    <w:rsid w:val="0A5C2888"/>
    <w:rsid w:val="0A6F38B0"/>
    <w:rsid w:val="0A873975"/>
    <w:rsid w:val="0A9E2D09"/>
    <w:rsid w:val="0AB358B7"/>
    <w:rsid w:val="0AB36DB1"/>
    <w:rsid w:val="0AB80DB3"/>
    <w:rsid w:val="0AD7112E"/>
    <w:rsid w:val="0AFD4502"/>
    <w:rsid w:val="0B633415"/>
    <w:rsid w:val="0B6D7317"/>
    <w:rsid w:val="0B8D2240"/>
    <w:rsid w:val="0BDA37C7"/>
    <w:rsid w:val="0C183B2E"/>
    <w:rsid w:val="0C3C08C2"/>
    <w:rsid w:val="0C5C7E64"/>
    <w:rsid w:val="0C7358DA"/>
    <w:rsid w:val="0C7D5BCC"/>
    <w:rsid w:val="0C8B1D7C"/>
    <w:rsid w:val="0C8F023A"/>
    <w:rsid w:val="0CB90E13"/>
    <w:rsid w:val="0CBC40CB"/>
    <w:rsid w:val="0CC53C5B"/>
    <w:rsid w:val="0CDD0FA5"/>
    <w:rsid w:val="0CE869F8"/>
    <w:rsid w:val="0D082F40"/>
    <w:rsid w:val="0D1B00F8"/>
    <w:rsid w:val="0D2B56E9"/>
    <w:rsid w:val="0D5374B9"/>
    <w:rsid w:val="0D724D63"/>
    <w:rsid w:val="0D7C6A10"/>
    <w:rsid w:val="0D8D045B"/>
    <w:rsid w:val="0D9642F0"/>
    <w:rsid w:val="0DA63A8D"/>
    <w:rsid w:val="0DB937C0"/>
    <w:rsid w:val="0DBB25A8"/>
    <w:rsid w:val="0DBE66F1"/>
    <w:rsid w:val="0DC53787"/>
    <w:rsid w:val="0DDA28D6"/>
    <w:rsid w:val="0DE6650F"/>
    <w:rsid w:val="0DEF37FE"/>
    <w:rsid w:val="0DF73507"/>
    <w:rsid w:val="0DFA207C"/>
    <w:rsid w:val="0E554708"/>
    <w:rsid w:val="0E554C7C"/>
    <w:rsid w:val="0E625C06"/>
    <w:rsid w:val="0E86165D"/>
    <w:rsid w:val="0EAD0264"/>
    <w:rsid w:val="0EB3119A"/>
    <w:rsid w:val="0F0A0D37"/>
    <w:rsid w:val="0F4E10F7"/>
    <w:rsid w:val="0F640D2F"/>
    <w:rsid w:val="0F670CCA"/>
    <w:rsid w:val="0F930041"/>
    <w:rsid w:val="0FB14F6D"/>
    <w:rsid w:val="0FB24E29"/>
    <w:rsid w:val="0FE90846"/>
    <w:rsid w:val="101C0036"/>
    <w:rsid w:val="10264A11"/>
    <w:rsid w:val="102D3FF1"/>
    <w:rsid w:val="103D60A0"/>
    <w:rsid w:val="10667503"/>
    <w:rsid w:val="10725EA8"/>
    <w:rsid w:val="10855BDB"/>
    <w:rsid w:val="10AA7A66"/>
    <w:rsid w:val="10B63FE7"/>
    <w:rsid w:val="10BD6F35"/>
    <w:rsid w:val="10CD6B01"/>
    <w:rsid w:val="113A5C37"/>
    <w:rsid w:val="11584D75"/>
    <w:rsid w:val="1180428A"/>
    <w:rsid w:val="11845E93"/>
    <w:rsid w:val="11D83F48"/>
    <w:rsid w:val="11DB4B38"/>
    <w:rsid w:val="11F8418B"/>
    <w:rsid w:val="121511E1"/>
    <w:rsid w:val="123E21E9"/>
    <w:rsid w:val="13156E63"/>
    <w:rsid w:val="131F5532"/>
    <w:rsid w:val="13426006"/>
    <w:rsid w:val="13451652"/>
    <w:rsid w:val="13491142"/>
    <w:rsid w:val="134F44BE"/>
    <w:rsid w:val="136E0B00"/>
    <w:rsid w:val="13734957"/>
    <w:rsid w:val="138B678C"/>
    <w:rsid w:val="13BD0DD3"/>
    <w:rsid w:val="13E66B49"/>
    <w:rsid w:val="13F37300"/>
    <w:rsid w:val="143C0CA7"/>
    <w:rsid w:val="14430A9C"/>
    <w:rsid w:val="144E2788"/>
    <w:rsid w:val="148F7029"/>
    <w:rsid w:val="149763D6"/>
    <w:rsid w:val="14BB4DC8"/>
    <w:rsid w:val="14C3348E"/>
    <w:rsid w:val="14D53AC2"/>
    <w:rsid w:val="14E1675A"/>
    <w:rsid w:val="14E32ED1"/>
    <w:rsid w:val="14EC447B"/>
    <w:rsid w:val="150A49B0"/>
    <w:rsid w:val="1525173B"/>
    <w:rsid w:val="15292570"/>
    <w:rsid w:val="15614133"/>
    <w:rsid w:val="15B7490E"/>
    <w:rsid w:val="15BC4477"/>
    <w:rsid w:val="15C72DBA"/>
    <w:rsid w:val="160E6248"/>
    <w:rsid w:val="161F586A"/>
    <w:rsid w:val="16201F02"/>
    <w:rsid w:val="164E4741"/>
    <w:rsid w:val="168B3820"/>
    <w:rsid w:val="16E178E4"/>
    <w:rsid w:val="16E66CA8"/>
    <w:rsid w:val="175E7186"/>
    <w:rsid w:val="17A60298"/>
    <w:rsid w:val="17AF3CDA"/>
    <w:rsid w:val="17B73663"/>
    <w:rsid w:val="17C90AA4"/>
    <w:rsid w:val="17FF3E14"/>
    <w:rsid w:val="182A7068"/>
    <w:rsid w:val="18304A3A"/>
    <w:rsid w:val="18426433"/>
    <w:rsid w:val="18770500"/>
    <w:rsid w:val="18AE7C99"/>
    <w:rsid w:val="18DC49E3"/>
    <w:rsid w:val="18E25825"/>
    <w:rsid w:val="18EF6F23"/>
    <w:rsid w:val="18F546F2"/>
    <w:rsid w:val="19212219"/>
    <w:rsid w:val="19363AFA"/>
    <w:rsid w:val="196547FC"/>
    <w:rsid w:val="19866520"/>
    <w:rsid w:val="19A370D2"/>
    <w:rsid w:val="19B600B0"/>
    <w:rsid w:val="19B72B7E"/>
    <w:rsid w:val="19CB261C"/>
    <w:rsid w:val="19CB4621"/>
    <w:rsid w:val="19F37903"/>
    <w:rsid w:val="1A04743A"/>
    <w:rsid w:val="1A204BC7"/>
    <w:rsid w:val="1A241393"/>
    <w:rsid w:val="1A3B37AF"/>
    <w:rsid w:val="1A495ECC"/>
    <w:rsid w:val="1A602AAD"/>
    <w:rsid w:val="1A8506D5"/>
    <w:rsid w:val="1A937147"/>
    <w:rsid w:val="1AA41354"/>
    <w:rsid w:val="1AA650CC"/>
    <w:rsid w:val="1AC63078"/>
    <w:rsid w:val="1ACF42A1"/>
    <w:rsid w:val="1AE479A2"/>
    <w:rsid w:val="1B1742F2"/>
    <w:rsid w:val="1B2E4C6C"/>
    <w:rsid w:val="1B451A3D"/>
    <w:rsid w:val="1B5003E0"/>
    <w:rsid w:val="1B5F6903"/>
    <w:rsid w:val="1B6034CD"/>
    <w:rsid w:val="1B690B70"/>
    <w:rsid w:val="1B754A9E"/>
    <w:rsid w:val="1B802337"/>
    <w:rsid w:val="1B8076CB"/>
    <w:rsid w:val="1B8A59D6"/>
    <w:rsid w:val="1B8D3829"/>
    <w:rsid w:val="1B99253B"/>
    <w:rsid w:val="1BAF4AA0"/>
    <w:rsid w:val="1BC03F6C"/>
    <w:rsid w:val="1BC05D1A"/>
    <w:rsid w:val="1BC11A92"/>
    <w:rsid w:val="1BC62A56"/>
    <w:rsid w:val="1BF80445"/>
    <w:rsid w:val="1C01417E"/>
    <w:rsid w:val="1C4C1CA3"/>
    <w:rsid w:val="1C6061C5"/>
    <w:rsid w:val="1C8F1025"/>
    <w:rsid w:val="1C9A1142"/>
    <w:rsid w:val="1C9F0025"/>
    <w:rsid w:val="1CDD25B2"/>
    <w:rsid w:val="1CDD28FB"/>
    <w:rsid w:val="1CDE71ED"/>
    <w:rsid w:val="1CF2284B"/>
    <w:rsid w:val="1D326551"/>
    <w:rsid w:val="1D53167C"/>
    <w:rsid w:val="1D750002"/>
    <w:rsid w:val="1D7B63DC"/>
    <w:rsid w:val="1D882867"/>
    <w:rsid w:val="1DB4365C"/>
    <w:rsid w:val="1DB7314C"/>
    <w:rsid w:val="1DC615E1"/>
    <w:rsid w:val="1DC85359"/>
    <w:rsid w:val="1DE504BC"/>
    <w:rsid w:val="1DEB51E9"/>
    <w:rsid w:val="1DF36C85"/>
    <w:rsid w:val="1E0A7720"/>
    <w:rsid w:val="1E480248"/>
    <w:rsid w:val="1E4F7829"/>
    <w:rsid w:val="1E5310C7"/>
    <w:rsid w:val="1E787E3F"/>
    <w:rsid w:val="1E896032"/>
    <w:rsid w:val="1EBA1146"/>
    <w:rsid w:val="1ED02718"/>
    <w:rsid w:val="1EFD7044"/>
    <w:rsid w:val="1F0B09EA"/>
    <w:rsid w:val="1F1F3C4D"/>
    <w:rsid w:val="1F26208B"/>
    <w:rsid w:val="1F27633C"/>
    <w:rsid w:val="1F4549D5"/>
    <w:rsid w:val="1F505606"/>
    <w:rsid w:val="1F657EE2"/>
    <w:rsid w:val="1F7D13AE"/>
    <w:rsid w:val="1F7F413E"/>
    <w:rsid w:val="1F8B7F24"/>
    <w:rsid w:val="1F9951FF"/>
    <w:rsid w:val="1FBD45F2"/>
    <w:rsid w:val="1FCA53B9"/>
    <w:rsid w:val="1FD44704"/>
    <w:rsid w:val="1FD81A51"/>
    <w:rsid w:val="1FE65F6B"/>
    <w:rsid w:val="20012DA5"/>
    <w:rsid w:val="201E74B3"/>
    <w:rsid w:val="20315438"/>
    <w:rsid w:val="206C46C2"/>
    <w:rsid w:val="206C6470"/>
    <w:rsid w:val="20941E5C"/>
    <w:rsid w:val="20B144DF"/>
    <w:rsid w:val="20CB32E8"/>
    <w:rsid w:val="20EF49EE"/>
    <w:rsid w:val="211046C7"/>
    <w:rsid w:val="211D59BC"/>
    <w:rsid w:val="214C62A1"/>
    <w:rsid w:val="21933ED0"/>
    <w:rsid w:val="21DA0780"/>
    <w:rsid w:val="222D1BEC"/>
    <w:rsid w:val="22395A46"/>
    <w:rsid w:val="22453D2B"/>
    <w:rsid w:val="2252621C"/>
    <w:rsid w:val="225278E7"/>
    <w:rsid w:val="225615B4"/>
    <w:rsid w:val="225A40A6"/>
    <w:rsid w:val="22765C1A"/>
    <w:rsid w:val="229B05C6"/>
    <w:rsid w:val="22A26860"/>
    <w:rsid w:val="22D10014"/>
    <w:rsid w:val="22DC6741"/>
    <w:rsid w:val="22E42C35"/>
    <w:rsid w:val="23007343"/>
    <w:rsid w:val="2305495A"/>
    <w:rsid w:val="230C5CE8"/>
    <w:rsid w:val="235F6EB5"/>
    <w:rsid w:val="23A2739A"/>
    <w:rsid w:val="23A76437"/>
    <w:rsid w:val="23BE3486"/>
    <w:rsid w:val="23DF51AB"/>
    <w:rsid w:val="23F207FF"/>
    <w:rsid w:val="23F23130"/>
    <w:rsid w:val="242F6132"/>
    <w:rsid w:val="24491954"/>
    <w:rsid w:val="24523436"/>
    <w:rsid w:val="24704055"/>
    <w:rsid w:val="24B2486E"/>
    <w:rsid w:val="24C3687B"/>
    <w:rsid w:val="24EE1B49"/>
    <w:rsid w:val="25153BB3"/>
    <w:rsid w:val="253B5A69"/>
    <w:rsid w:val="25651834"/>
    <w:rsid w:val="2578303A"/>
    <w:rsid w:val="257D5076"/>
    <w:rsid w:val="25972C96"/>
    <w:rsid w:val="259D70CC"/>
    <w:rsid w:val="25A01B67"/>
    <w:rsid w:val="25BF256F"/>
    <w:rsid w:val="25C1100C"/>
    <w:rsid w:val="25C340B6"/>
    <w:rsid w:val="25D36F91"/>
    <w:rsid w:val="25DF2B3E"/>
    <w:rsid w:val="25E8104B"/>
    <w:rsid w:val="265B5F8E"/>
    <w:rsid w:val="266F2816"/>
    <w:rsid w:val="268F110A"/>
    <w:rsid w:val="26A34BB6"/>
    <w:rsid w:val="26C0203C"/>
    <w:rsid w:val="26F40F6D"/>
    <w:rsid w:val="270D0281"/>
    <w:rsid w:val="271D6716"/>
    <w:rsid w:val="27277595"/>
    <w:rsid w:val="272F01F7"/>
    <w:rsid w:val="274572A5"/>
    <w:rsid w:val="27462BA9"/>
    <w:rsid w:val="274E2D58"/>
    <w:rsid w:val="275131CB"/>
    <w:rsid w:val="275D6250"/>
    <w:rsid w:val="276445C9"/>
    <w:rsid w:val="278C73F8"/>
    <w:rsid w:val="27AC35F6"/>
    <w:rsid w:val="27BE012C"/>
    <w:rsid w:val="27D668C5"/>
    <w:rsid w:val="27EB411E"/>
    <w:rsid w:val="27EE5228"/>
    <w:rsid w:val="280671AA"/>
    <w:rsid w:val="28310773"/>
    <w:rsid w:val="28335AC5"/>
    <w:rsid w:val="283B4DC5"/>
    <w:rsid w:val="28461C9C"/>
    <w:rsid w:val="286B079C"/>
    <w:rsid w:val="2893029D"/>
    <w:rsid w:val="28C411E9"/>
    <w:rsid w:val="28E55692"/>
    <w:rsid w:val="28FD4CC9"/>
    <w:rsid w:val="292F2731"/>
    <w:rsid w:val="294C5091"/>
    <w:rsid w:val="296A3769"/>
    <w:rsid w:val="297D16EE"/>
    <w:rsid w:val="298F4F7D"/>
    <w:rsid w:val="29B24674"/>
    <w:rsid w:val="2A187669"/>
    <w:rsid w:val="2A475858"/>
    <w:rsid w:val="2A6B3832"/>
    <w:rsid w:val="2A793900"/>
    <w:rsid w:val="2A7F1496"/>
    <w:rsid w:val="2A881CEC"/>
    <w:rsid w:val="2A9767DF"/>
    <w:rsid w:val="2A994305"/>
    <w:rsid w:val="2AA85E3B"/>
    <w:rsid w:val="2AAA4765"/>
    <w:rsid w:val="2AB32EED"/>
    <w:rsid w:val="2AB80DCB"/>
    <w:rsid w:val="2AB90504"/>
    <w:rsid w:val="2AD90BA6"/>
    <w:rsid w:val="2AEA4B61"/>
    <w:rsid w:val="2B141BDE"/>
    <w:rsid w:val="2B4C6B5C"/>
    <w:rsid w:val="2B7613E8"/>
    <w:rsid w:val="2B8C7C7C"/>
    <w:rsid w:val="2BA456FE"/>
    <w:rsid w:val="2BD113C6"/>
    <w:rsid w:val="2BEF49DC"/>
    <w:rsid w:val="2C1B0D4A"/>
    <w:rsid w:val="2C302A48"/>
    <w:rsid w:val="2C5D5807"/>
    <w:rsid w:val="2C6E3570"/>
    <w:rsid w:val="2C733DC5"/>
    <w:rsid w:val="2C7F577D"/>
    <w:rsid w:val="2C856399"/>
    <w:rsid w:val="2C861EB2"/>
    <w:rsid w:val="2CD57184"/>
    <w:rsid w:val="2CE466AC"/>
    <w:rsid w:val="2CE53DF2"/>
    <w:rsid w:val="2D145EC5"/>
    <w:rsid w:val="2D2B0789"/>
    <w:rsid w:val="2D5C6602"/>
    <w:rsid w:val="2D652012"/>
    <w:rsid w:val="2D6A1F89"/>
    <w:rsid w:val="2D904447"/>
    <w:rsid w:val="2DBA2E0B"/>
    <w:rsid w:val="2DCD0072"/>
    <w:rsid w:val="2DFA155F"/>
    <w:rsid w:val="2E026666"/>
    <w:rsid w:val="2E100D83"/>
    <w:rsid w:val="2E162111"/>
    <w:rsid w:val="2E163EBF"/>
    <w:rsid w:val="2E222864"/>
    <w:rsid w:val="2E312AA7"/>
    <w:rsid w:val="2E5A3DAC"/>
    <w:rsid w:val="2E6C637A"/>
    <w:rsid w:val="2E823302"/>
    <w:rsid w:val="2F0C7FE5"/>
    <w:rsid w:val="2F34284F"/>
    <w:rsid w:val="2F594063"/>
    <w:rsid w:val="2F77098D"/>
    <w:rsid w:val="2F7E7F6E"/>
    <w:rsid w:val="2F7F0633"/>
    <w:rsid w:val="2F8530AA"/>
    <w:rsid w:val="2FC35981"/>
    <w:rsid w:val="2FC608DA"/>
    <w:rsid w:val="2FC90D1F"/>
    <w:rsid w:val="2FEC3129"/>
    <w:rsid w:val="30024B76"/>
    <w:rsid w:val="303625F7"/>
    <w:rsid w:val="30890978"/>
    <w:rsid w:val="309E6A98"/>
    <w:rsid w:val="30AB6B41"/>
    <w:rsid w:val="30AC28B9"/>
    <w:rsid w:val="310B75DF"/>
    <w:rsid w:val="31336B36"/>
    <w:rsid w:val="313C1E8F"/>
    <w:rsid w:val="31491327"/>
    <w:rsid w:val="3150593A"/>
    <w:rsid w:val="315947EF"/>
    <w:rsid w:val="317B7E20"/>
    <w:rsid w:val="31B45EC9"/>
    <w:rsid w:val="31C91C1F"/>
    <w:rsid w:val="31FB42D0"/>
    <w:rsid w:val="320A7220"/>
    <w:rsid w:val="32696CB3"/>
    <w:rsid w:val="326B7E18"/>
    <w:rsid w:val="326E7E26"/>
    <w:rsid w:val="32830F54"/>
    <w:rsid w:val="3286265A"/>
    <w:rsid w:val="32891103"/>
    <w:rsid w:val="329A44C1"/>
    <w:rsid w:val="32B653FC"/>
    <w:rsid w:val="32CA1246"/>
    <w:rsid w:val="32DE4292"/>
    <w:rsid w:val="32E12CEE"/>
    <w:rsid w:val="32E53E60"/>
    <w:rsid w:val="32EB37B8"/>
    <w:rsid w:val="3337290D"/>
    <w:rsid w:val="335B7731"/>
    <w:rsid w:val="33662A73"/>
    <w:rsid w:val="33784CD4"/>
    <w:rsid w:val="33B71CA0"/>
    <w:rsid w:val="33C406F9"/>
    <w:rsid w:val="33CD3272"/>
    <w:rsid w:val="33E800AC"/>
    <w:rsid w:val="33F87B2A"/>
    <w:rsid w:val="33FB1B8D"/>
    <w:rsid w:val="342F7A89"/>
    <w:rsid w:val="343C4C08"/>
    <w:rsid w:val="34441BD5"/>
    <w:rsid w:val="344A2216"/>
    <w:rsid w:val="346317C9"/>
    <w:rsid w:val="346534AA"/>
    <w:rsid w:val="34A55F9D"/>
    <w:rsid w:val="34A5706F"/>
    <w:rsid w:val="34AB28E5"/>
    <w:rsid w:val="34B14EA3"/>
    <w:rsid w:val="34C33404"/>
    <w:rsid w:val="34FA62E8"/>
    <w:rsid w:val="35156C7E"/>
    <w:rsid w:val="35213875"/>
    <w:rsid w:val="35325511"/>
    <w:rsid w:val="355F7EFA"/>
    <w:rsid w:val="357C24B3"/>
    <w:rsid w:val="358362DE"/>
    <w:rsid w:val="35843E04"/>
    <w:rsid w:val="35A16764"/>
    <w:rsid w:val="35A65B28"/>
    <w:rsid w:val="35C12962"/>
    <w:rsid w:val="35C4206C"/>
    <w:rsid w:val="360F7B72"/>
    <w:rsid w:val="365437D6"/>
    <w:rsid w:val="365F0C97"/>
    <w:rsid w:val="3670318E"/>
    <w:rsid w:val="36BD5820"/>
    <w:rsid w:val="36BF209F"/>
    <w:rsid w:val="36CF42D8"/>
    <w:rsid w:val="36D13957"/>
    <w:rsid w:val="36D466C5"/>
    <w:rsid w:val="36F11025"/>
    <w:rsid w:val="36FA44D9"/>
    <w:rsid w:val="37133ED5"/>
    <w:rsid w:val="3728071C"/>
    <w:rsid w:val="374C7633"/>
    <w:rsid w:val="37691503"/>
    <w:rsid w:val="376E08C8"/>
    <w:rsid w:val="377C4D93"/>
    <w:rsid w:val="37AF33BA"/>
    <w:rsid w:val="37C37093"/>
    <w:rsid w:val="37D70CAE"/>
    <w:rsid w:val="37DD0002"/>
    <w:rsid w:val="37DF5322"/>
    <w:rsid w:val="37ED2BA2"/>
    <w:rsid w:val="37EF7C5B"/>
    <w:rsid w:val="37FC5ED4"/>
    <w:rsid w:val="381E5756"/>
    <w:rsid w:val="384358B1"/>
    <w:rsid w:val="386859FD"/>
    <w:rsid w:val="38A10829"/>
    <w:rsid w:val="38B44A00"/>
    <w:rsid w:val="38D03858"/>
    <w:rsid w:val="390E5CB1"/>
    <w:rsid w:val="39177E14"/>
    <w:rsid w:val="391A6E08"/>
    <w:rsid w:val="392B4CC2"/>
    <w:rsid w:val="39495F16"/>
    <w:rsid w:val="39657AA9"/>
    <w:rsid w:val="397321C6"/>
    <w:rsid w:val="397D273B"/>
    <w:rsid w:val="39F8091D"/>
    <w:rsid w:val="3A0A0D7C"/>
    <w:rsid w:val="3A21319F"/>
    <w:rsid w:val="3A223F8F"/>
    <w:rsid w:val="3A350062"/>
    <w:rsid w:val="3A55125A"/>
    <w:rsid w:val="3AAF1923"/>
    <w:rsid w:val="3AAF722D"/>
    <w:rsid w:val="3AB510A7"/>
    <w:rsid w:val="3AC24493"/>
    <w:rsid w:val="3ACF398B"/>
    <w:rsid w:val="3AD6600A"/>
    <w:rsid w:val="3AD959D6"/>
    <w:rsid w:val="3AFF5C22"/>
    <w:rsid w:val="3B20637D"/>
    <w:rsid w:val="3B2154F6"/>
    <w:rsid w:val="3B253106"/>
    <w:rsid w:val="3B286FE0"/>
    <w:rsid w:val="3B3E2DB3"/>
    <w:rsid w:val="3B602C1D"/>
    <w:rsid w:val="3BB54E46"/>
    <w:rsid w:val="3BCF3541"/>
    <w:rsid w:val="3BEB24E7"/>
    <w:rsid w:val="3C090BBF"/>
    <w:rsid w:val="3C1E33AE"/>
    <w:rsid w:val="3C3001B4"/>
    <w:rsid w:val="3C335C3C"/>
    <w:rsid w:val="3C340332"/>
    <w:rsid w:val="3C3474FF"/>
    <w:rsid w:val="3C421D7A"/>
    <w:rsid w:val="3C836701"/>
    <w:rsid w:val="3CA52FDE"/>
    <w:rsid w:val="3CC22946"/>
    <w:rsid w:val="3CD01F3B"/>
    <w:rsid w:val="3CD7328C"/>
    <w:rsid w:val="3CE753A4"/>
    <w:rsid w:val="3CF96E86"/>
    <w:rsid w:val="3D204801"/>
    <w:rsid w:val="3D287F80"/>
    <w:rsid w:val="3D361E88"/>
    <w:rsid w:val="3D3A3C3D"/>
    <w:rsid w:val="3D4C4431"/>
    <w:rsid w:val="3D697A37"/>
    <w:rsid w:val="3D7D7AB7"/>
    <w:rsid w:val="3D87623F"/>
    <w:rsid w:val="3D9646D4"/>
    <w:rsid w:val="3D995F73"/>
    <w:rsid w:val="3DC95243"/>
    <w:rsid w:val="3DE07FF0"/>
    <w:rsid w:val="3DF21BF1"/>
    <w:rsid w:val="3DFB1EF6"/>
    <w:rsid w:val="3E047890"/>
    <w:rsid w:val="3E06185A"/>
    <w:rsid w:val="3E0D42F0"/>
    <w:rsid w:val="3E2449C7"/>
    <w:rsid w:val="3E2C6DE7"/>
    <w:rsid w:val="3E3363C7"/>
    <w:rsid w:val="3E976956"/>
    <w:rsid w:val="3F0538C0"/>
    <w:rsid w:val="3F073ADC"/>
    <w:rsid w:val="3F2008F3"/>
    <w:rsid w:val="3F2F6B8F"/>
    <w:rsid w:val="3F390778"/>
    <w:rsid w:val="3F3D6161"/>
    <w:rsid w:val="3F5F71E0"/>
    <w:rsid w:val="3F9966FE"/>
    <w:rsid w:val="3FB5786C"/>
    <w:rsid w:val="3FB672B0"/>
    <w:rsid w:val="3FE306FB"/>
    <w:rsid w:val="3FEA0D08"/>
    <w:rsid w:val="3FEB51AC"/>
    <w:rsid w:val="400242A3"/>
    <w:rsid w:val="400358C7"/>
    <w:rsid w:val="4004001B"/>
    <w:rsid w:val="400B3176"/>
    <w:rsid w:val="401122A5"/>
    <w:rsid w:val="40112738"/>
    <w:rsid w:val="40582115"/>
    <w:rsid w:val="408F11E5"/>
    <w:rsid w:val="4099576A"/>
    <w:rsid w:val="40DC29CF"/>
    <w:rsid w:val="40DC68A2"/>
    <w:rsid w:val="40ED6D01"/>
    <w:rsid w:val="410B1343"/>
    <w:rsid w:val="411C1395"/>
    <w:rsid w:val="414E5376"/>
    <w:rsid w:val="41626E05"/>
    <w:rsid w:val="418952B9"/>
    <w:rsid w:val="418C2076"/>
    <w:rsid w:val="4196079D"/>
    <w:rsid w:val="419D0246"/>
    <w:rsid w:val="41C31810"/>
    <w:rsid w:val="41D0313B"/>
    <w:rsid w:val="41DD28D2"/>
    <w:rsid w:val="41E33C60"/>
    <w:rsid w:val="41E41548"/>
    <w:rsid w:val="42114C71"/>
    <w:rsid w:val="42150157"/>
    <w:rsid w:val="421C10AE"/>
    <w:rsid w:val="422E1516"/>
    <w:rsid w:val="425D3A13"/>
    <w:rsid w:val="42912938"/>
    <w:rsid w:val="429E3AD6"/>
    <w:rsid w:val="42B44D10"/>
    <w:rsid w:val="42BA41B0"/>
    <w:rsid w:val="42C13FA2"/>
    <w:rsid w:val="42C910A8"/>
    <w:rsid w:val="42DB3C12"/>
    <w:rsid w:val="42DE1E2E"/>
    <w:rsid w:val="430C15CB"/>
    <w:rsid w:val="430C699F"/>
    <w:rsid w:val="433F4523"/>
    <w:rsid w:val="435D2698"/>
    <w:rsid w:val="437943F5"/>
    <w:rsid w:val="439E2535"/>
    <w:rsid w:val="43A01E09"/>
    <w:rsid w:val="43A80694"/>
    <w:rsid w:val="43B6162D"/>
    <w:rsid w:val="43DF5FA7"/>
    <w:rsid w:val="43F403A7"/>
    <w:rsid w:val="44220A07"/>
    <w:rsid w:val="44223166"/>
    <w:rsid w:val="442C5D93"/>
    <w:rsid w:val="442C7B41"/>
    <w:rsid w:val="445F5FF9"/>
    <w:rsid w:val="44715B65"/>
    <w:rsid w:val="44A578BE"/>
    <w:rsid w:val="44AD5AB7"/>
    <w:rsid w:val="44AD6ED3"/>
    <w:rsid w:val="44BA339E"/>
    <w:rsid w:val="44F93EC7"/>
    <w:rsid w:val="44FA73AF"/>
    <w:rsid w:val="45045C1E"/>
    <w:rsid w:val="45280308"/>
    <w:rsid w:val="452E517F"/>
    <w:rsid w:val="45322F35"/>
    <w:rsid w:val="453E7B2C"/>
    <w:rsid w:val="45967968"/>
    <w:rsid w:val="459D6B25"/>
    <w:rsid w:val="45AC718B"/>
    <w:rsid w:val="45AD39D7"/>
    <w:rsid w:val="45BC08E0"/>
    <w:rsid w:val="46100AF5"/>
    <w:rsid w:val="46144D30"/>
    <w:rsid w:val="466C06C8"/>
    <w:rsid w:val="46717A8D"/>
    <w:rsid w:val="46893028"/>
    <w:rsid w:val="46A02C50"/>
    <w:rsid w:val="46A674BD"/>
    <w:rsid w:val="46B458C0"/>
    <w:rsid w:val="46C40504"/>
    <w:rsid w:val="46CB0A3C"/>
    <w:rsid w:val="46E77832"/>
    <w:rsid w:val="46EA736D"/>
    <w:rsid w:val="47134122"/>
    <w:rsid w:val="471D5A05"/>
    <w:rsid w:val="47213261"/>
    <w:rsid w:val="472879B0"/>
    <w:rsid w:val="474D3AEE"/>
    <w:rsid w:val="474E0CD4"/>
    <w:rsid w:val="47615D53"/>
    <w:rsid w:val="47617388"/>
    <w:rsid w:val="47623A9A"/>
    <w:rsid w:val="47694C08"/>
    <w:rsid w:val="4796702E"/>
    <w:rsid w:val="47A31000"/>
    <w:rsid w:val="47CD33E9"/>
    <w:rsid w:val="481608EC"/>
    <w:rsid w:val="484418FD"/>
    <w:rsid w:val="485803E8"/>
    <w:rsid w:val="485D29BF"/>
    <w:rsid w:val="487429ED"/>
    <w:rsid w:val="487E3BD5"/>
    <w:rsid w:val="489551F8"/>
    <w:rsid w:val="48BB1493"/>
    <w:rsid w:val="48C37705"/>
    <w:rsid w:val="48D11064"/>
    <w:rsid w:val="48D577B9"/>
    <w:rsid w:val="48D6451F"/>
    <w:rsid w:val="48FA020D"/>
    <w:rsid w:val="490620D6"/>
    <w:rsid w:val="49105C83"/>
    <w:rsid w:val="49350787"/>
    <w:rsid w:val="493E5947"/>
    <w:rsid w:val="49663AF5"/>
    <w:rsid w:val="49697141"/>
    <w:rsid w:val="497004D0"/>
    <w:rsid w:val="499A379E"/>
    <w:rsid w:val="49A53A73"/>
    <w:rsid w:val="49B36F80"/>
    <w:rsid w:val="49BA59AE"/>
    <w:rsid w:val="49BE748D"/>
    <w:rsid w:val="49C460CC"/>
    <w:rsid w:val="49D97E23"/>
    <w:rsid w:val="4A080708"/>
    <w:rsid w:val="4A17094B"/>
    <w:rsid w:val="4A1B043B"/>
    <w:rsid w:val="4A4C4A99"/>
    <w:rsid w:val="4A91694F"/>
    <w:rsid w:val="4ABD14F2"/>
    <w:rsid w:val="4AFA6A9D"/>
    <w:rsid w:val="4B3D2633"/>
    <w:rsid w:val="4B524331"/>
    <w:rsid w:val="4B5E0F27"/>
    <w:rsid w:val="4B9366F7"/>
    <w:rsid w:val="4BC55F37"/>
    <w:rsid w:val="4C03562B"/>
    <w:rsid w:val="4C133101"/>
    <w:rsid w:val="4C1454C5"/>
    <w:rsid w:val="4C1E4213"/>
    <w:rsid w:val="4C35155C"/>
    <w:rsid w:val="4C3C03DF"/>
    <w:rsid w:val="4C51283A"/>
    <w:rsid w:val="4C5944B1"/>
    <w:rsid w:val="4C6F3A23"/>
    <w:rsid w:val="4C8F5C62"/>
    <w:rsid w:val="4CA26BF2"/>
    <w:rsid w:val="4CA77A88"/>
    <w:rsid w:val="4CC47174"/>
    <w:rsid w:val="4CEC60BF"/>
    <w:rsid w:val="4D0168EA"/>
    <w:rsid w:val="4D027EED"/>
    <w:rsid w:val="4D355CB8"/>
    <w:rsid w:val="4D4001B9"/>
    <w:rsid w:val="4D4B557E"/>
    <w:rsid w:val="4D4F2E7D"/>
    <w:rsid w:val="4D5D520F"/>
    <w:rsid w:val="4D6E32E7"/>
    <w:rsid w:val="4D9B7347"/>
    <w:rsid w:val="4DA370C6"/>
    <w:rsid w:val="4DB320D6"/>
    <w:rsid w:val="4DD67651"/>
    <w:rsid w:val="4DD75848"/>
    <w:rsid w:val="4DD958BA"/>
    <w:rsid w:val="4DEB3918"/>
    <w:rsid w:val="4DEF4911"/>
    <w:rsid w:val="4E192EE4"/>
    <w:rsid w:val="4E1C4782"/>
    <w:rsid w:val="4E267A1C"/>
    <w:rsid w:val="4E3221F7"/>
    <w:rsid w:val="4E6C5709"/>
    <w:rsid w:val="4E74636C"/>
    <w:rsid w:val="4E875764"/>
    <w:rsid w:val="4EA9414C"/>
    <w:rsid w:val="4EC779CB"/>
    <w:rsid w:val="4EE87ACC"/>
    <w:rsid w:val="4EEF1E97"/>
    <w:rsid w:val="4EFE47D1"/>
    <w:rsid w:val="4F122A8C"/>
    <w:rsid w:val="4F244236"/>
    <w:rsid w:val="4F802EB1"/>
    <w:rsid w:val="4FA51AFB"/>
    <w:rsid w:val="4FA85020"/>
    <w:rsid w:val="4FC7696F"/>
    <w:rsid w:val="4FE00907"/>
    <w:rsid w:val="4FE97FF4"/>
    <w:rsid w:val="4FF05EC6"/>
    <w:rsid w:val="4FF63749"/>
    <w:rsid w:val="50102AE1"/>
    <w:rsid w:val="50347B94"/>
    <w:rsid w:val="50605398"/>
    <w:rsid w:val="507408A5"/>
    <w:rsid w:val="50832EE6"/>
    <w:rsid w:val="508A67B9"/>
    <w:rsid w:val="509E39F8"/>
    <w:rsid w:val="509E3AE8"/>
    <w:rsid w:val="50DE6894"/>
    <w:rsid w:val="510150F1"/>
    <w:rsid w:val="5107796B"/>
    <w:rsid w:val="512322CB"/>
    <w:rsid w:val="512A23E5"/>
    <w:rsid w:val="51417EDC"/>
    <w:rsid w:val="51614DEC"/>
    <w:rsid w:val="51654692"/>
    <w:rsid w:val="51B03B5F"/>
    <w:rsid w:val="51C13FBE"/>
    <w:rsid w:val="51D14ACF"/>
    <w:rsid w:val="51E073BF"/>
    <w:rsid w:val="51FA638D"/>
    <w:rsid w:val="5200056D"/>
    <w:rsid w:val="52181704"/>
    <w:rsid w:val="52291B63"/>
    <w:rsid w:val="523429E2"/>
    <w:rsid w:val="5237602E"/>
    <w:rsid w:val="52392F23"/>
    <w:rsid w:val="525A17EE"/>
    <w:rsid w:val="525A3919"/>
    <w:rsid w:val="52654443"/>
    <w:rsid w:val="52741030"/>
    <w:rsid w:val="527E5A0B"/>
    <w:rsid w:val="527F1783"/>
    <w:rsid w:val="52923265"/>
    <w:rsid w:val="529951F6"/>
    <w:rsid w:val="52A42F98"/>
    <w:rsid w:val="52B11F76"/>
    <w:rsid w:val="52B551A5"/>
    <w:rsid w:val="52C37BA3"/>
    <w:rsid w:val="52D3458B"/>
    <w:rsid w:val="52ED43B9"/>
    <w:rsid w:val="53014291"/>
    <w:rsid w:val="53043E75"/>
    <w:rsid w:val="53084363"/>
    <w:rsid w:val="533D4D64"/>
    <w:rsid w:val="535B3F9E"/>
    <w:rsid w:val="536E36A6"/>
    <w:rsid w:val="537C0DFA"/>
    <w:rsid w:val="53BF452D"/>
    <w:rsid w:val="53F944C5"/>
    <w:rsid w:val="543A0058"/>
    <w:rsid w:val="545A24A8"/>
    <w:rsid w:val="547509DC"/>
    <w:rsid w:val="54A454D1"/>
    <w:rsid w:val="54A82930"/>
    <w:rsid w:val="54DE6C35"/>
    <w:rsid w:val="5521008A"/>
    <w:rsid w:val="553E1687"/>
    <w:rsid w:val="55564A1D"/>
    <w:rsid w:val="555C3AC6"/>
    <w:rsid w:val="556402C9"/>
    <w:rsid w:val="55750DBC"/>
    <w:rsid w:val="558772CD"/>
    <w:rsid w:val="55985036"/>
    <w:rsid w:val="55A44331"/>
    <w:rsid w:val="55C20305"/>
    <w:rsid w:val="55E1008E"/>
    <w:rsid w:val="55E53FF3"/>
    <w:rsid w:val="55E97640"/>
    <w:rsid w:val="55F07786"/>
    <w:rsid w:val="55FE3948"/>
    <w:rsid w:val="56186177"/>
    <w:rsid w:val="561D6585"/>
    <w:rsid w:val="5624780D"/>
    <w:rsid w:val="56290384"/>
    <w:rsid w:val="565A6D84"/>
    <w:rsid w:val="565F5B54"/>
    <w:rsid w:val="56862083"/>
    <w:rsid w:val="569F509D"/>
    <w:rsid w:val="56B20706"/>
    <w:rsid w:val="56F73FDE"/>
    <w:rsid w:val="56F774F1"/>
    <w:rsid w:val="570F1E19"/>
    <w:rsid w:val="571738AF"/>
    <w:rsid w:val="571E5A0F"/>
    <w:rsid w:val="57454278"/>
    <w:rsid w:val="574A6804"/>
    <w:rsid w:val="577C3646"/>
    <w:rsid w:val="57827F81"/>
    <w:rsid w:val="57961A49"/>
    <w:rsid w:val="579730CB"/>
    <w:rsid w:val="57CF7F7D"/>
    <w:rsid w:val="57D91936"/>
    <w:rsid w:val="57DF13E7"/>
    <w:rsid w:val="57E304CE"/>
    <w:rsid w:val="5808606B"/>
    <w:rsid w:val="58160494"/>
    <w:rsid w:val="582B5282"/>
    <w:rsid w:val="5835523D"/>
    <w:rsid w:val="583D3C73"/>
    <w:rsid w:val="585A4825"/>
    <w:rsid w:val="587B0C5A"/>
    <w:rsid w:val="587D7E5A"/>
    <w:rsid w:val="58874E91"/>
    <w:rsid w:val="5889335C"/>
    <w:rsid w:val="58B8109E"/>
    <w:rsid w:val="58D00F8B"/>
    <w:rsid w:val="58D04CC8"/>
    <w:rsid w:val="58D357E0"/>
    <w:rsid w:val="58D77C23"/>
    <w:rsid w:val="58EF1411"/>
    <w:rsid w:val="58F419FA"/>
    <w:rsid w:val="590B1FC3"/>
    <w:rsid w:val="591E1CF6"/>
    <w:rsid w:val="594340A3"/>
    <w:rsid w:val="596021C9"/>
    <w:rsid w:val="59725B9E"/>
    <w:rsid w:val="59975605"/>
    <w:rsid w:val="59B166C6"/>
    <w:rsid w:val="59DD570D"/>
    <w:rsid w:val="5A250E62"/>
    <w:rsid w:val="5A437DF3"/>
    <w:rsid w:val="5A627366"/>
    <w:rsid w:val="5A78276B"/>
    <w:rsid w:val="5AA9356E"/>
    <w:rsid w:val="5AC5796A"/>
    <w:rsid w:val="5AE34FA5"/>
    <w:rsid w:val="5AE66844"/>
    <w:rsid w:val="5AF820D3"/>
    <w:rsid w:val="5B1D63D9"/>
    <w:rsid w:val="5B2E3D47"/>
    <w:rsid w:val="5B3B494B"/>
    <w:rsid w:val="5BA1276A"/>
    <w:rsid w:val="5BA142A2"/>
    <w:rsid w:val="5BA32F4B"/>
    <w:rsid w:val="5BC22E0D"/>
    <w:rsid w:val="5BC40C35"/>
    <w:rsid w:val="5BDC19F5"/>
    <w:rsid w:val="5BDD7C46"/>
    <w:rsid w:val="5C0C052C"/>
    <w:rsid w:val="5C0E3D80"/>
    <w:rsid w:val="5C2A09B2"/>
    <w:rsid w:val="5C3754AC"/>
    <w:rsid w:val="5C6A0DAE"/>
    <w:rsid w:val="5C6C38DE"/>
    <w:rsid w:val="5C9658DF"/>
    <w:rsid w:val="5C9B365E"/>
    <w:rsid w:val="5CA5200E"/>
    <w:rsid w:val="5CE943C9"/>
    <w:rsid w:val="5CEA18F9"/>
    <w:rsid w:val="5D121B72"/>
    <w:rsid w:val="5D5A7075"/>
    <w:rsid w:val="5D641CA2"/>
    <w:rsid w:val="5D6F2B20"/>
    <w:rsid w:val="5D8D288B"/>
    <w:rsid w:val="5DE80ECD"/>
    <w:rsid w:val="5DE828D3"/>
    <w:rsid w:val="5E062D59"/>
    <w:rsid w:val="5E190CDE"/>
    <w:rsid w:val="5E2D1110"/>
    <w:rsid w:val="5E6006BB"/>
    <w:rsid w:val="5E651E79"/>
    <w:rsid w:val="5E677C9B"/>
    <w:rsid w:val="5E6A778C"/>
    <w:rsid w:val="5EA70098"/>
    <w:rsid w:val="5EAA7148"/>
    <w:rsid w:val="5ED25E09"/>
    <w:rsid w:val="5F217E4A"/>
    <w:rsid w:val="5FA35AB4"/>
    <w:rsid w:val="5FB02275"/>
    <w:rsid w:val="5FB4382E"/>
    <w:rsid w:val="600D2A18"/>
    <w:rsid w:val="600F05EB"/>
    <w:rsid w:val="60152BED"/>
    <w:rsid w:val="601C6864"/>
    <w:rsid w:val="605635E0"/>
    <w:rsid w:val="60885E2E"/>
    <w:rsid w:val="60A03B80"/>
    <w:rsid w:val="60C03693"/>
    <w:rsid w:val="60C77753"/>
    <w:rsid w:val="613A1697"/>
    <w:rsid w:val="613B0F6B"/>
    <w:rsid w:val="615C359C"/>
    <w:rsid w:val="615D7326"/>
    <w:rsid w:val="61A415D4"/>
    <w:rsid w:val="61B72CE8"/>
    <w:rsid w:val="61E0223F"/>
    <w:rsid w:val="62065A1D"/>
    <w:rsid w:val="620A016C"/>
    <w:rsid w:val="6219424F"/>
    <w:rsid w:val="622163B3"/>
    <w:rsid w:val="6256605D"/>
    <w:rsid w:val="62774225"/>
    <w:rsid w:val="62813D56"/>
    <w:rsid w:val="628A3F58"/>
    <w:rsid w:val="62AD76C0"/>
    <w:rsid w:val="62B66AFB"/>
    <w:rsid w:val="62C507C9"/>
    <w:rsid w:val="62D11B87"/>
    <w:rsid w:val="62DA698E"/>
    <w:rsid w:val="62DB40E8"/>
    <w:rsid w:val="630D7CD1"/>
    <w:rsid w:val="63272A98"/>
    <w:rsid w:val="63411071"/>
    <w:rsid w:val="63422A85"/>
    <w:rsid w:val="634405AB"/>
    <w:rsid w:val="638906B4"/>
    <w:rsid w:val="6390559E"/>
    <w:rsid w:val="63B30F2E"/>
    <w:rsid w:val="63B53257"/>
    <w:rsid w:val="640161A2"/>
    <w:rsid w:val="640C1C55"/>
    <w:rsid w:val="643B7C00"/>
    <w:rsid w:val="644B5969"/>
    <w:rsid w:val="64557053"/>
    <w:rsid w:val="645A795A"/>
    <w:rsid w:val="646B1B68"/>
    <w:rsid w:val="64744EC0"/>
    <w:rsid w:val="64754DD6"/>
    <w:rsid w:val="647E0D38"/>
    <w:rsid w:val="64986EFA"/>
    <w:rsid w:val="64A60857"/>
    <w:rsid w:val="64AB2B3B"/>
    <w:rsid w:val="64ED0C9E"/>
    <w:rsid w:val="64F102BF"/>
    <w:rsid w:val="65041398"/>
    <w:rsid w:val="650A75D2"/>
    <w:rsid w:val="65285AD1"/>
    <w:rsid w:val="65433F0C"/>
    <w:rsid w:val="65532B79"/>
    <w:rsid w:val="65885901"/>
    <w:rsid w:val="65A63177"/>
    <w:rsid w:val="65B25CA0"/>
    <w:rsid w:val="65D5198E"/>
    <w:rsid w:val="65DE028D"/>
    <w:rsid w:val="660D2ED6"/>
    <w:rsid w:val="662C2107"/>
    <w:rsid w:val="666920D7"/>
    <w:rsid w:val="66A93C9E"/>
    <w:rsid w:val="66BE6020"/>
    <w:rsid w:val="66E77BCB"/>
    <w:rsid w:val="66F525EC"/>
    <w:rsid w:val="66F66060"/>
    <w:rsid w:val="66F93129"/>
    <w:rsid w:val="674E6C15"/>
    <w:rsid w:val="675114E9"/>
    <w:rsid w:val="6760004A"/>
    <w:rsid w:val="67867202"/>
    <w:rsid w:val="679631B0"/>
    <w:rsid w:val="679D40EC"/>
    <w:rsid w:val="67A96C2F"/>
    <w:rsid w:val="67AC671F"/>
    <w:rsid w:val="67AE2497"/>
    <w:rsid w:val="67AF7FBD"/>
    <w:rsid w:val="67B62E64"/>
    <w:rsid w:val="67C617E9"/>
    <w:rsid w:val="67C63C85"/>
    <w:rsid w:val="67E450CE"/>
    <w:rsid w:val="67F52622"/>
    <w:rsid w:val="68282249"/>
    <w:rsid w:val="68300192"/>
    <w:rsid w:val="685D37E3"/>
    <w:rsid w:val="68641653"/>
    <w:rsid w:val="68645737"/>
    <w:rsid w:val="687F09E7"/>
    <w:rsid w:val="688356D2"/>
    <w:rsid w:val="688A4CB2"/>
    <w:rsid w:val="688F59BE"/>
    <w:rsid w:val="68CF0D4C"/>
    <w:rsid w:val="68DE4FFE"/>
    <w:rsid w:val="68E32614"/>
    <w:rsid w:val="68F13666"/>
    <w:rsid w:val="692718FA"/>
    <w:rsid w:val="692D1AE1"/>
    <w:rsid w:val="693410C2"/>
    <w:rsid w:val="693B7312"/>
    <w:rsid w:val="694401A7"/>
    <w:rsid w:val="6949691B"/>
    <w:rsid w:val="695E57DF"/>
    <w:rsid w:val="697274F4"/>
    <w:rsid w:val="69787200"/>
    <w:rsid w:val="697F233D"/>
    <w:rsid w:val="69B2159C"/>
    <w:rsid w:val="69BE7BAE"/>
    <w:rsid w:val="69C90AA3"/>
    <w:rsid w:val="69D106BF"/>
    <w:rsid w:val="69EF3163"/>
    <w:rsid w:val="6A060AF0"/>
    <w:rsid w:val="6A387B61"/>
    <w:rsid w:val="6A542DAB"/>
    <w:rsid w:val="6A616103"/>
    <w:rsid w:val="6A721EA2"/>
    <w:rsid w:val="6A9736B6"/>
    <w:rsid w:val="6ABA1153"/>
    <w:rsid w:val="6ABE0C43"/>
    <w:rsid w:val="6AD13784"/>
    <w:rsid w:val="6AE663EC"/>
    <w:rsid w:val="6B3158B9"/>
    <w:rsid w:val="6B37171D"/>
    <w:rsid w:val="6B3A2BB1"/>
    <w:rsid w:val="6B493A4E"/>
    <w:rsid w:val="6B601CFA"/>
    <w:rsid w:val="6BD75E7E"/>
    <w:rsid w:val="6BE566A3"/>
    <w:rsid w:val="6C3F4006"/>
    <w:rsid w:val="6C4F72C1"/>
    <w:rsid w:val="6C7A503E"/>
    <w:rsid w:val="6C9157D6"/>
    <w:rsid w:val="6C946959"/>
    <w:rsid w:val="6CB9494B"/>
    <w:rsid w:val="6CEB1A97"/>
    <w:rsid w:val="6CF84455"/>
    <w:rsid w:val="6D162FB8"/>
    <w:rsid w:val="6D1B2659"/>
    <w:rsid w:val="6D390A55"/>
    <w:rsid w:val="6D4A2C62"/>
    <w:rsid w:val="6D561607"/>
    <w:rsid w:val="6D5D0BE7"/>
    <w:rsid w:val="6D744821"/>
    <w:rsid w:val="6D8F5206"/>
    <w:rsid w:val="6D91263F"/>
    <w:rsid w:val="6DAF51BB"/>
    <w:rsid w:val="6DD5080B"/>
    <w:rsid w:val="6DEE254B"/>
    <w:rsid w:val="6DF2723B"/>
    <w:rsid w:val="6DFD5F26"/>
    <w:rsid w:val="6E100C6D"/>
    <w:rsid w:val="6E105C5A"/>
    <w:rsid w:val="6E290AC9"/>
    <w:rsid w:val="6E4006B2"/>
    <w:rsid w:val="6E427DDD"/>
    <w:rsid w:val="6E4C65BD"/>
    <w:rsid w:val="6E5B5D88"/>
    <w:rsid w:val="6E62222D"/>
    <w:rsid w:val="6E8B3532"/>
    <w:rsid w:val="6E8F4FD4"/>
    <w:rsid w:val="6E9D4ECA"/>
    <w:rsid w:val="6EF83998"/>
    <w:rsid w:val="6F1060F6"/>
    <w:rsid w:val="6F375CE7"/>
    <w:rsid w:val="6F541B76"/>
    <w:rsid w:val="6F5953DE"/>
    <w:rsid w:val="6F6D09C8"/>
    <w:rsid w:val="6F7E1B58"/>
    <w:rsid w:val="6F8B7B20"/>
    <w:rsid w:val="6FA64AAB"/>
    <w:rsid w:val="6FE0165C"/>
    <w:rsid w:val="6FE74798"/>
    <w:rsid w:val="70593DDE"/>
    <w:rsid w:val="70633D9B"/>
    <w:rsid w:val="706A0C87"/>
    <w:rsid w:val="7072466B"/>
    <w:rsid w:val="70746E4B"/>
    <w:rsid w:val="708741CD"/>
    <w:rsid w:val="709A7A5C"/>
    <w:rsid w:val="70B30B1E"/>
    <w:rsid w:val="70B76860"/>
    <w:rsid w:val="70C66AA3"/>
    <w:rsid w:val="70CE7706"/>
    <w:rsid w:val="70E76A1A"/>
    <w:rsid w:val="70F16E84"/>
    <w:rsid w:val="70F9549B"/>
    <w:rsid w:val="70FA04FB"/>
    <w:rsid w:val="70FF3D63"/>
    <w:rsid w:val="71092E34"/>
    <w:rsid w:val="710E3FA6"/>
    <w:rsid w:val="71127F06"/>
    <w:rsid w:val="713C6D66"/>
    <w:rsid w:val="71445C1A"/>
    <w:rsid w:val="71765B16"/>
    <w:rsid w:val="71A208FD"/>
    <w:rsid w:val="71B11502"/>
    <w:rsid w:val="71C07997"/>
    <w:rsid w:val="71D074AE"/>
    <w:rsid w:val="71F80EDE"/>
    <w:rsid w:val="72203F91"/>
    <w:rsid w:val="724203AC"/>
    <w:rsid w:val="725026E2"/>
    <w:rsid w:val="725325B9"/>
    <w:rsid w:val="725351DA"/>
    <w:rsid w:val="727A15DA"/>
    <w:rsid w:val="72987FCC"/>
    <w:rsid w:val="72D54D7C"/>
    <w:rsid w:val="72E41463"/>
    <w:rsid w:val="72EA7879"/>
    <w:rsid w:val="730969E5"/>
    <w:rsid w:val="730F43F8"/>
    <w:rsid w:val="73104006"/>
    <w:rsid w:val="731070EB"/>
    <w:rsid w:val="733A1083"/>
    <w:rsid w:val="7343262D"/>
    <w:rsid w:val="7346093C"/>
    <w:rsid w:val="73490DFC"/>
    <w:rsid w:val="736F3422"/>
    <w:rsid w:val="73734595"/>
    <w:rsid w:val="73B9469D"/>
    <w:rsid w:val="73DD1399"/>
    <w:rsid w:val="73DD7DF4"/>
    <w:rsid w:val="73EE0CA0"/>
    <w:rsid w:val="74356371"/>
    <w:rsid w:val="74485A21"/>
    <w:rsid w:val="744F0B5E"/>
    <w:rsid w:val="74885923"/>
    <w:rsid w:val="749E6B82"/>
    <w:rsid w:val="74D66009"/>
    <w:rsid w:val="752244C4"/>
    <w:rsid w:val="754461E9"/>
    <w:rsid w:val="75623F7A"/>
    <w:rsid w:val="757203DB"/>
    <w:rsid w:val="75750A98"/>
    <w:rsid w:val="757D05AD"/>
    <w:rsid w:val="75862CA5"/>
    <w:rsid w:val="75C010BA"/>
    <w:rsid w:val="76092CCA"/>
    <w:rsid w:val="76257DC8"/>
    <w:rsid w:val="763837E6"/>
    <w:rsid w:val="76426A32"/>
    <w:rsid w:val="766C59F7"/>
    <w:rsid w:val="767C11D2"/>
    <w:rsid w:val="768A40CF"/>
    <w:rsid w:val="76AF7FDA"/>
    <w:rsid w:val="76DA5057"/>
    <w:rsid w:val="76EA0007"/>
    <w:rsid w:val="76FD0D45"/>
    <w:rsid w:val="77130569"/>
    <w:rsid w:val="7714093C"/>
    <w:rsid w:val="771A5453"/>
    <w:rsid w:val="771D5238"/>
    <w:rsid w:val="77242776"/>
    <w:rsid w:val="77764653"/>
    <w:rsid w:val="77784870"/>
    <w:rsid w:val="77885D14"/>
    <w:rsid w:val="77B238DE"/>
    <w:rsid w:val="77B358A8"/>
    <w:rsid w:val="77B876AC"/>
    <w:rsid w:val="77C41863"/>
    <w:rsid w:val="77C43611"/>
    <w:rsid w:val="77C80DE4"/>
    <w:rsid w:val="77C83101"/>
    <w:rsid w:val="77E13BA0"/>
    <w:rsid w:val="77FC724F"/>
    <w:rsid w:val="783B1B25"/>
    <w:rsid w:val="786646C8"/>
    <w:rsid w:val="7871571C"/>
    <w:rsid w:val="788259A6"/>
    <w:rsid w:val="78B33397"/>
    <w:rsid w:val="78B54414"/>
    <w:rsid w:val="78B81351"/>
    <w:rsid w:val="78BF0CEF"/>
    <w:rsid w:val="78EA76EE"/>
    <w:rsid w:val="78FE2050"/>
    <w:rsid w:val="7955517B"/>
    <w:rsid w:val="79586707"/>
    <w:rsid w:val="79664F44"/>
    <w:rsid w:val="79907C4E"/>
    <w:rsid w:val="79CB27ED"/>
    <w:rsid w:val="79DF579A"/>
    <w:rsid w:val="79F77CCE"/>
    <w:rsid w:val="79FA5A10"/>
    <w:rsid w:val="7A067F11"/>
    <w:rsid w:val="7A1A0F94"/>
    <w:rsid w:val="7A1B1294"/>
    <w:rsid w:val="7A1B74E4"/>
    <w:rsid w:val="7A1C7878"/>
    <w:rsid w:val="7A2111EE"/>
    <w:rsid w:val="7A2544C3"/>
    <w:rsid w:val="7A37631C"/>
    <w:rsid w:val="7A401675"/>
    <w:rsid w:val="7A603412"/>
    <w:rsid w:val="7A8A3C04"/>
    <w:rsid w:val="7A910FA6"/>
    <w:rsid w:val="7A925C48"/>
    <w:rsid w:val="7A955AA3"/>
    <w:rsid w:val="7AB17498"/>
    <w:rsid w:val="7AB20E73"/>
    <w:rsid w:val="7AEB57A3"/>
    <w:rsid w:val="7AF70927"/>
    <w:rsid w:val="7B2E5971"/>
    <w:rsid w:val="7B3B008E"/>
    <w:rsid w:val="7B4231CA"/>
    <w:rsid w:val="7B424F78"/>
    <w:rsid w:val="7B4B7865"/>
    <w:rsid w:val="7B62481E"/>
    <w:rsid w:val="7B726974"/>
    <w:rsid w:val="7B902188"/>
    <w:rsid w:val="7B971942"/>
    <w:rsid w:val="7B9E3DFA"/>
    <w:rsid w:val="7BB63A0E"/>
    <w:rsid w:val="7BD210AC"/>
    <w:rsid w:val="7C137C33"/>
    <w:rsid w:val="7C1C1C6D"/>
    <w:rsid w:val="7C1F2ED6"/>
    <w:rsid w:val="7C501917"/>
    <w:rsid w:val="7C5E5EE7"/>
    <w:rsid w:val="7C7C270C"/>
    <w:rsid w:val="7C857813"/>
    <w:rsid w:val="7CBE4AD3"/>
    <w:rsid w:val="7CC9189C"/>
    <w:rsid w:val="7CD40EEA"/>
    <w:rsid w:val="7CDC31AB"/>
    <w:rsid w:val="7CF60710"/>
    <w:rsid w:val="7D003100"/>
    <w:rsid w:val="7D40373A"/>
    <w:rsid w:val="7D7F551F"/>
    <w:rsid w:val="7D9B4867"/>
    <w:rsid w:val="7DC3365B"/>
    <w:rsid w:val="7DCC1471"/>
    <w:rsid w:val="7E2F3AA9"/>
    <w:rsid w:val="7E4F2B52"/>
    <w:rsid w:val="7E68119A"/>
    <w:rsid w:val="7E6E5448"/>
    <w:rsid w:val="7E955D07"/>
    <w:rsid w:val="7EC14203"/>
    <w:rsid w:val="7EC16AFC"/>
    <w:rsid w:val="7EDE145C"/>
    <w:rsid w:val="7EEA1BAF"/>
    <w:rsid w:val="7F053548"/>
    <w:rsid w:val="7F1B620C"/>
    <w:rsid w:val="7F231565"/>
    <w:rsid w:val="7F403D11"/>
    <w:rsid w:val="7F631961"/>
    <w:rsid w:val="7F932247"/>
    <w:rsid w:val="7F9E2999"/>
    <w:rsid w:val="7FCA5830"/>
    <w:rsid w:val="7FDD1714"/>
    <w:rsid w:val="7FE42AA2"/>
    <w:rsid w:val="7FF274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link w:val="83"/>
    <w:qFormat/>
    <w:uiPriority w:val="0"/>
    <w:pPr>
      <w:autoSpaceDE w:val="0"/>
      <w:autoSpaceDN w:val="0"/>
      <w:adjustRightInd w:val="0"/>
      <w:jc w:val="left"/>
      <w:outlineLvl w:val="1"/>
    </w:pPr>
    <w:rPr>
      <w:kern w:val="0"/>
    </w:rPr>
  </w:style>
  <w:style w:type="paragraph" w:styleId="5">
    <w:name w:val="heading 3"/>
    <w:basedOn w:val="1"/>
    <w:next w:val="1"/>
    <w:link w:val="51"/>
    <w:qFormat/>
    <w:uiPriority w:val="0"/>
    <w:pPr>
      <w:keepNext/>
      <w:keepLines/>
      <w:outlineLvl w:val="2"/>
    </w:pPr>
    <w:rPr>
      <w:rFonts w:hint="default" w:ascii="Times New Roman" w:hAnsi="Times New Roman" w:eastAsia="宋体"/>
      <w:b/>
    </w:rPr>
  </w:style>
  <w:style w:type="paragraph" w:styleId="2">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next w:val="1"/>
    <w:qFormat/>
    <w:uiPriority w:val="0"/>
    <w:pPr>
      <w:jc w:val="left"/>
    </w:pPr>
    <w:rPr>
      <w:rFonts w:hint="default" w:ascii="Times New Roman" w:hAnsi="Times New Roman" w:eastAsia="宋体"/>
      <w:sz w:val="21"/>
    </w:rPr>
  </w:style>
  <w:style w:type="paragraph" w:styleId="8">
    <w:name w:val="Body Text"/>
    <w:basedOn w:val="1"/>
    <w:next w:val="1"/>
    <w:qFormat/>
    <w:uiPriority w:val="0"/>
  </w:style>
  <w:style w:type="paragraph" w:styleId="9">
    <w:name w:val="Body Text Indent"/>
    <w:basedOn w:val="1"/>
    <w:qFormat/>
    <w:uiPriority w:val="0"/>
    <w:pPr>
      <w:ind w:firstLine="560" w:firstLineChars="200"/>
    </w:pPr>
  </w:style>
  <w:style w:type="paragraph" w:styleId="10">
    <w:name w:val="toc 3"/>
    <w:basedOn w:val="1"/>
    <w:next w:val="1"/>
    <w:qFormat/>
    <w:uiPriority w:val="39"/>
    <w:pPr>
      <w:ind w:left="840" w:leftChars="400"/>
    </w:pPr>
  </w:style>
  <w:style w:type="paragraph" w:styleId="11">
    <w:name w:val="Body Text Indent 2"/>
    <w:basedOn w:val="1"/>
    <w:qFormat/>
    <w:uiPriority w:val="0"/>
    <w:pPr>
      <w:spacing w:line="480" w:lineRule="auto"/>
      <w:ind w:firstLine="561"/>
    </w:pPr>
  </w:style>
  <w:style w:type="paragraph" w:styleId="12">
    <w:name w:val="Balloon Text"/>
    <w:basedOn w:val="1"/>
    <w:link w:val="72"/>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5">
    <w:name w:val="toc 1"/>
    <w:basedOn w:val="16"/>
    <w:next w:val="1"/>
    <w:qFormat/>
    <w:uiPriority w:val="39"/>
  </w:style>
  <w:style w:type="paragraph" w:styleId="16">
    <w:name w:val="index 1"/>
    <w:basedOn w:val="1"/>
    <w:next w:val="1"/>
    <w:unhideWhenUsed/>
    <w:qFormat/>
    <w:uiPriority w:val="0"/>
  </w:style>
  <w:style w:type="paragraph" w:styleId="17">
    <w:name w:val="toc 4"/>
    <w:basedOn w:val="1"/>
    <w:next w:val="1"/>
    <w:qFormat/>
    <w:uiPriority w:val="0"/>
    <w:pPr>
      <w:ind w:left="1260" w:leftChars="600"/>
    </w:pPr>
  </w:style>
  <w:style w:type="paragraph" w:styleId="18">
    <w:name w:val="toc 2"/>
    <w:basedOn w:val="1"/>
    <w:next w:val="1"/>
    <w:qFormat/>
    <w:uiPriority w:val="39"/>
    <w:pPr>
      <w:ind w:left="420" w:leftChars="200"/>
    </w:pPr>
  </w:style>
  <w:style w:type="paragraph" w:styleId="19">
    <w:name w:val="Body Text 2"/>
    <w:basedOn w:val="1"/>
    <w:next w:val="8"/>
    <w:qFormat/>
    <w:uiPriority w:val="0"/>
    <w:pPr>
      <w:spacing w:line="500" w:lineRule="exact"/>
    </w:pPr>
  </w:style>
  <w:style w:type="paragraph" w:styleId="20">
    <w:name w:val="Normal (Web)"/>
    <w:basedOn w:val="1"/>
    <w:qFormat/>
    <w:uiPriority w:val="0"/>
    <w:pPr>
      <w:widowControl/>
      <w:spacing w:beforeAutospacing="1" w:afterAutospacing="1"/>
      <w:jc w:val="left"/>
    </w:pPr>
    <w:rPr>
      <w:rFonts w:hAnsi="宋体" w:cs="宋体"/>
      <w:color w:val="000000"/>
      <w:kern w:val="0"/>
      <w:szCs w:val="24"/>
    </w:rPr>
  </w:style>
  <w:style w:type="paragraph" w:styleId="21">
    <w:name w:val="Body Text First Indent"/>
    <w:basedOn w:val="8"/>
    <w:qFormat/>
    <w:uiPriority w:val="99"/>
    <w:pPr>
      <w:spacing w:line="240" w:lineRule="auto"/>
      <w:ind w:firstLine="420" w:firstLineChars="100"/>
    </w:pPr>
    <w:rPr>
      <w:rFonts w:ascii="Times New Roman" w:cs="Times New Roman"/>
      <w:sz w:val="20"/>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333333"/>
      <w:u w:val="none"/>
    </w:rPr>
  </w:style>
  <w:style w:type="character" w:styleId="27">
    <w:name w:val="Emphasis"/>
    <w:basedOn w:val="24"/>
    <w:qFormat/>
    <w:uiPriority w:val="0"/>
    <w:rPr>
      <w:i/>
    </w:rPr>
  </w:style>
  <w:style w:type="character" w:styleId="28">
    <w:name w:val="HTML Variable"/>
    <w:basedOn w:val="24"/>
    <w:qFormat/>
    <w:uiPriority w:val="0"/>
    <w:rPr>
      <w:i/>
    </w:rPr>
  </w:style>
  <w:style w:type="character" w:styleId="29">
    <w:name w:val="Hyperlink"/>
    <w:basedOn w:val="24"/>
    <w:qFormat/>
    <w:uiPriority w:val="0"/>
    <w:rPr>
      <w:color w:val="333333"/>
      <w:u w:val="none"/>
    </w:rPr>
  </w:style>
  <w:style w:type="character" w:styleId="30">
    <w:name w:val="HTML Code"/>
    <w:basedOn w:val="24"/>
    <w:qFormat/>
    <w:uiPriority w:val="0"/>
    <w:rPr>
      <w:rFonts w:ascii="Courier New" w:hAnsi="Courier New"/>
      <w:sz w:val="20"/>
    </w:rPr>
  </w:style>
  <w:style w:type="character" w:styleId="31">
    <w:name w:val="HTML Cite"/>
    <w:basedOn w:val="24"/>
    <w:qFormat/>
    <w:uiPriority w:val="0"/>
    <w:rPr>
      <w:i/>
    </w:rPr>
  </w:style>
  <w:style w:type="paragraph" w:customStyle="1" w:styleId="32">
    <w:name w:val="样式 宋体 行距: 1.5 倍行距"/>
    <w:basedOn w:val="33"/>
    <w:next w:val="1"/>
    <w:qFormat/>
    <w:uiPriority w:val="0"/>
    <w:pPr>
      <w:jc w:val="center"/>
    </w:pPr>
    <w:rPr>
      <w:rFonts w:ascii="Times New Roman" w:hAnsi="Times New Roman" w:cs="Times New Roman"/>
      <w:b/>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qFormat/>
    <w:uiPriority w:val="0"/>
    <w:pPr>
      <w:autoSpaceDE w:val="0"/>
      <w:autoSpaceDN w:val="0"/>
      <w:adjustRightInd w:val="0"/>
      <w:jc w:val="left"/>
      <w:outlineLvl w:val="0"/>
    </w:pPr>
    <w:rPr>
      <w:kern w:val="0"/>
      <w:sz w:val="30"/>
    </w:rPr>
  </w:style>
  <w:style w:type="paragraph" w:customStyle="1" w:styleId="39">
    <w:name w:val="标题 2 New New"/>
    <w:basedOn w:val="37"/>
    <w:next w:val="37"/>
    <w:qFormat/>
    <w:uiPriority w:val="0"/>
    <w:pPr>
      <w:autoSpaceDE w:val="0"/>
      <w:autoSpaceDN w:val="0"/>
      <w:adjustRightInd w:val="0"/>
      <w:jc w:val="left"/>
      <w:outlineLvl w:val="1"/>
    </w:pPr>
    <w:rPr>
      <w:kern w:val="0"/>
    </w:rPr>
  </w:style>
  <w:style w:type="paragraph" w:customStyle="1" w:styleId="4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qFormat/>
    <w:uiPriority w:val="0"/>
    <w:pPr>
      <w:widowControl/>
      <w:spacing w:line="360" w:lineRule="auto"/>
      <w:ind w:firstLine="420"/>
      <w:jc w:val="left"/>
    </w:pPr>
    <w:rPr>
      <w:rFonts w:hAnsi="Times New Roman"/>
      <w:kern w:val="0"/>
      <w:sz w:val="20"/>
    </w:rPr>
  </w:style>
  <w:style w:type="paragraph" w:customStyle="1" w:styleId="42">
    <w:name w:val="正文缩进1"/>
    <w:basedOn w:val="1"/>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5">
    <w:name w:val="正文文本缩进 New New"/>
    <w:basedOn w:val="37"/>
    <w:qFormat/>
    <w:uiPriority w:val="0"/>
    <w:pPr>
      <w:ind w:firstLine="560" w:firstLineChars="200"/>
    </w:pPr>
  </w:style>
  <w:style w:type="paragraph" w:customStyle="1" w:styleId="46">
    <w:name w:val="正文文本缩进 3 New"/>
    <w:basedOn w:val="37"/>
    <w:qFormat/>
    <w:uiPriority w:val="0"/>
    <w:pPr>
      <w:ind w:firstLine="560"/>
    </w:pPr>
    <w:rPr>
      <w:color w:val="FF0000"/>
    </w:rPr>
  </w:style>
  <w:style w:type="paragraph" w:customStyle="1" w:styleId="47">
    <w:name w:val="标题 3 New New New"/>
    <w:basedOn w:val="48"/>
    <w:next w:val="48"/>
    <w:qFormat/>
    <w:uiPriority w:val="0"/>
    <w:pPr>
      <w:keepNext/>
      <w:keepLines/>
      <w:jc w:val="center"/>
      <w:outlineLvl w:val="2"/>
    </w:pPr>
    <w:rPr>
      <w:sz w:val="24"/>
    </w:rPr>
  </w:style>
  <w:style w:type="paragraph" w:customStyle="1" w:styleId="48">
    <w:name w:val="正文缩进 New"/>
    <w:basedOn w:val="49"/>
    <w:qFormat/>
    <w:uiPriority w:val="0"/>
    <w:pPr>
      <w:widowControl/>
      <w:ind w:firstLine="420"/>
      <w:jc w:val="left"/>
    </w:pPr>
    <w:rPr>
      <w:kern w:val="0"/>
      <w:sz w:val="20"/>
    </w:rPr>
  </w:style>
  <w:style w:type="paragraph" w:customStyle="1" w:styleId="49">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0">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1">
    <w:name w:val="标题 3 Char"/>
    <w:link w:val="5"/>
    <w:qFormat/>
    <w:uiPriority w:val="0"/>
    <w:rPr>
      <w:rFonts w:hint="default" w:ascii="Times New Roman" w:hAnsi="Times New Roman" w:eastAsia="宋体"/>
      <w:b/>
    </w:rPr>
  </w:style>
  <w:style w:type="character" w:customStyle="1" w:styleId="52">
    <w:name w:val="NormalCharacter"/>
    <w:semiHidden/>
    <w:qFormat/>
    <w:uiPriority w:val="0"/>
    <w:rPr>
      <w:rFonts w:ascii="宋体"/>
      <w:kern w:val="2"/>
      <w:sz w:val="24"/>
      <w:lang w:val="en-US" w:eastAsia="zh-CN" w:bidi="ar-SA"/>
    </w:rPr>
  </w:style>
  <w:style w:type="paragraph" w:customStyle="1" w:styleId="53">
    <w:name w:val="标题 2 New New New"/>
    <w:basedOn w:val="54"/>
    <w:next w:val="54"/>
    <w:qFormat/>
    <w:uiPriority w:val="0"/>
    <w:pPr>
      <w:autoSpaceDE w:val="0"/>
      <w:autoSpaceDN w:val="0"/>
      <w:adjustRightInd w:val="0"/>
      <w:jc w:val="left"/>
      <w:outlineLvl w:val="1"/>
    </w:pPr>
  </w:style>
  <w:style w:type="paragraph" w:customStyle="1" w:styleId="54">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5">
    <w:name w:val="普通(网站) New"/>
    <w:basedOn w:val="56"/>
    <w:qFormat/>
    <w:uiPriority w:val="0"/>
    <w:rPr>
      <w:sz w:val="24"/>
    </w:rPr>
  </w:style>
  <w:style w:type="paragraph" w:customStyle="1" w:styleId="56">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8">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0">
    <w:name w:val="YJ22 Char"/>
    <w:link w:val="61"/>
    <w:qFormat/>
    <w:uiPriority w:val="0"/>
    <w:rPr>
      <w:rFonts w:ascii="Times New Roman" w:hAnsi="宋体"/>
      <w:b/>
      <w:kern w:val="0"/>
      <w:sz w:val="20"/>
    </w:rPr>
  </w:style>
  <w:style w:type="paragraph" w:customStyle="1" w:styleId="61">
    <w:name w:val="YJ22"/>
    <w:basedOn w:val="37"/>
    <w:next w:val="37"/>
    <w:link w:val="60"/>
    <w:qFormat/>
    <w:uiPriority w:val="0"/>
    <w:pPr>
      <w:autoSpaceDE w:val="0"/>
      <w:autoSpaceDN w:val="0"/>
      <w:adjustRightInd w:val="0"/>
      <w:jc w:val="left"/>
      <w:outlineLvl w:val="1"/>
    </w:pPr>
    <w:rPr>
      <w:rFonts w:ascii="Times New Roman" w:hAnsi="宋体"/>
      <w:b/>
      <w:kern w:val="0"/>
      <w:sz w:val="20"/>
    </w:rPr>
  </w:style>
  <w:style w:type="paragraph" w:customStyle="1" w:styleId="62">
    <w:name w:val="正文文本缩进 New"/>
    <w:basedOn w:val="63"/>
    <w:qFormat/>
    <w:uiPriority w:val="0"/>
    <w:pPr>
      <w:ind w:firstLine="560" w:firstLineChars="200"/>
    </w:pPr>
  </w:style>
  <w:style w:type="paragraph" w:customStyle="1" w:styleId="63">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正文文本缩进 New New New New"/>
    <w:basedOn w:val="65"/>
    <w:qFormat/>
    <w:uiPriority w:val="0"/>
    <w:pPr>
      <w:ind w:firstLine="560" w:firstLineChars="200"/>
    </w:pPr>
    <w:rPr>
      <w:szCs w:val="28"/>
    </w:rPr>
  </w:style>
  <w:style w:type="paragraph" w:customStyle="1" w:styleId="6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6">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7">
    <w:name w:val="正文文本缩进 New New New New New New New"/>
    <w:basedOn w:val="66"/>
    <w:qFormat/>
    <w:uiPriority w:val="0"/>
    <w:pPr>
      <w:ind w:left="420" w:leftChars="200"/>
    </w:pPr>
    <w:rPr>
      <w:szCs w:val="24"/>
    </w:rPr>
  </w:style>
  <w:style w:type="paragraph" w:customStyle="1" w:styleId="68">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正文文本缩进 New New New New New New New New"/>
    <w:basedOn w:val="68"/>
    <w:qFormat/>
    <w:uiPriority w:val="0"/>
    <w:pPr>
      <w:ind w:left="420" w:leftChars="200"/>
    </w:pPr>
    <w:rPr>
      <w:szCs w:val="24"/>
    </w:rPr>
  </w:style>
  <w:style w:type="paragraph" w:customStyle="1" w:styleId="70">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1">
    <w:name w:val="页脚 New"/>
    <w:basedOn w:val="37"/>
    <w:qFormat/>
    <w:uiPriority w:val="0"/>
    <w:pPr>
      <w:widowControl/>
      <w:tabs>
        <w:tab w:val="center" w:pos="4153"/>
        <w:tab w:val="right" w:pos="8306"/>
      </w:tabs>
      <w:snapToGrid w:val="0"/>
      <w:jc w:val="left"/>
    </w:pPr>
    <w:rPr>
      <w:kern w:val="0"/>
      <w:sz w:val="18"/>
    </w:rPr>
  </w:style>
  <w:style w:type="character" w:customStyle="1" w:styleId="72">
    <w:name w:val="批注框文本 Char"/>
    <w:basedOn w:val="24"/>
    <w:link w:val="12"/>
    <w:qFormat/>
    <w:uiPriority w:val="0"/>
    <w:rPr>
      <w:rFonts w:ascii="宋体" w:hAnsi="等线" w:eastAsia="等线" w:cs="Times New Roman"/>
      <w:kern w:val="2"/>
      <w:sz w:val="18"/>
      <w:szCs w:val="18"/>
    </w:rPr>
  </w:style>
  <w:style w:type="character" w:customStyle="1" w:styleId="73">
    <w:name w:val="hover21"/>
    <w:basedOn w:val="24"/>
    <w:qFormat/>
    <w:uiPriority w:val="0"/>
    <w:rPr>
      <w:color w:val="5FB878"/>
    </w:rPr>
  </w:style>
  <w:style w:type="character" w:customStyle="1" w:styleId="74">
    <w:name w:val="hover22"/>
    <w:basedOn w:val="24"/>
    <w:qFormat/>
    <w:uiPriority w:val="0"/>
    <w:rPr>
      <w:color w:val="5FB878"/>
    </w:rPr>
  </w:style>
  <w:style w:type="character" w:customStyle="1" w:styleId="75">
    <w:name w:val="hover23"/>
    <w:basedOn w:val="24"/>
    <w:qFormat/>
    <w:uiPriority w:val="0"/>
    <w:rPr>
      <w:color w:val="FFFFFF"/>
    </w:rPr>
  </w:style>
  <w:style w:type="paragraph" w:customStyle="1" w:styleId="76">
    <w:name w:val="正文1"/>
    <w:qFormat/>
    <w:uiPriority w:val="0"/>
    <w:pPr>
      <w:widowControl w:val="0"/>
      <w:spacing w:line="360" w:lineRule="auto"/>
      <w:jc w:val="both"/>
    </w:pPr>
    <w:rPr>
      <w:rFonts w:hint="eastAsia" w:ascii="宋体" w:hAnsi="Calibri" w:eastAsia="宋体" w:cs="Times New Roman"/>
      <w:kern w:val="2"/>
      <w:sz w:val="24"/>
      <w:lang w:val="en-US" w:eastAsia="zh-CN" w:bidi="ar-SA"/>
    </w:rPr>
  </w:style>
  <w:style w:type="paragraph" w:customStyle="1" w:styleId="77">
    <w:name w:val="Default"/>
    <w:basedOn w:val="78"/>
    <w:qFormat/>
    <w:uiPriority w:val="0"/>
    <w:pPr>
      <w:widowControl w:val="0"/>
      <w:autoSpaceDE w:val="0"/>
      <w:autoSpaceDN w:val="0"/>
      <w:adjustRightInd w:val="0"/>
    </w:pPr>
    <w:rPr>
      <w:rFonts w:ascii="华文新魏" w:hAnsi="华文新魏" w:eastAsia="宋体" w:cs="华文新魏"/>
      <w:color w:val="000000"/>
      <w:sz w:val="24"/>
      <w:szCs w:val="24"/>
      <w:lang w:val="en-US" w:eastAsia="zh-CN" w:bidi="ar-SA"/>
    </w:rPr>
  </w:style>
  <w:style w:type="paragraph" w:customStyle="1" w:styleId="78">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79">
    <w:name w:val="Table Text"/>
    <w:basedOn w:val="1"/>
    <w:semiHidden/>
    <w:qFormat/>
    <w:uiPriority w:val="0"/>
    <w:rPr>
      <w:rFonts w:ascii="宋体" w:hAnsi="宋体" w:eastAsia="宋体" w:cs="宋体"/>
      <w:sz w:val="18"/>
      <w:szCs w:val="18"/>
      <w:lang w:val="en-US" w:eastAsia="en-US" w:bidi="ar-SA"/>
    </w:rPr>
  </w:style>
  <w:style w:type="table" w:customStyle="1" w:styleId="80">
    <w:name w:val="Table Normal"/>
    <w:semiHidden/>
    <w:unhideWhenUsed/>
    <w:qFormat/>
    <w:uiPriority w:val="0"/>
    <w:tblPr>
      <w:tblCellMar>
        <w:top w:w="0" w:type="dxa"/>
        <w:left w:w="0" w:type="dxa"/>
        <w:bottom w:w="0" w:type="dxa"/>
        <w:right w:w="0" w:type="dxa"/>
      </w:tblCellMar>
    </w:tblPr>
  </w:style>
  <w:style w:type="paragraph" w:customStyle="1" w:styleId="81">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character" w:customStyle="1" w:styleId="83">
    <w:name w:val="标题 2 Char"/>
    <w:link w:val="4"/>
    <w:qFormat/>
    <w:uiPriority w:val="0"/>
    <w:rPr>
      <w:kern w:val="0"/>
    </w:rPr>
  </w:style>
  <w:style w:type="paragraph" w:customStyle="1" w:styleId="84">
    <w:name w:val="UserStyle_76"/>
    <w:basedOn w:val="85"/>
    <w:qFormat/>
    <w:uiPriority w:val="99"/>
    <w:pPr>
      <w:ind w:firstLine="420"/>
      <w:jc w:val="left"/>
    </w:pPr>
    <w:rPr>
      <w:kern w:val="0"/>
      <w:sz w:val="20"/>
      <w:szCs w:val="20"/>
    </w:rPr>
  </w:style>
  <w:style w:type="paragraph" w:customStyle="1" w:styleId="85">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111</Pages>
  <Words>72081</Words>
  <Characters>75789</Characters>
  <Lines>731</Lines>
  <Paragraphs>205</Paragraphs>
  <TotalTime>1</TotalTime>
  <ScaleCrop>false</ScaleCrop>
  <LinksUpToDate>false</LinksUpToDate>
  <CharactersWithSpaces>79658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Macho</cp:lastModifiedBy>
  <cp:lastPrinted>2026-09-15T02:18:00Z</cp:lastPrinted>
  <dcterms:modified xsi:type="dcterms:W3CDTF">2026-09-18T08:29:12Z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1B806E38D727462CAFB4745D023DFC03_13</vt:lpwstr>
  </property>
  <property fmtid="{D5CDD505-2E9C-101B-9397-08002B2CF9AE}" pid="4" name="KSOTemplateDocerSaveRecord">
    <vt:lpwstr>eyJoZGlkIjoiNTAzODI3ODExOWNmMGZkMzQwYzVlMTg2ZjljZTJiMTYiLCJ1c2VySWQiOiIyMDY3NjIxMDMifQ==</vt:lpwstr>
  </property>
</Properties>
</file>