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CB68C">
      <w:pPr>
        <w:tabs>
          <w:tab w:val="left" w:pos="900"/>
          <w:tab w:val="left" w:pos="1080"/>
        </w:tabs>
        <w:jc w:val="center"/>
        <w:rPr>
          <w:rFonts w:hint="eastAsia" w:ascii="黑体" w:hAnsi="Times New Roman" w:eastAsia="黑体" w:cs="Times New Roman"/>
          <w:color w:val="auto"/>
          <w:sz w:val="44"/>
          <w:szCs w:val="44"/>
        </w:rPr>
      </w:pPr>
      <w:r>
        <w:rPr>
          <w:rFonts w:hint="eastAsia" w:ascii="黑体" w:hAnsi="Times New Roman" w:eastAsia="黑体" w:cs="Times New Roman"/>
          <w:color w:val="auto"/>
          <w:sz w:val="44"/>
          <w:szCs w:val="44"/>
          <w:lang w:eastAsia="zh-CN"/>
        </w:rPr>
        <w:t>编</w:t>
      </w:r>
      <w:r>
        <w:rPr>
          <w:rFonts w:hint="eastAsia" w:ascii="黑体" w:hAnsi="Times New Roman" w:eastAsia="黑体" w:cs="Times New Roman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color w:val="auto"/>
          <w:sz w:val="44"/>
          <w:szCs w:val="44"/>
          <w:lang w:eastAsia="zh-CN"/>
        </w:rPr>
        <w:t>制</w:t>
      </w:r>
      <w:r>
        <w:rPr>
          <w:rFonts w:hint="eastAsia" w:ascii="黑体" w:hAnsi="Times New Roman" w:eastAsia="黑体" w:cs="Times New Roman"/>
          <w:color w:val="auto"/>
          <w:sz w:val="44"/>
          <w:szCs w:val="44"/>
        </w:rPr>
        <w:t xml:space="preserve"> 说 明</w:t>
      </w:r>
    </w:p>
    <w:p w14:paraId="3960C4EF">
      <w:pPr>
        <w:pStyle w:val="4"/>
        <w:rPr>
          <w:color w:val="auto"/>
        </w:rPr>
      </w:pPr>
    </w:p>
    <w:p w14:paraId="03CB97BC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3" w:firstLineChars="200"/>
        <w:rPr>
          <w:rFonts w:hint="eastAsia" w:ascii="仿宋_GB2312" w:hAnsi="Times New Roman" w:eastAsia="仿宋_GB2312"/>
          <w:b/>
          <w:bCs/>
          <w:snapToGrid w:val="0"/>
          <w:color w:val="auto"/>
          <w:kern w:val="0"/>
          <w:sz w:val="32"/>
          <w:szCs w:val="24"/>
        </w:rPr>
      </w:pPr>
      <w:r>
        <w:rPr>
          <w:rFonts w:hint="eastAsia" w:ascii="仿宋_GB2312" w:hAnsi="Times New Roman" w:eastAsia="仿宋_GB2312"/>
          <w:b/>
          <w:bCs/>
          <w:snapToGrid w:val="0"/>
          <w:color w:val="auto"/>
          <w:kern w:val="0"/>
          <w:sz w:val="32"/>
          <w:szCs w:val="24"/>
        </w:rPr>
        <w:t>一、项目概况</w:t>
      </w:r>
    </w:p>
    <w:p w14:paraId="0F75F342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rPr>
          <w:rFonts w:ascii="仿宋_GB2312" w:hAnsi="Times New Roman" w:eastAsia="仿宋_GB2312"/>
          <w:snapToGrid w:val="0"/>
          <w:color w:val="auto"/>
          <w:kern w:val="0"/>
          <w:sz w:val="32"/>
          <w:szCs w:val="24"/>
        </w:rPr>
      </w:pPr>
      <w:r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</w:rPr>
        <w:t>（一）项目内容</w:t>
      </w:r>
    </w:p>
    <w:p w14:paraId="3137497C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  <w:highlight w:val="none"/>
          <w:lang w:val="en-US" w:eastAsia="zh-CN"/>
        </w:rPr>
      </w:pPr>
      <w:r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  <w:highlight w:val="none"/>
        </w:rPr>
        <w:t>主要建设内容为：</w:t>
      </w:r>
      <w:r>
        <w:rPr>
          <w:rFonts w:hint="eastAsia" w:ascii="仿宋_GB2312" w:hAnsi="Times New Roman" w:eastAsia="仿宋_GB2312"/>
          <w:snapToGrid w:val="0"/>
          <w:color w:val="auto"/>
          <w:kern w:val="0"/>
          <w:sz w:val="32"/>
          <w:szCs w:val="24"/>
          <w:highlight w:val="none"/>
          <w:lang w:val="en-US" w:eastAsia="zh-CN"/>
        </w:rPr>
        <w:t>工程由高坪电站尾水渠修复加固和新建高坪引水洞组成。其中高坪电站尾水渠修复加固93m;新建高坪引水洞全长约 7.72km，其中隧洞长7.50km，渡槽长191m，引渠长 24.66m。</w:t>
      </w:r>
    </w:p>
    <w:p w14:paraId="3BD20893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（二）实施地点：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仁化县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 w14:paraId="0DF12597"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line="540" w:lineRule="exact"/>
        <w:ind w:firstLine="640" w:firstLineChars="20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（三）实施单位</w:t>
      </w:r>
    </w:p>
    <w:p w14:paraId="0F3D96A5">
      <w:pPr>
        <w:keepNext w:val="0"/>
        <w:keepLines w:val="0"/>
        <w:pageBreakBefore w:val="0"/>
        <w:widowControl w:val="0"/>
        <w:tabs>
          <w:tab w:val="left" w:pos="1080"/>
        </w:tabs>
        <w:kinsoku/>
        <w:wordWrap/>
        <w:overflowPunct/>
        <w:topLinePunct w:val="0"/>
        <w:autoSpaceDE/>
        <w:autoSpaceDN/>
        <w:bidi w:val="0"/>
        <w:snapToGrid/>
        <w:spacing w:before="156" w:beforeLines="50" w:line="540" w:lineRule="exact"/>
        <w:ind w:firstLine="640" w:firstLineChars="200"/>
        <w:outlineLvl w:val="0"/>
        <w:rPr>
          <w:rFonts w:hint="eastAsia"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、建设单位：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eastAsia="zh-CN"/>
        </w:rPr>
        <w:t>仁化县水利工程建设管理中心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；</w:t>
      </w:r>
    </w:p>
    <w:p w14:paraId="218CCBD1">
      <w:pPr>
        <w:tabs>
          <w:tab w:val="left" w:pos="900"/>
          <w:tab w:val="left" w:pos="1080"/>
        </w:tabs>
        <w:spacing w:line="520" w:lineRule="exact"/>
        <w:ind w:firstLine="636" w:firstLineChars="199"/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、设计单位：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中国水利水电第十四工程局有限公司、</w:t>
      </w:r>
    </w:p>
    <w:p w14:paraId="5708A28B">
      <w:pPr>
        <w:tabs>
          <w:tab w:val="left" w:pos="900"/>
          <w:tab w:val="left" w:pos="1080"/>
        </w:tabs>
        <w:spacing w:line="520" w:lineRule="exact"/>
        <w:ind w:firstLine="636" w:firstLineChars="199"/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广东省水科勘测设计院有限公司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eastAsia="zh-CN"/>
        </w:rPr>
        <w:t>。</w:t>
      </w:r>
    </w:p>
    <w:p w14:paraId="5354AC75">
      <w:pPr>
        <w:tabs>
          <w:tab w:val="left" w:pos="900"/>
          <w:tab w:val="left" w:pos="1080"/>
        </w:tabs>
        <w:spacing w:line="520" w:lineRule="exact"/>
        <w:ind w:firstLine="639" w:firstLineChars="199"/>
        <w:rPr>
          <w:rFonts w:hint="eastAsia" w:ascii="Times New Roman" w:hAnsi="Times New Roman" w:eastAsia="仿宋_GB2312" w:cs="Times New Roman"/>
          <w:b/>
          <w:bCs/>
          <w:snapToGrid w:val="0"/>
          <w:color w:val="auto"/>
          <w:kern w:val="0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napToGrid w:val="0"/>
          <w:color w:val="auto"/>
          <w:kern w:val="0"/>
          <w:sz w:val="32"/>
          <w:highlight w:val="none"/>
          <w:lang w:val="en-US" w:eastAsia="zh-CN"/>
        </w:rPr>
        <w:t>二、编制依据</w:t>
      </w:r>
    </w:p>
    <w:p w14:paraId="70CE3EE6">
      <w:pPr>
        <w:tabs>
          <w:tab w:val="left" w:pos="900"/>
          <w:tab w:val="left" w:pos="1080"/>
        </w:tabs>
        <w:spacing w:line="520" w:lineRule="exact"/>
        <w:ind w:firstLine="636" w:firstLineChars="199"/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（一）送审资料</w:t>
      </w:r>
    </w:p>
    <w:p w14:paraId="7903697D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1、仁发改和政数投审【2024】49号</w:t>
      </w:r>
    </w:p>
    <w:p w14:paraId="496CC10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2、仁发改和政数投审【2025】32号</w:t>
      </w:r>
    </w:p>
    <w:p w14:paraId="27577F1D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default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3、仁水批【2025】37号</w:t>
      </w:r>
    </w:p>
    <w:p w14:paraId="66CEDDF3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4、招标设计图册。</w:t>
      </w:r>
    </w:p>
    <w:p w14:paraId="32423231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Times New Roman" w:hAnsi="Times New Roman" w:eastAsia="仿宋_GB2312" w:cs="Times New Roman"/>
          <w:snapToGrid w:val="0"/>
          <w:color w:val="auto"/>
          <w:kern w:val="0"/>
          <w:sz w:val="32"/>
          <w:highlight w:val="none"/>
          <w:lang w:val="en-US" w:eastAsia="zh-CN"/>
        </w:rPr>
        <w:t>中国水利水电第十四工程局有限公司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编制的招标控制价及工程量计算书。</w:t>
      </w:r>
    </w:p>
    <w:p w14:paraId="526BA08A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4、建设单位出具的《关于对广东省仁化县县域自来水引调水工程招标控制价的说明》（2025年11月21日）。</w:t>
      </w:r>
    </w:p>
    <w:p w14:paraId="4B49E16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（二）执行规范及定额</w:t>
      </w:r>
    </w:p>
    <w:p w14:paraId="27D648F9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??" w:eastAsia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1、《水利工程工程量清单计价规范》（GB50501-2007）</w:t>
      </w:r>
      <w:r>
        <w:rPr>
          <w:rFonts w:hint="eastAsia" w:ascii="仿宋_GB2312" w:hAnsi="??" w:eastAsia="仿宋_GB2312"/>
          <w:color w:val="auto"/>
          <w:sz w:val="32"/>
          <w:szCs w:val="32"/>
          <w:highlight w:val="none"/>
          <w:lang w:eastAsia="zh-CN"/>
        </w:rPr>
        <w:t>。</w:t>
      </w:r>
    </w:p>
    <w:p w14:paraId="1C4BE25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2、广东省水利厅粤水建管〔2017〕37号文发布的《广东省水利水电工程设计概（估）算编制规定》。</w:t>
      </w:r>
    </w:p>
    <w:p w14:paraId="2BD26E6F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3、建筑工程：采用广东省水利厅粤水建管〔2017〕37号文发布的《广东省水利水电建筑工程预算定额》。</w:t>
      </w:r>
    </w:p>
    <w:p w14:paraId="0B052541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4、设备安装工程：采用广东省水利厅粤水建管〔2017〕37号文发布的《广东省水利水电设备安装工程预算定额》。</w:t>
      </w:r>
    </w:p>
    <w:p w14:paraId="79A07C37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5、施工机械台班费定额：采用广东省水利厅粤水建管〔2017〕37号文发布的《广东省水利水电建筑工程施工机械台班费定额》。</w:t>
      </w:r>
    </w:p>
    <w:p w14:paraId="6E652259">
      <w:pPr>
        <w:tabs>
          <w:tab w:val="left" w:pos="900"/>
          <w:tab w:val="left" w:pos="1080"/>
        </w:tabs>
        <w:spacing w:line="520" w:lineRule="exact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6、《水利水电工程设计工程量计算规定》（SL328-2005）。</w:t>
      </w:r>
      <w:r>
        <w:rPr>
          <w:rFonts w:hint="eastAsia" w:ascii="仿宋_GB2312" w:hAnsi="宋体" w:eastAsia="仿宋_GB2312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 w14:paraId="0BE18128">
      <w:pPr>
        <w:tabs>
          <w:tab w:val="left" w:pos="900"/>
          <w:tab w:val="left" w:pos="1080"/>
        </w:tabs>
        <w:spacing w:line="520" w:lineRule="exact"/>
        <w:ind w:firstLine="643" w:firstLineChars="200"/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三、其他说明</w:t>
      </w:r>
    </w:p>
    <w:p w14:paraId="2FEE509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kern w:val="0"/>
          <w:sz w:val="32"/>
          <w:szCs w:val="24"/>
          <w:highlight w:val="none"/>
          <w:lang w:val="en-US" w:eastAsia="zh-CN"/>
        </w:rPr>
        <w:t>根据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建设单位出具的《关于对广东省仁化县县域自来水引调水工程招标控制价的说明》（2025年11月21日），部分工程内容暂按如下计算：</w:t>
      </w:r>
    </w:p>
    <w:p w14:paraId="64595A4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1、隧洞前段0+000~ 2+692段位于保护区内，根据生态影响评价要求，该段不能使用钻爆法施工，Ⅳ和Ⅴ类围岩采用悬臂式掘进机开挖，长度2092m；Ⅲ类围岩及硬度60MPa以上的围岩暂按水磨石钻机开挖，长度600m。实施前，将进一步勘察分析围岩类别并通过比选论证确定合理的施工工艺,结算时按实际发生结算。</w:t>
      </w:r>
    </w:p>
    <w:p w14:paraId="01640F8D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2、由于水土保持、环境保护专项设计图纸待完善，监测、噪声防治、固体废料处理、降尘措施、施工人群卫生检疫等费用暂不计算，其他工程量及做法暂按送审计算,结算时按实际发生结算。</w:t>
      </w:r>
    </w:p>
    <w:p w14:paraId="70A06AC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3、因项目工期较短，施工条件复杂，现场用地限制，不宜采用搅拌场，本项目采用商品混凝土。施工仓库工程量暂按500m2、施工板房工程量暂按3380m2计算；</w:t>
      </w:r>
    </w:p>
    <w:p w14:paraId="629C17F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4、施工营地（板房）暂按3380m2计算，施工仓库暂按500m2计算，结算时按实际量计算；</w:t>
      </w:r>
    </w:p>
    <w:p w14:paraId="0990526D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5、土石方、拆除废料弃运运距：高坪电站尾水渠修复工程暂按8.4km计算；渡槽工程暂按5.8km计算；其他工程全部暂按6.5km计算，结算时按实际发生结算。</w:t>
      </w:r>
    </w:p>
    <w:p w14:paraId="34A65CB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6、本项目考虑预留金按（分部分项工程费+措施项目费+设备费）*10%计算，预留金投标时按给定金额统一报价，但并不属于承包人所有，也不必然发生，只能按照发包人(建设单位)的指示使用，其最终结算费用应以实际发生为准，其余额仍归发包人(建设单位)所有。该费用用于施工中可能发生的费用、工程变更、合同约定调整因素出现时的工程价款调整以及发生的索赔、现场签证、政策性调整，结算时按实际施工工作量，按招标文件、合同约定进行结算。</w:t>
      </w:r>
    </w:p>
    <w:p w14:paraId="11A8EE0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7、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  <w:t>本工程工程量根据设计图暂定计算；</w:t>
      </w:r>
    </w:p>
    <w:p w14:paraId="6DEB532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8、以上暂按暂定的计算项目，结算时按实际发生工程量及招标文件、施工合同，相关文件约定进行结算；</w:t>
      </w:r>
    </w:p>
    <w:p w14:paraId="4FD9225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9、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zh-CN" w:eastAsia="zh-CN"/>
        </w:rPr>
        <w:t>未详细说明项目按设计图册及图纸有关说明。</w:t>
      </w:r>
    </w:p>
    <w:p w14:paraId="1AAE6D1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default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10、</w:t>
      </w:r>
      <w:r>
        <w:rPr>
          <w:rFonts w:hint="default" w:ascii="仿宋_GB2312" w:hAnsi="宋体" w:eastAsia="仿宋_GB2312" w:cs="Times New Roman"/>
          <w:color w:val="auto"/>
          <w:sz w:val="32"/>
          <w:szCs w:val="32"/>
          <w:highlight w:val="none"/>
          <w:lang w:val="en-US" w:eastAsia="zh-CN"/>
        </w:rPr>
        <w:t>本工程办理结算审核时，需提供项目施工前、施工中、施工后的图像资料（由建设单位、监理单位、施工单位等项目参与单位共同签名盖章确认，含隐蔽工程验收记录）。</w:t>
      </w:r>
    </w:p>
    <w:p w14:paraId="6D7CC01B">
      <w:pPr>
        <w:keepNext w:val="0"/>
        <w:keepLines w:val="0"/>
        <w:pageBreakBefore w:val="0"/>
        <w:widowControl w:val="0"/>
        <w:numPr>
          <w:ilvl w:val="0"/>
          <w:numId w:val="0"/>
        </w:numPr>
        <w:suppressAutoHyphens/>
        <w:kinsoku/>
        <w:wordWrap/>
        <w:overflowPunct/>
        <w:topLinePunct w:val="0"/>
        <w:autoSpaceDE/>
        <w:autoSpaceDN/>
        <w:bidi w:val="0"/>
        <w:adjustRightInd w:val="0"/>
        <w:snapToGrid/>
        <w:spacing w:line="540" w:lineRule="exact"/>
        <w:jc w:val="left"/>
        <w:rPr>
          <w:rFonts w:hint="default" w:ascii="仿宋" w:hAnsi="仿宋" w:eastAsia="仿宋" w:cs="仿宋"/>
          <w:snapToGrid w:val="0"/>
          <w:color w:val="auto"/>
          <w:w w:val="100"/>
          <w:kern w:val="0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850" w:right="1417" w:bottom="45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YThiOGEwMzMyNzdhMzdhNTkyNmYzYmFhZWZlZmEifQ=="/>
  </w:docVars>
  <w:rsids>
    <w:rsidRoot w:val="713E16E8"/>
    <w:rsid w:val="001F303E"/>
    <w:rsid w:val="00625E51"/>
    <w:rsid w:val="00727D14"/>
    <w:rsid w:val="007C05EF"/>
    <w:rsid w:val="00B948B3"/>
    <w:rsid w:val="024711DF"/>
    <w:rsid w:val="02EA137D"/>
    <w:rsid w:val="03824055"/>
    <w:rsid w:val="03C3286F"/>
    <w:rsid w:val="064619F9"/>
    <w:rsid w:val="09482291"/>
    <w:rsid w:val="09B518C3"/>
    <w:rsid w:val="0BEC343E"/>
    <w:rsid w:val="0CB82A52"/>
    <w:rsid w:val="0D080F7F"/>
    <w:rsid w:val="0D556B2E"/>
    <w:rsid w:val="0DA8159E"/>
    <w:rsid w:val="0DAE56FB"/>
    <w:rsid w:val="10074FA7"/>
    <w:rsid w:val="10216B64"/>
    <w:rsid w:val="117009AE"/>
    <w:rsid w:val="13F21F56"/>
    <w:rsid w:val="14876E6C"/>
    <w:rsid w:val="15120EDC"/>
    <w:rsid w:val="151B1C30"/>
    <w:rsid w:val="1529426A"/>
    <w:rsid w:val="15E95B7F"/>
    <w:rsid w:val="17F43F68"/>
    <w:rsid w:val="18805A8F"/>
    <w:rsid w:val="19D60334"/>
    <w:rsid w:val="19FB43A5"/>
    <w:rsid w:val="1A0C2973"/>
    <w:rsid w:val="1B5D6177"/>
    <w:rsid w:val="1B9A461E"/>
    <w:rsid w:val="21C60A5C"/>
    <w:rsid w:val="220209AB"/>
    <w:rsid w:val="221C5F55"/>
    <w:rsid w:val="23844E57"/>
    <w:rsid w:val="25E0500F"/>
    <w:rsid w:val="262F4618"/>
    <w:rsid w:val="27617BEF"/>
    <w:rsid w:val="29446030"/>
    <w:rsid w:val="2A2715DD"/>
    <w:rsid w:val="2CA2633B"/>
    <w:rsid w:val="2CC36E16"/>
    <w:rsid w:val="2CC36E42"/>
    <w:rsid w:val="2D480837"/>
    <w:rsid w:val="2D8D6895"/>
    <w:rsid w:val="2DA37DF5"/>
    <w:rsid w:val="2E1054B0"/>
    <w:rsid w:val="2ECF76CF"/>
    <w:rsid w:val="2FB52BC1"/>
    <w:rsid w:val="3030697B"/>
    <w:rsid w:val="307D0CDB"/>
    <w:rsid w:val="319E09A5"/>
    <w:rsid w:val="330870A4"/>
    <w:rsid w:val="348F2DD7"/>
    <w:rsid w:val="35491EDE"/>
    <w:rsid w:val="354A0F31"/>
    <w:rsid w:val="358C6356"/>
    <w:rsid w:val="35F00533"/>
    <w:rsid w:val="35F41BFC"/>
    <w:rsid w:val="36444FCA"/>
    <w:rsid w:val="37CF76C8"/>
    <w:rsid w:val="398D0612"/>
    <w:rsid w:val="3AFA683F"/>
    <w:rsid w:val="3BA92C34"/>
    <w:rsid w:val="3C9E39FD"/>
    <w:rsid w:val="3D933A31"/>
    <w:rsid w:val="3D9D2CCD"/>
    <w:rsid w:val="3DA03F39"/>
    <w:rsid w:val="3E2F4E72"/>
    <w:rsid w:val="3F7A63C2"/>
    <w:rsid w:val="402E1D3F"/>
    <w:rsid w:val="41BD737C"/>
    <w:rsid w:val="42696DA2"/>
    <w:rsid w:val="42B272E8"/>
    <w:rsid w:val="43B94141"/>
    <w:rsid w:val="442F268D"/>
    <w:rsid w:val="47414799"/>
    <w:rsid w:val="482B1701"/>
    <w:rsid w:val="48CB5453"/>
    <w:rsid w:val="48DF7117"/>
    <w:rsid w:val="4AA406F0"/>
    <w:rsid w:val="4B122A41"/>
    <w:rsid w:val="4B1B5FB8"/>
    <w:rsid w:val="4BA34B8C"/>
    <w:rsid w:val="4CDF47AB"/>
    <w:rsid w:val="4CF47616"/>
    <w:rsid w:val="4D0B3AFD"/>
    <w:rsid w:val="4F77691C"/>
    <w:rsid w:val="515733E7"/>
    <w:rsid w:val="553E6087"/>
    <w:rsid w:val="55D2123A"/>
    <w:rsid w:val="581043D4"/>
    <w:rsid w:val="58AF5D1C"/>
    <w:rsid w:val="58EF1411"/>
    <w:rsid w:val="595C57B0"/>
    <w:rsid w:val="5DAA666C"/>
    <w:rsid w:val="5E4C66DB"/>
    <w:rsid w:val="5EEB5943"/>
    <w:rsid w:val="5FAE14AC"/>
    <w:rsid w:val="61640A02"/>
    <w:rsid w:val="62001E71"/>
    <w:rsid w:val="633D3BE3"/>
    <w:rsid w:val="636B027A"/>
    <w:rsid w:val="639500A7"/>
    <w:rsid w:val="640C1262"/>
    <w:rsid w:val="6448234D"/>
    <w:rsid w:val="64FB3E4B"/>
    <w:rsid w:val="65746D3E"/>
    <w:rsid w:val="671963D7"/>
    <w:rsid w:val="6783229F"/>
    <w:rsid w:val="68B536B2"/>
    <w:rsid w:val="68C618BF"/>
    <w:rsid w:val="68C867C5"/>
    <w:rsid w:val="69285A6D"/>
    <w:rsid w:val="6A6275A1"/>
    <w:rsid w:val="6B656390"/>
    <w:rsid w:val="6CB23E94"/>
    <w:rsid w:val="6D461FF8"/>
    <w:rsid w:val="6E01324F"/>
    <w:rsid w:val="6E5713B9"/>
    <w:rsid w:val="6F6614F5"/>
    <w:rsid w:val="6FE4229B"/>
    <w:rsid w:val="701C5676"/>
    <w:rsid w:val="709920C2"/>
    <w:rsid w:val="70E00799"/>
    <w:rsid w:val="713E16E8"/>
    <w:rsid w:val="71CB7143"/>
    <w:rsid w:val="72C5513F"/>
    <w:rsid w:val="75606BF7"/>
    <w:rsid w:val="7567426F"/>
    <w:rsid w:val="77682AC6"/>
    <w:rsid w:val="77F87F89"/>
    <w:rsid w:val="78935C36"/>
    <w:rsid w:val="79CA2E50"/>
    <w:rsid w:val="7A4169D3"/>
    <w:rsid w:val="7A58338F"/>
    <w:rsid w:val="7AE53606"/>
    <w:rsid w:val="7CF131F1"/>
    <w:rsid w:val="7D53138D"/>
    <w:rsid w:val="7DAB6B5B"/>
    <w:rsid w:val="7E2761AA"/>
    <w:rsid w:val="7FF5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ind w:firstLine="560" w:firstLineChars="200"/>
    </w:pPr>
    <w:rPr>
      <w:rFonts w:eastAsia="宋体"/>
      <w:sz w:val="28"/>
    </w:rPr>
  </w:style>
  <w:style w:type="paragraph" w:styleId="4">
    <w:name w:val="annotation text"/>
    <w:basedOn w:val="1"/>
    <w:qFormat/>
    <w:uiPriority w:val="0"/>
    <w:pPr>
      <w:adjustRightInd w:val="0"/>
      <w:spacing w:line="360" w:lineRule="atLeast"/>
      <w:jc w:val="left"/>
      <w:textAlignment w:val="baseline"/>
    </w:pPr>
    <w:rPr>
      <w:rFonts w:ascii="宋体"/>
      <w:kern w:val="0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1556</Words>
  <Characters>1714</Characters>
  <Lines>8</Lines>
  <Paragraphs>2</Paragraphs>
  <TotalTime>3</TotalTime>
  <ScaleCrop>false</ScaleCrop>
  <LinksUpToDate>false</LinksUpToDate>
  <CharactersWithSpaces>1721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2020-03-21T03:06:00Z</dcterms:created>
  <dc:creator>七苇。</dc:creator>
  <cp:lastModifiedBy>芳</cp:lastModifiedBy>
  <cp:lastPrinted>2024-05-28T08:20:00Z</cp:lastPrinted>
  <dcterms:modified xsi:type="dcterms:W3CDTF">2025-11-24T10:00:04Z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862C0E470A974CEDA063F5F1F32DD759_13</vt:lpwstr>
  </property>
  <property fmtid="{D5CDD505-2E9C-101B-9397-08002B2CF9AE}" pid="4" name="KSOTemplateDocerSaveRecord">
    <vt:lpwstr>eyJoZGlkIjoiOWYwY2Q3MGY4ZDMyZGY4MTU0MzQxNGZhNDViMzY4OTQiLCJ1c2VySWQiOiI1MjAzMzA5NjEifQ==</vt:lpwstr>
  </property>
</Properties>
</file>