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FF53E3">
      <w:pPr>
        <w:pStyle w:val="140"/>
        <w:wordWrap w:val="0"/>
        <w:adjustRightInd w:val="0"/>
        <w:snapToGrid w:val="0"/>
        <w:spacing w:line="360" w:lineRule="auto"/>
        <w:jc w:val="center"/>
        <w:rPr>
          <w:rFonts w:hint="eastAsia" w:ascii="宋体" w:hAnsi="宋体" w:eastAsia="宋体" w:cs="宋体"/>
          <w:b/>
          <w:bCs w:val="0"/>
          <w:snapToGrid w:val="0"/>
          <w:color w:val="auto"/>
          <w:kern w:val="0"/>
          <w:sz w:val="48"/>
          <w:szCs w:val="48"/>
          <w:highlight w:val="none"/>
          <w:lang w:val="en-US" w:eastAsia="zh-CN"/>
        </w:rPr>
      </w:pPr>
    </w:p>
    <w:p w14:paraId="117D76C2">
      <w:pPr>
        <w:pStyle w:val="140"/>
        <w:wordWrap w:val="0"/>
        <w:adjustRightInd w:val="0"/>
        <w:snapToGrid w:val="0"/>
        <w:spacing w:line="360" w:lineRule="auto"/>
        <w:jc w:val="center"/>
        <w:rPr>
          <w:rFonts w:hint="default" w:ascii="宋体" w:hAnsi="宋体" w:eastAsia="宋体" w:cs="宋体"/>
          <w:b/>
          <w:bCs w:val="0"/>
          <w:snapToGrid w:val="0"/>
          <w:color w:val="auto"/>
          <w:kern w:val="0"/>
          <w:sz w:val="44"/>
          <w:szCs w:val="44"/>
          <w:highlight w:val="none"/>
          <w:lang w:val="en-US"/>
        </w:rPr>
      </w:pPr>
      <w:r>
        <w:rPr>
          <w:rFonts w:hint="eastAsia" w:ascii="宋体" w:hAnsi="宋体" w:eastAsia="宋体" w:cs="宋体"/>
          <w:b/>
          <w:bCs w:val="0"/>
          <w:snapToGrid w:val="0"/>
          <w:color w:val="auto"/>
          <w:kern w:val="0"/>
          <w:sz w:val="44"/>
          <w:szCs w:val="44"/>
          <w:highlight w:val="none"/>
          <w:lang w:val="en-US" w:eastAsia="zh-CN"/>
        </w:rPr>
        <w:t>南雄市“银杏染秋”乡村振兴示范带建设项目-南雄市全安镇典型村建设项目施工监理（第二次）</w:t>
      </w:r>
    </w:p>
    <w:p w14:paraId="389A4A8E">
      <w:pPr>
        <w:pStyle w:val="140"/>
        <w:wordWrap w:val="0"/>
        <w:adjustRightInd w:val="0"/>
        <w:snapToGrid w:val="0"/>
        <w:spacing w:line="360" w:lineRule="auto"/>
        <w:jc w:val="center"/>
        <w:rPr>
          <w:rFonts w:hint="eastAsia" w:ascii="宋体" w:hAnsi="宋体" w:eastAsia="宋体" w:cs="宋体"/>
          <w:b/>
          <w:bCs/>
          <w:snapToGrid w:val="0"/>
          <w:color w:val="auto"/>
          <w:kern w:val="0"/>
          <w:sz w:val="72"/>
          <w:szCs w:val="72"/>
          <w:highlight w:val="none"/>
        </w:rPr>
      </w:pPr>
    </w:p>
    <w:p w14:paraId="22CC5CED">
      <w:pPr>
        <w:pStyle w:val="140"/>
        <w:wordWrap w:val="0"/>
        <w:adjustRightInd w:val="0"/>
        <w:snapToGrid w:val="0"/>
        <w:spacing w:line="360" w:lineRule="auto"/>
        <w:jc w:val="center"/>
        <w:rPr>
          <w:rFonts w:hint="eastAsia" w:ascii="黑体" w:hAnsi="黑体" w:eastAsia="黑体" w:cs="黑体"/>
          <w:b/>
          <w:bCs/>
          <w:snapToGrid w:val="0"/>
          <w:color w:val="auto"/>
          <w:kern w:val="0"/>
          <w:sz w:val="72"/>
          <w:szCs w:val="72"/>
          <w:highlight w:val="none"/>
        </w:rPr>
      </w:pPr>
      <w:r>
        <w:rPr>
          <w:rFonts w:hint="eastAsia" w:ascii="黑体" w:hAnsi="黑体" w:eastAsia="黑体" w:cs="黑体"/>
          <w:b/>
          <w:bCs/>
          <w:snapToGrid w:val="0"/>
          <w:color w:val="auto"/>
          <w:kern w:val="0"/>
          <w:sz w:val="72"/>
          <w:szCs w:val="72"/>
          <w:highlight w:val="none"/>
        </w:rPr>
        <w:t>招标文件</w:t>
      </w:r>
    </w:p>
    <w:p w14:paraId="4E6E5FEB">
      <w:pPr>
        <w:pStyle w:val="140"/>
        <w:wordWrap w:val="0"/>
        <w:adjustRightInd w:val="0"/>
        <w:snapToGrid w:val="0"/>
        <w:spacing w:line="360" w:lineRule="auto"/>
        <w:jc w:val="center"/>
        <w:rPr>
          <w:rFonts w:hint="eastAsia" w:ascii="黑体" w:hAnsi="黑体" w:eastAsia="黑体" w:cs="黑体"/>
          <w:b/>
          <w:bCs/>
          <w:snapToGrid w:val="0"/>
          <w:color w:val="auto"/>
          <w:kern w:val="0"/>
          <w:sz w:val="72"/>
          <w:szCs w:val="72"/>
          <w:highlight w:val="none"/>
        </w:rPr>
      </w:pPr>
    </w:p>
    <w:p w14:paraId="432118D0">
      <w:pPr>
        <w:pStyle w:val="11"/>
        <w:rPr>
          <w:rFonts w:hint="eastAsia" w:ascii="宋体" w:hAnsi="宋体" w:eastAsia="宋体" w:cs="宋体"/>
          <w:color w:val="auto"/>
          <w:highlight w:val="none"/>
        </w:rPr>
      </w:pPr>
    </w:p>
    <w:tbl>
      <w:tblPr>
        <w:tblStyle w:val="32"/>
        <w:tblW w:w="9560" w:type="dxa"/>
        <w:tblInd w:w="68" w:type="dxa"/>
        <w:tblLayout w:type="fixed"/>
        <w:tblCellMar>
          <w:top w:w="0" w:type="dxa"/>
          <w:left w:w="0" w:type="dxa"/>
          <w:bottom w:w="0" w:type="dxa"/>
          <w:right w:w="0" w:type="dxa"/>
        </w:tblCellMar>
      </w:tblPr>
      <w:tblGrid>
        <w:gridCol w:w="4540"/>
        <w:gridCol w:w="5020"/>
      </w:tblGrid>
      <w:tr w14:paraId="1524BB3D">
        <w:tblPrEx>
          <w:tblCellMar>
            <w:top w:w="0" w:type="dxa"/>
            <w:left w:w="0" w:type="dxa"/>
            <w:bottom w:w="0" w:type="dxa"/>
            <w:right w:w="0" w:type="dxa"/>
          </w:tblCellMar>
        </w:tblPrEx>
        <w:trPr>
          <w:trHeight w:val="1017" w:hRule="atLeast"/>
        </w:trPr>
        <w:tc>
          <w:tcPr>
            <w:tcW w:w="4540" w:type="dxa"/>
            <w:noWrap w:val="0"/>
            <w:vAlign w:val="center"/>
          </w:tcPr>
          <w:p w14:paraId="274948F4">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noWrap w:val="0"/>
            <w:vAlign w:val="center"/>
          </w:tcPr>
          <w:p w14:paraId="237BD127">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南雄市全安镇人民政府</w:t>
            </w:r>
          </w:p>
        </w:tc>
      </w:tr>
      <w:tr w14:paraId="6670FE30">
        <w:tblPrEx>
          <w:tblCellMar>
            <w:top w:w="0" w:type="dxa"/>
            <w:left w:w="0" w:type="dxa"/>
            <w:bottom w:w="0" w:type="dxa"/>
            <w:right w:w="0" w:type="dxa"/>
          </w:tblCellMar>
        </w:tblPrEx>
        <w:trPr>
          <w:trHeight w:val="875" w:hRule="atLeast"/>
        </w:trPr>
        <w:tc>
          <w:tcPr>
            <w:tcW w:w="4540" w:type="dxa"/>
            <w:noWrap w:val="0"/>
            <w:vAlign w:val="center"/>
          </w:tcPr>
          <w:p w14:paraId="7A782361">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noWrap w:val="0"/>
            <w:vAlign w:val="center"/>
          </w:tcPr>
          <w:p w14:paraId="548D1327">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77FEE50D">
        <w:tblPrEx>
          <w:tblCellMar>
            <w:top w:w="0" w:type="dxa"/>
            <w:left w:w="0" w:type="dxa"/>
            <w:bottom w:w="0" w:type="dxa"/>
            <w:right w:w="0" w:type="dxa"/>
          </w:tblCellMar>
        </w:tblPrEx>
        <w:trPr>
          <w:trHeight w:val="965" w:hRule="atLeast"/>
        </w:trPr>
        <w:tc>
          <w:tcPr>
            <w:tcW w:w="4540" w:type="dxa"/>
            <w:noWrap w:val="0"/>
            <w:vAlign w:val="center"/>
          </w:tcPr>
          <w:p w14:paraId="5AC775E9">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noWrap w:val="0"/>
            <w:vAlign w:val="center"/>
          </w:tcPr>
          <w:p w14:paraId="78D21764">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r>
              <w:rPr>
                <w:rFonts w:hint="eastAsia" w:ascii="宋体" w:hAnsi="宋体" w:eastAsia="宋体" w:cs="宋体"/>
                <w:snapToGrid w:val="0"/>
                <w:color w:val="auto"/>
                <w:kern w:val="0"/>
                <w:sz w:val="28"/>
                <w:szCs w:val="28"/>
                <w:highlight w:val="none"/>
                <w:lang w:eastAsia="zh-CN"/>
              </w:rPr>
              <w:t>韶关市汇富信息咨询有限公司</w:t>
            </w:r>
          </w:p>
        </w:tc>
      </w:tr>
      <w:tr w14:paraId="107E2A96">
        <w:tblPrEx>
          <w:tblCellMar>
            <w:top w:w="0" w:type="dxa"/>
            <w:left w:w="0" w:type="dxa"/>
            <w:bottom w:w="0" w:type="dxa"/>
            <w:right w:w="0" w:type="dxa"/>
          </w:tblCellMar>
        </w:tblPrEx>
        <w:trPr>
          <w:trHeight w:val="810" w:hRule="atLeast"/>
        </w:trPr>
        <w:tc>
          <w:tcPr>
            <w:tcW w:w="4540" w:type="dxa"/>
            <w:noWrap w:val="0"/>
            <w:vAlign w:val="center"/>
          </w:tcPr>
          <w:p w14:paraId="037A8B78">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编</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人（签字）：</w:t>
            </w:r>
          </w:p>
        </w:tc>
        <w:tc>
          <w:tcPr>
            <w:tcW w:w="5020" w:type="dxa"/>
            <w:noWrap w:val="0"/>
            <w:vAlign w:val="center"/>
          </w:tcPr>
          <w:p w14:paraId="3BDD9B53">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3468CE01">
        <w:tblPrEx>
          <w:tblCellMar>
            <w:top w:w="0" w:type="dxa"/>
            <w:left w:w="0" w:type="dxa"/>
            <w:bottom w:w="0" w:type="dxa"/>
            <w:right w:w="0" w:type="dxa"/>
          </w:tblCellMar>
        </w:tblPrEx>
        <w:trPr>
          <w:trHeight w:val="945" w:hRule="atLeast"/>
        </w:trPr>
        <w:tc>
          <w:tcPr>
            <w:tcW w:w="4540" w:type="dxa"/>
            <w:tcBorders>
              <w:bottom w:val="nil"/>
            </w:tcBorders>
            <w:noWrap w:val="0"/>
            <w:vAlign w:val="center"/>
          </w:tcPr>
          <w:p w14:paraId="26ACF955">
            <w:pPr>
              <w:pStyle w:val="59"/>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tcBorders>
              <w:bottom w:val="nil"/>
            </w:tcBorders>
            <w:noWrap w:val="0"/>
            <w:vAlign w:val="center"/>
          </w:tcPr>
          <w:p w14:paraId="3F408789">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szCs w:val="28"/>
                <w:highlight w:val="none"/>
              </w:rPr>
            </w:pPr>
          </w:p>
        </w:tc>
      </w:tr>
      <w:tr w14:paraId="30AD14D3">
        <w:tblPrEx>
          <w:tblCellMar>
            <w:top w:w="0" w:type="dxa"/>
            <w:left w:w="0" w:type="dxa"/>
            <w:bottom w:w="0" w:type="dxa"/>
            <w:right w:w="0" w:type="dxa"/>
          </w:tblCellMar>
        </w:tblPrEx>
        <w:trPr>
          <w:trHeight w:val="892" w:hRule="atLeast"/>
        </w:trPr>
        <w:tc>
          <w:tcPr>
            <w:tcW w:w="4540" w:type="dxa"/>
            <w:tcBorders>
              <w:top w:val="nil"/>
              <w:left w:val="nil"/>
              <w:bottom w:val="nil"/>
              <w:right w:val="nil"/>
            </w:tcBorders>
            <w:noWrap w:val="0"/>
            <w:vAlign w:val="center"/>
          </w:tcPr>
          <w:p w14:paraId="69F32F18">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文</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编</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制</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日</w:t>
            </w:r>
            <w:r>
              <w:rPr>
                <w:rFonts w:hint="eastAsia" w:ascii="宋体" w:hAnsi="宋体" w:eastAsia="宋体" w:cs="宋体"/>
                <w:snapToGrid w:val="0"/>
                <w:color w:val="auto"/>
                <w:kern w:val="0"/>
                <w:sz w:val="28"/>
                <w:highlight w:val="none"/>
                <w:lang w:val="en-US" w:eastAsia="zh-CN"/>
              </w:rPr>
              <w:t xml:space="preserve">  </w:t>
            </w:r>
            <w:r>
              <w:rPr>
                <w:rFonts w:hint="eastAsia" w:ascii="宋体" w:hAnsi="宋体" w:eastAsia="宋体" w:cs="宋体"/>
                <w:snapToGrid w:val="0"/>
                <w:color w:val="auto"/>
                <w:kern w:val="0"/>
                <w:sz w:val="28"/>
                <w:highlight w:val="none"/>
              </w:rPr>
              <w:t>期：</w:t>
            </w:r>
          </w:p>
        </w:tc>
        <w:tc>
          <w:tcPr>
            <w:tcW w:w="5020" w:type="dxa"/>
            <w:tcBorders>
              <w:top w:val="nil"/>
              <w:left w:val="nil"/>
              <w:bottom w:val="nil"/>
              <w:right w:val="nil"/>
            </w:tcBorders>
            <w:noWrap w:val="0"/>
            <w:vAlign w:val="center"/>
          </w:tcPr>
          <w:p w14:paraId="6FB3C224">
            <w:pPr>
              <w:pStyle w:val="59"/>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2026</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9</w:t>
            </w:r>
            <w:r>
              <w:rPr>
                <w:rFonts w:hint="eastAsia" w:ascii="宋体" w:hAnsi="宋体" w:eastAsia="宋体" w:cs="宋体"/>
                <w:snapToGrid w:val="0"/>
                <w:color w:val="auto"/>
                <w:kern w:val="0"/>
                <w:sz w:val="28"/>
                <w:highlight w:val="none"/>
              </w:rPr>
              <w:t>月</w:t>
            </w:r>
          </w:p>
        </w:tc>
      </w:tr>
    </w:tbl>
    <w:p w14:paraId="713D3F51">
      <w:pPr>
        <w:pStyle w:val="140"/>
        <w:wordWrap w:val="0"/>
        <w:adjustRightInd w:val="0"/>
        <w:snapToGrid w:val="0"/>
        <w:spacing w:line="360" w:lineRule="auto"/>
        <w:jc w:val="both"/>
        <w:rPr>
          <w:rFonts w:hint="eastAsia" w:ascii="Times New Roman" w:hAnsi="Times New Roman" w:eastAsia="宋体" w:cs="Times New Roman"/>
          <w:b/>
          <w:snapToGrid w:val="0"/>
          <w:color w:val="auto"/>
          <w:kern w:val="0"/>
          <w:sz w:val="44"/>
          <w:szCs w:val="44"/>
          <w:highlight w:val="none"/>
          <w:lang w:eastAsia="zh-CN"/>
        </w:rPr>
      </w:pPr>
    </w:p>
    <w:p w14:paraId="08990CEB">
      <w:pPr>
        <w:tabs>
          <w:tab w:val="left" w:pos="4935"/>
        </w:tabs>
        <w:wordWrap w:val="0"/>
        <w:adjustRightInd w:val="0"/>
        <w:snapToGrid w:val="0"/>
        <w:jc w:val="center"/>
        <w:rPr>
          <w:rFonts w:hint="eastAsia" w:ascii="Times New Roman"/>
          <w:b/>
          <w:snapToGrid w:val="0"/>
          <w:color w:val="auto"/>
          <w:kern w:val="0"/>
          <w:sz w:val="28"/>
          <w:szCs w:val="28"/>
          <w:highlight w:val="none"/>
        </w:rPr>
        <w:sectPr>
          <w:footerReference r:id="rId5" w:type="default"/>
          <w:endnotePr>
            <w:numFmt w:val="decimal"/>
          </w:endnotePr>
          <w:pgSz w:w="11906" w:h="16838"/>
          <w:pgMar w:top="1361" w:right="1247" w:bottom="1361" w:left="1247" w:header="850" w:footer="992" w:gutter="0"/>
          <w:pgBorders>
            <w:top w:val="none" w:sz="0" w:space="0"/>
            <w:left w:val="none" w:sz="0" w:space="0"/>
            <w:bottom w:val="none" w:sz="0" w:space="0"/>
            <w:right w:val="none" w:sz="0" w:space="0"/>
          </w:pgBorders>
          <w:pgNumType w:start="1"/>
          <w:cols w:space="720" w:num="1"/>
          <w:rtlGutter w:val="0"/>
          <w:docGrid w:linePitch="327" w:charSpace="0"/>
        </w:sectPr>
      </w:pPr>
    </w:p>
    <w:p w14:paraId="65C97C1D">
      <w:pPr>
        <w:spacing w:line="240" w:lineRule="auto"/>
        <w:jc w:val="center"/>
        <w:rPr>
          <w:b/>
          <w:bCs/>
          <w:color w:val="auto"/>
          <w:sz w:val="44"/>
          <w:szCs w:val="32"/>
          <w:highlight w:val="none"/>
        </w:rPr>
      </w:pPr>
      <w:r>
        <w:rPr>
          <w:rFonts w:hAnsi="宋体"/>
          <w:b/>
          <w:bCs/>
          <w:color w:val="auto"/>
          <w:sz w:val="36"/>
          <w:szCs w:val="32"/>
          <w:highlight w:val="none"/>
        </w:rPr>
        <w:t>目</w:t>
      </w:r>
      <w:r>
        <w:rPr>
          <w:rFonts w:hint="eastAsia" w:hAnsi="宋体"/>
          <w:b/>
          <w:bCs/>
          <w:color w:val="auto"/>
          <w:sz w:val="36"/>
          <w:szCs w:val="32"/>
          <w:highlight w:val="none"/>
        </w:rPr>
        <w:t xml:space="preserve">  </w:t>
      </w:r>
      <w:r>
        <w:rPr>
          <w:rFonts w:hAnsi="宋体"/>
          <w:b/>
          <w:bCs/>
          <w:color w:val="auto"/>
          <w:sz w:val="36"/>
          <w:szCs w:val="32"/>
          <w:highlight w:val="none"/>
        </w:rPr>
        <w:t>录</w:t>
      </w:r>
    </w:p>
    <w:p w14:paraId="406E1CA9">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TOC \o "1-3" \h \u </w:instrText>
      </w:r>
      <w:r>
        <w:rPr>
          <w:rFonts w:hint="eastAsia" w:hAnsi="宋体" w:cs="宋体"/>
          <w:color w:val="auto"/>
          <w:szCs w:val="24"/>
          <w:highlight w:val="none"/>
        </w:rPr>
        <w:fldChar w:fldCharType="separate"/>
      </w: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_Toc10652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第一章 投标人须知</w:t>
      </w:r>
      <w:r>
        <w:rPr>
          <w:b/>
          <w:bCs/>
          <w:color w:val="auto"/>
          <w:highlight w:val="none"/>
        </w:rPr>
        <w:tab/>
      </w:r>
      <w:r>
        <w:rPr>
          <w:b/>
          <w:bCs/>
          <w:color w:val="auto"/>
          <w:highlight w:val="none"/>
        </w:rPr>
        <w:fldChar w:fldCharType="begin"/>
      </w:r>
      <w:r>
        <w:rPr>
          <w:b/>
          <w:bCs/>
          <w:color w:val="auto"/>
          <w:highlight w:val="none"/>
        </w:rPr>
        <w:instrText xml:space="preserve"> PAGEREF _Toc10652 \h </w:instrText>
      </w:r>
      <w:r>
        <w:rPr>
          <w:b/>
          <w:bCs/>
          <w:color w:val="auto"/>
          <w:highlight w:val="none"/>
        </w:rPr>
        <w:fldChar w:fldCharType="separate"/>
      </w:r>
      <w:r>
        <w:rPr>
          <w:b/>
          <w:bCs/>
          <w:color w:val="auto"/>
          <w:highlight w:val="none"/>
        </w:rPr>
        <w:t>3</w:t>
      </w:r>
      <w:r>
        <w:rPr>
          <w:b/>
          <w:bCs/>
          <w:color w:val="auto"/>
          <w:highlight w:val="none"/>
        </w:rPr>
        <w:fldChar w:fldCharType="end"/>
      </w:r>
      <w:r>
        <w:rPr>
          <w:rFonts w:hint="eastAsia" w:hAnsi="宋体" w:cs="宋体"/>
          <w:b/>
          <w:bCs/>
          <w:color w:val="auto"/>
          <w:szCs w:val="24"/>
          <w:highlight w:val="none"/>
        </w:rPr>
        <w:fldChar w:fldCharType="end"/>
      </w:r>
    </w:p>
    <w:p w14:paraId="342E1925">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_Toc5307 </w:instrText>
      </w:r>
      <w:r>
        <w:rPr>
          <w:rFonts w:hint="eastAsia" w:hAnsi="宋体" w:cs="宋体"/>
          <w:color w:val="auto"/>
          <w:szCs w:val="24"/>
          <w:highlight w:val="none"/>
        </w:rPr>
        <w:fldChar w:fldCharType="separate"/>
      </w:r>
      <w:r>
        <w:rPr>
          <w:rFonts w:hint="eastAsia" w:ascii="Times New Roman"/>
          <w:snapToGrid w:val="0"/>
          <w:color w:val="auto"/>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_Toc5307 \h </w:instrText>
      </w:r>
      <w:r>
        <w:rPr>
          <w:color w:val="auto"/>
          <w:highlight w:val="none"/>
        </w:rPr>
        <w:fldChar w:fldCharType="separate"/>
      </w:r>
      <w:r>
        <w:rPr>
          <w:color w:val="auto"/>
          <w:highlight w:val="none"/>
        </w:rPr>
        <w:t>3</w:t>
      </w:r>
      <w:r>
        <w:rPr>
          <w:color w:val="auto"/>
          <w:highlight w:val="none"/>
        </w:rPr>
        <w:fldChar w:fldCharType="end"/>
      </w:r>
      <w:r>
        <w:rPr>
          <w:rFonts w:hint="eastAsia" w:hAnsi="宋体" w:cs="宋体"/>
          <w:color w:val="auto"/>
          <w:szCs w:val="24"/>
          <w:highlight w:val="none"/>
        </w:rPr>
        <w:fldChar w:fldCharType="end"/>
      </w:r>
    </w:p>
    <w:p w14:paraId="3F5C8FF3">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_Toc32223 </w:instrText>
      </w:r>
      <w:r>
        <w:rPr>
          <w:rFonts w:hint="eastAsia" w:hAnsi="宋体" w:cs="宋体"/>
          <w:color w:val="auto"/>
          <w:szCs w:val="24"/>
          <w:highlight w:val="none"/>
        </w:rPr>
        <w:fldChar w:fldCharType="separate"/>
      </w:r>
      <w:r>
        <w:rPr>
          <w:rFonts w:hint="eastAsia" w:ascii="Times New Roman"/>
          <w:snapToGrid w:val="0"/>
          <w:color w:val="auto"/>
          <w:highlight w:val="none"/>
        </w:rPr>
        <w:t>第二节 重要事项时间地点一览表</w:t>
      </w:r>
      <w:r>
        <w:rPr>
          <w:color w:val="auto"/>
          <w:highlight w:val="none"/>
        </w:rPr>
        <w:tab/>
      </w:r>
      <w:r>
        <w:rPr>
          <w:color w:val="auto"/>
          <w:highlight w:val="none"/>
        </w:rPr>
        <w:fldChar w:fldCharType="begin"/>
      </w:r>
      <w:r>
        <w:rPr>
          <w:color w:val="auto"/>
          <w:highlight w:val="none"/>
        </w:rPr>
        <w:instrText xml:space="preserve"> PAGEREF _Toc32223 \h </w:instrText>
      </w:r>
      <w:r>
        <w:rPr>
          <w:color w:val="auto"/>
          <w:highlight w:val="none"/>
        </w:rPr>
        <w:fldChar w:fldCharType="separate"/>
      </w:r>
      <w:r>
        <w:rPr>
          <w:color w:val="auto"/>
          <w:highlight w:val="none"/>
        </w:rPr>
        <w:t>10</w:t>
      </w:r>
      <w:r>
        <w:rPr>
          <w:color w:val="auto"/>
          <w:highlight w:val="none"/>
        </w:rPr>
        <w:fldChar w:fldCharType="end"/>
      </w:r>
      <w:r>
        <w:rPr>
          <w:rFonts w:hint="eastAsia" w:hAnsi="宋体" w:cs="宋体"/>
          <w:color w:val="auto"/>
          <w:szCs w:val="24"/>
          <w:highlight w:val="none"/>
        </w:rPr>
        <w:fldChar w:fldCharType="end"/>
      </w:r>
    </w:p>
    <w:p w14:paraId="544AB4EB">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_Toc9819 </w:instrText>
      </w:r>
      <w:r>
        <w:rPr>
          <w:rFonts w:hint="eastAsia" w:hAnsi="宋体" w:cs="宋体"/>
          <w:color w:val="auto"/>
          <w:szCs w:val="24"/>
          <w:highlight w:val="none"/>
        </w:rPr>
        <w:fldChar w:fldCharType="separate"/>
      </w:r>
      <w:r>
        <w:rPr>
          <w:rFonts w:hint="eastAsia"/>
          <w:bCs/>
          <w:color w:val="auto"/>
          <w:highlight w:val="none"/>
        </w:rPr>
        <w:t>第三节 投标人须知正文</w:t>
      </w:r>
      <w:r>
        <w:rPr>
          <w:color w:val="auto"/>
          <w:highlight w:val="none"/>
        </w:rPr>
        <w:tab/>
      </w:r>
      <w:r>
        <w:rPr>
          <w:color w:val="auto"/>
          <w:highlight w:val="none"/>
        </w:rPr>
        <w:fldChar w:fldCharType="begin"/>
      </w:r>
      <w:r>
        <w:rPr>
          <w:color w:val="auto"/>
          <w:highlight w:val="none"/>
        </w:rPr>
        <w:instrText xml:space="preserve"> PAGEREF _Toc9819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349F4C6E">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_Toc5851 </w:instrText>
      </w:r>
      <w:r>
        <w:rPr>
          <w:rFonts w:hint="eastAsia" w:hAnsi="宋体" w:cs="宋体"/>
          <w:color w:val="auto"/>
          <w:szCs w:val="24"/>
          <w:highlight w:val="none"/>
        </w:rPr>
        <w:fldChar w:fldCharType="separate"/>
      </w:r>
      <w:r>
        <w:rPr>
          <w:rFonts w:hint="eastAsia"/>
          <w:bCs/>
          <w:snapToGrid w:val="0"/>
          <w:color w:val="auto"/>
          <w:kern w:val="0"/>
          <w:highlight w:val="none"/>
        </w:rPr>
        <w:t>1．项目概况、招标范围和标段划分、投标费用</w:t>
      </w:r>
      <w:r>
        <w:rPr>
          <w:color w:val="auto"/>
          <w:highlight w:val="none"/>
        </w:rPr>
        <w:tab/>
      </w:r>
      <w:r>
        <w:rPr>
          <w:color w:val="auto"/>
          <w:highlight w:val="none"/>
        </w:rPr>
        <w:fldChar w:fldCharType="begin"/>
      </w:r>
      <w:r>
        <w:rPr>
          <w:color w:val="auto"/>
          <w:highlight w:val="none"/>
        </w:rPr>
        <w:instrText xml:space="preserve"> PAGEREF _Toc5851 \h </w:instrText>
      </w:r>
      <w:r>
        <w:rPr>
          <w:color w:val="auto"/>
          <w:highlight w:val="none"/>
        </w:rPr>
        <w:fldChar w:fldCharType="separate"/>
      </w:r>
      <w:r>
        <w:rPr>
          <w:color w:val="auto"/>
          <w:highlight w:val="none"/>
        </w:rPr>
        <w:t>11</w:t>
      </w:r>
      <w:r>
        <w:rPr>
          <w:color w:val="auto"/>
          <w:highlight w:val="none"/>
        </w:rPr>
        <w:fldChar w:fldCharType="end"/>
      </w:r>
      <w:r>
        <w:rPr>
          <w:rFonts w:hint="eastAsia" w:hAnsi="宋体" w:cs="宋体"/>
          <w:color w:val="auto"/>
          <w:szCs w:val="24"/>
          <w:highlight w:val="none"/>
        </w:rPr>
        <w:fldChar w:fldCharType="end"/>
      </w:r>
    </w:p>
    <w:p w14:paraId="7DC497C6">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_Toc1649 </w:instrText>
      </w:r>
      <w:r>
        <w:rPr>
          <w:rFonts w:hint="eastAsia" w:hAnsi="宋体" w:cs="宋体"/>
          <w:color w:val="auto"/>
          <w:szCs w:val="24"/>
          <w:highlight w:val="none"/>
        </w:rPr>
        <w:fldChar w:fldCharType="separate"/>
      </w:r>
      <w:r>
        <w:rPr>
          <w:rFonts w:hint="eastAsia"/>
          <w:bCs/>
          <w:snapToGrid w:val="0"/>
          <w:color w:val="auto"/>
          <w:kern w:val="0"/>
          <w:highlight w:val="none"/>
        </w:rPr>
        <w:t>2．投标人资格要求</w:t>
      </w:r>
      <w:r>
        <w:rPr>
          <w:color w:val="auto"/>
          <w:highlight w:val="none"/>
        </w:rPr>
        <w:tab/>
      </w:r>
      <w:r>
        <w:rPr>
          <w:color w:val="auto"/>
          <w:highlight w:val="none"/>
        </w:rPr>
        <w:fldChar w:fldCharType="begin"/>
      </w:r>
      <w:r>
        <w:rPr>
          <w:color w:val="auto"/>
          <w:highlight w:val="none"/>
        </w:rPr>
        <w:instrText xml:space="preserve"> PAGEREF _Toc1649 \h </w:instrText>
      </w:r>
      <w:r>
        <w:rPr>
          <w:color w:val="auto"/>
          <w:highlight w:val="none"/>
        </w:rPr>
        <w:fldChar w:fldCharType="separate"/>
      </w:r>
      <w:r>
        <w:rPr>
          <w:color w:val="auto"/>
          <w:highlight w:val="none"/>
        </w:rPr>
        <w:t>12</w:t>
      </w:r>
      <w:r>
        <w:rPr>
          <w:color w:val="auto"/>
          <w:highlight w:val="none"/>
        </w:rPr>
        <w:fldChar w:fldCharType="end"/>
      </w:r>
      <w:r>
        <w:rPr>
          <w:rFonts w:hint="eastAsia" w:hAnsi="宋体" w:cs="宋体"/>
          <w:color w:val="auto"/>
          <w:szCs w:val="24"/>
          <w:highlight w:val="none"/>
        </w:rPr>
        <w:fldChar w:fldCharType="end"/>
      </w:r>
    </w:p>
    <w:p w14:paraId="7EDD6BC9">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_Toc14234 </w:instrText>
      </w:r>
      <w:r>
        <w:rPr>
          <w:rFonts w:hint="eastAsia" w:hAnsi="宋体" w:cs="宋体"/>
          <w:color w:val="auto"/>
          <w:szCs w:val="24"/>
          <w:highlight w:val="none"/>
        </w:rPr>
        <w:fldChar w:fldCharType="separate"/>
      </w:r>
      <w:r>
        <w:rPr>
          <w:rFonts w:hint="eastAsia" w:ascii="宋体" w:hAnsi="宋体" w:cs="宋体"/>
          <w:bCs/>
          <w:snapToGrid w:val="0"/>
          <w:color w:val="auto"/>
          <w:kern w:val="0"/>
          <w:highlight w:val="none"/>
        </w:rPr>
        <w:t>3．获取招标文件</w:t>
      </w:r>
      <w:r>
        <w:rPr>
          <w:color w:val="auto"/>
          <w:highlight w:val="none"/>
        </w:rPr>
        <w:tab/>
      </w:r>
      <w:r>
        <w:rPr>
          <w:color w:val="auto"/>
          <w:highlight w:val="none"/>
        </w:rPr>
        <w:fldChar w:fldCharType="begin"/>
      </w:r>
      <w:r>
        <w:rPr>
          <w:color w:val="auto"/>
          <w:highlight w:val="none"/>
        </w:rPr>
        <w:instrText xml:space="preserve"> PAGEREF _Toc14234 \h </w:instrText>
      </w:r>
      <w:r>
        <w:rPr>
          <w:color w:val="auto"/>
          <w:highlight w:val="none"/>
        </w:rPr>
        <w:fldChar w:fldCharType="separate"/>
      </w:r>
      <w:r>
        <w:rPr>
          <w:color w:val="auto"/>
          <w:highlight w:val="none"/>
        </w:rPr>
        <w:t>14</w:t>
      </w:r>
      <w:r>
        <w:rPr>
          <w:color w:val="auto"/>
          <w:highlight w:val="none"/>
        </w:rPr>
        <w:fldChar w:fldCharType="end"/>
      </w:r>
      <w:r>
        <w:rPr>
          <w:rFonts w:hint="eastAsia" w:hAnsi="宋体" w:cs="宋体"/>
          <w:color w:val="auto"/>
          <w:szCs w:val="24"/>
          <w:highlight w:val="none"/>
        </w:rPr>
        <w:fldChar w:fldCharType="end"/>
      </w:r>
    </w:p>
    <w:p w14:paraId="3B029518">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_Toc6862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4．服务期限</w:t>
      </w:r>
      <w:r>
        <w:rPr>
          <w:color w:val="auto"/>
          <w:highlight w:val="none"/>
        </w:rPr>
        <w:tab/>
      </w:r>
      <w:r>
        <w:rPr>
          <w:color w:val="auto"/>
          <w:highlight w:val="none"/>
        </w:rPr>
        <w:fldChar w:fldCharType="begin"/>
      </w:r>
      <w:r>
        <w:rPr>
          <w:color w:val="auto"/>
          <w:highlight w:val="none"/>
        </w:rPr>
        <w:instrText xml:space="preserve"> PAGEREF _Toc6862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36EC463B">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_Toc15565 </w:instrText>
      </w:r>
      <w:r>
        <w:rPr>
          <w:rFonts w:hint="eastAsia" w:hAnsi="宋体" w:cs="宋体"/>
          <w:color w:val="auto"/>
          <w:szCs w:val="24"/>
          <w:highlight w:val="none"/>
        </w:rPr>
        <w:fldChar w:fldCharType="separate"/>
      </w:r>
      <w:r>
        <w:rPr>
          <w:rFonts w:hint="eastAsia" w:hAnsi="宋体" w:cs="宋体"/>
          <w:snapToGrid w:val="0"/>
          <w:color w:val="auto"/>
          <w:highlight w:val="none"/>
        </w:rPr>
        <w:t>5．服务标准</w:t>
      </w:r>
      <w:r>
        <w:rPr>
          <w:color w:val="auto"/>
          <w:highlight w:val="none"/>
        </w:rPr>
        <w:tab/>
      </w:r>
      <w:r>
        <w:rPr>
          <w:color w:val="auto"/>
          <w:highlight w:val="none"/>
        </w:rPr>
        <w:fldChar w:fldCharType="begin"/>
      </w:r>
      <w:r>
        <w:rPr>
          <w:color w:val="auto"/>
          <w:highlight w:val="none"/>
        </w:rPr>
        <w:instrText xml:space="preserve"> PAGEREF _Toc15565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50534992">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_Toc17907 </w:instrText>
      </w:r>
      <w:r>
        <w:rPr>
          <w:rFonts w:hint="eastAsia" w:hAnsi="宋体" w:cs="宋体"/>
          <w:color w:val="auto"/>
          <w:szCs w:val="24"/>
          <w:highlight w:val="none"/>
        </w:rPr>
        <w:fldChar w:fldCharType="separate"/>
      </w:r>
      <w:r>
        <w:rPr>
          <w:rFonts w:hint="eastAsia" w:hAnsi="宋体" w:cs="宋体"/>
          <w:snapToGrid w:val="0"/>
          <w:color w:val="auto"/>
          <w:highlight w:val="none"/>
        </w:rPr>
        <w:t>6．现场踏勘</w:t>
      </w:r>
      <w:r>
        <w:rPr>
          <w:color w:val="auto"/>
          <w:highlight w:val="none"/>
        </w:rPr>
        <w:tab/>
      </w:r>
      <w:r>
        <w:rPr>
          <w:color w:val="auto"/>
          <w:highlight w:val="none"/>
        </w:rPr>
        <w:fldChar w:fldCharType="begin"/>
      </w:r>
      <w:r>
        <w:rPr>
          <w:color w:val="auto"/>
          <w:highlight w:val="none"/>
        </w:rPr>
        <w:instrText xml:space="preserve"> PAGEREF _Toc17907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13150FE7">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_Toc7619 </w:instrText>
      </w:r>
      <w:r>
        <w:rPr>
          <w:rFonts w:hint="eastAsia" w:hAnsi="宋体" w:cs="宋体"/>
          <w:color w:val="auto"/>
          <w:szCs w:val="24"/>
          <w:highlight w:val="none"/>
        </w:rPr>
        <w:fldChar w:fldCharType="separate"/>
      </w:r>
      <w:r>
        <w:rPr>
          <w:rFonts w:hint="eastAsia" w:hAnsi="宋体" w:cs="宋体"/>
          <w:snapToGrid w:val="0"/>
          <w:color w:val="auto"/>
          <w:highlight w:val="none"/>
        </w:rPr>
        <w:t>7．招标文件的提问和答疑</w:t>
      </w:r>
      <w:r>
        <w:rPr>
          <w:color w:val="auto"/>
          <w:highlight w:val="none"/>
        </w:rPr>
        <w:tab/>
      </w:r>
      <w:r>
        <w:rPr>
          <w:color w:val="auto"/>
          <w:highlight w:val="none"/>
        </w:rPr>
        <w:fldChar w:fldCharType="begin"/>
      </w:r>
      <w:r>
        <w:rPr>
          <w:color w:val="auto"/>
          <w:highlight w:val="none"/>
        </w:rPr>
        <w:instrText xml:space="preserve"> PAGEREF _Toc7619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47AA9694">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_Toc4159 </w:instrText>
      </w:r>
      <w:r>
        <w:rPr>
          <w:rFonts w:hint="eastAsia" w:hAnsi="宋体" w:cs="宋体"/>
          <w:color w:val="auto"/>
          <w:szCs w:val="24"/>
          <w:highlight w:val="none"/>
        </w:rPr>
        <w:fldChar w:fldCharType="separate"/>
      </w:r>
      <w:r>
        <w:rPr>
          <w:rFonts w:hint="eastAsia" w:hAnsi="宋体" w:cs="宋体"/>
          <w:snapToGrid w:val="0"/>
          <w:color w:val="auto"/>
          <w:highlight w:val="none"/>
        </w:rPr>
        <w:t>8．最高投标限价</w:t>
      </w:r>
      <w:r>
        <w:rPr>
          <w:color w:val="auto"/>
          <w:highlight w:val="none"/>
        </w:rPr>
        <w:tab/>
      </w:r>
      <w:r>
        <w:rPr>
          <w:color w:val="auto"/>
          <w:highlight w:val="none"/>
        </w:rPr>
        <w:fldChar w:fldCharType="begin"/>
      </w:r>
      <w:r>
        <w:rPr>
          <w:color w:val="auto"/>
          <w:highlight w:val="none"/>
        </w:rPr>
        <w:instrText xml:space="preserve"> PAGEREF _Toc4159 \h </w:instrText>
      </w:r>
      <w:r>
        <w:rPr>
          <w:color w:val="auto"/>
          <w:highlight w:val="none"/>
        </w:rPr>
        <w:fldChar w:fldCharType="separate"/>
      </w:r>
      <w:r>
        <w:rPr>
          <w:color w:val="auto"/>
          <w:highlight w:val="none"/>
        </w:rPr>
        <w:t>16</w:t>
      </w:r>
      <w:r>
        <w:rPr>
          <w:color w:val="auto"/>
          <w:highlight w:val="none"/>
        </w:rPr>
        <w:fldChar w:fldCharType="end"/>
      </w:r>
      <w:r>
        <w:rPr>
          <w:rFonts w:hint="eastAsia" w:hAnsi="宋体" w:cs="宋体"/>
          <w:color w:val="auto"/>
          <w:szCs w:val="24"/>
          <w:highlight w:val="none"/>
        </w:rPr>
        <w:fldChar w:fldCharType="end"/>
      </w:r>
    </w:p>
    <w:p w14:paraId="2B714D99">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_Toc4086 </w:instrText>
      </w:r>
      <w:r>
        <w:rPr>
          <w:rFonts w:hint="eastAsia" w:hAnsi="宋体" w:cs="宋体"/>
          <w:color w:val="auto"/>
          <w:szCs w:val="24"/>
          <w:highlight w:val="none"/>
        </w:rPr>
        <w:fldChar w:fldCharType="separate"/>
      </w:r>
      <w:r>
        <w:rPr>
          <w:rFonts w:hint="eastAsia" w:hAnsi="宋体" w:cs="宋体"/>
          <w:snapToGrid w:val="0"/>
          <w:color w:val="auto"/>
          <w:highlight w:val="none"/>
        </w:rPr>
        <w:t>9．投标报价</w:t>
      </w:r>
      <w:r>
        <w:rPr>
          <w:color w:val="auto"/>
          <w:highlight w:val="none"/>
        </w:rPr>
        <w:tab/>
      </w:r>
      <w:r>
        <w:rPr>
          <w:color w:val="auto"/>
          <w:highlight w:val="none"/>
        </w:rPr>
        <w:fldChar w:fldCharType="begin"/>
      </w:r>
      <w:r>
        <w:rPr>
          <w:color w:val="auto"/>
          <w:highlight w:val="none"/>
        </w:rPr>
        <w:instrText xml:space="preserve"> PAGEREF _Toc4086 \h </w:instrText>
      </w:r>
      <w:r>
        <w:rPr>
          <w:color w:val="auto"/>
          <w:highlight w:val="none"/>
        </w:rPr>
        <w:fldChar w:fldCharType="separate"/>
      </w:r>
      <w:r>
        <w:rPr>
          <w:color w:val="auto"/>
          <w:highlight w:val="none"/>
        </w:rPr>
        <w:t>17</w:t>
      </w:r>
      <w:r>
        <w:rPr>
          <w:color w:val="auto"/>
          <w:highlight w:val="none"/>
        </w:rPr>
        <w:fldChar w:fldCharType="end"/>
      </w:r>
      <w:r>
        <w:rPr>
          <w:rFonts w:hint="eastAsia" w:hAnsi="宋体" w:cs="宋体"/>
          <w:color w:val="auto"/>
          <w:szCs w:val="24"/>
          <w:highlight w:val="none"/>
        </w:rPr>
        <w:fldChar w:fldCharType="end"/>
      </w:r>
    </w:p>
    <w:p w14:paraId="2962CCBB">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_Toc31873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10．投标文件的编制要求</w:t>
      </w:r>
      <w:r>
        <w:rPr>
          <w:color w:val="auto"/>
          <w:highlight w:val="none"/>
        </w:rPr>
        <w:tab/>
      </w:r>
      <w:r>
        <w:rPr>
          <w:color w:val="auto"/>
          <w:highlight w:val="none"/>
        </w:rPr>
        <w:fldChar w:fldCharType="begin"/>
      </w:r>
      <w:r>
        <w:rPr>
          <w:color w:val="auto"/>
          <w:highlight w:val="none"/>
        </w:rPr>
        <w:instrText xml:space="preserve"> PAGEREF _Toc31873 \h </w:instrText>
      </w:r>
      <w:r>
        <w:rPr>
          <w:color w:val="auto"/>
          <w:highlight w:val="none"/>
        </w:rPr>
        <w:fldChar w:fldCharType="separate"/>
      </w:r>
      <w:r>
        <w:rPr>
          <w:color w:val="auto"/>
          <w:highlight w:val="none"/>
        </w:rPr>
        <w:t>17</w:t>
      </w:r>
      <w:r>
        <w:rPr>
          <w:color w:val="auto"/>
          <w:highlight w:val="none"/>
        </w:rPr>
        <w:fldChar w:fldCharType="end"/>
      </w:r>
      <w:r>
        <w:rPr>
          <w:rFonts w:hint="eastAsia" w:hAnsi="宋体" w:cs="宋体"/>
          <w:color w:val="auto"/>
          <w:szCs w:val="24"/>
          <w:highlight w:val="none"/>
        </w:rPr>
        <w:fldChar w:fldCharType="end"/>
      </w:r>
    </w:p>
    <w:p w14:paraId="2084D90E">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_Toc24639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11．电子投标</w:t>
      </w:r>
      <w:r>
        <w:rPr>
          <w:color w:val="auto"/>
          <w:highlight w:val="none"/>
        </w:rPr>
        <w:tab/>
      </w:r>
      <w:r>
        <w:rPr>
          <w:color w:val="auto"/>
          <w:highlight w:val="none"/>
        </w:rPr>
        <w:fldChar w:fldCharType="begin"/>
      </w:r>
      <w:r>
        <w:rPr>
          <w:color w:val="auto"/>
          <w:highlight w:val="none"/>
        </w:rPr>
        <w:instrText xml:space="preserve"> PAGEREF _Toc24639 \h </w:instrText>
      </w:r>
      <w:r>
        <w:rPr>
          <w:color w:val="auto"/>
          <w:highlight w:val="none"/>
        </w:rPr>
        <w:fldChar w:fldCharType="separate"/>
      </w:r>
      <w:r>
        <w:rPr>
          <w:color w:val="auto"/>
          <w:highlight w:val="none"/>
        </w:rPr>
        <w:t>20</w:t>
      </w:r>
      <w:r>
        <w:rPr>
          <w:color w:val="auto"/>
          <w:highlight w:val="none"/>
        </w:rPr>
        <w:fldChar w:fldCharType="end"/>
      </w:r>
      <w:r>
        <w:rPr>
          <w:rFonts w:hint="eastAsia" w:hAnsi="宋体" w:cs="宋体"/>
          <w:color w:val="auto"/>
          <w:szCs w:val="24"/>
          <w:highlight w:val="none"/>
        </w:rPr>
        <w:fldChar w:fldCharType="end"/>
      </w:r>
    </w:p>
    <w:p w14:paraId="082B4234">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_Toc13209 </w:instrText>
      </w:r>
      <w:r>
        <w:rPr>
          <w:rFonts w:hint="eastAsia" w:hAnsi="宋体" w:cs="宋体"/>
          <w:color w:val="auto"/>
          <w:szCs w:val="24"/>
          <w:highlight w:val="none"/>
        </w:rPr>
        <w:fldChar w:fldCharType="separate"/>
      </w:r>
      <w:r>
        <w:rPr>
          <w:rFonts w:hint="eastAsia" w:hAnsi="宋体" w:cs="宋体"/>
          <w:snapToGrid w:val="0"/>
          <w:color w:val="auto"/>
          <w:szCs w:val="24"/>
          <w:highlight w:val="none"/>
        </w:rPr>
        <w:t>12. 投标文件的提交</w:t>
      </w:r>
      <w:r>
        <w:rPr>
          <w:color w:val="auto"/>
          <w:highlight w:val="none"/>
        </w:rPr>
        <w:tab/>
      </w:r>
      <w:r>
        <w:rPr>
          <w:color w:val="auto"/>
          <w:highlight w:val="none"/>
        </w:rPr>
        <w:fldChar w:fldCharType="begin"/>
      </w:r>
      <w:r>
        <w:rPr>
          <w:color w:val="auto"/>
          <w:highlight w:val="none"/>
        </w:rPr>
        <w:instrText xml:space="preserve"> PAGEREF _Toc13209 \h </w:instrText>
      </w:r>
      <w:r>
        <w:rPr>
          <w:color w:val="auto"/>
          <w:highlight w:val="none"/>
        </w:rPr>
        <w:fldChar w:fldCharType="separate"/>
      </w:r>
      <w:r>
        <w:rPr>
          <w:color w:val="auto"/>
          <w:highlight w:val="none"/>
        </w:rPr>
        <w:t>21</w:t>
      </w:r>
      <w:r>
        <w:rPr>
          <w:color w:val="auto"/>
          <w:highlight w:val="none"/>
        </w:rPr>
        <w:fldChar w:fldCharType="end"/>
      </w:r>
      <w:r>
        <w:rPr>
          <w:rFonts w:hint="eastAsia" w:hAnsi="宋体" w:cs="宋体"/>
          <w:color w:val="auto"/>
          <w:szCs w:val="24"/>
          <w:highlight w:val="none"/>
        </w:rPr>
        <w:fldChar w:fldCharType="end"/>
      </w:r>
    </w:p>
    <w:p w14:paraId="7F86AD0B">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_Toc3521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13．投标有效期</w:t>
      </w:r>
      <w:r>
        <w:rPr>
          <w:color w:val="auto"/>
          <w:highlight w:val="none"/>
        </w:rPr>
        <w:tab/>
      </w:r>
      <w:r>
        <w:rPr>
          <w:color w:val="auto"/>
          <w:highlight w:val="none"/>
        </w:rPr>
        <w:fldChar w:fldCharType="begin"/>
      </w:r>
      <w:r>
        <w:rPr>
          <w:color w:val="auto"/>
          <w:highlight w:val="none"/>
        </w:rPr>
        <w:instrText xml:space="preserve"> PAGEREF _Toc3521 \h </w:instrText>
      </w:r>
      <w:r>
        <w:rPr>
          <w:color w:val="auto"/>
          <w:highlight w:val="none"/>
        </w:rPr>
        <w:fldChar w:fldCharType="separate"/>
      </w:r>
      <w:r>
        <w:rPr>
          <w:color w:val="auto"/>
          <w:highlight w:val="none"/>
        </w:rPr>
        <w:t>22</w:t>
      </w:r>
      <w:r>
        <w:rPr>
          <w:color w:val="auto"/>
          <w:highlight w:val="none"/>
        </w:rPr>
        <w:fldChar w:fldCharType="end"/>
      </w:r>
      <w:r>
        <w:rPr>
          <w:rFonts w:hint="eastAsia" w:hAnsi="宋体" w:cs="宋体"/>
          <w:color w:val="auto"/>
          <w:szCs w:val="24"/>
          <w:highlight w:val="none"/>
        </w:rPr>
        <w:fldChar w:fldCharType="end"/>
      </w:r>
    </w:p>
    <w:p w14:paraId="56C01C22">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_Toc21206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14．开标</w:t>
      </w:r>
      <w:r>
        <w:rPr>
          <w:color w:val="auto"/>
          <w:highlight w:val="none"/>
        </w:rPr>
        <w:tab/>
      </w:r>
      <w:r>
        <w:rPr>
          <w:color w:val="auto"/>
          <w:highlight w:val="none"/>
        </w:rPr>
        <w:fldChar w:fldCharType="begin"/>
      </w:r>
      <w:r>
        <w:rPr>
          <w:color w:val="auto"/>
          <w:highlight w:val="none"/>
        </w:rPr>
        <w:instrText xml:space="preserve"> PAGEREF _Toc21206 \h </w:instrText>
      </w:r>
      <w:r>
        <w:rPr>
          <w:color w:val="auto"/>
          <w:highlight w:val="none"/>
        </w:rPr>
        <w:fldChar w:fldCharType="separate"/>
      </w:r>
      <w:r>
        <w:rPr>
          <w:color w:val="auto"/>
          <w:highlight w:val="none"/>
        </w:rPr>
        <w:t>22</w:t>
      </w:r>
      <w:r>
        <w:rPr>
          <w:color w:val="auto"/>
          <w:highlight w:val="none"/>
        </w:rPr>
        <w:fldChar w:fldCharType="end"/>
      </w:r>
      <w:r>
        <w:rPr>
          <w:rFonts w:hint="eastAsia" w:hAnsi="宋体" w:cs="宋体"/>
          <w:color w:val="auto"/>
          <w:szCs w:val="24"/>
          <w:highlight w:val="none"/>
        </w:rPr>
        <w:fldChar w:fldCharType="end"/>
      </w:r>
    </w:p>
    <w:p w14:paraId="213D562C">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_Toc22622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15．评标</w:t>
      </w:r>
      <w:r>
        <w:rPr>
          <w:color w:val="auto"/>
          <w:highlight w:val="none"/>
        </w:rPr>
        <w:tab/>
      </w:r>
      <w:r>
        <w:rPr>
          <w:color w:val="auto"/>
          <w:highlight w:val="none"/>
        </w:rPr>
        <w:fldChar w:fldCharType="begin"/>
      </w:r>
      <w:r>
        <w:rPr>
          <w:color w:val="auto"/>
          <w:highlight w:val="none"/>
        </w:rPr>
        <w:instrText xml:space="preserve"> PAGEREF _Toc22622 \h </w:instrText>
      </w:r>
      <w:r>
        <w:rPr>
          <w:color w:val="auto"/>
          <w:highlight w:val="none"/>
        </w:rPr>
        <w:fldChar w:fldCharType="separate"/>
      </w:r>
      <w:r>
        <w:rPr>
          <w:color w:val="auto"/>
          <w:highlight w:val="none"/>
        </w:rPr>
        <w:t>23</w:t>
      </w:r>
      <w:r>
        <w:rPr>
          <w:color w:val="auto"/>
          <w:highlight w:val="none"/>
        </w:rPr>
        <w:fldChar w:fldCharType="end"/>
      </w:r>
      <w:r>
        <w:rPr>
          <w:rFonts w:hint="eastAsia" w:hAnsi="宋体" w:cs="宋体"/>
          <w:color w:val="auto"/>
          <w:szCs w:val="24"/>
          <w:highlight w:val="none"/>
        </w:rPr>
        <w:fldChar w:fldCharType="end"/>
      </w:r>
    </w:p>
    <w:p w14:paraId="6C04E15D">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_Toc6939 </w:instrText>
      </w:r>
      <w:r>
        <w:rPr>
          <w:rFonts w:hint="eastAsia" w:hAnsi="宋体" w:cs="宋体"/>
          <w:color w:val="auto"/>
          <w:szCs w:val="24"/>
          <w:highlight w:val="none"/>
        </w:rPr>
        <w:fldChar w:fldCharType="separate"/>
      </w:r>
      <w:r>
        <w:rPr>
          <w:rFonts w:hint="eastAsia" w:ascii="宋体" w:hAnsi="宋体" w:eastAsia="宋体" w:cs="宋体"/>
          <w:bCs/>
          <w:color w:val="auto"/>
          <w:szCs w:val="22"/>
          <w:highlight w:val="none"/>
        </w:rPr>
        <w:t>表1 综合评分表</w:t>
      </w:r>
      <w:r>
        <w:rPr>
          <w:color w:val="auto"/>
          <w:highlight w:val="none"/>
        </w:rPr>
        <w:tab/>
      </w:r>
      <w:r>
        <w:rPr>
          <w:color w:val="auto"/>
          <w:highlight w:val="none"/>
        </w:rPr>
        <w:fldChar w:fldCharType="begin"/>
      </w:r>
      <w:r>
        <w:rPr>
          <w:color w:val="auto"/>
          <w:highlight w:val="none"/>
        </w:rPr>
        <w:instrText xml:space="preserve"> PAGEREF _Toc6939 \h </w:instrText>
      </w:r>
      <w:r>
        <w:rPr>
          <w:color w:val="auto"/>
          <w:highlight w:val="none"/>
        </w:rPr>
        <w:fldChar w:fldCharType="separate"/>
      </w:r>
      <w:r>
        <w:rPr>
          <w:color w:val="auto"/>
          <w:highlight w:val="none"/>
        </w:rPr>
        <w:t>27</w:t>
      </w:r>
      <w:r>
        <w:rPr>
          <w:color w:val="auto"/>
          <w:highlight w:val="none"/>
        </w:rPr>
        <w:fldChar w:fldCharType="end"/>
      </w:r>
      <w:r>
        <w:rPr>
          <w:rFonts w:hint="eastAsia" w:hAnsi="宋体" w:cs="宋体"/>
          <w:color w:val="auto"/>
          <w:szCs w:val="24"/>
          <w:highlight w:val="none"/>
        </w:rPr>
        <w:fldChar w:fldCharType="end"/>
      </w:r>
    </w:p>
    <w:p w14:paraId="53DB6FAB">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_Toc9172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16．推荐</w:t>
      </w:r>
      <w:r>
        <w:rPr>
          <w:rFonts w:hint="eastAsia" w:hAnsi="宋体" w:cs="宋体"/>
          <w:snapToGrid w:val="0"/>
          <w:color w:val="auto"/>
          <w:kern w:val="0"/>
          <w:szCs w:val="24"/>
          <w:highlight w:val="none"/>
          <w:lang w:val="en-US" w:eastAsia="zh-CN"/>
        </w:rPr>
        <w:t>定标</w:t>
      </w:r>
      <w:r>
        <w:rPr>
          <w:rFonts w:hint="eastAsia" w:hAnsi="宋体" w:cs="宋体"/>
          <w:snapToGrid w:val="0"/>
          <w:color w:val="auto"/>
          <w:kern w:val="0"/>
          <w:szCs w:val="24"/>
          <w:highlight w:val="none"/>
        </w:rPr>
        <w:t>候选人</w:t>
      </w:r>
      <w:r>
        <w:rPr>
          <w:color w:val="auto"/>
          <w:highlight w:val="none"/>
        </w:rPr>
        <w:tab/>
      </w:r>
      <w:r>
        <w:rPr>
          <w:color w:val="auto"/>
          <w:highlight w:val="none"/>
        </w:rPr>
        <w:fldChar w:fldCharType="begin"/>
      </w:r>
      <w:r>
        <w:rPr>
          <w:color w:val="auto"/>
          <w:highlight w:val="none"/>
        </w:rPr>
        <w:instrText xml:space="preserve"> PAGEREF _Toc9172 \h </w:instrText>
      </w:r>
      <w:r>
        <w:rPr>
          <w:color w:val="auto"/>
          <w:highlight w:val="none"/>
        </w:rPr>
        <w:fldChar w:fldCharType="separate"/>
      </w:r>
      <w:r>
        <w:rPr>
          <w:color w:val="auto"/>
          <w:highlight w:val="none"/>
        </w:rPr>
        <w:t>32</w:t>
      </w:r>
      <w:r>
        <w:rPr>
          <w:color w:val="auto"/>
          <w:highlight w:val="none"/>
        </w:rPr>
        <w:fldChar w:fldCharType="end"/>
      </w:r>
      <w:r>
        <w:rPr>
          <w:rFonts w:hint="eastAsia" w:hAnsi="宋体" w:cs="宋体"/>
          <w:color w:val="auto"/>
          <w:szCs w:val="24"/>
          <w:highlight w:val="none"/>
        </w:rPr>
        <w:fldChar w:fldCharType="end"/>
      </w:r>
    </w:p>
    <w:p w14:paraId="60D10E82">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_Toc30223 </w:instrText>
      </w:r>
      <w:r>
        <w:rPr>
          <w:rFonts w:hint="eastAsia" w:hAnsi="宋体" w:cs="宋体"/>
          <w:color w:val="auto"/>
          <w:szCs w:val="24"/>
          <w:highlight w:val="none"/>
        </w:rPr>
        <w:fldChar w:fldCharType="separate"/>
      </w:r>
      <w:r>
        <w:rPr>
          <w:rFonts w:hint="eastAsia" w:hAnsi="宋体" w:cs="宋体"/>
          <w:snapToGrid w:val="0"/>
          <w:color w:val="auto"/>
          <w:kern w:val="0"/>
          <w:szCs w:val="24"/>
          <w:highlight w:val="none"/>
        </w:rPr>
        <w:t>17．评标结果公示</w:t>
      </w:r>
      <w:r>
        <w:rPr>
          <w:color w:val="auto"/>
          <w:highlight w:val="none"/>
        </w:rPr>
        <w:tab/>
      </w:r>
      <w:r>
        <w:rPr>
          <w:color w:val="auto"/>
          <w:highlight w:val="none"/>
        </w:rPr>
        <w:fldChar w:fldCharType="begin"/>
      </w:r>
      <w:r>
        <w:rPr>
          <w:color w:val="auto"/>
          <w:highlight w:val="none"/>
        </w:rPr>
        <w:instrText xml:space="preserve"> PAGEREF _Toc30223 \h </w:instrText>
      </w:r>
      <w:r>
        <w:rPr>
          <w:color w:val="auto"/>
          <w:highlight w:val="none"/>
        </w:rPr>
        <w:fldChar w:fldCharType="separate"/>
      </w:r>
      <w:r>
        <w:rPr>
          <w:color w:val="auto"/>
          <w:highlight w:val="none"/>
        </w:rPr>
        <w:t>32</w:t>
      </w:r>
      <w:r>
        <w:rPr>
          <w:color w:val="auto"/>
          <w:highlight w:val="none"/>
        </w:rPr>
        <w:fldChar w:fldCharType="end"/>
      </w:r>
      <w:r>
        <w:rPr>
          <w:rFonts w:hint="eastAsia" w:hAnsi="宋体" w:cs="宋体"/>
          <w:color w:val="auto"/>
          <w:szCs w:val="24"/>
          <w:highlight w:val="none"/>
        </w:rPr>
        <w:fldChar w:fldCharType="end"/>
      </w:r>
    </w:p>
    <w:p w14:paraId="5C6A6274">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_Toc23707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第四节 否决投标条件</w:t>
      </w:r>
      <w:r>
        <w:rPr>
          <w:color w:val="auto"/>
          <w:highlight w:val="none"/>
        </w:rPr>
        <w:tab/>
      </w:r>
      <w:r>
        <w:rPr>
          <w:color w:val="auto"/>
          <w:highlight w:val="none"/>
        </w:rPr>
        <w:fldChar w:fldCharType="begin"/>
      </w:r>
      <w:r>
        <w:rPr>
          <w:color w:val="auto"/>
          <w:highlight w:val="none"/>
        </w:rPr>
        <w:instrText xml:space="preserve"> PAGEREF _Toc23707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1DF450CC">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_Toc27116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1．资格评审环节</w:t>
      </w:r>
      <w:r>
        <w:rPr>
          <w:color w:val="auto"/>
          <w:highlight w:val="none"/>
        </w:rPr>
        <w:tab/>
      </w:r>
      <w:r>
        <w:rPr>
          <w:color w:val="auto"/>
          <w:highlight w:val="none"/>
        </w:rPr>
        <w:fldChar w:fldCharType="begin"/>
      </w:r>
      <w:r>
        <w:rPr>
          <w:color w:val="auto"/>
          <w:highlight w:val="none"/>
        </w:rPr>
        <w:instrText xml:space="preserve"> PAGEREF _Toc27116 \h </w:instrText>
      </w:r>
      <w:r>
        <w:rPr>
          <w:color w:val="auto"/>
          <w:highlight w:val="none"/>
        </w:rPr>
        <w:fldChar w:fldCharType="separate"/>
      </w:r>
      <w:r>
        <w:rPr>
          <w:color w:val="auto"/>
          <w:highlight w:val="none"/>
        </w:rPr>
        <w:t>34</w:t>
      </w:r>
      <w:r>
        <w:rPr>
          <w:color w:val="auto"/>
          <w:highlight w:val="none"/>
        </w:rPr>
        <w:fldChar w:fldCharType="end"/>
      </w:r>
      <w:r>
        <w:rPr>
          <w:rFonts w:hint="eastAsia" w:hAnsi="宋体" w:cs="宋体"/>
          <w:color w:val="auto"/>
          <w:szCs w:val="24"/>
          <w:highlight w:val="none"/>
        </w:rPr>
        <w:fldChar w:fldCharType="end"/>
      </w:r>
    </w:p>
    <w:p w14:paraId="3CE65E75">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_Toc13579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2．形式评审环节</w:t>
      </w:r>
      <w:r>
        <w:rPr>
          <w:color w:val="auto"/>
          <w:highlight w:val="none"/>
        </w:rPr>
        <w:tab/>
      </w:r>
      <w:r>
        <w:rPr>
          <w:color w:val="auto"/>
          <w:highlight w:val="none"/>
        </w:rPr>
        <w:fldChar w:fldCharType="begin"/>
      </w:r>
      <w:r>
        <w:rPr>
          <w:color w:val="auto"/>
          <w:highlight w:val="none"/>
        </w:rPr>
        <w:instrText xml:space="preserve"> PAGEREF _Toc13579 \h </w:instrText>
      </w:r>
      <w:r>
        <w:rPr>
          <w:color w:val="auto"/>
          <w:highlight w:val="none"/>
        </w:rPr>
        <w:fldChar w:fldCharType="separate"/>
      </w:r>
      <w:r>
        <w:rPr>
          <w:color w:val="auto"/>
          <w:highlight w:val="none"/>
        </w:rPr>
        <w:t>35</w:t>
      </w:r>
      <w:r>
        <w:rPr>
          <w:color w:val="auto"/>
          <w:highlight w:val="none"/>
        </w:rPr>
        <w:fldChar w:fldCharType="end"/>
      </w:r>
      <w:r>
        <w:rPr>
          <w:rFonts w:hint="eastAsia" w:hAnsi="宋体" w:cs="宋体"/>
          <w:color w:val="auto"/>
          <w:szCs w:val="24"/>
          <w:highlight w:val="none"/>
        </w:rPr>
        <w:fldChar w:fldCharType="end"/>
      </w:r>
    </w:p>
    <w:p w14:paraId="07F0D63A">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_Toc6314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3．响应性评审环节</w:t>
      </w:r>
      <w:r>
        <w:rPr>
          <w:color w:val="auto"/>
          <w:highlight w:val="none"/>
        </w:rPr>
        <w:tab/>
      </w:r>
      <w:r>
        <w:rPr>
          <w:color w:val="auto"/>
          <w:highlight w:val="none"/>
        </w:rPr>
        <w:fldChar w:fldCharType="begin"/>
      </w:r>
      <w:r>
        <w:rPr>
          <w:color w:val="auto"/>
          <w:highlight w:val="none"/>
        </w:rPr>
        <w:instrText xml:space="preserve"> PAGEREF _Toc6314 \h </w:instrText>
      </w:r>
      <w:r>
        <w:rPr>
          <w:color w:val="auto"/>
          <w:highlight w:val="none"/>
        </w:rPr>
        <w:fldChar w:fldCharType="separate"/>
      </w:r>
      <w:r>
        <w:rPr>
          <w:color w:val="auto"/>
          <w:highlight w:val="none"/>
        </w:rPr>
        <w:t>35</w:t>
      </w:r>
      <w:r>
        <w:rPr>
          <w:color w:val="auto"/>
          <w:highlight w:val="none"/>
        </w:rPr>
        <w:fldChar w:fldCharType="end"/>
      </w:r>
      <w:r>
        <w:rPr>
          <w:rFonts w:hint="eastAsia" w:hAnsi="宋体" w:cs="宋体"/>
          <w:color w:val="auto"/>
          <w:szCs w:val="24"/>
          <w:highlight w:val="none"/>
        </w:rPr>
        <w:fldChar w:fldCharType="end"/>
      </w:r>
    </w:p>
    <w:p w14:paraId="76B57461">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_Toc1100 </w:instrText>
      </w:r>
      <w:r>
        <w:rPr>
          <w:rFonts w:hint="eastAsia" w:hAnsi="宋体" w:cs="宋体"/>
          <w:color w:val="auto"/>
          <w:szCs w:val="24"/>
          <w:highlight w:val="none"/>
        </w:rPr>
        <w:fldChar w:fldCharType="separate"/>
      </w:r>
      <w:r>
        <w:rPr>
          <w:rFonts w:hint="eastAsia" w:hAnsi="宋体" w:cs="宋体"/>
          <w:bCs/>
          <w:snapToGrid w:val="0"/>
          <w:color w:val="auto"/>
          <w:kern w:val="0"/>
          <w:highlight w:val="none"/>
        </w:rPr>
        <w:t>4．其他</w:t>
      </w:r>
      <w:r>
        <w:rPr>
          <w:color w:val="auto"/>
          <w:highlight w:val="none"/>
        </w:rPr>
        <w:tab/>
      </w:r>
      <w:r>
        <w:rPr>
          <w:color w:val="auto"/>
          <w:highlight w:val="none"/>
        </w:rPr>
        <w:fldChar w:fldCharType="begin"/>
      </w:r>
      <w:r>
        <w:rPr>
          <w:color w:val="auto"/>
          <w:highlight w:val="none"/>
        </w:rPr>
        <w:instrText xml:space="preserve"> PAGEREF _Toc1100 \h </w:instrText>
      </w:r>
      <w:r>
        <w:rPr>
          <w:color w:val="auto"/>
          <w:highlight w:val="none"/>
        </w:rPr>
        <w:fldChar w:fldCharType="separate"/>
      </w:r>
      <w:r>
        <w:rPr>
          <w:color w:val="auto"/>
          <w:highlight w:val="none"/>
        </w:rPr>
        <w:t>35</w:t>
      </w:r>
      <w:r>
        <w:rPr>
          <w:color w:val="auto"/>
          <w:highlight w:val="none"/>
        </w:rPr>
        <w:fldChar w:fldCharType="end"/>
      </w:r>
      <w:r>
        <w:rPr>
          <w:rFonts w:hint="eastAsia" w:hAnsi="宋体" w:cs="宋体"/>
          <w:color w:val="auto"/>
          <w:szCs w:val="24"/>
          <w:highlight w:val="none"/>
        </w:rPr>
        <w:fldChar w:fldCharType="end"/>
      </w:r>
    </w:p>
    <w:p w14:paraId="0DF4C8FB">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_Toc3478 </w:instrText>
      </w:r>
      <w:r>
        <w:rPr>
          <w:rFonts w:hint="eastAsia" w:hAnsi="宋体" w:cs="宋体"/>
          <w:color w:val="auto"/>
          <w:szCs w:val="24"/>
          <w:highlight w:val="none"/>
        </w:rPr>
        <w:fldChar w:fldCharType="separate"/>
      </w:r>
      <w:r>
        <w:rPr>
          <w:rFonts w:hint="eastAsia" w:ascii="宋体" w:hAnsi="宋体" w:eastAsia="宋体" w:cs="宋体"/>
          <w:bCs/>
          <w:color w:val="auto"/>
          <w:highlight w:val="none"/>
          <w:lang w:val="en-US" w:eastAsia="zh-CN"/>
        </w:rPr>
        <w:t>第五节 定标规定及细则</w:t>
      </w:r>
      <w:r>
        <w:rPr>
          <w:color w:val="auto"/>
          <w:highlight w:val="none"/>
        </w:rPr>
        <w:tab/>
      </w:r>
      <w:r>
        <w:rPr>
          <w:color w:val="auto"/>
          <w:highlight w:val="none"/>
        </w:rPr>
        <w:fldChar w:fldCharType="begin"/>
      </w:r>
      <w:r>
        <w:rPr>
          <w:color w:val="auto"/>
          <w:highlight w:val="none"/>
        </w:rPr>
        <w:instrText xml:space="preserve"> PAGEREF _Toc3478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344A302F">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_Toc7706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1</w:t>
      </w:r>
      <w:r>
        <w:rPr>
          <w:rFonts w:hint="eastAsia" w:ascii="宋体" w:hAnsi="宋体" w:eastAsia="宋体" w:cs="宋体"/>
          <w:snapToGrid w:val="0"/>
          <w:color w:val="auto"/>
          <w:highlight w:val="none"/>
        </w:rPr>
        <w:t>.</w:t>
      </w:r>
      <w:r>
        <w:rPr>
          <w:rFonts w:hint="eastAsia" w:ascii="宋体" w:hAnsi="宋体" w:eastAsia="宋体" w:cs="宋体"/>
          <w:snapToGrid w:val="0"/>
          <w:color w:val="auto"/>
          <w:highlight w:val="none"/>
          <w:lang w:val="en-US" w:eastAsia="zh-CN"/>
        </w:rPr>
        <w:t>定标规定</w:t>
      </w:r>
      <w:r>
        <w:rPr>
          <w:color w:val="auto"/>
          <w:highlight w:val="none"/>
        </w:rPr>
        <w:tab/>
      </w:r>
      <w:r>
        <w:rPr>
          <w:color w:val="auto"/>
          <w:highlight w:val="none"/>
        </w:rPr>
        <w:fldChar w:fldCharType="begin"/>
      </w:r>
      <w:r>
        <w:rPr>
          <w:color w:val="auto"/>
          <w:highlight w:val="none"/>
        </w:rPr>
        <w:instrText xml:space="preserve"> PAGEREF _Toc7706 \h </w:instrText>
      </w:r>
      <w:r>
        <w:rPr>
          <w:color w:val="auto"/>
          <w:highlight w:val="none"/>
        </w:rPr>
        <w:fldChar w:fldCharType="separate"/>
      </w:r>
      <w:r>
        <w:rPr>
          <w:color w:val="auto"/>
          <w:highlight w:val="none"/>
        </w:rPr>
        <w:t>37</w:t>
      </w:r>
      <w:r>
        <w:rPr>
          <w:color w:val="auto"/>
          <w:highlight w:val="none"/>
        </w:rPr>
        <w:fldChar w:fldCharType="end"/>
      </w:r>
      <w:r>
        <w:rPr>
          <w:rFonts w:hint="eastAsia" w:hAnsi="宋体" w:cs="宋体"/>
          <w:color w:val="auto"/>
          <w:szCs w:val="24"/>
          <w:highlight w:val="none"/>
        </w:rPr>
        <w:fldChar w:fldCharType="end"/>
      </w:r>
    </w:p>
    <w:p w14:paraId="7947AF8F">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_Toc29848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2.定标细则</w:t>
      </w:r>
      <w:r>
        <w:rPr>
          <w:color w:val="auto"/>
          <w:highlight w:val="none"/>
        </w:rPr>
        <w:tab/>
      </w:r>
      <w:r>
        <w:rPr>
          <w:color w:val="auto"/>
          <w:highlight w:val="none"/>
        </w:rPr>
        <w:fldChar w:fldCharType="begin"/>
      </w:r>
      <w:r>
        <w:rPr>
          <w:color w:val="auto"/>
          <w:highlight w:val="none"/>
        </w:rPr>
        <w:instrText xml:space="preserve"> PAGEREF _Toc29848 \h </w:instrText>
      </w:r>
      <w:r>
        <w:rPr>
          <w:color w:val="auto"/>
          <w:highlight w:val="none"/>
        </w:rPr>
        <w:fldChar w:fldCharType="separate"/>
      </w:r>
      <w:r>
        <w:rPr>
          <w:color w:val="auto"/>
          <w:highlight w:val="none"/>
        </w:rPr>
        <w:t>38</w:t>
      </w:r>
      <w:r>
        <w:rPr>
          <w:color w:val="auto"/>
          <w:highlight w:val="none"/>
        </w:rPr>
        <w:fldChar w:fldCharType="end"/>
      </w:r>
      <w:r>
        <w:rPr>
          <w:rFonts w:hint="eastAsia" w:hAnsi="宋体" w:cs="宋体"/>
          <w:color w:val="auto"/>
          <w:szCs w:val="24"/>
          <w:highlight w:val="none"/>
        </w:rPr>
        <w:fldChar w:fldCharType="end"/>
      </w:r>
    </w:p>
    <w:p w14:paraId="075EF515">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_Toc29036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3.定标结果公示</w:t>
      </w:r>
      <w:r>
        <w:rPr>
          <w:color w:val="auto"/>
          <w:highlight w:val="none"/>
        </w:rPr>
        <w:tab/>
      </w:r>
      <w:r>
        <w:rPr>
          <w:color w:val="auto"/>
          <w:highlight w:val="none"/>
        </w:rPr>
        <w:fldChar w:fldCharType="begin"/>
      </w:r>
      <w:r>
        <w:rPr>
          <w:color w:val="auto"/>
          <w:highlight w:val="none"/>
        </w:rPr>
        <w:instrText xml:space="preserve"> PAGEREF _Toc29036 \h </w:instrText>
      </w:r>
      <w:r>
        <w:rPr>
          <w:color w:val="auto"/>
          <w:highlight w:val="none"/>
        </w:rPr>
        <w:fldChar w:fldCharType="separate"/>
      </w:r>
      <w:r>
        <w:rPr>
          <w:color w:val="auto"/>
          <w:highlight w:val="none"/>
        </w:rPr>
        <w:t>39</w:t>
      </w:r>
      <w:r>
        <w:rPr>
          <w:color w:val="auto"/>
          <w:highlight w:val="none"/>
        </w:rPr>
        <w:fldChar w:fldCharType="end"/>
      </w:r>
      <w:r>
        <w:rPr>
          <w:rFonts w:hint="eastAsia" w:hAnsi="宋体" w:cs="宋体"/>
          <w:color w:val="auto"/>
          <w:szCs w:val="24"/>
          <w:highlight w:val="none"/>
        </w:rPr>
        <w:fldChar w:fldCharType="end"/>
      </w:r>
    </w:p>
    <w:p w14:paraId="7888FA51">
      <w:pPr>
        <w:pStyle w:val="14"/>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_Toc28855 </w:instrText>
      </w:r>
      <w:r>
        <w:rPr>
          <w:rFonts w:hint="eastAsia" w:hAnsi="宋体" w:cs="宋体"/>
          <w:color w:val="auto"/>
          <w:szCs w:val="24"/>
          <w:highlight w:val="none"/>
        </w:rPr>
        <w:fldChar w:fldCharType="separate"/>
      </w:r>
      <w:r>
        <w:rPr>
          <w:rFonts w:hint="eastAsia" w:ascii="宋体" w:hAnsi="宋体" w:eastAsia="宋体" w:cs="宋体"/>
          <w:snapToGrid w:val="0"/>
          <w:color w:val="auto"/>
          <w:highlight w:val="none"/>
          <w:lang w:val="en-US" w:eastAsia="zh-CN"/>
        </w:rPr>
        <w:t>4.中标确认</w:t>
      </w:r>
      <w:r>
        <w:rPr>
          <w:color w:val="auto"/>
          <w:highlight w:val="none"/>
        </w:rPr>
        <w:tab/>
      </w:r>
      <w:r>
        <w:rPr>
          <w:color w:val="auto"/>
          <w:highlight w:val="none"/>
        </w:rPr>
        <w:fldChar w:fldCharType="begin"/>
      </w:r>
      <w:r>
        <w:rPr>
          <w:color w:val="auto"/>
          <w:highlight w:val="none"/>
        </w:rPr>
        <w:instrText xml:space="preserve"> PAGEREF _Toc28855 \h </w:instrText>
      </w:r>
      <w:r>
        <w:rPr>
          <w:color w:val="auto"/>
          <w:highlight w:val="none"/>
        </w:rPr>
        <w:fldChar w:fldCharType="separate"/>
      </w:r>
      <w:r>
        <w:rPr>
          <w:color w:val="auto"/>
          <w:highlight w:val="none"/>
        </w:rPr>
        <w:t>40</w:t>
      </w:r>
      <w:r>
        <w:rPr>
          <w:color w:val="auto"/>
          <w:highlight w:val="none"/>
        </w:rPr>
        <w:fldChar w:fldCharType="end"/>
      </w:r>
      <w:r>
        <w:rPr>
          <w:rFonts w:hint="eastAsia" w:hAnsi="宋体" w:cs="宋体"/>
          <w:color w:val="auto"/>
          <w:szCs w:val="24"/>
          <w:highlight w:val="none"/>
        </w:rPr>
        <w:fldChar w:fldCharType="end"/>
      </w:r>
    </w:p>
    <w:p w14:paraId="7A641855">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_Toc28020 </w:instrText>
      </w:r>
      <w:r>
        <w:rPr>
          <w:rFonts w:hint="eastAsia" w:hAnsi="宋体" w:cs="宋体"/>
          <w:b/>
          <w:bCs/>
          <w:color w:val="auto"/>
          <w:szCs w:val="24"/>
          <w:highlight w:val="none"/>
        </w:rPr>
        <w:fldChar w:fldCharType="separate"/>
      </w:r>
      <w:r>
        <w:rPr>
          <w:rFonts w:hint="eastAsia" w:hAnsi="宋体" w:cs="宋体"/>
          <w:b/>
          <w:bCs/>
          <w:snapToGrid w:val="0"/>
          <w:color w:val="auto"/>
          <w:szCs w:val="22"/>
          <w:highlight w:val="none"/>
        </w:rPr>
        <w:t>第二章 中标人须知</w:t>
      </w:r>
      <w:r>
        <w:rPr>
          <w:b/>
          <w:bCs/>
          <w:color w:val="auto"/>
          <w:highlight w:val="none"/>
        </w:rPr>
        <w:tab/>
      </w:r>
      <w:r>
        <w:rPr>
          <w:b/>
          <w:bCs/>
          <w:color w:val="auto"/>
          <w:highlight w:val="none"/>
        </w:rPr>
        <w:fldChar w:fldCharType="begin"/>
      </w:r>
      <w:r>
        <w:rPr>
          <w:b/>
          <w:bCs/>
          <w:color w:val="auto"/>
          <w:highlight w:val="none"/>
        </w:rPr>
        <w:instrText xml:space="preserve"> PAGEREF _Toc28020 \h </w:instrText>
      </w:r>
      <w:r>
        <w:rPr>
          <w:b/>
          <w:bCs/>
          <w:color w:val="auto"/>
          <w:highlight w:val="none"/>
        </w:rPr>
        <w:fldChar w:fldCharType="separate"/>
      </w:r>
      <w:r>
        <w:rPr>
          <w:b/>
          <w:bCs/>
          <w:color w:val="auto"/>
          <w:highlight w:val="none"/>
        </w:rPr>
        <w:t>41</w:t>
      </w:r>
      <w:r>
        <w:rPr>
          <w:b/>
          <w:bCs/>
          <w:color w:val="auto"/>
          <w:highlight w:val="none"/>
        </w:rPr>
        <w:fldChar w:fldCharType="end"/>
      </w:r>
      <w:r>
        <w:rPr>
          <w:rFonts w:hint="eastAsia" w:hAnsi="宋体" w:cs="宋体"/>
          <w:b/>
          <w:bCs/>
          <w:color w:val="auto"/>
          <w:szCs w:val="24"/>
          <w:highlight w:val="none"/>
        </w:rPr>
        <w:fldChar w:fldCharType="end"/>
      </w:r>
    </w:p>
    <w:p w14:paraId="201B05AD">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_Toc17424 </w:instrText>
      </w:r>
      <w:r>
        <w:rPr>
          <w:rFonts w:hint="eastAsia" w:hAnsi="宋体" w:cs="宋体"/>
          <w:b/>
          <w:bCs/>
          <w:color w:val="auto"/>
          <w:szCs w:val="24"/>
          <w:highlight w:val="none"/>
        </w:rPr>
        <w:fldChar w:fldCharType="separate"/>
      </w:r>
      <w:r>
        <w:rPr>
          <w:rFonts w:hint="eastAsia" w:hAnsi="宋体" w:cs="宋体"/>
          <w:b/>
          <w:bCs/>
          <w:snapToGrid w:val="0"/>
          <w:color w:val="auto"/>
          <w:szCs w:val="32"/>
          <w:highlight w:val="none"/>
        </w:rPr>
        <w:t>第三章 拟签订合同的主要条款</w:t>
      </w:r>
      <w:r>
        <w:rPr>
          <w:b/>
          <w:bCs/>
          <w:color w:val="auto"/>
          <w:highlight w:val="none"/>
        </w:rPr>
        <w:tab/>
      </w:r>
      <w:r>
        <w:rPr>
          <w:b/>
          <w:bCs/>
          <w:color w:val="auto"/>
          <w:highlight w:val="none"/>
        </w:rPr>
        <w:fldChar w:fldCharType="begin"/>
      </w:r>
      <w:r>
        <w:rPr>
          <w:b/>
          <w:bCs/>
          <w:color w:val="auto"/>
          <w:highlight w:val="none"/>
        </w:rPr>
        <w:instrText xml:space="preserve"> PAGEREF _Toc17424 \h </w:instrText>
      </w:r>
      <w:r>
        <w:rPr>
          <w:b/>
          <w:bCs/>
          <w:color w:val="auto"/>
          <w:highlight w:val="none"/>
        </w:rPr>
        <w:fldChar w:fldCharType="separate"/>
      </w:r>
      <w:r>
        <w:rPr>
          <w:b/>
          <w:bCs/>
          <w:color w:val="auto"/>
          <w:highlight w:val="none"/>
        </w:rPr>
        <w:t>45</w:t>
      </w:r>
      <w:r>
        <w:rPr>
          <w:b/>
          <w:bCs/>
          <w:color w:val="auto"/>
          <w:highlight w:val="none"/>
        </w:rPr>
        <w:fldChar w:fldCharType="end"/>
      </w:r>
      <w:r>
        <w:rPr>
          <w:rFonts w:hint="eastAsia" w:hAnsi="宋体" w:cs="宋体"/>
          <w:b/>
          <w:bCs/>
          <w:color w:val="auto"/>
          <w:szCs w:val="24"/>
          <w:highlight w:val="none"/>
        </w:rPr>
        <w:fldChar w:fldCharType="end"/>
      </w:r>
    </w:p>
    <w:p w14:paraId="52983563">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_Toc3062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第四章 技术要求</w:t>
      </w:r>
      <w:r>
        <w:rPr>
          <w:b/>
          <w:bCs/>
          <w:color w:val="auto"/>
          <w:highlight w:val="none"/>
        </w:rPr>
        <w:tab/>
      </w:r>
      <w:r>
        <w:rPr>
          <w:b/>
          <w:bCs/>
          <w:color w:val="auto"/>
          <w:highlight w:val="none"/>
        </w:rPr>
        <w:fldChar w:fldCharType="begin"/>
      </w:r>
      <w:r>
        <w:rPr>
          <w:b/>
          <w:bCs/>
          <w:color w:val="auto"/>
          <w:highlight w:val="none"/>
        </w:rPr>
        <w:instrText xml:space="preserve"> PAGEREF _Toc3062 \h </w:instrText>
      </w:r>
      <w:r>
        <w:rPr>
          <w:b/>
          <w:bCs/>
          <w:color w:val="auto"/>
          <w:highlight w:val="none"/>
        </w:rPr>
        <w:fldChar w:fldCharType="separate"/>
      </w:r>
      <w:r>
        <w:rPr>
          <w:b/>
          <w:bCs/>
          <w:color w:val="auto"/>
          <w:highlight w:val="none"/>
        </w:rPr>
        <w:t>59</w:t>
      </w:r>
      <w:r>
        <w:rPr>
          <w:b/>
          <w:bCs/>
          <w:color w:val="auto"/>
          <w:highlight w:val="none"/>
        </w:rPr>
        <w:fldChar w:fldCharType="end"/>
      </w:r>
      <w:r>
        <w:rPr>
          <w:rFonts w:hint="eastAsia" w:hAnsi="宋体" w:cs="宋体"/>
          <w:b/>
          <w:bCs/>
          <w:color w:val="auto"/>
          <w:szCs w:val="24"/>
          <w:highlight w:val="none"/>
        </w:rPr>
        <w:fldChar w:fldCharType="end"/>
      </w:r>
    </w:p>
    <w:p w14:paraId="5A9C3432">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_Toc4295 </w:instrText>
      </w:r>
      <w:r>
        <w:rPr>
          <w:rFonts w:hint="eastAsia" w:hAnsi="宋体" w:cs="宋体"/>
          <w:b/>
          <w:bCs/>
          <w:color w:val="auto"/>
          <w:szCs w:val="24"/>
          <w:highlight w:val="none"/>
        </w:rPr>
        <w:fldChar w:fldCharType="separate"/>
      </w:r>
      <w:r>
        <w:rPr>
          <w:rFonts w:hint="eastAsia" w:ascii="Times New Roman"/>
          <w:b/>
          <w:bCs/>
          <w:snapToGrid w:val="0"/>
          <w:color w:val="auto"/>
          <w:szCs w:val="22"/>
          <w:highlight w:val="none"/>
        </w:rPr>
        <w:t>第五章 投标文件格式</w:t>
      </w:r>
      <w:r>
        <w:rPr>
          <w:b/>
          <w:bCs/>
          <w:color w:val="auto"/>
          <w:highlight w:val="none"/>
        </w:rPr>
        <w:tab/>
      </w:r>
      <w:r>
        <w:rPr>
          <w:b/>
          <w:bCs/>
          <w:color w:val="auto"/>
          <w:highlight w:val="none"/>
        </w:rPr>
        <w:fldChar w:fldCharType="begin"/>
      </w:r>
      <w:r>
        <w:rPr>
          <w:b/>
          <w:bCs/>
          <w:color w:val="auto"/>
          <w:highlight w:val="none"/>
        </w:rPr>
        <w:instrText xml:space="preserve"> PAGEREF _Toc4295 \h </w:instrText>
      </w:r>
      <w:r>
        <w:rPr>
          <w:b/>
          <w:bCs/>
          <w:color w:val="auto"/>
          <w:highlight w:val="none"/>
        </w:rPr>
        <w:fldChar w:fldCharType="separate"/>
      </w:r>
      <w:r>
        <w:rPr>
          <w:b/>
          <w:bCs/>
          <w:color w:val="auto"/>
          <w:highlight w:val="none"/>
        </w:rPr>
        <w:t>61</w:t>
      </w:r>
      <w:r>
        <w:rPr>
          <w:b/>
          <w:bCs/>
          <w:color w:val="auto"/>
          <w:highlight w:val="none"/>
        </w:rPr>
        <w:fldChar w:fldCharType="end"/>
      </w:r>
      <w:r>
        <w:rPr>
          <w:rFonts w:hint="eastAsia" w:hAnsi="宋体" w:cs="宋体"/>
          <w:b/>
          <w:bCs/>
          <w:color w:val="auto"/>
          <w:szCs w:val="24"/>
          <w:highlight w:val="none"/>
        </w:rPr>
        <w:fldChar w:fldCharType="end"/>
      </w:r>
    </w:p>
    <w:p w14:paraId="1E0A5449">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_Toc29621 </w:instrText>
      </w:r>
      <w:r>
        <w:rPr>
          <w:rFonts w:hint="eastAsia" w:hAnsi="宋体" w:cs="宋体"/>
          <w:color w:val="auto"/>
          <w:szCs w:val="24"/>
          <w:highlight w:val="none"/>
        </w:rPr>
        <w:fldChar w:fldCharType="separate"/>
      </w:r>
      <w:r>
        <w:rPr>
          <w:rFonts w:hint="eastAsia" w:ascii="Times New Roman"/>
          <w:snapToGrid w:val="0"/>
          <w:color w:val="auto"/>
          <w:highlight w:val="none"/>
        </w:rPr>
        <w:t>格式一 封面</w:t>
      </w:r>
      <w:r>
        <w:rPr>
          <w:color w:val="auto"/>
          <w:highlight w:val="none"/>
        </w:rPr>
        <w:tab/>
      </w:r>
      <w:r>
        <w:rPr>
          <w:color w:val="auto"/>
          <w:highlight w:val="none"/>
        </w:rPr>
        <w:fldChar w:fldCharType="begin"/>
      </w:r>
      <w:r>
        <w:rPr>
          <w:color w:val="auto"/>
          <w:highlight w:val="none"/>
        </w:rPr>
        <w:instrText xml:space="preserve"> PAGEREF _Toc29621 \h </w:instrText>
      </w:r>
      <w:r>
        <w:rPr>
          <w:color w:val="auto"/>
          <w:highlight w:val="none"/>
        </w:rPr>
        <w:fldChar w:fldCharType="separate"/>
      </w:r>
      <w:r>
        <w:rPr>
          <w:color w:val="auto"/>
          <w:highlight w:val="none"/>
        </w:rPr>
        <w:t>61</w:t>
      </w:r>
      <w:r>
        <w:rPr>
          <w:color w:val="auto"/>
          <w:highlight w:val="none"/>
        </w:rPr>
        <w:fldChar w:fldCharType="end"/>
      </w:r>
      <w:r>
        <w:rPr>
          <w:rFonts w:hint="eastAsia" w:hAnsi="宋体" w:cs="宋体"/>
          <w:color w:val="auto"/>
          <w:szCs w:val="24"/>
          <w:highlight w:val="none"/>
        </w:rPr>
        <w:fldChar w:fldCharType="end"/>
      </w:r>
    </w:p>
    <w:p w14:paraId="559F096C">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_Toc19706 </w:instrText>
      </w:r>
      <w:r>
        <w:rPr>
          <w:rFonts w:hint="eastAsia" w:hAnsi="宋体" w:cs="宋体"/>
          <w:color w:val="auto"/>
          <w:szCs w:val="24"/>
          <w:highlight w:val="none"/>
        </w:rPr>
        <w:fldChar w:fldCharType="separate"/>
      </w:r>
      <w:r>
        <w:rPr>
          <w:rFonts w:hint="eastAsia" w:ascii="Times New Roman"/>
          <w:snapToGrid w:val="0"/>
          <w:color w:val="auto"/>
          <w:highlight w:val="none"/>
        </w:rPr>
        <w:t>格式二 投标函</w:t>
      </w:r>
      <w:r>
        <w:rPr>
          <w:color w:val="auto"/>
          <w:highlight w:val="none"/>
        </w:rPr>
        <w:tab/>
      </w:r>
      <w:r>
        <w:rPr>
          <w:color w:val="auto"/>
          <w:highlight w:val="none"/>
        </w:rPr>
        <w:fldChar w:fldCharType="begin"/>
      </w:r>
      <w:r>
        <w:rPr>
          <w:color w:val="auto"/>
          <w:highlight w:val="none"/>
        </w:rPr>
        <w:instrText xml:space="preserve"> PAGEREF _Toc19706 \h </w:instrText>
      </w:r>
      <w:r>
        <w:rPr>
          <w:color w:val="auto"/>
          <w:highlight w:val="none"/>
        </w:rPr>
        <w:fldChar w:fldCharType="separate"/>
      </w:r>
      <w:r>
        <w:rPr>
          <w:color w:val="auto"/>
          <w:highlight w:val="none"/>
        </w:rPr>
        <w:t>62</w:t>
      </w:r>
      <w:r>
        <w:rPr>
          <w:color w:val="auto"/>
          <w:highlight w:val="none"/>
        </w:rPr>
        <w:fldChar w:fldCharType="end"/>
      </w:r>
      <w:r>
        <w:rPr>
          <w:rFonts w:hint="eastAsia" w:hAnsi="宋体" w:cs="宋体"/>
          <w:color w:val="auto"/>
          <w:szCs w:val="24"/>
          <w:highlight w:val="none"/>
        </w:rPr>
        <w:fldChar w:fldCharType="end"/>
      </w:r>
    </w:p>
    <w:p w14:paraId="25B40A83">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_Toc30827 </w:instrText>
      </w:r>
      <w:r>
        <w:rPr>
          <w:rFonts w:hint="eastAsia" w:hAnsi="宋体" w:cs="宋体"/>
          <w:color w:val="auto"/>
          <w:szCs w:val="24"/>
          <w:highlight w:val="none"/>
        </w:rPr>
        <w:fldChar w:fldCharType="separate"/>
      </w:r>
      <w:r>
        <w:rPr>
          <w:rFonts w:hint="eastAsia" w:hAnsi="宋体" w:cs="宋体"/>
          <w:snapToGrid w:val="0"/>
          <w:color w:val="auto"/>
          <w:highlight w:val="none"/>
        </w:rPr>
        <w:t>格式三 各项承诺一览表</w:t>
      </w:r>
      <w:r>
        <w:rPr>
          <w:color w:val="auto"/>
          <w:highlight w:val="none"/>
        </w:rPr>
        <w:tab/>
      </w:r>
      <w:r>
        <w:rPr>
          <w:color w:val="auto"/>
          <w:highlight w:val="none"/>
        </w:rPr>
        <w:fldChar w:fldCharType="begin"/>
      </w:r>
      <w:r>
        <w:rPr>
          <w:color w:val="auto"/>
          <w:highlight w:val="none"/>
        </w:rPr>
        <w:instrText xml:space="preserve"> PAGEREF _Toc30827 \h </w:instrText>
      </w:r>
      <w:r>
        <w:rPr>
          <w:color w:val="auto"/>
          <w:highlight w:val="none"/>
        </w:rPr>
        <w:fldChar w:fldCharType="separate"/>
      </w:r>
      <w:r>
        <w:rPr>
          <w:color w:val="auto"/>
          <w:highlight w:val="none"/>
        </w:rPr>
        <w:t>63</w:t>
      </w:r>
      <w:r>
        <w:rPr>
          <w:color w:val="auto"/>
          <w:highlight w:val="none"/>
        </w:rPr>
        <w:fldChar w:fldCharType="end"/>
      </w:r>
      <w:r>
        <w:rPr>
          <w:rFonts w:hint="eastAsia" w:hAnsi="宋体" w:cs="宋体"/>
          <w:color w:val="auto"/>
          <w:szCs w:val="24"/>
          <w:highlight w:val="none"/>
        </w:rPr>
        <w:fldChar w:fldCharType="end"/>
      </w:r>
    </w:p>
    <w:p w14:paraId="761A21DA">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_Toc22542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格式四 授权委托书</w:t>
      </w:r>
      <w:r>
        <w:rPr>
          <w:color w:val="auto"/>
          <w:highlight w:val="none"/>
        </w:rPr>
        <w:tab/>
      </w:r>
      <w:r>
        <w:rPr>
          <w:color w:val="auto"/>
          <w:highlight w:val="none"/>
        </w:rPr>
        <w:fldChar w:fldCharType="begin"/>
      </w:r>
      <w:r>
        <w:rPr>
          <w:color w:val="auto"/>
          <w:highlight w:val="none"/>
        </w:rPr>
        <w:instrText xml:space="preserve"> PAGEREF _Toc22542 \h </w:instrText>
      </w:r>
      <w:r>
        <w:rPr>
          <w:color w:val="auto"/>
          <w:highlight w:val="none"/>
        </w:rPr>
        <w:fldChar w:fldCharType="separate"/>
      </w:r>
      <w:r>
        <w:rPr>
          <w:color w:val="auto"/>
          <w:highlight w:val="none"/>
        </w:rPr>
        <w:t>65</w:t>
      </w:r>
      <w:r>
        <w:rPr>
          <w:color w:val="auto"/>
          <w:highlight w:val="none"/>
        </w:rPr>
        <w:fldChar w:fldCharType="end"/>
      </w:r>
      <w:r>
        <w:rPr>
          <w:rFonts w:hint="eastAsia" w:hAnsi="宋体" w:cs="宋体"/>
          <w:color w:val="auto"/>
          <w:szCs w:val="24"/>
          <w:highlight w:val="none"/>
        </w:rPr>
        <w:fldChar w:fldCharType="end"/>
      </w:r>
    </w:p>
    <w:p w14:paraId="7CD51F15">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_Toc15411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格式五 法定代表人身份证明</w:t>
      </w:r>
      <w:r>
        <w:rPr>
          <w:color w:val="auto"/>
          <w:highlight w:val="none"/>
        </w:rPr>
        <w:tab/>
      </w:r>
      <w:r>
        <w:rPr>
          <w:color w:val="auto"/>
          <w:highlight w:val="none"/>
        </w:rPr>
        <w:fldChar w:fldCharType="begin"/>
      </w:r>
      <w:r>
        <w:rPr>
          <w:color w:val="auto"/>
          <w:highlight w:val="none"/>
        </w:rPr>
        <w:instrText xml:space="preserve"> PAGEREF _Toc15411 \h </w:instrText>
      </w:r>
      <w:r>
        <w:rPr>
          <w:color w:val="auto"/>
          <w:highlight w:val="none"/>
        </w:rPr>
        <w:fldChar w:fldCharType="separate"/>
      </w:r>
      <w:r>
        <w:rPr>
          <w:color w:val="auto"/>
          <w:highlight w:val="none"/>
        </w:rPr>
        <w:t>66</w:t>
      </w:r>
      <w:r>
        <w:rPr>
          <w:color w:val="auto"/>
          <w:highlight w:val="none"/>
        </w:rPr>
        <w:fldChar w:fldCharType="end"/>
      </w:r>
      <w:r>
        <w:rPr>
          <w:rFonts w:hint="eastAsia" w:hAnsi="宋体" w:cs="宋体"/>
          <w:color w:val="auto"/>
          <w:szCs w:val="24"/>
          <w:highlight w:val="none"/>
        </w:rPr>
        <w:fldChar w:fldCharType="end"/>
      </w:r>
    </w:p>
    <w:p w14:paraId="47A76392">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_Toc19398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格式六 投标人基本情况表</w:t>
      </w:r>
      <w:r>
        <w:rPr>
          <w:color w:val="auto"/>
          <w:highlight w:val="none"/>
        </w:rPr>
        <w:tab/>
      </w:r>
      <w:r>
        <w:rPr>
          <w:color w:val="auto"/>
          <w:highlight w:val="none"/>
        </w:rPr>
        <w:fldChar w:fldCharType="begin"/>
      </w:r>
      <w:r>
        <w:rPr>
          <w:color w:val="auto"/>
          <w:highlight w:val="none"/>
        </w:rPr>
        <w:instrText xml:space="preserve"> PAGEREF _Toc19398 \h </w:instrText>
      </w:r>
      <w:r>
        <w:rPr>
          <w:color w:val="auto"/>
          <w:highlight w:val="none"/>
        </w:rPr>
        <w:fldChar w:fldCharType="separate"/>
      </w:r>
      <w:r>
        <w:rPr>
          <w:color w:val="auto"/>
          <w:highlight w:val="none"/>
        </w:rPr>
        <w:t>67</w:t>
      </w:r>
      <w:r>
        <w:rPr>
          <w:color w:val="auto"/>
          <w:highlight w:val="none"/>
        </w:rPr>
        <w:fldChar w:fldCharType="end"/>
      </w:r>
      <w:r>
        <w:rPr>
          <w:rFonts w:hint="eastAsia" w:hAnsi="宋体" w:cs="宋体"/>
          <w:color w:val="auto"/>
          <w:szCs w:val="24"/>
          <w:highlight w:val="none"/>
        </w:rPr>
        <w:fldChar w:fldCharType="end"/>
      </w:r>
    </w:p>
    <w:p w14:paraId="3544C996">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_Toc22906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格式七 总监理工程师任职声明（适用于无任职项目）</w:t>
      </w:r>
      <w:r>
        <w:rPr>
          <w:color w:val="auto"/>
          <w:highlight w:val="none"/>
        </w:rPr>
        <w:tab/>
      </w:r>
      <w:r>
        <w:rPr>
          <w:color w:val="auto"/>
          <w:highlight w:val="none"/>
        </w:rPr>
        <w:fldChar w:fldCharType="begin"/>
      </w:r>
      <w:r>
        <w:rPr>
          <w:color w:val="auto"/>
          <w:highlight w:val="none"/>
        </w:rPr>
        <w:instrText xml:space="preserve"> PAGEREF _Toc22906 \h </w:instrText>
      </w:r>
      <w:r>
        <w:rPr>
          <w:color w:val="auto"/>
          <w:highlight w:val="none"/>
        </w:rPr>
        <w:fldChar w:fldCharType="separate"/>
      </w:r>
      <w:r>
        <w:rPr>
          <w:color w:val="auto"/>
          <w:highlight w:val="none"/>
        </w:rPr>
        <w:t>68</w:t>
      </w:r>
      <w:r>
        <w:rPr>
          <w:color w:val="auto"/>
          <w:highlight w:val="none"/>
        </w:rPr>
        <w:fldChar w:fldCharType="end"/>
      </w:r>
      <w:r>
        <w:rPr>
          <w:rFonts w:hint="eastAsia" w:hAnsi="宋体" w:cs="宋体"/>
          <w:color w:val="auto"/>
          <w:szCs w:val="24"/>
          <w:highlight w:val="none"/>
        </w:rPr>
        <w:fldChar w:fldCharType="end"/>
      </w:r>
    </w:p>
    <w:p w14:paraId="6026CD89">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_Toc27081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格式八 总监理工程师任职声明（适用于有任职项目）</w:t>
      </w:r>
      <w:r>
        <w:rPr>
          <w:color w:val="auto"/>
          <w:highlight w:val="none"/>
        </w:rPr>
        <w:tab/>
      </w:r>
      <w:r>
        <w:rPr>
          <w:color w:val="auto"/>
          <w:highlight w:val="none"/>
        </w:rPr>
        <w:fldChar w:fldCharType="begin"/>
      </w:r>
      <w:r>
        <w:rPr>
          <w:color w:val="auto"/>
          <w:highlight w:val="none"/>
        </w:rPr>
        <w:instrText xml:space="preserve"> PAGEREF _Toc27081 \h </w:instrText>
      </w:r>
      <w:r>
        <w:rPr>
          <w:color w:val="auto"/>
          <w:highlight w:val="none"/>
        </w:rPr>
        <w:fldChar w:fldCharType="separate"/>
      </w:r>
      <w:r>
        <w:rPr>
          <w:color w:val="auto"/>
          <w:highlight w:val="none"/>
        </w:rPr>
        <w:t>69</w:t>
      </w:r>
      <w:r>
        <w:rPr>
          <w:color w:val="auto"/>
          <w:highlight w:val="none"/>
        </w:rPr>
        <w:fldChar w:fldCharType="end"/>
      </w:r>
      <w:r>
        <w:rPr>
          <w:rFonts w:hint="eastAsia" w:hAnsi="宋体" w:cs="宋体"/>
          <w:color w:val="auto"/>
          <w:szCs w:val="24"/>
          <w:highlight w:val="none"/>
        </w:rPr>
        <w:fldChar w:fldCharType="end"/>
      </w:r>
    </w:p>
    <w:p w14:paraId="6950436E">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_Toc136 </w:instrText>
      </w:r>
      <w:r>
        <w:rPr>
          <w:rFonts w:hint="eastAsia" w:hAnsi="宋体" w:cs="宋体"/>
          <w:color w:val="auto"/>
          <w:szCs w:val="24"/>
          <w:highlight w:val="none"/>
        </w:rPr>
        <w:fldChar w:fldCharType="separate"/>
      </w:r>
      <w:r>
        <w:rPr>
          <w:rFonts w:hint="eastAsia" w:hAnsi="宋体" w:cs="宋体"/>
          <w:bCs/>
          <w:snapToGrid w:val="0"/>
          <w:color w:val="auto"/>
          <w:kern w:val="0"/>
          <w:szCs w:val="24"/>
          <w:highlight w:val="none"/>
        </w:rPr>
        <w:t>格式九 总监理工程师任职项目情况表</w:t>
      </w:r>
      <w:r>
        <w:rPr>
          <w:color w:val="auto"/>
          <w:highlight w:val="none"/>
        </w:rPr>
        <w:tab/>
      </w:r>
      <w:r>
        <w:rPr>
          <w:color w:val="auto"/>
          <w:highlight w:val="none"/>
        </w:rPr>
        <w:fldChar w:fldCharType="begin"/>
      </w:r>
      <w:r>
        <w:rPr>
          <w:color w:val="auto"/>
          <w:highlight w:val="none"/>
        </w:rPr>
        <w:instrText xml:space="preserve"> PAGEREF _Toc136 \h </w:instrText>
      </w:r>
      <w:r>
        <w:rPr>
          <w:color w:val="auto"/>
          <w:highlight w:val="none"/>
        </w:rPr>
        <w:fldChar w:fldCharType="separate"/>
      </w:r>
      <w:r>
        <w:rPr>
          <w:color w:val="auto"/>
          <w:highlight w:val="none"/>
        </w:rPr>
        <w:t>70</w:t>
      </w:r>
      <w:r>
        <w:rPr>
          <w:color w:val="auto"/>
          <w:highlight w:val="none"/>
        </w:rPr>
        <w:fldChar w:fldCharType="end"/>
      </w:r>
      <w:r>
        <w:rPr>
          <w:rFonts w:hint="eastAsia" w:hAnsi="宋体" w:cs="宋体"/>
          <w:color w:val="auto"/>
          <w:szCs w:val="24"/>
          <w:highlight w:val="none"/>
        </w:rPr>
        <w:fldChar w:fldCharType="end"/>
      </w:r>
    </w:p>
    <w:p w14:paraId="56653C75">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_Toc18807 </w:instrText>
      </w:r>
      <w:r>
        <w:rPr>
          <w:rFonts w:hint="eastAsia" w:hAnsi="宋体" w:cs="宋体"/>
          <w:color w:val="auto"/>
          <w:szCs w:val="24"/>
          <w:highlight w:val="none"/>
        </w:rPr>
        <w:fldChar w:fldCharType="separate"/>
      </w:r>
      <w:r>
        <w:rPr>
          <w:rFonts w:hint="eastAsia" w:hAnsi="宋体" w:cs="宋体"/>
          <w:snapToGrid w:val="0"/>
          <w:color w:val="auto"/>
          <w:kern w:val="0"/>
          <w:highlight w:val="none"/>
        </w:rPr>
        <w:t>格式</w:t>
      </w:r>
      <w:r>
        <w:rPr>
          <w:rFonts w:hint="eastAsia" w:hAnsi="宋体" w:cs="宋体"/>
          <w:bCs/>
          <w:snapToGrid w:val="0"/>
          <w:color w:val="auto"/>
          <w:kern w:val="0"/>
          <w:szCs w:val="24"/>
          <w:highlight w:val="none"/>
        </w:rPr>
        <w:t>十 项目监理机构组成人员汇总表</w:t>
      </w:r>
      <w:r>
        <w:rPr>
          <w:color w:val="auto"/>
          <w:highlight w:val="none"/>
        </w:rPr>
        <w:tab/>
      </w:r>
      <w:r>
        <w:rPr>
          <w:color w:val="auto"/>
          <w:highlight w:val="none"/>
        </w:rPr>
        <w:fldChar w:fldCharType="begin"/>
      </w:r>
      <w:r>
        <w:rPr>
          <w:color w:val="auto"/>
          <w:highlight w:val="none"/>
        </w:rPr>
        <w:instrText xml:space="preserve"> PAGEREF _Toc18807 \h </w:instrText>
      </w:r>
      <w:r>
        <w:rPr>
          <w:color w:val="auto"/>
          <w:highlight w:val="none"/>
        </w:rPr>
        <w:fldChar w:fldCharType="separate"/>
      </w:r>
      <w:r>
        <w:rPr>
          <w:color w:val="auto"/>
          <w:highlight w:val="none"/>
        </w:rPr>
        <w:t>71</w:t>
      </w:r>
      <w:r>
        <w:rPr>
          <w:color w:val="auto"/>
          <w:highlight w:val="none"/>
        </w:rPr>
        <w:fldChar w:fldCharType="end"/>
      </w:r>
      <w:r>
        <w:rPr>
          <w:rFonts w:hint="eastAsia" w:hAnsi="宋体" w:cs="宋体"/>
          <w:color w:val="auto"/>
          <w:szCs w:val="24"/>
          <w:highlight w:val="none"/>
        </w:rPr>
        <w:fldChar w:fldCharType="end"/>
      </w:r>
    </w:p>
    <w:p w14:paraId="74275B8A">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_Toc23185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格式十一 总监理工程师简历表</w:t>
      </w:r>
      <w:r>
        <w:rPr>
          <w:color w:val="auto"/>
          <w:highlight w:val="none"/>
        </w:rPr>
        <w:tab/>
      </w:r>
      <w:r>
        <w:rPr>
          <w:color w:val="auto"/>
          <w:highlight w:val="none"/>
        </w:rPr>
        <w:fldChar w:fldCharType="begin"/>
      </w:r>
      <w:r>
        <w:rPr>
          <w:color w:val="auto"/>
          <w:highlight w:val="none"/>
        </w:rPr>
        <w:instrText xml:space="preserve"> PAGEREF _Toc23185 \h </w:instrText>
      </w:r>
      <w:r>
        <w:rPr>
          <w:color w:val="auto"/>
          <w:highlight w:val="none"/>
        </w:rPr>
        <w:fldChar w:fldCharType="separate"/>
      </w:r>
      <w:r>
        <w:rPr>
          <w:color w:val="auto"/>
          <w:highlight w:val="none"/>
        </w:rPr>
        <w:t>72</w:t>
      </w:r>
      <w:r>
        <w:rPr>
          <w:color w:val="auto"/>
          <w:highlight w:val="none"/>
        </w:rPr>
        <w:fldChar w:fldCharType="end"/>
      </w:r>
      <w:r>
        <w:rPr>
          <w:rFonts w:hint="eastAsia" w:hAnsi="宋体" w:cs="宋体"/>
          <w:color w:val="auto"/>
          <w:szCs w:val="24"/>
          <w:highlight w:val="none"/>
        </w:rPr>
        <w:fldChar w:fldCharType="end"/>
      </w:r>
    </w:p>
    <w:p w14:paraId="631E0247">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_Toc26946 </w:instrText>
      </w:r>
      <w:r>
        <w:rPr>
          <w:rFonts w:hint="eastAsia" w:hAnsi="宋体" w:cs="宋体"/>
          <w:color w:val="auto"/>
          <w:szCs w:val="24"/>
          <w:highlight w:val="none"/>
        </w:rPr>
        <w:fldChar w:fldCharType="separate"/>
      </w:r>
      <w:r>
        <w:rPr>
          <w:rFonts w:hint="eastAsia" w:ascii="宋体" w:hAnsi="宋体" w:cs="宋体"/>
          <w:bCs/>
          <w:snapToGrid w:val="0"/>
          <w:color w:val="auto"/>
          <w:highlight w:val="none"/>
        </w:rPr>
        <w:t>格式十二 其他拟派人员简历表</w:t>
      </w:r>
      <w:r>
        <w:rPr>
          <w:color w:val="auto"/>
          <w:highlight w:val="none"/>
        </w:rPr>
        <w:tab/>
      </w:r>
      <w:r>
        <w:rPr>
          <w:color w:val="auto"/>
          <w:highlight w:val="none"/>
        </w:rPr>
        <w:fldChar w:fldCharType="begin"/>
      </w:r>
      <w:r>
        <w:rPr>
          <w:color w:val="auto"/>
          <w:highlight w:val="none"/>
        </w:rPr>
        <w:instrText xml:space="preserve"> PAGEREF _Toc26946 \h </w:instrText>
      </w:r>
      <w:r>
        <w:rPr>
          <w:color w:val="auto"/>
          <w:highlight w:val="none"/>
        </w:rPr>
        <w:fldChar w:fldCharType="separate"/>
      </w:r>
      <w:r>
        <w:rPr>
          <w:color w:val="auto"/>
          <w:highlight w:val="none"/>
        </w:rPr>
        <w:t>73</w:t>
      </w:r>
      <w:r>
        <w:rPr>
          <w:color w:val="auto"/>
          <w:highlight w:val="none"/>
        </w:rPr>
        <w:fldChar w:fldCharType="end"/>
      </w:r>
      <w:r>
        <w:rPr>
          <w:rFonts w:hint="eastAsia" w:hAnsi="宋体" w:cs="宋体"/>
          <w:color w:val="auto"/>
          <w:szCs w:val="24"/>
          <w:highlight w:val="none"/>
        </w:rPr>
        <w:fldChar w:fldCharType="end"/>
      </w:r>
    </w:p>
    <w:p w14:paraId="5CA862BA">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_Toc9763 </w:instrText>
      </w:r>
      <w:r>
        <w:rPr>
          <w:rFonts w:hint="eastAsia" w:hAnsi="宋体" w:cs="宋体"/>
          <w:color w:val="auto"/>
          <w:szCs w:val="24"/>
          <w:highlight w:val="none"/>
        </w:rPr>
        <w:fldChar w:fldCharType="separate"/>
      </w:r>
      <w:r>
        <w:rPr>
          <w:rFonts w:hint="eastAsia"/>
          <w:bCs/>
          <w:color w:val="auto"/>
          <w:highlight w:val="none"/>
          <w:lang w:val="en-US" w:eastAsia="zh-CN"/>
        </w:rPr>
        <w:t>格式十三 原件一览表</w:t>
      </w:r>
      <w:r>
        <w:rPr>
          <w:color w:val="auto"/>
          <w:highlight w:val="none"/>
        </w:rPr>
        <w:tab/>
      </w:r>
      <w:r>
        <w:rPr>
          <w:color w:val="auto"/>
          <w:highlight w:val="none"/>
        </w:rPr>
        <w:fldChar w:fldCharType="begin"/>
      </w:r>
      <w:r>
        <w:rPr>
          <w:color w:val="auto"/>
          <w:highlight w:val="none"/>
        </w:rPr>
        <w:instrText xml:space="preserve"> PAGEREF _Toc9763 \h </w:instrText>
      </w:r>
      <w:r>
        <w:rPr>
          <w:color w:val="auto"/>
          <w:highlight w:val="none"/>
        </w:rPr>
        <w:fldChar w:fldCharType="separate"/>
      </w:r>
      <w:r>
        <w:rPr>
          <w:color w:val="auto"/>
          <w:highlight w:val="none"/>
        </w:rPr>
        <w:t>74</w:t>
      </w:r>
      <w:r>
        <w:rPr>
          <w:color w:val="auto"/>
          <w:highlight w:val="none"/>
        </w:rPr>
        <w:fldChar w:fldCharType="end"/>
      </w:r>
      <w:r>
        <w:rPr>
          <w:rFonts w:hint="eastAsia" w:hAnsi="宋体" w:cs="宋体"/>
          <w:color w:val="auto"/>
          <w:szCs w:val="24"/>
          <w:highlight w:val="none"/>
        </w:rPr>
        <w:fldChar w:fldCharType="end"/>
      </w:r>
    </w:p>
    <w:p w14:paraId="7D2C26C4">
      <w:pPr>
        <w:pStyle w:val="25"/>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color w:val="auto"/>
          <w:highlight w:val="none"/>
        </w:rPr>
      </w:pPr>
      <w:r>
        <w:rPr>
          <w:rFonts w:hint="eastAsia" w:hAnsi="宋体" w:cs="宋体"/>
          <w:color w:val="auto"/>
          <w:szCs w:val="24"/>
          <w:highlight w:val="none"/>
        </w:rPr>
        <w:fldChar w:fldCharType="begin"/>
      </w:r>
      <w:r>
        <w:rPr>
          <w:rFonts w:hint="eastAsia" w:hAnsi="宋体" w:cs="宋体"/>
          <w:color w:val="auto"/>
          <w:szCs w:val="24"/>
          <w:highlight w:val="none"/>
        </w:rPr>
        <w:instrText xml:space="preserve"> HYPERLINK \l _Toc26582 </w:instrText>
      </w:r>
      <w:r>
        <w:rPr>
          <w:rFonts w:hint="eastAsia" w:hAnsi="宋体" w:cs="宋体"/>
          <w:color w:val="auto"/>
          <w:szCs w:val="24"/>
          <w:highlight w:val="none"/>
        </w:rPr>
        <w:fldChar w:fldCharType="separate"/>
      </w:r>
      <w:r>
        <w:rPr>
          <w:rFonts w:hint="eastAsia" w:ascii="宋体" w:hAnsi="Times New Roman" w:eastAsia="宋体" w:cs="Times New Roman"/>
          <w:bCs/>
          <w:color w:val="auto"/>
          <w:highlight w:val="none"/>
          <w:lang w:val="en-US" w:eastAsia="zh-CN"/>
        </w:rPr>
        <w:t>格式十四 定标因素评审资料</w:t>
      </w:r>
      <w:r>
        <w:rPr>
          <w:color w:val="auto"/>
          <w:highlight w:val="none"/>
        </w:rPr>
        <w:tab/>
      </w:r>
      <w:r>
        <w:rPr>
          <w:color w:val="auto"/>
          <w:highlight w:val="none"/>
        </w:rPr>
        <w:fldChar w:fldCharType="begin"/>
      </w:r>
      <w:r>
        <w:rPr>
          <w:color w:val="auto"/>
          <w:highlight w:val="none"/>
        </w:rPr>
        <w:instrText xml:space="preserve"> PAGEREF _Toc26582 \h </w:instrText>
      </w:r>
      <w:r>
        <w:rPr>
          <w:color w:val="auto"/>
          <w:highlight w:val="none"/>
        </w:rPr>
        <w:fldChar w:fldCharType="separate"/>
      </w:r>
      <w:r>
        <w:rPr>
          <w:color w:val="auto"/>
          <w:highlight w:val="none"/>
        </w:rPr>
        <w:t>75</w:t>
      </w:r>
      <w:r>
        <w:rPr>
          <w:color w:val="auto"/>
          <w:highlight w:val="none"/>
        </w:rPr>
        <w:fldChar w:fldCharType="end"/>
      </w:r>
      <w:r>
        <w:rPr>
          <w:rFonts w:hint="eastAsia" w:hAnsi="宋体" w:cs="宋体"/>
          <w:color w:val="auto"/>
          <w:szCs w:val="24"/>
          <w:highlight w:val="none"/>
        </w:rPr>
        <w:fldChar w:fldCharType="end"/>
      </w:r>
    </w:p>
    <w:p w14:paraId="1C319B72">
      <w:pPr>
        <w:pStyle w:val="21"/>
        <w:keepNext w:val="0"/>
        <w:keepLines w:val="0"/>
        <w:pageBreakBefore w:val="0"/>
        <w:widowControl w:val="0"/>
        <w:tabs>
          <w:tab w:val="right" w:leader="dot" w:pos="9072"/>
        </w:tabs>
        <w:kinsoku/>
        <w:wordWrap/>
        <w:overflowPunct/>
        <w:topLinePunct w:val="0"/>
        <w:autoSpaceDE/>
        <w:autoSpaceDN/>
        <w:bidi w:val="0"/>
        <w:adjustRightInd/>
        <w:snapToGrid/>
        <w:spacing w:line="400" w:lineRule="exact"/>
        <w:textAlignment w:val="auto"/>
        <w:rPr>
          <w:b/>
          <w:bCs/>
          <w:color w:val="auto"/>
          <w:highlight w:val="none"/>
        </w:rPr>
      </w:pPr>
      <w:r>
        <w:rPr>
          <w:rFonts w:hint="eastAsia" w:hAnsi="宋体" w:cs="宋体"/>
          <w:b/>
          <w:bCs/>
          <w:color w:val="auto"/>
          <w:szCs w:val="24"/>
          <w:highlight w:val="none"/>
        </w:rPr>
        <w:fldChar w:fldCharType="begin"/>
      </w:r>
      <w:r>
        <w:rPr>
          <w:rFonts w:hint="eastAsia" w:hAnsi="宋体" w:cs="宋体"/>
          <w:b/>
          <w:bCs/>
          <w:color w:val="auto"/>
          <w:szCs w:val="24"/>
          <w:highlight w:val="none"/>
        </w:rPr>
        <w:instrText xml:space="preserve"> HYPERLINK \l _Toc24615 </w:instrText>
      </w:r>
      <w:r>
        <w:rPr>
          <w:rFonts w:hint="eastAsia" w:hAnsi="宋体" w:cs="宋体"/>
          <w:b/>
          <w:bCs/>
          <w:color w:val="auto"/>
          <w:szCs w:val="24"/>
          <w:highlight w:val="none"/>
        </w:rPr>
        <w:fldChar w:fldCharType="separate"/>
      </w:r>
      <w:r>
        <w:rPr>
          <w:rFonts w:hint="eastAsia" w:ascii="宋体" w:hAnsi="宋体" w:cs="宋体"/>
          <w:b/>
          <w:bCs/>
          <w:color w:val="auto"/>
          <w:kern w:val="44"/>
          <w:szCs w:val="22"/>
          <w:highlight w:val="none"/>
        </w:rPr>
        <w:t>第六章 建设工程监理合同</w:t>
      </w:r>
      <w:r>
        <w:rPr>
          <w:b/>
          <w:bCs/>
          <w:color w:val="auto"/>
          <w:highlight w:val="none"/>
        </w:rPr>
        <w:tab/>
      </w:r>
      <w:r>
        <w:rPr>
          <w:b/>
          <w:bCs/>
          <w:color w:val="auto"/>
          <w:highlight w:val="none"/>
        </w:rPr>
        <w:fldChar w:fldCharType="begin"/>
      </w:r>
      <w:r>
        <w:rPr>
          <w:b/>
          <w:bCs/>
          <w:color w:val="auto"/>
          <w:highlight w:val="none"/>
        </w:rPr>
        <w:instrText xml:space="preserve"> PAGEREF _Toc24615 \h </w:instrText>
      </w:r>
      <w:r>
        <w:rPr>
          <w:b/>
          <w:bCs/>
          <w:color w:val="auto"/>
          <w:highlight w:val="none"/>
        </w:rPr>
        <w:fldChar w:fldCharType="separate"/>
      </w:r>
      <w:r>
        <w:rPr>
          <w:b/>
          <w:bCs/>
          <w:color w:val="auto"/>
          <w:highlight w:val="none"/>
        </w:rPr>
        <w:t>76</w:t>
      </w:r>
      <w:r>
        <w:rPr>
          <w:b/>
          <w:bCs/>
          <w:color w:val="auto"/>
          <w:highlight w:val="none"/>
        </w:rPr>
        <w:fldChar w:fldCharType="end"/>
      </w:r>
      <w:r>
        <w:rPr>
          <w:rFonts w:hint="eastAsia" w:hAnsi="宋体" w:cs="宋体"/>
          <w:b/>
          <w:bCs/>
          <w:color w:val="auto"/>
          <w:szCs w:val="24"/>
          <w:highlight w:val="none"/>
        </w:rPr>
        <w:fldChar w:fldCharType="end"/>
      </w:r>
    </w:p>
    <w:p w14:paraId="04AFE2B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hAnsi="宋体" w:cs="宋体"/>
          <w:color w:val="auto"/>
          <w:szCs w:val="24"/>
          <w:highlight w:val="none"/>
        </w:rPr>
      </w:pPr>
      <w:r>
        <w:rPr>
          <w:rFonts w:hint="eastAsia" w:hAnsi="宋体" w:cs="宋体"/>
          <w:color w:val="auto"/>
          <w:szCs w:val="24"/>
          <w:highlight w:val="none"/>
        </w:rPr>
        <w:fldChar w:fldCharType="end"/>
      </w:r>
    </w:p>
    <w:p w14:paraId="72C6CDF7">
      <w:pPr>
        <w:bidi w:val="0"/>
        <w:rPr>
          <w:rFonts w:hint="eastAsia"/>
          <w:color w:val="auto"/>
          <w:highlight w:val="none"/>
        </w:rPr>
      </w:pPr>
    </w:p>
    <w:p w14:paraId="44E278EF">
      <w:pPr>
        <w:bidi w:val="0"/>
        <w:rPr>
          <w:rFonts w:hint="eastAsia"/>
          <w:color w:val="auto"/>
          <w:highlight w:val="none"/>
        </w:rPr>
      </w:pPr>
    </w:p>
    <w:p w14:paraId="4CFFDCA3">
      <w:pPr>
        <w:bidi w:val="0"/>
        <w:rPr>
          <w:rFonts w:hint="eastAsia"/>
          <w:color w:val="auto"/>
          <w:highlight w:val="none"/>
        </w:rPr>
      </w:pPr>
    </w:p>
    <w:p w14:paraId="49FACEF0">
      <w:pPr>
        <w:bidi w:val="0"/>
        <w:rPr>
          <w:rFonts w:hint="eastAsia"/>
          <w:color w:val="auto"/>
          <w:highlight w:val="none"/>
        </w:rPr>
      </w:pPr>
    </w:p>
    <w:p w14:paraId="67D59685">
      <w:pPr>
        <w:bidi w:val="0"/>
        <w:rPr>
          <w:rFonts w:hint="eastAsia"/>
          <w:color w:val="auto"/>
          <w:highlight w:val="none"/>
        </w:rPr>
      </w:pPr>
    </w:p>
    <w:p w14:paraId="3CF29BF7">
      <w:pPr>
        <w:bidi w:val="0"/>
        <w:rPr>
          <w:rFonts w:hint="eastAsia"/>
          <w:color w:val="auto"/>
          <w:highlight w:val="none"/>
        </w:rPr>
      </w:pPr>
    </w:p>
    <w:p w14:paraId="1C6B5B71">
      <w:pPr>
        <w:bidi w:val="0"/>
        <w:rPr>
          <w:rFonts w:hint="eastAsia"/>
          <w:color w:val="auto"/>
          <w:highlight w:val="none"/>
        </w:rPr>
      </w:pPr>
    </w:p>
    <w:p w14:paraId="00CD5A72">
      <w:pPr>
        <w:bidi w:val="0"/>
        <w:rPr>
          <w:rFonts w:hint="eastAsia"/>
          <w:color w:val="auto"/>
          <w:highlight w:val="none"/>
        </w:rPr>
      </w:pPr>
    </w:p>
    <w:p w14:paraId="7906C4F8">
      <w:pPr>
        <w:bidi w:val="0"/>
        <w:rPr>
          <w:rFonts w:hint="eastAsia"/>
          <w:color w:val="auto"/>
          <w:highlight w:val="none"/>
        </w:rPr>
      </w:pPr>
    </w:p>
    <w:p w14:paraId="7FA25707">
      <w:pPr>
        <w:bidi w:val="0"/>
        <w:rPr>
          <w:rFonts w:hint="eastAsia"/>
          <w:color w:val="auto"/>
          <w:highlight w:val="none"/>
        </w:rPr>
      </w:pPr>
    </w:p>
    <w:p w14:paraId="1AC08286">
      <w:pPr>
        <w:bidi w:val="0"/>
        <w:rPr>
          <w:rFonts w:hint="eastAsia"/>
          <w:color w:val="auto"/>
          <w:highlight w:val="none"/>
        </w:rPr>
      </w:pPr>
    </w:p>
    <w:p w14:paraId="73AD38DD">
      <w:pPr>
        <w:pStyle w:val="4"/>
        <w:wordWrap w:val="0"/>
        <w:autoSpaceDE/>
        <w:autoSpaceDN/>
        <w:snapToGrid w:val="0"/>
        <w:spacing w:line="440" w:lineRule="exact"/>
        <w:jc w:val="center"/>
        <w:rPr>
          <w:rFonts w:ascii="Times New Roman"/>
          <w:b/>
          <w:snapToGrid w:val="0"/>
          <w:color w:val="auto"/>
          <w:sz w:val="32"/>
          <w:szCs w:val="22"/>
          <w:highlight w:val="none"/>
        </w:rPr>
      </w:pPr>
      <w:bookmarkStart w:id="0" w:name="_Toc10652"/>
      <w:r>
        <w:rPr>
          <w:rFonts w:hint="eastAsia" w:ascii="Times New Roman"/>
          <w:b/>
          <w:snapToGrid w:val="0"/>
          <w:color w:val="auto"/>
          <w:sz w:val="32"/>
          <w:szCs w:val="22"/>
          <w:highlight w:val="none"/>
        </w:rPr>
        <w:t>第一章 投标人须知</w:t>
      </w:r>
      <w:bookmarkEnd w:id="0"/>
    </w:p>
    <w:p w14:paraId="64D39061">
      <w:pPr>
        <w:pStyle w:val="5"/>
        <w:wordWrap w:val="0"/>
        <w:autoSpaceDE/>
        <w:autoSpaceDN/>
        <w:snapToGrid w:val="0"/>
        <w:spacing w:before="260" w:after="260" w:line="440" w:lineRule="exact"/>
        <w:jc w:val="both"/>
        <w:rPr>
          <w:rFonts w:ascii="Times New Roman"/>
          <w:b/>
          <w:snapToGrid w:val="0"/>
          <w:color w:val="auto"/>
          <w:highlight w:val="none"/>
        </w:rPr>
      </w:pPr>
      <w:bookmarkStart w:id="1" w:name="_Hlt127175444"/>
      <w:bookmarkEnd w:id="1"/>
      <w:bookmarkStart w:id="2" w:name="_Toc4883"/>
      <w:bookmarkStart w:id="3" w:name="_Toc5307"/>
      <w:bookmarkStart w:id="4" w:name="_Hlt120077520"/>
      <w:r>
        <w:rPr>
          <w:rFonts w:hint="eastAsia" w:ascii="Times New Roman"/>
          <w:b/>
          <w:snapToGrid w:val="0"/>
          <w:color w:val="auto"/>
          <w:highlight w:val="none"/>
        </w:rPr>
        <w:t>第一节 投标人须知前附表</w:t>
      </w:r>
      <w:bookmarkEnd w:id="2"/>
      <w:bookmarkEnd w:id="3"/>
    </w:p>
    <w:tbl>
      <w:tblPr>
        <w:tblStyle w:val="32"/>
        <w:tblW w:w="9302" w:type="dxa"/>
        <w:tblInd w:w="-7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21"/>
        <w:gridCol w:w="1725"/>
        <w:gridCol w:w="6856"/>
      </w:tblGrid>
      <w:tr w14:paraId="2CEA8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5A616D1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序号</w:t>
            </w:r>
          </w:p>
        </w:tc>
        <w:tc>
          <w:tcPr>
            <w:tcW w:w="1725" w:type="dxa"/>
            <w:tcBorders>
              <w:top w:val="single" w:color="auto" w:sz="4" w:space="0"/>
              <w:left w:val="single" w:color="auto" w:sz="4" w:space="0"/>
              <w:bottom w:val="single" w:color="auto" w:sz="4" w:space="0"/>
              <w:right w:val="single" w:color="auto" w:sz="4" w:space="0"/>
            </w:tcBorders>
            <w:vAlign w:val="center"/>
          </w:tcPr>
          <w:p w14:paraId="1592A7F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内容</w:t>
            </w:r>
          </w:p>
        </w:tc>
        <w:tc>
          <w:tcPr>
            <w:tcW w:w="6856" w:type="dxa"/>
            <w:tcBorders>
              <w:top w:val="single" w:color="auto" w:sz="4" w:space="0"/>
              <w:left w:val="single" w:color="auto" w:sz="4" w:space="0"/>
              <w:bottom w:val="single" w:color="auto" w:sz="4" w:space="0"/>
              <w:right w:val="single" w:color="auto" w:sz="4" w:space="0"/>
            </w:tcBorders>
            <w:vAlign w:val="center"/>
          </w:tcPr>
          <w:p w14:paraId="6F58C683">
            <w:pPr>
              <w:keepNext w:val="0"/>
              <w:keepLines w:val="0"/>
              <w:pageBreakBefore w:val="0"/>
              <w:widowControl w:val="0"/>
              <w:tabs>
                <w:tab w:val="left" w:pos="1180"/>
              </w:tabs>
              <w:kinsoku/>
              <w:wordWrap w:val="0"/>
              <w:overflowPunct/>
              <w:topLinePunct w:val="0"/>
              <w:autoSpaceDE/>
              <w:autoSpaceDN/>
              <w:bidi w:val="0"/>
              <w:adjustRightInd w:val="0"/>
              <w:snapToGrid w:val="0"/>
              <w:spacing w:line="500" w:lineRule="exact"/>
              <w:jc w:val="center"/>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说明与要求</w:t>
            </w:r>
          </w:p>
        </w:tc>
      </w:tr>
      <w:tr w14:paraId="17894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2DAE48C">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w:t>
            </w:r>
          </w:p>
        </w:tc>
        <w:tc>
          <w:tcPr>
            <w:tcW w:w="1725" w:type="dxa"/>
            <w:tcBorders>
              <w:top w:val="single" w:color="auto" w:sz="4" w:space="0"/>
              <w:left w:val="single" w:color="auto" w:sz="4" w:space="0"/>
              <w:bottom w:val="single" w:color="auto" w:sz="4" w:space="0"/>
              <w:right w:val="single" w:color="auto" w:sz="4" w:space="0"/>
            </w:tcBorders>
            <w:vAlign w:val="center"/>
          </w:tcPr>
          <w:p w14:paraId="0259AB1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项目名称</w:t>
            </w:r>
          </w:p>
        </w:tc>
        <w:tc>
          <w:tcPr>
            <w:tcW w:w="6856" w:type="dxa"/>
            <w:tcBorders>
              <w:top w:val="single" w:color="auto" w:sz="4" w:space="0"/>
              <w:left w:val="single" w:color="auto" w:sz="4" w:space="0"/>
              <w:bottom w:val="single" w:color="auto" w:sz="4" w:space="0"/>
              <w:right w:val="single" w:color="auto" w:sz="4" w:space="0"/>
            </w:tcBorders>
            <w:vAlign w:val="center"/>
          </w:tcPr>
          <w:p w14:paraId="5A03970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lang w:eastAsia="zh-CN"/>
              </w:rPr>
              <w:t>南雄市“银杏染秋”乡村振兴示范带建设项目-南雄市全安镇典型村建设项目施工监理（第二次）</w:t>
            </w:r>
          </w:p>
        </w:tc>
      </w:tr>
      <w:tr w14:paraId="4391C2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FBA70A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w:t>
            </w:r>
          </w:p>
        </w:tc>
        <w:tc>
          <w:tcPr>
            <w:tcW w:w="1725" w:type="dxa"/>
            <w:tcBorders>
              <w:top w:val="single" w:color="auto" w:sz="4" w:space="0"/>
              <w:left w:val="single" w:color="auto" w:sz="4" w:space="0"/>
              <w:bottom w:val="single" w:color="auto" w:sz="4" w:space="0"/>
              <w:right w:val="single" w:color="auto" w:sz="4" w:space="0"/>
            </w:tcBorders>
            <w:vAlign w:val="center"/>
          </w:tcPr>
          <w:p w14:paraId="039B656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项目业主</w:t>
            </w:r>
          </w:p>
        </w:tc>
        <w:tc>
          <w:tcPr>
            <w:tcW w:w="6856" w:type="dxa"/>
            <w:tcBorders>
              <w:top w:val="single" w:color="auto" w:sz="4" w:space="0"/>
              <w:left w:val="single" w:color="auto" w:sz="4" w:space="0"/>
              <w:bottom w:val="single" w:color="auto" w:sz="4" w:space="0"/>
              <w:right w:val="single" w:color="auto" w:sz="4" w:space="0"/>
            </w:tcBorders>
            <w:vAlign w:val="center"/>
          </w:tcPr>
          <w:p w14:paraId="36C8F02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int="default" w:hAnsi="宋体" w:eastAsia="宋体" w:cs="宋体"/>
                <w:snapToGrid w:val="0"/>
                <w:color w:val="auto"/>
                <w:kern w:val="0"/>
                <w:szCs w:val="24"/>
                <w:highlight w:val="none"/>
                <w:lang w:val="en-US" w:eastAsia="zh-CN"/>
              </w:rPr>
            </w:pPr>
            <w:r>
              <w:rPr>
                <w:rFonts w:hint="eastAsia" w:hAnsi="宋体" w:cs="宋体"/>
                <w:color w:val="auto"/>
                <w:kern w:val="2"/>
                <w:sz w:val="24"/>
                <w:szCs w:val="22"/>
                <w:highlight w:val="none"/>
                <w:lang w:val="en-US" w:eastAsia="zh-CN" w:bidi="ar-SA"/>
              </w:rPr>
              <w:t>南雄市全安镇人民政府</w:t>
            </w:r>
          </w:p>
        </w:tc>
      </w:tr>
      <w:tr w14:paraId="51276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7AA9DCF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3</w:t>
            </w:r>
          </w:p>
        </w:tc>
        <w:tc>
          <w:tcPr>
            <w:tcW w:w="1725" w:type="dxa"/>
            <w:tcBorders>
              <w:top w:val="single" w:color="auto" w:sz="4" w:space="0"/>
              <w:left w:val="single" w:color="auto" w:sz="4" w:space="0"/>
              <w:bottom w:val="single" w:color="auto" w:sz="4" w:space="0"/>
              <w:right w:val="single" w:color="auto" w:sz="4" w:space="0"/>
            </w:tcBorders>
            <w:vAlign w:val="center"/>
          </w:tcPr>
          <w:p w14:paraId="324DDCC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项目批准部门</w:t>
            </w:r>
          </w:p>
        </w:tc>
        <w:tc>
          <w:tcPr>
            <w:tcW w:w="6856" w:type="dxa"/>
            <w:tcBorders>
              <w:top w:val="single" w:color="auto" w:sz="4" w:space="0"/>
              <w:left w:val="single" w:color="auto" w:sz="4" w:space="0"/>
              <w:bottom w:val="single" w:color="auto" w:sz="4" w:space="0"/>
              <w:right w:val="single" w:color="auto" w:sz="4" w:space="0"/>
            </w:tcBorders>
            <w:vAlign w:val="center"/>
          </w:tcPr>
          <w:p w14:paraId="027C296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南雄市发展和改革局</w:t>
            </w:r>
          </w:p>
        </w:tc>
      </w:tr>
      <w:tr w14:paraId="72C56F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4D1E85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4</w:t>
            </w:r>
          </w:p>
        </w:tc>
        <w:tc>
          <w:tcPr>
            <w:tcW w:w="1725" w:type="dxa"/>
            <w:tcBorders>
              <w:top w:val="single" w:color="auto" w:sz="4" w:space="0"/>
              <w:left w:val="single" w:color="auto" w:sz="4" w:space="0"/>
              <w:bottom w:val="single" w:color="auto" w:sz="4" w:space="0"/>
              <w:right w:val="single" w:color="auto" w:sz="4" w:space="0"/>
            </w:tcBorders>
            <w:vAlign w:val="center"/>
          </w:tcPr>
          <w:p w14:paraId="366DC76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项目批准文号</w:t>
            </w:r>
          </w:p>
        </w:tc>
        <w:tc>
          <w:tcPr>
            <w:tcW w:w="6856" w:type="dxa"/>
            <w:tcBorders>
              <w:top w:val="single" w:color="auto" w:sz="4" w:space="0"/>
              <w:left w:val="single" w:color="auto" w:sz="4" w:space="0"/>
              <w:bottom w:val="single" w:color="auto" w:sz="4" w:space="0"/>
              <w:right w:val="single" w:color="auto" w:sz="4" w:space="0"/>
            </w:tcBorders>
            <w:vAlign w:val="center"/>
          </w:tcPr>
          <w:p w14:paraId="52204F50">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szCs w:val="24"/>
                <w:highlight w:val="none"/>
                <w:lang w:val="en-US" w:eastAsia="zh-CN" w:bidi="ar-SA"/>
              </w:rPr>
              <w:t>雄发改投审〔2024〕106号</w:t>
            </w:r>
            <w:r>
              <w:rPr>
                <w:rFonts w:hint="eastAsia" w:ascii="宋体" w:hAnsi="宋体" w:cs="宋体"/>
                <w:snapToGrid w:val="0"/>
                <w:color w:val="auto"/>
                <w:kern w:val="0"/>
                <w:sz w:val="24"/>
                <w:szCs w:val="24"/>
                <w:highlight w:val="none"/>
                <w:lang w:val="en-US" w:eastAsia="zh-CN" w:bidi="ar-SA"/>
              </w:rPr>
              <w:t>、雄发改投审〔2026〕95号</w:t>
            </w:r>
          </w:p>
        </w:tc>
      </w:tr>
      <w:tr w14:paraId="570D6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C24E7E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5</w:t>
            </w:r>
          </w:p>
        </w:tc>
        <w:tc>
          <w:tcPr>
            <w:tcW w:w="1725" w:type="dxa"/>
            <w:tcBorders>
              <w:top w:val="single" w:color="auto" w:sz="4" w:space="0"/>
              <w:left w:val="single" w:color="auto" w:sz="4" w:space="0"/>
              <w:bottom w:val="single" w:color="auto" w:sz="4" w:space="0"/>
              <w:right w:val="single" w:color="auto" w:sz="4" w:space="0"/>
            </w:tcBorders>
            <w:vAlign w:val="center"/>
          </w:tcPr>
          <w:p w14:paraId="62CA9CC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项目代码</w:t>
            </w:r>
          </w:p>
        </w:tc>
        <w:tc>
          <w:tcPr>
            <w:tcW w:w="6856" w:type="dxa"/>
            <w:tcBorders>
              <w:top w:val="single" w:color="auto" w:sz="4" w:space="0"/>
              <w:left w:val="single" w:color="auto" w:sz="4" w:space="0"/>
              <w:bottom w:val="single" w:color="auto" w:sz="4" w:space="0"/>
              <w:right w:val="single" w:color="auto" w:sz="4" w:space="0"/>
            </w:tcBorders>
            <w:vAlign w:val="center"/>
          </w:tcPr>
          <w:p w14:paraId="2BAFF47C">
            <w:pPr>
              <w:pStyle w:val="118"/>
              <w:keepNext w:val="0"/>
              <w:keepLines w:val="0"/>
              <w:pageBreakBefore w:val="0"/>
              <w:widowControl w:val="0"/>
              <w:kinsoku/>
              <w:overflowPunct/>
              <w:topLinePunct w:val="0"/>
              <w:autoSpaceDE/>
              <w:autoSpaceDN/>
              <w:bidi w:val="0"/>
              <w:spacing w:line="500" w:lineRule="exact"/>
              <w:ind w:firstLine="480" w:firstLineChars="200"/>
              <w:jc w:val="left"/>
              <w:rPr>
                <w:rFonts w:hint="eastAsia" w:ascii="宋体" w:hAnsi="宋体" w:eastAsia="宋体" w:cs="宋体"/>
                <w:snapToGrid w:val="0"/>
                <w:color w:val="auto"/>
                <w:kern w:val="0"/>
                <w:sz w:val="24"/>
                <w:highlight w:val="none"/>
                <w:lang w:eastAsia="zh-CN"/>
              </w:rPr>
            </w:pPr>
            <w:r>
              <w:rPr>
                <w:rFonts w:hint="eastAsia" w:ascii="宋体" w:hAnsi="宋体" w:eastAsia="宋体" w:cs="宋体"/>
                <w:snapToGrid w:val="0"/>
                <w:color w:val="auto"/>
                <w:kern w:val="0"/>
                <w:sz w:val="24"/>
                <w:highlight w:val="none"/>
                <w:lang w:eastAsia="zh-CN"/>
              </w:rPr>
              <w:t>2407-440282-20-01-288869</w:t>
            </w:r>
          </w:p>
        </w:tc>
      </w:tr>
      <w:tr w14:paraId="53A3AD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60475F5">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w:t>
            </w:r>
          </w:p>
        </w:tc>
        <w:tc>
          <w:tcPr>
            <w:tcW w:w="1725" w:type="dxa"/>
            <w:tcBorders>
              <w:top w:val="single" w:color="auto" w:sz="4" w:space="0"/>
              <w:left w:val="single" w:color="auto" w:sz="4" w:space="0"/>
              <w:bottom w:val="single" w:color="auto" w:sz="4" w:space="0"/>
              <w:right w:val="single" w:color="auto" w:sz="4" w:space="0"/>
            </w:tcBorders>
            <w:vAlign w:val="center"/>
          </w:tcPr>
          <w:p w14:paraId="55C1A5D1">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资金来源</w:t>
            </w:r>
          </w:p>
          <w:p w14:paraId="0D0501A7">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color w:val="auto"/>
                <w:kern w:val="0"/>
                <w:szCs w:val="24"/>
                <w:highlight w:val="none"/>
              </w:rPr>
            </w:pPr>
            <w:r>
              <w:rPr>
                <w:rFonts w:hint="eastAsia" w:hAnsi="宋体" w:cs="宋体"/>
                <w:color w:val="auto"/>
                <w:kern w:val="0"/>
                <w:szCs w:val="24"/>
                <w:highlight w:val="none"/>
              </w:rPr>
              <w:t>及出资比例</w:t>
            </w:r>
          </w:p>
        </w:tc>
        <w:tc>
          <w:tcPr>
            <w:tcW w:w="6856" w:type="dxa"/>
            <w:tcBorders>
              <w:top w:val="single" w:color="auto" w:sz="4" w:space="0"/>
              <w:left w:val="single" w:color="auto" w:sz="4" w:space="0"/>
              <w:bottom w:val="single" w:color="auto" w:sz="4" w:space="0"/>
              <w:right w:val="single" w:color="auto" w:sz="4" w:space="0"/>
            </w:tcBorders>
            <w:vAlign w:val="center"/>
          </w:tcPr>
          <w:p w14:paraId="556F9C6E">
            <w:pPr>
              <w:keepNext w:val="0"/>
              <w:keepLines w:val="0"/>
              <w:pageBreakBefore w:val="0"/>
              <w:widowControl w:val="0"/>
              <w:tabs>
                <w:tab w:val="left" w:pos="5679"/>
              </w:tabs>
              <w:kinsoku/>
              <w:wordWrap w:val="0"/>
              <w:overflowPunct/>
              <w:topLinePunct w:val="0"/>
              <w:autoSpaceDE/>
              <w:autoSpaceDN/>
              <w:bidi w:val="0"/>
              <w:adjustRightInd w:val="0"/>
              <w:snapToGrid w:val="0"/>
              <w:spacing w:line="240" w:lineRule="auto"/>
              <w:ind w:firstLine="480" w:firstLineChars="200"/>
              <w:jc w:val="left"/>
              <w:textAlignment w:val="auto"/>
              <w:rPr>
                <w:rFonts w:hint="default" w:hAnsi="宋体" w:eastAsia="宋体" w:cs="宋体"/>
                <w:color w:val="auto"/>
                <w:kern w:val="0"/>
                <w:szCs w:val="24"/>
                <w:highlight w:val="none"/>
                <w:lang w:val="en-US" w:eastAsia="zh-CN"/>
              </w:rPr>
            </w:pPr>
            <w:r>
              <w:rPr>
                <w:rFonts w:hint="eastAsia" w:hAnsi="宋体" w:cs="宋体"/>
                <w:color w:val="auto"/>
                <w:kern w:val="0"/>
                <w:szCs w:val="24"/>
                <w:highlight w:val="none"/>
                <w:lang w:eastAsia="zh-CN"/>
              </w:rPr>
              <w:t>上级财政资金；</w:t>
            </w:r>
            <w:r>
              <w:rPr>
                <w:rFonts w:hint="eastAsia" w:hAnsi="宋体" w:cs="宋体"/>
                <w:color w:val="auto"/>
                <w:kern w:val="0"/>
                <w:szCs w:val="24"/>
                <w:highlight w:val="none"/>
              </w:rPr>
              <w:t>100%</w:t>
            </w:r>
            <w:r>
              <w:rPr>
                <w:rFonts w:hint="eastAsia" w:hAnsi="宋体" w:cs="宋体"/>
                <w:color w:val="auto"/>
                <w:kern w:val="0"/>
                <w:szCs w:val="24"/>
                <w:highlight w:val="none"/>
                <w:lang w:eastAsia="zh-CN"/>
              </w:rPr>
              <w:tab/>
            </w:r>
            <w:r>
              <w:rPr>
                <w:rFonts w:hint="eastAsia" w:hAnsi="宋体" w:cs="宋体"/>
                <w:color w:val="auto"/>
                <w:kern w:val="0"/>
                <w:szCs w:val="24"/>
                <w:highlight w:val="none"/>
                <w:lang w:val="en-US" w:eastAsia="zh-CN"/>
              </w:rPr>
              <w:t xml:space="preserve">   </w:t>
            </w:r>
          </w:p>
        </w:tc>
      </w:tr>
      <w:tr w14:paraId="12B64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6" w:hRule="atLeast"/>
        </w:trPr>
        <w:tc>
          <w:tcPr>
            <w:tcW w:w="721" w:type="dxa"/>
            <w:tcBorders>
              <w:top w:val="single" w:color="auto" w:sz="4" w:space="0"/>
              <w:left w:val="single" w:color="auto" w:sz="4" w:space="0"/>
              <w:bottom w:val="single" w:color="auto" w:sz="4" w:space="0"/>
              <w:right w:val="single" w:color="auto" w:sz="4" w:space="0"/>
            </w:tcBorders>
            <w:vAlign w:val="center"/>
          </w:tcPr>
          <w:p w14:paraId="4F4D09A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7</w:t>
            </w:r>
          </w:p>
        </w:tc>
        <w:tc>
          <w:tcPr>
            <w:tcW w:w="1725" w:type="dxa"/>
            <w:tcBorders>
              <w:top w:val="single" w:color="auto" w:sz="4" w:space="0"/>
              <w:left w:val="single" w:color="auto" w:sz="4" w:space="0"/>
              <w:bottom w:val="single" w:color="auto" w:sz="4" w:space="0"/>
              <w:right w:val="single" w:color="auto" w:sz="4" w:space="0"/>
            </w:tcBorders>
            <w:vAlign w:val="center"/>
          </w:tcPr>
          <w:p w14:paraId="7E8E6FAE">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tc>
        <w:tc>
          <w:tcPr>
            <w:tcW w:w="6856" w:type="dxa"/>
            <w:tcBorders>
              <w:top w:val="single" w:color="auto" w:sz="4" w:space="0"/>
              <w:left w:val="single" w:color="auto" w:sz="4" w:space="0"/>
              <w:bottom w:val="single" w:color="auto" w:sz="4" w:space="0"/>
              <w:right w:val="single" w:color="auto" w:sz="4" w:space="0"/>
            </w:tcBorders>
            <w:vAlign w:val="center"/>
          </w:tcPr>
          <w:p w14:paraId="2B78CE37">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南雄市全安镇人民政府</w:t>
            </w:r>
          </w:p>
        </w:tc>
      </w:tr>
      <w:tr w14:paraId="7E0D8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862C63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8</w:t>
            </w:r>
          </w:p>
        </w:tc>
        <w:tc>
          <w:tcPr>
            <w:tcW w:w="1725" w:type="dxa"/>
            <w:tcBorders>
              <w:top w:val="single" w:color="auto" w:sz="4" w:space="0"/>
              <w:left w:val="single" w:color="auto" w:sz="4" w:space="0"/>
              <w:bottom w:val="single" w:color="auto" w:sz="4" w:space="0"/>
              <w:right w:val="single" w:color="auto" w:sz="4" w:space="0"/>
            </w:tcBorders>
            <w:vAlign w:val="center"/>
          </w:tcPr>
          <w:p w14:paraId="4E7BF75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tc>
        <w:tc>
          <w:tcPr>
            <w:tcW w:w="6856" w:type="dxa"/>
            <w:tcBorders>
              <w:top w:val="single" w:color="auto" w:sz="4" w:space="0"/>
              <w:left w:val="single" w:color="auto" w:sz="4" w:space="0"/>
              <w:bottom w:val="single" w:color="auto" w:sz="4" w:space="0"/>
              <w:right w:val="single" w:color="auto" w:sz="4" w:space="0"/>
            </w:tcBorders>
            <w:vAlign w:val="center"/>
          </w:tcPr>
          <w:p w14:paraId="247F9F6F">
            <w:pPr>
              <w:pStyle w:val="118"/>
              <w:keepNext w:val="0"/>
              <w:keepLines w:val="0"/>
              <w:pageBreakBefore w:val="0"/>
              <w:tabs>
                <w:tab w:val="left" w:pos="1890"/>
              </w:tabs>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eastAsia="宋体" w:cs="宋体"/>
                <w:color w:val="auto"/>
                <w:kern w:val="2"/>
                <w:sz w:val="24"/>
                <w:szCs w:val="22"/>
                <w:highlight w:val="none"/>
                <w:lang w:val="en-US" w:eastAsia="zh-CN" w:bidi="ar-SA"/>
              </w:rPr>
            </w:pPr>
            <w:r>
              <w:rPr>
                <w:rFonts w:hint="eastAsia" w:ascii="宋体" w:hAnsi="宋体" w:cs="宋体"/>
                <w:color w:val="auto"/>
                <w:kern w:val="2"/>
                <w:sz w:val="24"/>
                <w:szCs w:val="22"/>
                <w:highlight w:val="none"/>
                <w:lang w:val="en-US" w:eastAsia="zh-CN" w:bidi="ar-SA"/>
              </w:rPr>
              <w:t>韶关市汇富信息咨询有限公司</w:t>
            </w:r>
          </w:p>
        </w:tc>
      </w:tr>
      <w:tr w14:paraId="52722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7F0BD2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9</w:t>
            </w:r>
          </w:p>
        </w:tc>
        <w:tc>
          <w:tcPr>
            <w:tcW w:w="1725" w:type="dxa"/>
            <w:tcBorders>
              <w:top w:val="single" w:color="auto" w:sz="4" w:space="0"/>
              <w:left w:val="single" w:color="auto" w:sz="4" w:space="0"/>
              <w:bottom w:val="single" w:color="auto" w:sz="4" w:space="0"/>
              <w:right w:val="single" w:color="auto" w:sz="4" w:space="0"/>
            </w:tcBorders>
            <w:vAlign w:val="center"/>
          </w:tcPr>
          <w:p w14:paraId="38C9C60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施工单位</w:t>
            </w:r>
          </w:p>
        </w:tc>
        <w:tc>
          <w:tcPr>
            <w:tcW w:w="6856" w:type="dxa"/>
            <w:tcBorders>
              <w:top w:val="single" w:color="auto" w:sz="4" w:space="0"/>
              <w:left w:val="single" w:color="auto" w:sz="4" w:space="0"/>
              <w:bottom w:val="single" w:color="auto" w:sz="4" w:space="0"/>
              <w:right w:val="single" w:color="auto" w:sz="4" w:space="0"/>
            </w:tcBorders>
            <w:vAlign w:val="center"/>
          </w:tcPr>
          <w:p w14:paraId="5A573BF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int="eastAsia" w:hAnsi="宋体" w:eastAsia="宋体" w:cs="宋体"/>
                <w:bCs/>
                <w:snapToGrid w:val="0"/>
                <w:color w:val="auto"/>
                <w:kern w:val="0"/>
                <w:szCs w:val="24"/>
                <w:highlight w:val="none"/>
                <w:lang w:val="en-US" w:eastAsia="zh-CN"/>
              </w:rPr>
            </w:pPr>
            <w:r>
              <w:rPr>
                <w:rFonts w:hint="eastAsia" w:hAnsi="宋体" w:cs="宋体"/>
                <w:bCs/>
                <w:snapToGrid w:val="0"/>
                <w:color w:val="auto"/>
                <w:kern w:val="0"/>
                <w:szCs w:val="24"/>
                <w:highlight w:val="none"/>
                <w:lang w:val="en-US" w:eastAsia="zh-CN"/>
              </w:rPr>
              <w:t>待定</w:t>
            </w:r>
          </w:p>
        </w:tc>
      </w:tr>
      <w:tr w14:paraId="23BD85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CCDDB2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10</w:t>
            </w:r>
          </w:p>
        </w:tc>
        <w:tc>
          <w:tcPr>
            <w:tcW w:w="1725" w:type="dxa"/>
            <w:tcBorders>
              <w:top w:val="single" w:color="auto" w:sz="4" w:space="0"/>
              <w:left w:val="single" w:color="auto" w:sz="4" w:space="0"/>
              <w:bottom w:val="single" w:color="auto" w:sz="4" w:space="0"/>
              <w:right w:val="single" w:color="auto" w:sz="4" w:space="0"/>
            </w:tcBorders>
            <w:vAlign w:val="center"/>
          </w:tcPr>
          <w:p w14:paraId="6FF12DE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建设地点</w:t>
            </w:r>
          </w:p>
        </w:tc>
        <w:tc>
          <w:tcPr>
            <w:tcW w:w="6856" w:type="dxa"/>
            <w:tcBorders>
              <w:top w:val="single" w:color="auto" w:sz="4" w:space="0"/>
              <w:left w:val="single" w:color="auto" w:sz="4" w:space="0"/>
              <w:bottom w:val="single" w:color="auto" w:sz="4" w:space="0"/>
              <w:right w:val="single" w:color="auto" w:sz="4" w:space="0"/>
            </w:tcBorders>
            <w:vAlign w:val="center"/>
          </w:tcPr>
          <w:p w14:paraId="38AD813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bCs/>
                <w:snapToGrid w:val="0"/>
                <w:color w:val="auto"/>
                <w:kern w:val="0"/>
                <w:szCs w:val="24"/>
                <w:highlight w:val="none"/>
              </w:rPr>
            </w:pPr>
            <w:r>
              <w:rPr>
                <w:rFonts w:hint="eastAsia" w:hAnsi="宋体" w:cs="宋体"/>
                <w:bCs/>
                <w:snapToGrid w:val="0"/>
                <w:color w:val="auto"/>
                <w:kern w:val="0"/>
                <w:szCs w:val="24"/>
                <w:highlight w:val="none"/>
              </w:rPr>
              <w:t>南雄市全安镇</w:t>
            </w:r>
          </w:p>
        </w:tc>
      </w:tr>
      <w:tr w14:paraId="60FBE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1C3DB1E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w:t>
            </w:r>
          </w:p>
        </w:tc>
        <w:tc>
          <w:tcPr>
            <w:tcW w:w="1725" w:type="dxa"/>
            <w:tcBorders>
              <w:top w:val="single" w:color="auto" w:sz="4" w:space="0"/>
              <w:left w:val="single" w:color="auto" w:sz="4" w:space="0"/>
              <w:bottom w:val="single" w:color="auto" w:sz="4" w:space="0"/>
              <w:right w:val="single" w:color="auto" w:sz="4" w:space="0"/>
            </w:tcBorders>
            <w:vAlign w:val="center"/>
          </w:tcPr>
          <w:p w14:paraId="524B41A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建设内容和规模</w:t>
            </w:r>
          </w:p>
        </w:tc>
        <w:tc>
          <w:tcPr>
            <w:tcW w:w="6856" w:type="dxa"/>
            <w:tcBorders>
              <w:top w:val="single" w:color="auto" w:sz="4" w:space="0"/>
              <w:left w:val="single" w:color="auto" w:sz="4" w:space="0"/>
              <w:bottom w:val="single" w:color="auto" w:sz="4" w:space="0"/>
              <w:right w:val="single" w:color="auto" w:sz="4" w:space="0"/>
            </w:tcBorders>
            <w:vAlign w:val="center"/>
          </w:tcPr>
          <w:p w14:paraId="07AEA89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 w:val="24"/>
                <w:highlight w:val="none"/>
                <w:lang w:eastAsia="zh-CN"/>
              </w:rPr>
              <w:t>1、对下村、中村、上村村内1km主干道及房前屋后的闲散空地约300平米进行整治提升，新建四小园5个，新建休闲广场1个，建设水沟及绿化、标识牌等；在西岸畲族村落新建设绿植、墙绘500平米，铺设水沟盖板300米，进行道路黑底化约400平方米，新增标识牌、公共座椅等基础设施，改造提升休闲广场1个，美化亮化村庄整体形象；开展村庄绿美小公园提升，完善畲族文化的导视系统、标识牌，打造游玩+文旅的新样式等。2、投资入股到南雄市全安镇非遗美食文化工坊建设项目中，该项目计划建设一个1700平方米的二层非遗美食文化工坊等。3、（1）依托全安新村周边现有空地，统筹盘活低效空间资源，新建生态步道800m、四小园20个、道路黑底化1000平米、停车场3个、文化宣传标识，对破损的道路、护栏等基础设施进行修复，对篮球场等文化娱乐场所进行改造提升，补充文娱设施，统一庭院设计，补充绿植，新增墙绘，优化提升农房风貌，新建共富果园2个，新增“百千万工程”元素，全面改善村庄人居环境；（2）在340县道沿线房前屋后空地、重要路口和节点，新增四小园、水沟盖板700米、地坪硬化1000平方米、村牌等，提升村庄整体风貌等。</w:t>
            </w:r>
          </w:p>
        </w:tc>
      </w:tr>
      <w:tr w14:paraId="2CCBD7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38F04D53">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w:t>
            </w:r>
          </w:p>
        </w:tc>
        <w:tc>
          <w:tcPr>
            <w:tcW w:w="1725" w:type="dxa"/>
            <w:tcBorders>
              <w:top w:val="single" w:color="auto" w:sz="4" w:space="0"/>
              <w:left w:val="single" w:color="auto" w:sz="4" w:space="0"/>
              <w:bottom w:val="single" w:color="auto" w:sz="4" w:space="0"/>
              <w:right w:val="single" w:color="auto" w:sz="4" w:space="0"/>
            </w:tcBorders>
            <w:vAlign w:val="center"/>
          </w:tcPr>
          <w:p w14:paraId="77F81F0E">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项目总投资</w:t>
            </w:r>
          </w:p>
        </w:tc>
        <w:tc>
          <w:tcPr>
            <w:tcW w:w="6856" w:type="dxa"/>
            <w:tcBorders>
              <w:top w:val="single" w:color="auto" w:sz="4" w:space="0"/>
              <w:left w:val="single" w:color="auto" w:sz="4" w:space="0"/>
              <w:bottom w:val="single" w:color="auto" w:sz="4" w:space="0"/>
              <w:right w:val="single" w:color="auto" w:sz="4" w:space="0"/>
            </w:tcBorders>
            <w:vAlign w:val="center"/>
          </w:tcPr>
          <w:p w14:paraId="5A4E55A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default" w:hAnsi="宋体" w:cs="宋体"/>
                <w:snapToGrid w:val="0"/>
                <w:color w:val="auto"/>
                <w:kern w:val="0"/>
                <w:szCs w:val="24"/>
                <w:highlight w:val="none"/>
                <w:lang w:val="en-US"/>
              </w:rPr>
            </w:pPr>
            <w:r>
              <w:rPr>
                <w:rFonts w:hint="eastAsia" w:hAnsi="宋体" w:cs="宋体"/>
                <w:color w:val="auto"/>
                <w:kern w:val="0"/>
                <w:sz w:val="24"/>
                <w:szCs w:val="24"/>
                <w:highlight w:val="none"/>
                <w:lang w:val="en-US" w:eastAsia="zh-CN" w:bidi="ar-SA"/>
              </w:rPr>
              <w:t>项目概算总投资25000万元。其中建安工程费用为20767万元,工程建设其他费为2131万元,预备费为752万元,资金来源为上级财政资金。本次招标的工程费约537.77万元。</w:t>
            </w:r>
          </w:p>
        </w:tc>
      </w:tr>
      <w:tr w14:paraId="2303D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291E04E">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w:t>
            </w:r>
          </w:p>
        </w:tc>
        <w:tc>
          <w:tcPr>
            <w:tcW w:w="1725" w:type="dxa"/>
            <w:tcBorders>
              <w:top w:val="single" w:color="auto" w:sz="4" w:space="0"/>
              <w:left w:val="single" w:color="auto" w:sz="4" w:space="0"/>
              <w:bottom w:val="single" w:color="auto" w:sz="4" w:space="0"/>
              <w:right w:val="single" w:color="auto" w:sz="4" w:space="0"/>
            </w:tcBorders>
            <w:vAlign w:val="center"/>
          </w:tcPr>
          <w:p w14:paraId="7C84CB2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招标范围</w:t>
            </w:r>
          </w:p>
        </w:tc>
        <w:tc>
          <w:tcPr>
            <w:tcW w:w="6856" w:type="dxa"/>
            <w:tcBorders>
              <w:top w:val="single" w:color="auto" w:sz="4" w:space="0"/>
              <w:left w:val="single" w:color="auto" w:sz="4" w:space="0"/>
              <w:bottom w:val="single" w:color="auto" w:sz="4" w:space="0"/>
              <w:right w:val="single" w:color="auto" w:sz="4" w:space="0"/>
            </w:tcBorders>
            <w:vAlign w:val="center"/>
          </w:tcPr>
          <w:p w14:paraId="15FBF6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项目建设施工阶段监理（含施工准备阶段、施工阶段、工程竣工结算阶段和保修阶段监理）</w:t>
            </w:r>
          </w:p>
        </w:tc>
      </w:tr>
      <w:tr w14:paraId="56A16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4E64C0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14</w:t>
            </w:r>
          </w:p>
        </w:tc>
        <w:tc>
          <w:tcPr>
            <w:tcW w:w="1725" w:type="dxa"/>
            <w:tcBorders>
              <w:top w:val="single" w:color="auto" w:sz="4" w:space="0"/>
              <w:left w:val="single" w:color="auto" w:sz="4" w:space="0"/>
              <w:bottom w:val="single" w:color="auto" w:sz="4" w:space="0"/>
              <w:right w:val="single" w:color="auto" w:sz="4" w:space="0"/>
            </w:tcBorders>
            <w:vAlign w:val="center"/>
          </w:tcPr>
          <w:p w14:paraId="395764C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标段划分</w:t>
            </w:r>
          </w:p>
        </w:tc>
        <w:tc>
          <w:tcPr>
            <w:tcW w:w="6856" w:type="dxa"/>
            <w:tcBorders>
              <w:top w:val="single" w:color="auto" w:sz="4" w:space="0"/>
              <w:left w:val="single" w:color="auto" w:sz="4" w:space="0"/>
              <w:bottom w:val="single" w:color="auto" w:sz="4" w:space="0"/>
              <w:right w:val="single" w:color="auto" w:sz="4" w:space="0"/>
            </w:tcBorders>
            <w:vAlign w:val="center"/>
          </w:tcPr>
          <w:p w14:paraId="6F6ED3D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本招标项目不划分标段。</w:t>
            </w:r>
          </w:p>
        </w:tc>
      </w:tr>
      <w:tr w14:paraId="1EAF66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D21C19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w:t>
            </w:r>
          </w:p>
        </w:tc>
        <w:tc>
          <w:tcPr>
            <w:tcW w:w="1725" w:type="dxa"/>
            <w:tcBorders>
              <w:top w:val="single" w:color="auto" w:sz="4" w:space="0"/>
              <w:left w:val="single" w:color="auto" w:sz="4" w:space="0"/>
              <w:bottom w:val="single" w:color="auto" w:sz="4" w:space="0"/>
              <w:right w:val="single" w:color="auto" w:sz="4" w:space="0"/>
            </w:tcBorders>
            <w:vAlign w:val="center"/>
          </w:tcPr>
          <w:p w14:paraId="39645DB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投标人资格要求</w:t>
            </w:r>
          </w:p>
        </w:tc>
        <w:tc>
          <w:tcPr>
            <w:tcW w:w="6856" w:type="dxa"/>
            <w:tcBorders>
              <w:top w:val="single" w:color="auto" w:sz="4" w:space="0"/>
              <w:left w:val="single" w:color="auto" w:sz="4" w:space="0"/>
              <w:bottom w:val="single" w:color="auto" w:sz="4" w:space="0"/>
              <w:right w:val="single" w:color="auto" w:sz="4" w:space="0"/>
            </w:tcBorders>
            <w:vAlign w:val="center"/>
          </w:tcPr>
          <w:p w14:paraId="72B4A50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1．本次招标不接受联合体投标。</w:t>
            </w:r>
          </w:p>
          <w:p w14:paraId="0C43707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2．资质要求</w:t>
            </w:r>
          </w:p>
          <w:p w14:paraId="5E83E10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2.1 投标人须具备独立法人资格，按国家法律经营。</w:t>
            </w:r>
          </w:p>
          <w:p w14:paraId="0BD694E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szCs w:val="24"/>
                <w:highlight w:val="none"/>
              </w:rPr>
            </w:pPr>
            <w:r>
              <w:rPr>
                <w:rFonts w:hint="eastAsia" w:hAnsi="宋体" w:cs="宋体"/>
                <w:color w:val="auto"/>
                <w:szCs w:val="24"/>
                <w:highlight w:val="none"/>
              </w:rPr>
              <w:t xml:space="preserve">2.2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p>
          <w:p w14:paraId="313E5A8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2.3 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F5074A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3．相关人员要求</w:t>
            </w:r>
          </w:p>
          <w:p w14:paraId="167EA27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3.1 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6A7B367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拟派总监理工程师现阶段有担任其他在施建设工程项目总监理工程师职务的，须得到任职项目建设单位书面同意后方可担任本招标项目总监理工程师。</w:t>
            </w:r>
          </w:p>
          <w:p w14:paraId="271834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3.2 投标人与其拟派往本项目监理机构的所有人员之间必须具备合法、唯一的劳动聘用关系。拟派人员中具备注册执业资格的，其注册单位须与投标人保持一致。</w:t>
            </w:r>
          </w:p>
          <w:p w14:paraId="4D8E3C3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4．禁止投标条款</w:t>
            </w:r>
          </w:p>
          <w:p w14:paraId="643A797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4.1 投标人不得存在下列情形之一：</w:t>
            </w:r>
          </w:p>
          <w:p w14:paraId="33D9336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（1）为招标人不具有独立法人资格的附属机构（单位）；</w:t>
            </w:r>
          </w:p>
          <w:p w14:paraId="050EBDB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（2）与招标人存在利害关系且可能影响招标公正性；</w:t>
            </w:r>
          </w:p>
          <w:p w14:paraId="24F40CA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（3）与本招标项目的其他投标人为同一个单位负责人；</w:t>
            </w:r>
          </w:p>
          <w:p w14:paraId="1244D36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（4）与本招标项目的其他投标人存在控股、管理关系；</w:t>
            </w:r>
          </w:p>
          <w:p w14:paraId="66985AC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（5）为本招标项目的代建人；</w:t>
            </w:r>
          </w:p>
          <w:p w14:paraId="7A5518C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（6）为本招标项目的招标代理机构；</w:t>
            </w:r>
          </w:p>
          <w:p w14:paraId="4B96EB3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（7）与本招标项目的代建人或招标代理机构同为一个法定代表人；</w:t>
            </w:r>
          </w:p>
          <w:p w14:paraId="097A8C0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（8）与本招标项目的代建人或招标代理机构存在控股或参股关系；</w:t>
            </w:r>
          </w:p>
          <w:p w14:paraId="6F337B4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（9）与本招标项目的施工承包人以及建筑材料、建筑构配件和设备供应商有隶属关系或者其他利害关系；</w:t>
            </w:r>
          </w:p>
          <w:p w14:paraId="73DC565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（10）被依法暂停或者取消投标资格；</w:t>
            </w:r>
          </w:p>
          <w:p w14:paraId="679F454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（11）被责令停产停业、暂扣或者吊销许可证、暂扣或者吊销执照；</w:t>
            </w:r>
          </w:p>
          <w:p w14:paraId="27E4256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（12）进入清算程序，或被宣告破产，或其他丧失履约能力的情形；</w:t>
            </w:r>
          </w:p>
          <w:p w14:paraId="74156A1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（13）在最近三年内发生重大监理质量问题（以相关行业主管部门的行政处罚决定或司法机关出具的有关法律文书为准）；</w:t>
            </w:r>
          </w:p>
          <w:p w14:paraId="6002F34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（14）</w:t>
            </w:r>
            <w:r>
              <w:rPr>
                <w:rFonts w:hint="eastAsia" w:hAnsi="宋体" w:cs="宋体"/>
                <w:color w:val="auto"/>
                <w:kern w:val="0"/>
                <w:highlight w:val="none"/>
              </w:rPr>
              <w:t>被“信用中国”网站（https://www.creditchina.gov.cn）发布的《法人和非法人组织公共信用信息报告》列为严重失信主体名单的</w:t>
            </w:r>
            <w:r>
              <w:rPr>
                <w:rFonts w:hint="eastAsia" w:hAnsi="宋体" w:cs="宋体"/>
                <w:color w:val="auto"/>
                <w:szCs w:val="24"/>
                <w:highlight w:val="none"/>
              </w:rPr>
              <w:t>。</w:t>
            </w:r>
          </w:p>
          <w:p w14:paraId="07596E7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color w:val="auto"/>
                <w:szCs w:val="24"/>
                <w:highlight w:val="none"/>
              </w:rPr>
            </w:pPr>
            <w:r>
              <w:rPr>
                <w:rFonts w:hint="eastAsia" w:hAnsi="宋体" w:cs="宋体"/>
                <w:color w:val="auto"/>
                <w:szCs w:val="24"/>
                <w:highlight w:val="none"/>
              </w:rPr>
              <w:t>4.2 招标人拒绝以下名单中的单位参加本次投标：</w:t>
            </w:r>
          </w:p>
          <w:tbl>
            <w:tblPr>
              <w:tblStyle w:val="32"/>
              <w:tblW w:w="6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2769"/>
              <w:gridCol w:w="3129"/>
            </w:tblGrid>
            <w:tr w14:paraId="6DFE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76" w:type="dxa"/>
                  <w:noWrap w:val="0"/>
                  <w:vAlign w:val="center"/>
                </w:tcPr>
                <w:p w14:paraId="1D38E1D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2769" w:type="dxa"/>
                  <w:noWrap w:val="0"/>
                  <w:vAlign w:val="center"/>
                </w:tcPr>
                <w:p w14:paraId="7D918EF4">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3129" w:type="dxa"/>
                  <w:noWrap w:val="0"/>
                  <w:vAlign w:val="center"/>
                </w:tcPr>
                <w:p w14:paraId="20BE8CA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3D6A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5B757AB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w:t>
                  </w:r>
                </w:p>
              </w:tc>
              <w:tc>
                <w:tcPr>
                  <w:tcW w:w="2769" w:type="dxa"/>
                  <w:noWrap w:val="0"/>
                  <w:vAlign w:val="center"/>
                </w:tcPr>
                <w:p w14:paraId="33309A4E">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南雄市全安镇人民政府</w:t>
                  </w:r>
                </w:p>
              </w:tc>
              <w:tc>
                <w:tcPr>
                  <w:tcW w:w="3129" w:type="dxa"/>
                  <w:noWrap w:val="0"/>
                  <w:vAlign w:val="center"/>
                </w:tcPr>
                <w:p w14:paraId="3109F4A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为本招标项目的招标人</w:t>
                  </w:r>
                </w:p>
              </w:tc>
            </w:tr>
            <w:tr w14:paraId="74C7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28FEDDA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w:t>
                  </w:r>
                </w:p>
              </w:tc>
              <w:tc>
                <w:tcPr>
                  <w:tcW w:w="2769" w:type="dxa"/>
                  <w:noWrap w:val="0"/>
                  <w:vAlign w:val="center"/>
                </w:tcPr>
                <w:p w14:paraId="22B974F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韶关市汇富信息咨询有限公司</w:t>
                  </w:r>
                </w:p>
              </w:tc>
              <w:tc>
                <w:tcPr>
                  <w:tcW w:w="3129" w:type="dxa"/>
                  <w:noWrap w:val="0"/>
                  <w:vAlign w:val="center"/>
                </w:tcPr>
                <w:p w14:paraId="3A221F21">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为本招标项目的招标代理机构</w:t>
                  </w:r>
                </w:p>
              </w:tc>
            </w:tr>
            <w:tr w14:paraId="5A91B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6" w:type="dxa"/>
                  <w:noWrap w:val="0"/>
                  <w:vAlign w:val="center"/>
                </w:tcPr>
                <w:p w14:paraId="74118216">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p>
              </w:tc>
              <w:tc>
                <w:tcPr>
                  <w:tcW w:w="2769" w:type="dxa"/>
                  <w:noWrap w:val="0"/>
                  <w:vAlign w:val="center"/>
                </w:tcPr>
                <w:p w14:paraId="0A3FF80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3129" w:type="dxa"/>
                  <w:noWrap w:val="0"/>
                  <w:vAlign w:val="center"/>
                </w:tcPr>
                <w:p w14:paraId="5C95264F">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为本项目的可研编制单位</w:t>
                  </w:r>
                </w:p>
              </w:tc>
            </w:tr>
            <w:tr w14:paraId="5E68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0D97E1E8">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w:t>
                  </w:r>
                </w:p>
              </w:tc>
              <w:tc>
                <w:tcPr>
                  <w:tcW w:w="2769" w:type="dxa"/>
                  <w:noWrap w:val="0"/>
                  <w:vAlign w:val="center"/>
                </w:tcPr>
                <w:p w14:paraId="5DD32DF6">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中晟汇创建设发展有限公司</w:t>
                  </w:r>
                </w:p>
              </w:tc>
              <w:tc>
                <w:tcPr>
                  <w:tcW w:w="3129" w:type="dxa"/>
                  <w:noWrap w:val="0"/>
                  <w:vAlign w:val="center"/>
                </w:tcPr>
                <w:p w14:paraId="0884CAA7">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为本项目的设计单位</w:t>
                  </w:r>
                </w:p>
              </w:tc>
            </w:tr>
            <w:tr w14:paraId="47AF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61D99AD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w:t>
                  </w:r>
                </w:p>
              </w:tc>
              <w:tc>
                <w:tcPr>
                  <w:tcW w:w="2769" w:type="dxa"/>
                  <w:noWrap w:val="0"/>
                  <w:vAlign w:val="center"/>
                </w:tcPr>
                <w:p w14:paraId="462D4E1F">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韶关市筑宸设计咨询有限公司</w:t>
                  </w:r>
                </w:p>
              </w:tc>
              <w:tc>
                <w:tcPr>
                  <w:tcW w:w="3129" w:type="dxa"/>
                  <w:noWrap w:val="0"/>
                  <w:vAlign w:val="center"/>
                </w:tcPr>
                <w:p w14:paraId="13BDEA3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为本项目的概算编制单位</w:t>
                  </w:r>
                </w:p>
              </w:tc>
            </w:tr>
            <w:tr w14:paraId="7211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46BAAEC4">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w:t>
                  </w:r>
                </w:p>
              </w:tc>
              <w:tc>
                <w:tcPr>
                  <w:tcW w:w="2769" w:type="dxa"/>
                  <w:noWrap w:val="0"/>
                  <w:vAlign w:val="center"/>
                </w:tcPr>
                <w:p w14:paraId="3AFDE895">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广东君霖项目管理有限公司</w:t>
                  </w:r>
                </w:p>
              </w:tc>
              <w:tc>
                <w:tcPr>
                  <w:tcW w:w="3129" w:type="dxa"/>
                  <w:noWrap w:val="0"/>
                  <w:vAlign w:val="center"/>
                </w:tcPr>
                <w:p w14:paraId="0192CED5">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为本项目的概算审核单位</w:t>
                  </w:r>
                </w:p>
              </w:tc>
            </w:tr>
            <w:tr w14:paraId="4B63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10A1F4F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7</w:t>
                  </w:r>
                </w:p>
              </w:tc>
              <w:tc>
                <w:tcPr>
                  <w:tcW w:w="2769" w:type="dxa"/>
                  <w:noWrap w:val="0"/>
                  <w:vAlign w:val="center"/>
                </w:tcPr>
                <w:p w14:paraId="203BA01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韶关市筑宸设计咨询有限公司</w:t>
                  </w:r>
                </w:p>
              </w:tc>
              <w:tc>
                <w:tcPr>
                  <w:tcW w:w="3129" w:type="dxa"/>
                  <w:noWrap w:val="0"/>
                  <w:vAlign w:val="center"/>
                </w:tcPr>
                <w:p w14:paraId="674F4E96">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为本项目的造价咨询单位</w:t>
                  </w:r>
                </w:p>
              </w:tc>
            </w:tr>
            <w:tr w14:paraId="1926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776" w:type="dxa"/>
                  <w:noWrap w:val="0"/>
                  <w:vAlign w:val="center"/>
                </w:tcPr>
                <w:p w14:paraId="4E8B359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8</w:t>
                  </w:r>
                </w:p>
              </w:tc>
              <w:tc>
                <w:tcPr>
                  <w:tcW w:w="2769" w:type="dxa"/>
                  <w:noWrap w:val="0"/>
                  <w:vAlign w:val="center"/>
                </w:tcPr>
                <w:p w14:paraId="6CA0C54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待定</w:t>
                  </w:r>
                </w:p>
              </w:tc>
              <w:tc>
                <w:tcPr>
                  <w:tcW w:w="3129" w:type="dxa"/>
                  <w:noWrap w:val="0"/>
                  <w:vAlign w:val="center"/>
                </w:tcPr>
                <w:p w14:paraId="1394480E">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为本招标项目的施工单位</w:t>
                  </w:r>
                </w:p>
              </w:tc>
            </w:tr>
          </w:tbl>
          <w:p w14:paraId="0C8F709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5．其他要求</w:t>
            </w:r>
          </w:p>
          <w:p w14:paraId="3927F0F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color w:val="auto"/>
                <w:szCs w:val="24"/>
                <w:highlight w:val="none"/>
              </w:rPr>
            </w:pPr>
            <w:r>
              <w:rPr>
                <w:rFonts w:hint="eastAsia" w:hAnsi="宋体" w:cs="宋体"/>
                <w:color w:val="auto"/>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EB3D6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9A6DA9F">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16</w:t>
            </w:r>
          </w:p>
        </w:tc>
        <w:tc>
          <w:tcPr>
            <w:tcW w:w="1725" w:type="dxa"/>
            <w:tcBorders>
              <w:top w:val="single" w:color="auto" w:sz="4" w:space="0"/>
              <w:left w:val="single" w:color="auto" w:sz="4" w:space="0"/>
              <w:bottom w:val="single" w:color="auto" w:sz="4" w:space="0"/>
              <w:right w:val="single" w:color="auto" w:sz="4" w:space="0"/>
            </w:tcBorders>
            <w:vAlign w:val="center"/>
          </w:tcPr>
          <w:p w14:paraId="688F74D9">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服务期限</w:t>
            </w:r>
          </w:p>
        </w:tc>
        <w:tc>
          <w:tcPr>
            <w:tcW w:w="6856" w:type="dxa"/>
            <w:tcBorders>
              <w:top w:val="single" w:color="auto" w:sz="4" w:space="0"/>
              <w:left w:val="single" w:color="auto" w:sz="4" w:space="0"/>
              <w:bottom w:val="single" w:color="auto" w:sz="4" w:space="0"/>
              <w:right w:val="single" w:color="auto" w:sz="4" w:space="0"/>
            </w:tcBorders>
            <w:vAlign w:val="center"/>
          </w:tcPr>
          <w:p w14:paraId="5CB8F92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本项目施工工期为90日历天。监理服务期从监理合同签订之日起计，至本工程缺陷责任保修期结束且本工程结算金额经政府主管部门审定且双方的责任义务履行完毕时止。</w:t>
            </w:r>
          </w:p>
        </w:tc>
      </w:tr>
      <w:tr w14:paraId="69F3B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4679C84">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17</w:t>
            </w:r>
          </w:p>
        </w:tc>
        <w:tc>
          <w:tcPr>
            <w:tcW w:w="1725" w:type="dxa"/>
            <w:tcBorders>
              <w:top w:val="single" w:color="auto" w:sz="4" w:space="0"/>
              <w:left w:val="single" w:color="auto" w:sz="4" w:space="0"/>
              <w:bottom w:val="single" w:color="auto" w:sz="4" w:space="0"/>
              <w:right w:val="single" w:color="auto" w:sz="4" w:space="0"/>
            </w:tcBorders>
            <w:vAlign w:val="center"/>
          </w:tcPr>
          <w:p w14:paraId="61DD648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服务标准</w:t>
            </w:r>
          </w:p>
        </w:tc>
        <w:tc>
          <w:tcPr>
            <w:tcW w:w="6856" w:type="dxa"/>
            <w:tcBorders>
              <w:top w:val="single" w:color="auto" w:sz="4" w:space="0"/>
              <w:left w:val="single" w:color="auto" w:sz="4" w:space="0"/>
              <w:bottom w:val="single" w:color="auto" w:sz="4" w:space="0"/>
              <w:right w:val="single" w:color="auto" w:sz="4" w:space="0"/>
            </w:tcBorders>
            <w:vAlign w:val="center"/>
          </w:tcPr>
          <w:p w14:paraId="4C9992E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工程质量达到合格或以上标准。</w:t>
            </w:r>
          </w:p>
        </w:tc>
      </w:tr>
      <w:tr w14:paraId="51DD00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75EDEE7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18</w:t>
            </w:r>
          </w:p>
        </w:tc>
        <w:tc>
          <w:tcPr>
            <w:tcW w:w="1725" w:type="dxa"/>
            <w:tcBorders>
              <w:top w:val="single" w:color="auto" w:sz="4" w:space="0"/>
              <w:left w:val="single" w:color="auto" w:sz="4" w:space="0"/>
              <w:bottom w:val="single" w:color="auto" w:sz="4" w:space="0"/>
              <w:right w:val="single" w:color="auto" w:sz="4" w:space="0"/>
            </w:tcBorders>
            <w:vAlign w:val="center"/>
          </w:tcPr>
          <w:p w14:paraId="126D9AF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最高投标限价</w:t>
            </w:r>
          </w:p>
        </w:tc>
        <w:tc>
          <w:tcPr>
            <w:tcW w:w="6856" w:type="dxa"/>
            <w:tcBorders>
              <w:top w:val="single" w:color="auto" w:sz="4" w:space="0"/>
              <w:left w:val="single" w:color="auto" w:sz="4" w:space="0"/>
              <w:bottom w:val="single" w:color="auto" w:sz="4" w:space="0"/>
              <w:right w:val="single" w:color="auto" w:sz="4" w:space="0"/>
            </w:tcBorders>
            <w:vAlign w:val="center"/>
          </w:tcPr>
          <w:p w14:paraId="495F840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bCs/>
                <w:color w:val="auto"/>
                <w:szCs w:val="24"/>
                <w:highlight w:val="none"/>
              </w:rPr>
              <w:t>详见招标文件“第一章 投标人须知 8 最高投标限价”</w:t>
            </w:r>
          </w:p>
        </w:tc>
      </w:tr>
      <w:tr w14:paraId="3D022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5943758B">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19</w:t>
            </w:r>
          </w:p>
        </w:tc>
        <w:tc>
          <w:tcPr>
            <w:tcW w:w="1725" w:type="dxa"/>
            <w:tcBorders>
              <w:top w:val="single" w:color="auto" w:sz="4" w:space="0"/>
              <w:left w:val="single" w:color="auto" w:sz="4" w:space="0"/>
              <w:bottom w:val="single" w:color="auto" w:sz="4" w:space="0"/>
              <w:right w:val="single" w:color="auto" w:sz="4" w:space="0"/>
            </w:tcBorders>
            <w:vAlign w:val="center"/>
          </w:tcPr>
          <w:p w14:paraId="0AAED69C">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投标保证金</w:t>
            </w:r>
          </w:p>
        </w:tc>
        <w:tc>
          <w:tcPr>
            <w:tcW w:w="6856" w:type="dxa"/>
            <w:tcBorders>
              <w:top w:val="single" w:color="auto" w:sz="4" w:space="0"/>
              <w:left w:val="single" w:color="auto" w:sz="4" w:space="0"/>
              <w:bottom w:val="single" w:color="auto" w:sz="4" w:space="0"/>
              <w:right w:val="single" w:color="auto" w:sz="4" w:space="0"/>
            </w:tcBorders>
            <w:vAlign w:val="center"/>
          </w:tcPr>
          <w:p w14:paraId="69BE724C">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1.投标人须缴纳金额为人民币</w:t>
            </w:r>
            <w:r>
              <w:rPr>
                <w:rFonts w:hint="eastAsia" w:hAnsi="宋体" w:cs="宋体"/>
                <w:color w:val="auto"/>
                <w:highlight w:val="none"/>
                <w:u w:val="single"/>
                <w:lang w:val="en-US" w:eastAsia="zh-CN"/>
              </w:rPr>
              <w:t>贰仟元</w:t>
            </w:r>
            <w:r>
              <w:rPr>
                <w:rFonts w:hint="eastAsia" w:hAnsi="宋体" w:cs="宋体"/>
                <w:color w:val="auto"/>
                <w:highlight w:val="none"/>
              </w:rPr>
              <w:t>的投标保证。</w:t>
            </w:r>
          </w:p>
          <w:p w14:paraId="0BEC4750">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2.投标保证的形式包括投标保证金、投标保证担保、投标保证保险三种，由投标人自主选择。</w:t>
            </w:r>
          </w:p>
          <w:p w14:paraId="74EBCF82">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本章第二节“重要事项时间地点一览表”）前，从其基本账户将投标保证金转账到指定的缴纳账号。逾期到账的、从非投标人基本账户转出的，其投标无效。</w:t>
            </w:r>
          </w:p>
          <w:p w14:paraId="0B87F797">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2CF2939A">
            <w:pPr>
              <w:keepNext w:val="0"/>
              <w:keepLines w:val="0"/>
              <w:pageBreakBefore w:val="0"/>
              <w:widowControl w:val="0"/>
              <w:kinsoku/>
              <w:overflowPunct/>
              <w:topLinePunct w:val="0"/>
              <w:autoSpaceDE/>
              <w:autoSpaceDN/>
              <w:bidi w:val="0"/>
              <w:snapToGrid w:val="0"/>
              <w:spacing w:line="500" w:lineRule="exact"/>
              <w:ind w:firstLine="480" w:firstLineChars="200"/>
              <w:textAlignment w:val="auto"/>
              <w:rPr>
                <w:rFonts w:hint="eastAsia"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w:t>
            </w:r>
          </w:p>
          <w:p w14:paraId="06E48727">
            <w:pPr>
              <w:keepNext w:val="0"/>
              <w:keepLines w:val="0"/>
              <w:pageBreakBefore w:val="0"/>
              <w:widowControl w:val="0"/>
              <w:kinsoku/>
              <w:overflowPunct/>
              <w:topLinePunct w:val="0"/>
              <w:autoSpaceDE/>
              <w:autoSpaceDN/>
              <w:bidi w:val="0"/>
              <w:snapToGrid w:val="0"/>
              <w:spacing w:line="500" w:lineRule="exact"/>
              <w:textAlignment w:val="auto"/>
              <w:rPr>
                <w:rFonts w:hAnsi="宋体" w:cs="宋体"/>
                <w:color w:val="auto"/>
                <w:highlight w:val="none"/>
              </w:rPr>
            </w:pPr>
            <w:r>
              <w:rPr>
                <w:rFonts w:hint="eastAsia" w:hAnsi="宋体" w:cs="宋体"/>
                <w:color w:val="auto"/>
                <w:highlight w:val="none"/>
              </w:rPr>
              <w:t>（https://ygp.gdzwfw.gov.cn/ggzy-portal/#/440200/index），在【服务指南】栏目中下载《韶关市公共资源建设工程交易系统-投标人操作指南》，了解网上投保具体操作流程。逾期投保的，其投标无效。</w:t>
            </w:r>
          </w:p>
          <w:p w14:paraId="099FFFD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color w:val="auto"/>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5F40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EBF5FC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20</w:t>
            </w:r>
          </w:p>
        </w:tc>
        <w:tc>
          <w:tcPr>
            <w:tcW w:w="1725" w:type="dxa"/>
            <w:tcBorders>
              <w:top w:val="single" w:color="auto" w:sz="4" w:space="0"/>
              <w:left w:val="single" w:color="auto" w:sz="4" w:space="0"/>
              <w:bottom w:val="single" w:color="auto" w:sz="4" w:space="0"/>
              <w:right w:val="single" w:color="auto" w:sz="4" w:space="0"/>
            </w:tcBorders>
            <w:vAlign w:val="center"/>
          </w:tcPr>
          <w:p w14:paraId="55725C5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投标有效期</w:t>
            </w:r>
          </w:p>
        </w:tc>
        <w:tc>
          <w:tcPr>
            <w:tcW w:w="6856" w:type="dxa"/>
            <w:tcBorders>
              <w:top w:val="single" w:color="auto" w:sz="4" w:space="0"/>
              <w:left w:val="single" w:color="auto" w:sz="4" w:space="0"/>
              <w:bottom w:val="single" w:color="auto" w:sz="4" w:space="0"/>
              <w:right w:val="single" w:color="auto" w:sz="4" w:space="0"/>
            </w:tcBorders>
            <w:vAlign w:val="center"/>
          </w:tcPr>
          <w:p w14:paraId="73AFD77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本次招标的投标有效期为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w:t>
            </w:r>
          </w:p>
        </w:tc>
      </w:tr>
      <w:tr w14:paraId="1490B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298563C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21</w:t>
            </w:r>
          </w:p>
        </w:tc>
        <w:tc>
          <w:tcPr>
            <w:tcW w:w="1725" w:type="dxa"/>
            <w:tcBorders>
              <w:top w:val="single" w:color="auto" w:sz="4" w:space="0"/>
              <w:left w:val="single" w:color="auto" w:sz="4" w:space="0"/>
              <w:bottom w:val="single" w:color="auto" w:sz="4" w:space="0"/>
              <w:right w:val="single" w:color="auto" w:sz="4" w:space="0"/>
            </w:tcBorders>
            <w:vAlign w:val="center"/>
          </w:tcPr>
          <w:p w14:paraId="35AAF60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投标文件组成</w:t>
            </w:r>
          </w:p>
        </w:tc>
        <w:tc>
          <w:tcPr>
            <w:tcW w:w="6856" w:type="dxa"/>
            <w:tcBorders>
              <w:top w:val="single" w:color="auto" w:sz="4" w:space="0"/>
              <w:left w:val="single" w:color="auto" w:sz="4" w:space="0"/>
              <w:bottom w:val="single" w:color="auto" w:sz="4" w:space="0"/>
              <w:right w:val="single" w:color="auto" w:sz="4" w:space="0"/>
            </w:tcBorders>
            <w:vAlign w:val="center"/>
          </w:tcPr>
          <w:p w14:paraId="2210B60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w:t>
            </w:r>
          </w:p>
        </w:tc>
      </w:tr>
      <w:tr w14:paraId="611500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4982B3CD">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22</w:t>
            </w:r>
          </w:p>
        </w:tc>
        <w:tc>
          <w:tcPr>
            <w:tcW w:w="1725" w:type="dxa"/>
            <w:tcBorders>
              <w:top w:val="single" w:color="auto" w:sz="4" w:space="0"/>
              <w:left w:val="single" w:color="auto" w:sz="4" w:space="0"/>
              <w:bottom w:val="single" w:color="auto" w:sz="4" w:space="0"/>
              <w:right w:val="single" w:color="auto" w:sz="4" w:space="0"/>
            </w:tcBorders>
            <w:vAlign w:val="center"/>
          </w:tcPr>
          <w:p w14:paraId="37EED64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评标方法</w:t>
            </w:r>
          </w:p>
        </w:tc>
        <w:tc>
          <w:tcPr>
            <w:tcW w:w="6856" w:type="dxa"/>
            <w:tcBorders>
              <w:top w:val="single" w:color="auto" w:sz="4" w:space="0"/>
              <w:left w:val="single" w:color="auto" w:sz="4" w:space="0"/>
              <w:bottom w:val="single" w:color="auto" w:sz="4" w:space="0"/>
              <w:right w:val="single" w:color="auto" w:sz="4" w:space="0"/>
            </w:tcBorders>
            <w:vAlign w:val="center"/>
          </w:tcPr>
          <w:p w14:paraId="606C701F">
            <w:pPr>
              <w:keepNext w:val="0"/>
              <w:keepLines w:val="0"/>
              <w:pageBreakBefore w:val="0"/>
              <w:widowControl w:val="0"/>
              <w:kinsoku/>
              <w:wordWrap w:val="0"/>
              <w:overflowPunct/>
              <w:topLinePunct w:val="0"/>
              <w:autoSpaceDE/>
              <w:autoSpaceDN/>
              <w:bidi w:val="0"/>
              <w:adjustRightInd w:val="0"/>
              <w:snapToGrid w:val="0"/>
              <w:spacing w:line="500" w:lineRule="exact"/>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综合评估法</w:t>
            </w:r>
          </w:p>
        </w:tc>
      </w:tr>
      <w:tr w14:paraId="02325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0E5DB3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23</w:t>
            </w:r>
          </w:p>
        </w:tc>
        <w:tc>
          <w:tcPr>
            <w:tcW w:w="1725" w:type="dxa"/>
            <w:tcBorders>
              <w:top w:val="single" w:color="auto" w:sz="4" w:space="0"/>
              <w:left w:val="single" w:color="auto" w:sz="4" w:space="0"/>
              <w:bottom w:val="single" w:color="auto" w:sz="4" w:space="0"/>
              <w:right w:val="single" w:color="auto" w:sz="4" w:space="0"/>
            </w:tcBorders>
            <w:vAlign w:val="center"/>
          </w:tcPr>
          <w:p w14:paraId="67B3FC1B">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定标办法</w:t>
            </w:r>
          </w:p>
        </w:tc>
        <w:tc>
          <w:tcPr>
            <w:tcW w:w="6856" w:type="dxa"/>
            <w:tcBorders>
              <w:top w:val="single" w:color="auto" w:sz="4" w:space="0"/>
              <w:left w:val="single" w:color="auto" w:sz="4" w:space="0"/>
              <w:bottom w:val="single" w:color="auto" w:sz="4" w:space="0"/>
              <w:right w:val="single" w:color="auto" w:sz="4" w:space="0"/>
            </w:tcBorders>
            <w:vAlign w:val="center"/>
          </w:tcPr>
          <w:p w14:paraId="12BBFE05">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0342D38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6E7FB522">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491E689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1C405CF6">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hAnsi="宋体" w:cs="宋体"/>
                <w:snapToGrid w:val="0"/>
                <w:color w:val="auto"/>
                <w:kern w:val="0"/>
                <w:szCs w:val="24"/>
                <w:highlight w:val="none"/>
              </w:rPr>
            </w:pPr>
            <w:r>
              <w:rPr>
                <w:rFonts w:hint="eastAsia" w:ascii="宋体" w:hAnsi="宋体" w:eastAsia="宋体" w:cs="宋体"/>
                <w:bCs/>
                <w:snapToGrid w:val="0"/>
                <w:color w:val="auto"/>
                <w:kern w:val="0"/>
                <w:sz w:val="24"/>
                <w:szCs w:val="24"/>
                <w:highlight w:val="none"/>
                <w:lang w:val="en-US" w:eastAsia="zh-CN"/>
              </w:rPr>
              <w:t>□其他方法：</w:t>
            </w:r>
            <w:r>
              <w:rPr>
                <w:rFonts w:hint="eastAsia" w:ascii="宋体" w:hAnsi="宋体" w:eastAsia="宋体" w:cs="宋体"/>
                <w:bCs/>
                <w:snapToGrid w:val="0"/>
                <w:color w:val="auto"/>
                <w:kern w:val="0"/>
                <w:sz w:val="24"/>
                <w:szCs w:val="24"/>
                <w:highlight w:val="none"/>
                <w:u w:val="single"/>
                <w:lang w:val="en-US" w:eastAsia="zh-CN"/>
              </w:rPr>
              <w:t xml:space="preserve">       </w:t>
            </w:r>
          </w:p>
        </w:tc>
      </w:tr>
      <w:tr w14:paraId="076C4A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B5D8580">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4</w:t>
            </w:r>
          </w:p>
        </w:tc>
        <w:tc>
          <w:tcPr>
            <w:tcW w:w="1725" w:type="dxa"/>
            <w:tcBorders>
              <w:top w:val="single" w:color="auto" w:sz="4" w:space="0"/>
              <w:left w:val="single" w:color="auto" w:sz="4" w:space="0"/>
              <w:bottom w:val="single" w:color="auto" w:sz="4" w:space="0"/>
              <w:right w:val="single" w:color="auto" w:sz="4" w:space="0"/>
            </w:tcBorders>
            <w:vAlign w:val="center"/>
          </w:tcPr>
          <w:p w14:paraId="794A6822">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hAnsi="宋体" w:cs="宋体"/>
                <w:snapToGrid w:val="0"/>
                <w:color w:val="auto"/>
                <w:kern w:val="0"/>
                <w:szCs w:val="24"/>
                <w:highlight w:val="none"/>
              </w:rPr>
            </w:pPr>
            <w:r>
              <w:rPr>
                <w:rFonts w:hint="eastAsia" w:hAnsi="宋体" w:cs="宋体"/>
                <w:snapToGrid w:val="0"/>
                <w:color w:val="auto"/>
                <w:kern w:val="0"/>
                <w:szCs w:val="24"/>
                <w:highlight w:val="none"/>
              </w:rPr>
              <w:t>监理大纲评审</w:t>
            </w:r>
          </w:p>
          <w:p w14:paraId="3AB04B4A">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方式</w:t>
            </w:r>
          </w:p>
        </w:tc>
        <w:tc>
          <w:tcPr>
            <w:tcW w:w="6856" w:type="dxa"/>
            <w:tcBorders>
              <w:top w:val="single" w:color="auto" w:sz="4" w:space="0"/>
              <w:left w:val="single" w:color="auto" w:sz="4" w:space="0"/>
              <w:bottom w:val="single" w:color="auto" w:sz="4" w:space="0"/>
              <w:right w:val="single" w:color="auto" w:sz="4" w:space="0"/>
            </w:tcBorders>
            <w:vAlign w:val="center"/>
          </w:tcPr>
          <w:p w14:paraId="6D01719C">
            <w:pPr>
              <w:keepNext w:val="0"/>
              <w:keepLines w:val="0"/>
              <w:pageBreakBefore w:val="0"/>
              <w:widowControl w:val="0"/>
              <w:kinsoku/>
              <w:wordWrap w:val="0"/>
              <w:overflowPunct/>
              <w:topLinePunct w:val="0"/>
              <w:autoSpaceDE/>
              <w:autoSpaceDN/>
              <w:bidi w:val="0"/>
              <w:adjustRightInd w:val="0"/>
              <w:snapToGrid w:val="0"/>
              <w:spacing w:line="24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本次招标监理大纲</w:t>
            </w:r>
            <w:r>
              <w:rPr>
                <w:rFonts w:hint="eastAsia" w:hAnsi="宋体" w:cs="宋体"/>
                <w:snapToGrid w:val="0"/>
                <w:color w:val="auto"/>
                <w:kern w:val="0"/>
                <w:szCs w:val="24"/>
                <w:highlight w:val="none"/>
                <w:u w:val="single"/>
              </w:rPr>
              <w:t xml:space="preserve"> 不采用 </w:t>
            </w:r>
            <w:r>
              <w:rPr>
                <w:rFonts w:hint="eastAsia" w:hAnsi="宋体" w:cs="宋体"/>
                <w:snapToGrid w:val="0"/>
                <w:color w:val="auto"/>
                <w:kern w:val="0"/>
                <w:szCs w:val="24"/>
                <w:highlight w:val="none"/>
              </w:rPr>
              <w:t>“暗标”方式进行评审。</w:t>
            </w:r>
          </w:p>
        </w:tc>
      </w:tr>
      <w:tr w14:paraId="2BF2E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0A83B32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hAnsi="宋体" w:eastAsia="宋体" w:cs="宋体"/>
                <w:snapToGrid w:val="0"/>
                <w:color w:val="auto"/>
                <w:kern w:val="0"/>
                <w:szCs w:val="24"/>
                <w:highlight w:val="none"/>
                <w:lang w:eastAsia="zh-CN"/>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5</w:t>
            </w:r>
          </w:p>
        </w:tc>
        <w:tc>
          <w:tcPr>
            <w:tcW w:w="1725" w:type="dxa"/>
            <w:tcBorders>
              <w:top w:val="single" w:color="auto" w:sz="4" w:space="0"/>
              <w:left w:val="single" w:color="auto" w:sz="4" w:space="0"/>
              <w:bottom w:val="single" w:color="auto" w:sz="4" w:space="0"/>
              <w:right w:val="single" w:color="auto" w:sz="4" w:space="0"/>
            </w:tcBorders>
            <w:vAlign w:val="center"/>
          </w:tcPr>
          <w:p w14:paraId="6CC5BE8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w:t>
            </w:r>
          </w:p>
        </w:tc>
        <w:tc>
          <w:tcPr>
            <w:tcW w:w="6856" w:type="dxa"/>
            <w:tcBorders>
              <w:top w:val="single" w:color="auto" w:sz="4" w:space="0"/>
              <w:left w:val="single" w:color="auto" w:sz="4" w:space="0"/>
              <w:bottom w:val="single" w:color="auto" w:sz="4" w:space="0"/>
              <w:right w:val="single" w:color="auto" w:sz="4" w:space="0"/>
            </w:tcBorders>
            <w:vAlign w:val="center"/>
          </w:tcPr>
          <w:p w14:paraId="71EEA21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rPr>
                <w:rFonts w:hAnsi="宋体" w:cs="宋体"/>
                <w:snapToGrid w:val="0"/>
                <w:color w:val="auto"/>
                <w:kern w:val="0"/>
                <w:szCs w:val="24"/>
                <w:highlight w:val="none"/>
              </w:rPr>
            </w:pPr>
            <w:r>
              <w:rPr>
                <w:rFonts w:hint="eastAsia" w:hAnsi="宋体" w:cs="宋体"/>
                <w:snapToGrid w:val="0"/>
                <w:color w:val="auto"/>
                <w:kern w:val="0"/>
                <w:szCs w:val="24"/>
                <w:highlight w:val="none"/>
              </w:rPr>
              <w:t>评标委员会由</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人组成，其中招标人代表</w:t>
            </w:r>
            <w:r>
              <w:rPr>
                <w:rFonts w:hint="eastAsia" w:hAnsi="宋体" w:cs="宋体"/>
                <w:snapToGrid w:val="0"/>
                <w:color w:val="auto"/>
                <w:kern w:val="0"/>
                <w:szCs w:val="24"/>
                <w:highlight w:val="none"/>
                <w:u w:val="single"/>
              </w:rPr>
              <w:t xml:space="preserve"> 0 </w:t>
            </w:r>
            <w:r>
              <w:rPr>
                <w:rFonts w:hint="eastAsia" w:hAnsi="宋体" w:cs="宋体"/>
                <w:snapToGrid w:val="0"/>
                <w:color w:val="auto"/>
                <w:kern w:val="0"/>
                <w:szCs w:val="24"/>
                <w:highlight w:val="none"/>
              </w:rPr>
              <w:t>人，专家</w:t>
            </w:r>
            <w:r>
              <w:rPr>
                <w:rFonts w:hint="eastAsia" w:hAnsi="宋体" w:cs="宋体"/>
                <w:snapToGrid w:val="0"/>
                <w:color w:val="auto"/>
                <w:kern w:val="0"/>
                <w:szCs w:val="24"/>
                <w:highlight w:val="none"/>
                <w:u w:val="single"/>
              </w:rPr>
              <w:t xml:space="preserve"> 5 </w:t>
            </w:r>
            <w:r>
              <w:rPr>
                <w:rFonts w:hint="eastAsia" w:hAnsi="宋体" w:cs="宋体"/>
                <w:snapToGrid w:val="0"/>
                <w:color w:val="auto"/>
                <w:kern w:val="0"/>
                <w:szCs w:val="24"/>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szCs w:val="24"/>
                <w:highlight w:val="none"/>
              </w:rPr>
              <w:t>中随机抽取，其中技术类专家</w:t>
            </w:r>
            <w:r>
              <w:rPr>
                <w:rFonts w:hint="eastAsia" w:hAnsi="宋体" w:cs="宋体"/>
                <w:snapToGrid w:val="0"/>
                <w:color w:val="auto"/>
                <w:kern w:val="0"/>
                <w:szCs w:val="24"/>
                <w:highlight w:val="none"/>
                <w:u w:val="single"/>
              </w:rPr>
              <w:t xml:space="preserve"> 3 </w:t>
            </w:r>
            <w:r>
              <w:rPr>
                <w:rFonts w:hint="eastAsia" w:hAnsi="宋体" w:cs="宋体"/>
                <w:snapToGrid w:val="0"/>
                <w:color w:val="auto"/>
                <w:kern w:val="0"/>
                <w:szCs w:val="24"/>
                <w:highlight w:val="none"/>
              </w:rPr>
              <w:t>人，经济类专家</w:t>
            </w:r>
            <w:r>
              <w:rPr>
                <w:rFonts w:hint="eastAsia" w:hAnsi="宋体" w:cs="宋体"/>
                <w:snapToGrid w:val="0"/>
                <w:color w:val="auto"/>
                <w:kern w:val="0"/>
                <w:szCs w:val="24"/>
                <w:highlight w:val="none"/>
                <w:u w:val="single"/>
              </w:rPr>
              <w:t xml:space="preserve"> 2 </w:t>
            </w:r>
            <w:r>
              <w:rPr>
                <w:rFonts w:hint="eastAsia" w:hAnsi="宋体" w:cs="宋体"/>
                <w:snapToGrid w:val="0"/>
                <w:color w:val="auto"/>
                <w:kern w:val="0"/>
                <w:szCs w:val="24"/>
                <w:highlight w:val="none"/>
              </w:rPr>
              <w:t>人。</w:t>
            </w:r>
          </w:p>
        </w:tc>
      </w:tr>
      <w:tr w14:paraId="09E70B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66BF542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26</w:t>
            </w:r>
          </w:p>
        </w:tc>
        <w:tc>
          <w:tcPr>
            <w:tcW w:w="1725" w:type="dxa"/>
            <w:tcBorders>
              <w:top w:val="single" w:color="auto" w:sz="4" w:space="0"/>
              <w:left w:val="single" w:color="auto" w:sz="4" w:space="0"/>
              <w:bottom w:val="single" w:color="auto" w:sz="4" w:space="0"/>
              <w:right w:val="single" w:color="auto" w:sz="4" w:space="0"/>
            </w:tcBorders>
            <w:vAlign w:val="center"/>
          </w:tcPr>
          <w:p w14:paraId="23FFB231">
            <w:pPr>
              <w:keepNext w:val="0"/>
              <w:keepLines w:val="0"/>
              <w:pageBreakBefore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定标委员会</w:t>
            </w:r>
          </w:p>
        </w:tc>
        <w:tc>
          <w:tcPr>
            <w:tcW w:w="6856" w:type="dxa"/>
            <w:tcBorders>
              <w:top w:val="single" w:color="auto" w:sz="4" w:space="0"/>
              <w:left w:val="single" w:color="auto" w:sz="4" w:space="0"/>
              <w:bottom w:val="single" w:color="auto" w:sz="4" w:space="0"/>
              <w:right w:val="single" w:color="auto" w:sz="4" w:space="0"/>
            </w:tcBorders>
            <w:vAlign w:val="center"/>
          </w:tcPr>
          <w:p w14:paraId="636FAC1F">
            <w:pPr>
              <w:keepNext w:val="0"/>
              <w:keepLines w:val="0"/>
              <w:pageBreakBefore w:val="0"/>
              <w:kinsoku/>
              <w:wordWrap w:val="0"/>
              <w:overflowPunct/>
              <w:topLinePunct w:val="0"/>
              <w:autoSpaceDE/>
              <w:autoSpaceDN/>
              <w:bidi w:val="0"/>
              <w:adjustRightInd w:val="0"/>
              <w:snapToGrid w:val="0"/>
              <w:spacing w:line="500" w:lineRule="exact"/>
              <w:ind w:firstLine="480" w:firstLineChars="200"/>
              <w:jc w:val="both"/>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本项目定标委员会组成人员为</w:t>
            </w:r>
            <w:r>
              <w:rPr>
                <w:rFonts w:hint="eastAsia" w:ascii="宋体" w:hAnsi="宋体" w:eastAsia="宋体" w:cs="宋体"/>
                <w:snapToGrid w:val="0"/>
                <w:color w:val="auto"/>
                <w:kern w:val="0"/>
                <w:sz w:val="24"/>
                <w:szCs w:val="24"/>
                <w:highlight w:val="none"/>
                <w:u w:val="single"/>
                <w:lang w:val="en-US" w:eastAsia="zh-CN"/>
              </w:rPr>
              <w:t xml:space="preserve"> 7 </w:t>
            </w:r>
            <w:r>
              <w:rPr>
                <w:rFonts w:hint="eastAsia" w:ascii="宋体" w:hAnsi="宋体" w:eastAsia="宋体" w:cs="宋体"/>
                <w:snapToGrid w:val="0"/>
                <w:color w:val="auto"/>
                <w:kern w:val="0"/>
                <w:sz w:val="24"/>
                <w:szCs w:val="24"/>
                <w:highlight w:val="none"/>
                <w:lang w:val="en-US" w:eastAsia="zh-CN"/>
              </w:rPr>
              <w:t>人。</w:t>
            </w:r>
          </w:p>
        </w:tc>
      </w:tr>
      <w:tr w14:paraId="0C448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285B89B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7</w:t>
            </w:r>
          </w:p>
        </w:tc>
        <w:tc>
          <w:tcPr>
            <w:tcW w:w="1725" w:type="dxa"/>
            <w:tcBorders>
              <w:top w:val="single" w:color="auto" w:sz="4" w:space="0"/>
              <w:left w:val="single" w:color="auto" w:sz="4" w:space="0"/>
              <w:bottom w:val="single" w:color="auto" w:sz="4" w:space="0"/>
              <w:right w:val="single" w:color="auto" w:sz="4" w:space="0"/>
            </w:tcBorders>
            <w:vAlign w:val="center"/>
          </w:tcPr>
          <w:p w14:paraId="3196D7ED">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招标文件要求提交的用于评审的证书、证件、证明原件</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p>
        </w:tc>
        <w:tc>
          <w:tcPr>
            <w:tcW w:w="6856" w:type="dxa"/>
            <w:tcBorders>
              <w:top w:val="single" w:color="auto" w:sz="4" w:space="0"/>
              <w:left w:val="single" w:color="auto" w:sz="4" w:space="0"/>
              <w:bottom w:val="single" w:color="auto" w:sz="4" w:space="0"/>
              <w:right w:val="single" w:color="auto" w:sz="4" w:space="0"/>
            </w:tcBorders>
            <w:vAlign w:val="center"/>
          </w:tcPr>
          <w:p w14:paraId="72AFF7D2">
            <w:pPr>
              <w:keepNext w:val="0"/>
              <w:keepLines w:val="0"/>
              <w:pageBreakBefore w:val="0"/>
              <w:widowControl w:val="0"/>
              <w:kinsoku/>
              <w:wordWrap w:val="0"/>
              <w:overflowPunct/>
              <w:topLinePunct w:val="0"/>
              <w:autoSpaceDE/>
              <w:autoSpaceDN/>
              <w:bidi w:val="0"/>
              <w:adjustRightInd w:val="0"/>
              <w:snapToGrid w:val="0"/>
              <w:spacing w:line="500" w:lineRule="exact"/>
              <w:jc w:val="left"/>
              <w:textAlignment w:val="auto"/>
              <w:rPr>
                <w:rFonts w:hint="eastAsia"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投标人提交用于评审的证书、证件、证明原件的，应自行准备两张“原件一览表”(详见</w:t>
            </w:r>
            <w:r>
              <w:rPr>
                <w:rFonts w:hint="eastAsia" w:hAnsi="宋体" w:cs="宋体"/>
                <w:snapToGrid w:val="0"/>
                <w:color w:val="auto"/>
                <w:kern w:val="0"/>
                <w:sz w:val="24"/>
                <w:szCs w:val="24"/>
                <w:highlight w:val="none"/>
                <w:lang w:val="en-US" w:eastAsia="zh-CN"/>
              </w:rPr>
              <w:t>投标文件格式</w:t>
            </w:r>
            <w:r>
              <w:rPr>
                <w:rFonts w:hint="eastAsia" w:ascii="宋体" w:hAnsi="宋体" w:eastAsia="宋体" w:cs="宋体"/>
                <w:snapToGrid w:val="0"/>
                <w:color w:val="auto"/>
                <w:kern w:val="0"/>
                <w:sz w:val="24"/>
                <w:szCs w:val="24"/>
                <w:highlight w:val="none"/>
              </w:rPr>
              <w:t>，投标人须自行填写，表格可扩展)，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7161C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7B8721E2">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8</w:t>
            </w:r>
          </w:p>
        </w:tc>
        <w:tc>
          <w:tcPr>
            <w:tcW w:w="1725" w:type="dxa"/>
            <w:tcBorders>
              <w:top w:val="single" w:color="auto" w:sz="4" w:space="0"/>
              <w:left w:val="single" w:color="auto" w:sz="4" w:space="0"/>
              <w:bottom w:val="single" w:color="auto" w:sz="4" w:space="0"/>
              <w:right w:val="single" w:color="auto" w:sz="4" w:space="0"/>
            </w:tcBorders>
            <w:vAlign w:val="center"/>
          </w:tcPr>
          <w:p w14:paraId="4CB5F7E5">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招标人</w:t>
            </w:r>
          </w:p>
          <w:p w14:paraId="7CA2CE30">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5DDFFDE3">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w:t>
            </w:r>
            <w:r>
              <w:rPr>
                <w:rFonts w:hint="eastAsia" w:hAnsi="宋体" w:cs="宋体"/>
                <w:bCs/>
                <w:snapToGrid w:val="0"/>
                <w:color w:val="auto"/>
                <w:kern w:val="0"/>
                <w:sz w:val="24"/>
                <w:szCs w:val="24"/>
                <w:highlight w:val="none"/>
                <w:lang w:val="en-US" w:eastAsia="zh-CN"/>
              </w:rPr>
              <w:t>南雄市全安镇人民政府</w:t>
            </w:r>
          </w:p>
          <w:p w14:paraId="12891A94">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办公地址：广东省南雄市雄州街道雄州大道中389号</w:t>
            </w:r>
          </w:p>
          <w:p w14:paraId="7D407942">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w:t>
            </w:r>
            <w:r>
              <w:rPr>
                <w:rFonts w:hint="eastAsia" w:ascii="宋体" w:hAnsi="宋体" w:eastAsia="宋体" w:cs="宋体"/>
                <w:snapToGrid w:val="0"/>
                <w:color w:val="auto"/>
                <w:kern w:val="0"/>
                <w:sz w:val="24"/>
                <w:szCs w:val="24"/>
                <w:highlight w:val="none"/>
                <w:lang w:val="en-US" w:eastAsia="zh-CN"/>
              </w:rPr>
              <w:t>陈工</w:t>
            </w:r>
          </w:p>
          <w:p w14:paraId="2A6AE7A7">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联系电话：0751-3702001</w:t>
            </w:r>
          </w:p>
        </w:tc>
      </w:tr>
      <w:tr w14:paraId="06B4F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27824AC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rPr>
              <w:t>2</w:t>
            </w:r>
            <w:r>
              <w:rPr>
                <w:rFonts w:hint="eastAsia" w:hAnsi="宋体" w:cs="宋体"/>
                <w:snapToGrid w:val="0"/>
                <w:color w:val="auto"/>
                <w:kern w:val="0"/>
                <w:szCs w:val="24"/>
                <w:highlight w:val="none"/>
                <w:lang w:val="en-US" w:eastAsia="zh-CN"/>
              </w:rPr>
              <w:t>9</w:t>
            </w:r>
          </w:p>
        </w:tc>
        <w:tc>
          <w:tcPr>
            <w:tcW w:w="1725" w:type="dxa"/>
            <w:tcBorders>
              <w:top w:val="single" w:color="auto" w:sz="4" w:space="0"/>
              <w:left w:val="single" w:color="auto" w:sz="4" w:space="0"/>
              <w:bottom w:val="single" w:color="auto" w:sz="4" w:space="0"/>
              <w:right w:val="single" w:color="auto" w:sz="4" w:space="0"/>
            </w:tcBorders>
            <w:vAlign w:val="center"/>
          </w:tcPr>
          <w:p w14:paraId="42B2F57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招标代理机构</w:t>
            </w:r>
          </w:p>
          <w:p w14:paraId="70009F9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0DCCAF18">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单位名称：</w:t>
            </w:r>
            <w:r>
              <w:rPr>
                <w:rFonts w:hint="eastAsia" w:hAnsi="宋体" w:cs="宋体"/>
                <w:bCs/>
                <w:snapToGrid w:val="0"/>
                <w:color w:val="auto"/>
                <w:kern w:val="0"/>
                <w:sz w:val="24"/>
                <w:szCs w:val="24"/>
                <w:highlight w:val="none"/>
                <w:lang w:val="en-US" w:eastAsia="zh-CN"/>
              </w:rPr>
              <w:t>韶关市汇富信息咨询有限公司</w:t>
            </w:r>
          </w:p>
          <w:p w14:paraId="2D858D21">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办公地址：韶关市浈江区十里亭镇五里亭良村公路2号韶关碧桂园高山流水沿江路一层48商铺</w:t>
            </w:r>
          </w:p>
          <w:p w14:paraId="5529FA9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联系人（部门）：陈工</w:t>
            </w:r>
          </w:p>
          <w:p w14:paraId="1ED21C5C">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default"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联系电话：13827931727</w:t>
            </w:r>
          </w:p>
        </w:tc>
      </w:tr>
      <w:tr w14:paraId="61384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4F5D145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30</w:t>
            </w:r>
          </w:p>
        </w:tc>
        <w:tc>
          <w:tcPr>
            <w:tcW w:w="1725" w:type="dxa"/>
            <w:tcBorders>
              <w:top w:val="single" w:color="auto" w:sz="4" w:space="0"/>
              <w:left w:val="single" w:color="auto" w:sz="4" w:space="0"/>
              <w:bottom w:val="single" w:color="auto" w:sz="4" w:space="0"/>
              <w:right w:val="single" w:color="auto" w:sz="4" w:space="0"/>
            </w:tcBorders>
            <w:vAlign w:val="center"/>
          </w:tcPr>
          <w:p w14:paraId="767B8CA3">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交易场所</w:t>
            </w:r>
          </w:p>
          <w:p w14:paraId="4CC7096B">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3091F267">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单位名称：韶关市公共资源交易中心</w:t>
            </w:r>
          </w:p>
          <w:p w14:paraId="577B62C7">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办公地址：南雄市雄东路1号(大润发)四楼韶关市公共资源交易中心南雄分中心(南雄市公共服务中心内)</w:t>
            </w:r>
          </w:p>
          <w:p w14:paraId="76B08DBA">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联系人（部门）：工程交易部</w:t>
            </w:r>
          </w:p>
          <w:p w14:paraId="1A49A67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zh-CN" w:eastAsia="zh-CN"/>
              </w:rPr>
              <w:t>联系电话：0751-3860729</w:t>
            </w:r>
          </w:p>
        </w:tc>
      </w:tr>
      <w:tr w14:paraId="6D414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3D05CDAF">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ascii="宋体" w:hAnsi="宋体" w:eastAsia="宋体" w:cs="宋体"/>
                <w:snapToGrid w:val="0"/>
                <w:color w:val="auto"/>
                <w:kern w:val="0"/>
                <w:sz w:val="24"/>
                <w:szCs w:val="24"/>
                <w:highlight w:val="none"/>
                <w:lang w:val="en-US" w:eastAsia="zh-CN" w:bidi="ar-SA"/>
              </w:rPr>
            </w:pPr>
            <w:r>
              <w:rPr>
                <w:rFonts w:hint="eastAsia" w:hAnsi="宋体" w:cs="宋体"/>
                <w:snapToGrid w:val="0"/>
                <w:color w:val="auto"/>
                <w:kern w:val="0"/>
                <w:szCs w:val="24"/>
                <w:highlight w:val="none"/>
                <w:lang w:val="en-US" w:eastAsia="zh-CN"/>
              </w:rPr>
              <w:t>31</w:t>
            </w:r>
          </w:p>
        </w:tc>
        <w:tc>
          <w:tcPr>
            <w:tcW w:w="1725" w:type="dxa"/>
            <w:tcBorders>
              <w:top w:val="single" w:color="auto" w:sz="4" w:space="0"/>
              <w:left w:val="single" w:color="auto" w:sz="4" w:space="0"/>
              <w:bottom w:val="single" w:color="auto" w:sz="4" w:space="0"/>
              <w:right w:val="single" w:color="auto" w:sz="4" w:space="0"/>
            </w:tcBorders>
            <w:vAlign w:val="center"/>
          </w:tcPr>
          <w:p w14:paraId="5EB098A6">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行政监督部门</w:t>
            </w:r>
          </w:p>
          <w:p w14:paraId="45C46398">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联系方式</w:t>
            </w:r>
          </w:p>
        </w:tc>
        <w:tc>
          <w:tcPr>
            <w:tcW w:w="6856" w:type="dxa"/>
            <w:tcBorders>
              <w:top w:val="single" w:color="auto" w:sz="4" w:space="0"/>
              <w:left w:val="single" w:color="auto" w:sz="4" w:space="0"/>
              <w:bottom w:val="single" w:color="auto" w:sz="4" w:space="0"/>
              <w:right w:val="single" w:color="auto" w:sz="4" w:space="0"/>
            </w:tcBorders>
            <w:vAlign w:val="center"/>
          </w:tcPr>
          <w:p w14:paraId="0536E172">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单位名称：</w:t>
            </w:r>
            <w:r>
              <w:rPr>
                <w:rFonts w:hint="eastAsia" w:ascii="Helvetica" w:hAnsi="Helvetica" w:eastAsia="Helvetica" w:cs="Helvetica"/>
                <w:i w:val="0"/>
                <w:iCs w:val="0"/>
                <w:caps w:val="0"/>
                <w:color w:val="auto"/>
                <w:spacing w:val="0"/>
                <w:sz w:val="24"/>
                <w:szCs w:val="24"/>
                <w:highlight w:val="none"/>
                <w:shd w:val="clear" w:color="auto" w:fill="FFFFFF"/>
              </w:rPr>
              <w:t>南雄市农业农村局</w:t>
            </w:r>
          </w:p>
          <w:p w14:paraId="4916C74A">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办公地址：韶关市南雄市沿江西路98号</w:t>
            </w:r>
          </w:p>
          <w:p w14:paraId="6368542B">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zh-CN" w:eastAsia="zh-CN"/>
              </w:rPr>
            </w:pPr>
            <w:r>
              <w:rPr>
                <w:rFonts w:hint="eastAsia" w:ascii="宋体" w:hAnsi="宋体" w:eastAsia="宋体" w:cs="宋体"/>
                <w:bCs/>
                <w:snapToGrid w:val="0"/>
                <w:color w:val="auto"/>
                <w:kern w:val="0"/>
                <w:sz w:val="24"/>
                <w:szCs w:val="24"/>
                <w:highlight w:val="none"/>
                <w:lang w:val="zh-CN" w:eastAsia="zh-CN"/>
              </w:rPr>
              <w:t>联系人（部门）：邹工</w:t>
            </w:r>
          </w:p>
          <w:p w14:paraId="1867FC9D">
            <w:pPr>
              <w:keepNext w:val="0"/>
              <w:keepLines w:val="0"/>
              <w:pageBreakBefore w:val="0"/>
              <w:widowControl w:val="0"/>
              <w:suppressLineNumbers w:val="0"/>
              <w:kinsoku/>
              <w:wordWrap/>
              <w:overflowPunct/>
              <w:topLinePunct w:val="0"/>
              <w:autoSpaceDE/>
              <w:autoSpaceDN/>
              <w:bidi w:val="0"/>
              <w:adjustRightInd/>
              <w:snapToGrid/>
              <w:spacing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zh-CN" w:eastAsia="zh-CN"/>
              </w:rPr>
              <w:t>联系电话：0751-3822128</w:t>
            </w:r>
          </w:p>
        </w:tc>
      </w:tr>
      <w:bookmarkEnd w:id="4"/>
      <w:tr w14:paraId="74867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shd w:val="clear" w:color="auto" w:fill="auto"/>
            <w:vAlign w:val="center"/>
          </w:tcPr>
          <w:p w14:paraId="565918AC">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eastAsia" w:ascii="宋体" w:hAnsi="宋体" w:eastAsia="宋体" w:cs="宋体"/>
                <w:snapToGrid w:val="0"/>
                <w:color w:val="auto"/>
                <w:kern w:val="0"/>
                <w:sz w:val="24"/>
                <w:szCs w:val="24"/>
                <w:highlight w:val="none"/>
                <w:lang w:val="en-US" w:eastAsia="zh-CN" w:bidi="ar-SA"/>
              </w:rPr>
            </w:pPr>
            <w:bookmarkStart w:id="5" w:name="_Toc122859103"/>
            <w:bookmarkStart w:id="6" w:name="_Toc122671103"/>
            <w:bookmarkStart w:id="7" w:name="_Toc122769943"/>
            <w:r>
              <w:rPr>
                <w:rFonts w:hint="eastAsia" w:hAnsi="宋体" w:cs="宋体"/>
                <w:snapToGrid w:val="0"/>
                <w:color w:val="auto"/>
                <w:kern w:val="0"/>
                <w:szCs w:val="24"/>
                <w:highlight w:val="none"/>
              </w:rPr>
              <w:t>3</w:t>
            </w:r>
            <w:r>
              <w:rPr>
                <w:rFonts w:hint="eastAsia" w:hAnsi="宋体" w:cs="宋体"/>
                <w:snapToGrid w:val="0"/>
                <w:color w:val="auto"/>
                <w:kern w:val="0"/>
                <w:szCs w:val="24"/>
                <w:highlight w:val="none"/>
                <w:lang w:val="en-US" w:eastAsia="zh-CN"/>
              </w:rPr>
              <w:t>2</w:t>
            </w:r>
          </w:p>
        </w:tc>
        <w:tc>
          <w:tcPr>
            <w:tcW w:w="1725" w:type="dxa"/>
            <w:tcBorders>
              <w:top w:val="single" w:color="auto" w:sz="4" w:space="0"/>
              <w:left w:val="single" w:color="auto" w:sz="4" w:space="0"/>
              <w:bottom w:val="single" w:color="auto" w:sz="4" w:space="0"/>
              <w:right w:val="single" w:color="auto" w:sz="4" w:space="0"/>
            </w:tcBorders>
            <w:vAlign w:val="center"/>
          </w:tcPr>
          <w:p w14:paraId="24C0BFAA">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术语</w:t>
            </w:r>
          </w:p>
        </w:tc>
        <w:tc>
          <w:tcPr>
            <w:tcW w:w="6856" w:type="dxa"/>
            <w:tcBorders>
              <w:top w:val="single" w:color="auto" w:sz="4" w:space="0"/>
              <w:left w:val="single" w:color="auto" w:sz="4" w:space="0"/>
              <w:bottom w:val="single" w:color="auto" w:sz="4" w:space="0"/>
              <w:right w:val="single" w:color="auto" w:sz="4" w:space="0"/>
            </w:tcBorders>
            <w:vAlign w:val="center"/>
          </w:tcPr>
          <w:p w14:paraId="1A8F6FF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1．“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AD3FB5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kern w:val="0"/>
                <w:szCs w:val="24"/>
                <w:highlight w:val="none"/>
              </w:rPr>
            </w:pPr>
            <w:r>
              <w:rPr>
                <w:rFonts w:hint="eastAsia" w:hAnsi="宋体" w:cs="宋体"/>
                <w:snapToGrid w:val="0"/>
                <w:color w:val="auto"/>
                <w:kern w:val="0"/>
                <w:szCs w:val="24"/>
                <w:highlight w:val="none"/>
              </w:rPr>
              <w:t>2．“相关服务”是指监理人受委托人的委托，按照合同约定，在勘察、设计、保修等阶段提供的服务活动。</w:t>
            </w:r>
          </w:p>
        </w:tc>
      </w:tr>
      <w:bookmarkEnd w:id="5"/>
      <w:bookmarkEnd w:id="6"/>
      <w:bookmarkEnd w:id="7"/>
      <w:tr w14:paraId="40921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trPr>
        <w:tc>
          <w:tcPr>
            <w:tcW w:w="721" w:type="dxa"/>
            <w:tcBorders>
              <w:top w:val="single" w:color="auto" w:sz="4" w:space="0"/>
              <w:left w:val="single" w:color="auto" w:sz="4" w:space="0"/>
              <w:bottom w:val="single" w:color="auto" w:sz="4" w:space="0"/>
              <w:right w:val="single" w:color="auto" w:sz="4" w:space="0"/>
            </w:tcBorders>
            <w:vAlign w:val="center"/>
          </w:tcPr>
          <w:p w14:paraId="57613CC9">
            <w:pPr>
              <w:keepNext w:val="0"/>
              <w:keepLines w:val="0"/>
              <w:pageBreakBefore w:val="0"/>
              <w:widowControl w:val="0"/>
              <w:kinsoku/>
              <w:wordWrap w:val="0"/>
              <w:overflowPunct/>
              <w:topLinePunct w:val="0"/>
              <w:autoSpaceDE/>
              <w:autoSpaceDN/>
              <w:bidi w:val="0"/>
              <w:adjustRightInd w:val="0"/>
              <w:snapToGrid w:val="0"/>
              <w:spacing w:line="500" w:lineRule="exact"/>
              <w:jc w:val="center"/>
              <w:rPr>
                <w:rFonts w:hint="default" w:hAnsi="宋体" w:eastAsia="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33</w:t>
            </w:r>
          </w:p>
        </w:tc>
        <w:tc>
          <w:tcPr>
            <w:tcW w:w="1725" w:type="dxa"/>
            <w:tcBorders>
              <w:top w:val="single" w:color="auto" w:sz="4" w:space="0"/>
              <w:left w:val="single" w:color="auto" w:sz="4" w:space="0"/>
              <w:bottom w:val="single" w:color="auto" w:sz="4" w:space="0"/>
              <w:right w:val="single" w:color="auto" w:sz="4" w:space="0"/>
            </w:tcBorders>
            <w:vAlign w:val="center"/>
          </w:tcPr>
          <w:p w14:paraId="5B5FCE42">
            <w:pPr>
              <w:wordWrap w:val="0"/>
              <w:adjustRightInd w:val="0"/>
              <w:snapToGrid w:val="0"/>
              <w:spacing w:line="240" w:lineRule="auto"/>
              <w:rPr>
                <w:rFonts w:hAnsi="宋体" w:cs="宋体"/>
                <w:snapToGrid w:val="0"/>
                <w:color w:val="auto"/>
                <w:kern w:val="0"/>
                <w:szCs w:val="24"/>
                <w:highlight w:val="none"/>
              </w:rPr>
            </w:pPr>
            <w:r>
              <w:rPr>
                <w:rFonts w:hint="eastAsia" w:ascii="宋体" w:hAnsi="宋体" w:eastAsia="宋体" w:cs="宋体"/>
                <w:snapToGrid w:val="0"/>
                <w:color w:val="auto"/>
                <w:kern w:val="0"/>
                <w:sz w:val="24"/>
                <w:szCs w:val="24"/>
                <w:highlight w:val="none"/>
              </w:rPr>
              <w:t>招标代理服务费</w:t>
            </w:r>
          </w:p>
        </w:tc>
        <w:tc>
          <w:tcPr>
            <w:tcW w:w="6856" w:type="dxa"/>
            <w:tcBorders>
              <w:top w:val="single" w:color="auto" w:sz="4" w:space="0"/>
              <w:left w:val="single" w:color="auto" w:sz="4" w:space="0"/>
              <w:bottom w:val="single" w:color="auto" w:sz="4" w:space="0"/>
              <w:right w:val="single" w:color="auto" w:sz="4" w:space="0"/>
            </w:tcBorders>
            <w:vAlign w:val="center"/>
          </w:tcPr>
          <w:p w14:paraId="7DC1CEF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jc w:val="left"/>
              <w:rPr>
                <w:rFonts w:hAnsi="宋体" w:cs="宋体"/>
                <w:snapToGrid w:val="0"/>
                <w:color w:val="auto"/>
                <w:szCs w:val="24"/>
                <w:highlight w:val="none"/>
              </w:rPr>
            </w:pPr>
            <w:r>
              <w:rPr>
                <w:rFonts w:hint="eastAsia" w:hAnsi="宋体" w:cs="宋体"/>
                <w:snapToGrid w:val="0"/>
                <w:color w:val="auto"/>
                <w:kern w:val="0"/>
                <w:szCs w:val="24"/>
                <w:highlight w:val="none"/>
              </w:rPr>
              <w:t>本项目的招标代理服务费和评标专家酬劳由中标人支付，该费用不再另行报价，由投标人在投标报价时综合考虑在内。招标代理服务费依据国家计委计价格〔2002〕1980号文件计算服务费用金额收取</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rPr>
              <w:t>不足5000元的按5000元收取</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rPr>
              <w:t>评标专家酬劳（包括食宿费用、交通费、专家评审劳务费等）由招标代理机构先垫付</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rPr>
              <w:t>中标人须在领取中标通知书前向招标代理机构一次性付清</w:t>
            </w:r>
            <w:r>
              <w:rPr>
                <w:rFonts w:hint="eastAsia" w:hAnsi="宋体" w:cs="宋体"/>
                <w:snapToGrid w:val="0"/>
                <w:color w:val="auto"/>
                <w:kern w:val="0"/>
                <w:szCs w:val="24"/>
                <w:highlight w:val="none"/>
                <w:lang w:val="en-US" w:eastAsia="zh-CN"/>
              </w:rPr>
              <w:t>上述费用</w:t>
            </w:r>
            <w:r>
              <w:rPr>
                <w:rFonts w:hint="eastAsia" w:hAnsi="宋体" w:cs="宋体"/>
                <w:snapToGrid w:val="0"/>
                <w:color w:val="auto"/>
                <w:kern w:val="0"/>
                <w:szCs w:val="24"/>
                <w:highlight w:val="none"/>
              </w:rPr>
              <w:t>。</w:t>
            </w:r>
          </w:p>
        </w:tc>
      </w:tr>
    </w:tbl>
    <w:p w14:paraId="484FE4CC">
      <w:pPr>
        <w:pStyle w:val="5"/>
        <w:wordWrap w:val="0"/>
        <w:autoSpaceDE/>
        <w:autoSpaceDN/>
        <w:snapToGrid w:val="0"/>
        <w:spacing w:before="260" w:after="260" w:line="440" w:lineRule="exact"/>
        <w:jc w:val="both"/>
        <w:rPr>
          <w:rFonts w:ascii="Times New Roman"/>
          <w:b/>
          <w:snapToGrid w:val="0"/>
          <w:color w:val="auto"/>
          <w:highlight w:val="none"/>
        </w:rPr>
        <w:sectPr>
          <w:footerReference r:id="rId6" w:type="default"/>
          <w:endnotePr>
            <w:numFmt w:val="decimal"/>
          </w:endnotePr>
          <w:pgSz w:w="11906" w:h="16838"/>
          <w:pgMar w:top="1417" w:right="1417" w:bottom="1417" w:left="1417" w:header="850" w:footer="992" w:gutter="0"/>
          <w:pgNumType w:start="1"/>
          <w:cols w:space="0" w:num="1"/>
          <w:docGrid w:linePitch="327" w:charSpace="0"/>
        </w:sectPr>
      </w:pPr>
    </w:p>
    <w:p w14:paraId="21CE9C32">
      <w:pPr>
        <w:pStyle w:val="5"/>
        <w:wordWrap w:val="0"/>
        <w:autoSpaceDE/>
        <w:autoSpaceDN/>
        <w:snapToGrid w:val="0"/>
        <w:spacing w:after="120" w:afterLines="50" w:line="440" w:lineRule="exact"/>
        <w:jc w:val="both"/>
        <w:rPr>
          <w:rFonts w:ascii="Times New Roman"/>
          <w:snapToGrid w:val="0"/>
          <w:color w:val="auto"/>
          <w:highlight w:val="none"/>
        </w:rPr>
      </w:pPr>
      <w:bookmarkStart w:id="8" w:name="_Toc32223"/>
      <w:bookmarkStart w:id="9" w:name="_Toc714"/>
      <w:r>
        <w:rPr>
          <w:rFonts w:hint="eastAsia" w:ascii="Times New Roman"/>
          <w:b/>
          <w:snapToGrid w:val="0"/>
          <w:color w:val="auto"/>
          <w:highlight w:val="none"/>
        </w:rPr>
        <w:t>第二节 重要事项时间地点一览表</w:t>
      </w:r>
      <w:bookmarkEnd w:id="8"/>
      <w:bookmarkEnd w:id="9"/>
    </w:p>
    <w:tbl>
      <w:tblPr>
        <w:tblStyle w:val="32"/>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1455"/>
        <w:gridCol w:w="7124"/>
      </w:tblGrid>
      <w:tr w14:paraId="4DA2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1B37F3D1">
            <w:pPr>
              <w:pStyle w:val="89"/>
              <w:keepNext w:val="0"/>
              <w:keepLines w:val="0"/>
              <w:widowControl w:val="0"/>
              <w:suppressLineNumbers w:val="0"/>
              <w:pBdr>
                <w:top w:val="none" w:color="auto" w:sz="0" w:space="0"/>
                <w:left w:val="none" w:color="auto" w:sz="0" w:space="0"/>
                <w:bottom w:val="none" w:color="auto" w:sz="0" w:space="0"/>
                <w:right w:val="none" w:color="auto" w:sz="0" w:space="0"/>
              </w:pBdr>
              <w:tabs>
                <w:tab w:val="left" w:pos="1890"/>
              </w:tabs>
              <w:wordWrap w:val="0"/>
              <w:adjustRightInd w:val="0"/>
              <w:snapToGrid w:val="0"/>
              <w:spacing w:before="0" w:beforeLines="0" w:beforeAutospacing="0" w:after="260" w:afterLines="0" w:afterAutospacing="0" w:line="440" w:lineRule="exac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1</w:t>
            </w:r>
          </w:p>
        </w:tc>
        <w:tc>
          <w:tcPr>
            <w:tcW w:w="1455" w:type="dxa"/>
            <w:noWrap w:val="0"/>
            <w:vAlign w:val="center"/>
          </w:tcPr>
          <w:p w14:paraId="02420B1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招标公告</w:t>
            </w:r>
          </w:p>
          <w:p w14:paraId="06B0FAE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发布时间</w:t>
            </w:r>
          </w:p>
        </w:tc>
        <w:tc>
          <w:tcPr>
            <w:tcW w:w="7124" w:type="dxa"/>
            <w:noWrap w:val="0"/>
            <w:vAlign w:val="center"/>
          </w:tcPr>
          <w:p w14:paraId="77DA56ED">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9</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16</w:t>
            </w:r>
            <w:bookmarkStart w:id="350" w:name="_GoBack"/>
            <w:bookmarkEnd w:id="350"/>
            <w:r>
              <w:rPr>
                <w:rFonts w:hint="eastAsia"/>
                <w:color w:val="auto"/>
                <w:sz w:val="24"/>
                <w:szCs w:val="20"/>
                <w:highlight w:val="none"/>
                <w:u w:val="single"/>
                <w:lang w:val="en-US" w:eastAsia="zh-CN"/>
              </w:rPr>
              <w:t xml:space="preserve"> </w:t>
            </w:r>
            <w:r>
              <w:rPr>
                <w:rFonts w:hint="eastAsia" w:ascii="宋体" w:hAnsi="宋体"/>
                <w:color w:val="auto"/>
                <w:sz w:val="24"/>
                <w:szCs w:val="20"/>
                <w:highlight w:val="none"/>
              </w:rPr>
              <w:t>日</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18</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时</w:t>
            </w:r>
            <w:r>
              <w:rPr>
                <w:rFonts w:hint="eastAsia" w:cs="宋体"/>
                <w:color w:val="auto"/>
                <w:kern w:val="2"/>
                <w:sz w:val="24"/>
                <w:szCs w:val="24"/>
                <w:highlight w:val="none"/>
                <w:u w:val="single"/>
                <w:lang w:val="en-US" w:eastAsia="zh-CN" w:bidi="ar-SA"/>
              </w:rPr>
              <w:t xml:space="preserve"> 00 </w:t>
            </w:r>
            <w:r>
              <w:rPr>
                <w:rFonts w:hint="eastAsia" w:ascii="宋体" w:hAnsi="宋体"/>
                <w:color w:val="auto"/>
                <w:sz w:val="24"/>
                <w:szCs w:val="20"/>
                <w:highlight w:val="none"/>
              </w:rPr>
              <w:t>分</w:t>
            </w:r>
          </w:p>
        </w:tc>
      </w:tr>
      <w:tr w14:paraId="7944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787CE7C4">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2</w:t>
            </w:r>
          </w:p>
        </w:tc>
        <w:tc>
          <w:tcPr>
            <w:tcW w:w="1455" w:type="dxa"/>
            <w:noWrap w:val="0"/>
            <w:vAlign w:val="center"/>
          </w:tcPr>
          <w:p w14:paraId="183E06F5">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lang w:val="en-US" w:eastAsia="zh-CN"/>
              </w:rPr>
              <w:t>获取招标文件截止时</w:t>
            </w:r>
            <w:r>
              <w:rPr>
                <w:rFonts w:hint="eastAsia" w:ascii="宋体" w:hAnsi="宋体" w:eastAsia="宋体" w:cs="宋体"/>
                <w:i w:val="0"/>
                <w:caps w:val="0"/>
                <w:color w:val="auto"/>
                <w:spacing w:val="0"/>
                <w:sz w:val="24"/>
                <w:szCs w:val="24"/>
                <w:highlight w:val="none"/>
              </w:rPr>
              <w:t>间</w:t>
            </w:r>
          </w:p>
        </w:tc>
        <w:tc>
          <w:tcPr>
            <w:tcW w:w="7124" w:type="dxa"/>
            <w:noWrap w:val="0"/>
            <w:vAlign w:val="center"/>
          </w:tcPr>
          <w:p w14:paraId="04BA47C4">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9 </w:t>
            </w:r>
            <w:r>
              <w:rPr>
                <w:rFonts w:hint="eastAsia" w:ascii="宋体" w:hAnsi="宋体"/>
                <w:color w:val="auto"/>
                <w:sz w:val="24"/>
                <w:szCs w:val="20"/>
                <w:highlight w:val="none"/>
              </w:rPr>
              <w:t>日</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时</w:t>
            </w:r>
            <w:r>
              <w:rPr>
                <w:rFonts w:hint="eastAsia" w:cs="宋体"/>
                <w:color w:val="auto"/>
                <w:kern w:val="2"/>
                <w:sz w:val="24"/>
                <w:szCs w:val="24"/>
                <w:highlight w:val="none"/>
                <w:u w:val="single"/>
                <w:lang w:val="en-US" w:eastAsia="zh-CN" w:bidi="ar-SA"/>
              </w:rPr>
              <w:t xml:space="preserve"> 30 </w:t>
            </w:r>
            <w:r>
              <w:rPr>
                <w:rFonts w:hint="eastAsia" w:ascii="宋体" w:hAnsi="宋体"/>
                <w:color w:val="auto"/>
                <w:sz w:val="24"/>
                <w:szCs w:val="20"/>
                <w:highlight w:val="none"/>
              </w:rPr>
              <w:t>分</w:t>
            </w:r>
          </w:p>
        </w:tc>
      </w:tr>
      <w:tr w14:paraId="5D35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0B463BA3">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3</w:t>
            </w:r>
          </w:p>
        </w:tc>
        <w:tc>
          <w:tcPr>
            <w:tcW w:w="1455" w:type="dxa"/>
            <w:noWrap w:val="0"/>
            <w:vAlign w:val="center"/>
          </w:tcPr>
          <w:p w14:paraId="1E3855D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网上提问</w:t>
            </w:r>
          </w:p>
          <w:p w14:paraId="01E2C1F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截止时间</w:t>
            </w:r>
          </w:p>
        </w:tc>
        <w:tc>
          <w:tcPr>
            <w:tcW w:w="7124" w:type="dxa"/>
            <w:noWrap w:val="0"/>
            <w:vAlign w:val="center"/>
          </w:tcPr>
          <w:p w14:paraId="70B18913">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9</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29 </w:t>
            </w:r>
            <w:r>
              <w:rPr>
                <w:rFonts w:hint="eastAsia" w:ascii="宋体" w:hAnsi="宋体"/>
                <w:color w:val="auto"/>
                <w:sz w:val="24"/>
                <w:szCs w:val="20"/>
                <w:highlight w:val="none"/>
              </w:rPr>
              <w:t>日</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16</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时</w:t>
            </w:r>
            <w:r>
              <w:rPr>
                <w:rFonts w:hint="eastAsia" w:cs="宋体"/>
                <w:color w:val="auto"/>
                <w:kern w:val="2"/>
                <w:sz w:val="24"/>
                <w:szCs w:val="24"/>
                <w:highlight w:val="none"/>
                <w:u w:val="single"/>
                <w:lang w:val="en-US" w:eastAsia="zh-CN" w:bidi="ar-SA"/>
              </w:rPr>
              <w:t xml:space="preserve"> 00 </w:t>
            </w:r>
            <w:r>
              <w:rPr>
                <w:rFonts w:hint="eastAsia" w:ascii="宋体" w:hAnsi="宋体"/>
                <w:color w:val="auto"/>
                <w:sz w:val="24"/>
                <w:szCs w:val="20"/>
                <w:highlight w:val="none"/>
              </w:rPr>
              <w:t>分</w:t>
            </w:r>
          </w:p>
        </w:tc>
      </w:tr>
      <w:tr w14:paraId="69B4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00" w:type="dxa"/>
            <w:noWrap w:val="0"/>
            <w:vAlign w:val="center"/>
          </w:tcPr>
          <w:p w14:paraId="5E189C42">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4</w:t>
            </w:r>
          </w:p>
        </w:tc>
        <w:tc>
          <w:tcPr>
            <w:tcW w:w="1455" w:type="dxa"/>
            <w:noWrap w:val="0"/>
            <w:vAlign w:val="center"/>
          </w:tcPr>
          <w:p w14:paraId="5328B2D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网上答疑</w:t>
            </w:r>
          </w:p>
          <w:p w14:paraId="2C204C8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时间</w:t>
            </w:r>
          </w:p>
        </w:tc>
        <w:tc>
          <w:tcPr>
            <w:tcW w:w="7124" w:type="dxa"/>
            <w:noWrap w:val="0"/>
            <w:vAlign w:val="center"/>
          </w:tcPr>
          <w:p w14:paraId="36BBF248">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240" w:leftChars="0" w:right="0" w:rightChars="0" w:hanging="240" w:hangingChars="10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9</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29 </w:t>
            </w:r>
            <w:r>
              <w:rPr>
                <w:rFonts w:hint="eastAsia" w:ascii="宋体" w:hAnsi="宋体"/>
                <w:color w:val="auto"/>
                <w:sz w:val="24"/>
                <w:szCs w:val="20"/>
                <w:highlight w:val="none"/>
              </w:rPr>
              <w:t>日</w:t>
            </w:r>
            <w:r>
              <w:rPr>
                <w:rFonts w:hint="eastAsia" w:ascii="宋体" w:hAnsi="宋体" w:eastAsia="宋体" w:cs="宋体"/>
                <w:color w:val="auto"/>
                <w:kern w:val="2"/>
                <w:sz w:val="24"/>
                <w:szCs w:val="24"/>
                <w:highlight w:val="none"/>
                <w:u w:val="single"/>
                <w:lang w:val="en-US" w:eastAsia="zh-CN" w:bidi="ar-SA"/>
              </w:rPr>
              <w:t xml:space="preserve">16 </w:t>
            </w:r>
            <w:r>
              <w:rPr>
                <w:rFonts w:hint="eastAsia" w:ascii="宋体" w:hAnsi="宋体" w:eastAsia="宋体" w:cs="宋体"/>
                <w:color w:val="auto"/>
                <w:kern w:val="2"/>
                <w:sz w:val="24"/>
                <w:szCs w:val="24"/>
                <w:highlight w:val="none"/>
                <w:lang w:val="en-US" w:eastAsia="zh-CN" w:bidi="ar-SA"/>
              </w:rPr>
              <w:t>时</w:t>
            </w:r>
            <w:r>
              <w:rPr>
                <w:rFonts w:hint="eastAsia" w:ascii="宋体" w:hAnsi="宋体" w:eastAsia="宋体" w:cs="宋体"/>
                <w:color w:val="auto"/>
                <w:kern w:val="2"/>
                <w:sz w:val="24"/>
                <w:szCs w:val="24"/>
                <w:highlight w:val="none"/>
                <w:u w:val="single"/>
                <w:lang w:val="en-US" w:eastAsia="zh-CN" w:bidi="ar-SA"/>
              </w:rPr>
              <w:t>30</w:t>
            </w:r>
            <w:r>
              <w:rPr>
                <w:rFonts w:hint="eastAsia" w:ascii="宋体" w:hAnsi="宋体" w:eastAsia="宋体" w:cs="宋体"/>
                <w:color w:val="auto"/>
                <w:kern w:val="2"/>
                <w:sz w:val="24"/>
                <w:szCs w:val="24"/>
                <w:highlight w:val="none"/>
                <w:lang w:val="en-US" w:eastAsia="zh-CN" w:bidi="ar-SA"/>
              </w:rPr>
              <w:t>分至</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2 </w:t>
            </w:r>
            <w:r>
              <w:rPr>
                <w:rFonts w:hint="eastAsia" w:ascii="宋体" w:hAnsi="宋体"/>
                <w:color w:val="auto"/>
                <w:sz w:val="24"/>
                <w:szCs w:val="20"/>
                <w:highlight w:val="none"/>
              </w:rPr>
              <w:t>日</w:t>
            </w:r>
            <w:r>
              <w:rPr>
                <w:rFonts w:hint="eastAsia" w:ascii="宋体" w:hAnsi="宋体" w:eastAsia="宋体" w:cs="宋体"/>
                <w:color w:val="auto"/>
                <w:kern w:val="2"/>
                <w:sz w:val="24"/>
                <w:szCs w:val="24"/>
                <w:highlight w:val="none"/>
                <w:u w:val="single"/>
                <w:lang w:val="en-US" w:eastAsia="zh-CN" w:bidi="ar-SA"/>
              </w:rPr>
              <w:t>16</w:t>
            </w:r>
            <w:r>
              <w:rPr>
                <w:rFonts w:hint="eastAsia" w:ascii="宋体" w:hAnsi="宋体" w:eastAsia="宋体" w:cs="宋体"/>
                <w:color w:val="auto"/>
                <w:kern w:val="2"/>
                <w:sz w:val="24"/>
                <w:szCs w:val="24"/>
                <w:highlight w:val="none"/>
                <w:lang w:val="en-US" w:eastAsia="zh-CN" w:bidi="ar-SA"/>
              </w:rPr>
              <w:t>时</w:t>
            </w:r>
            <w:r>
              <w:rPr>
                <w:rFonts w:hint="eastAsia" w:ascii="宋体" w:hAnsi="宋体" w:eastAsia="宋体" w:cs="宋体"/>
                <w:color w:val="auto"/>
                <w:kern w:val="2"/>
                <w:sz w:val="24"/>
                <w:szCs w:val="24"/>
                <w:highlight w:val="none"/>
                <w:u w:val="single"/>
                <w:lang w:val="en-US" w:eastAsia="zh-CN" w:bidi="ar-SA"/>
              </w:rPr>
              <w:t>00</w:t>
            </w:r>
            <w:r>
              <w:rPr>
                <w:rFonts w:hint="eastAsia" w:ascii="宋体" w:hAnsi="宋体" w:eastAsia="宋体" w:cs="宋体"/>
                <w:color w:val="auto"/>
                <w:kern w:val="2"/>
                <w:sz w:val="24"/>
                <w:szCs w:val="24"/>
                <w:highlight w:val="none"/>
                <w:lang w:val="en-US" w:eastAsia="zh-CN" w:bidi="ar-SA"/>
              </w:rPr>
              <w:t>分</w:t>
            </w:r>
          </w:p>
        </w:tc>
      </w:tr>
      <w:tr w14:paraId="7887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600" w:type="dxa"/>
            <w:noWrap w:val="0"/>
            <w:vAlign w:val="center"/>
          </w:tcPr>
          <w:p w14:paraId="3C724208">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5</w:t>
            </w:r>
          </w:p>
        </w:tc>
        <w:tc>
          <w:tcPr>
            <w:tcW w:w="1455" w:type="dxa"/>
            <w:noWrap w:val="0"/>
            <w:vAlign w:val="center"/>
          </w:tcPr>
          <w:p w14:paraId="3B324EF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投标保证缴</w:t>
            </w:r>
          </w:p>
          <w:p w14:paraId="04B7ADE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纳截止时间</w:t>
            </w:r>
          </w:p>
        </w:tc>
        <w:tc>
          <w:tcPr>
            <w:tcW w:w="7124" w:type="dxa"/>
            <w:noWrap w:val="0"/>
            <w:vAlign w:val="center"/>
          </w:tcPr>
          <w:p w14:paraId="268A259D">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投标保证金到账截止时间：</w:t>
            </w:r>
            <w:r>
              <w:rPr>
                <w:rFonts w:hint="eastAsia" w:ascii="宋体" w:hAnsi="宋体" w:eastAsia="宋体" w:cs="宋体"/>
                <w:i w:val="0"/>
                <w:caps w:val="0"/>
                <w:color w:val="auto"/>
                <w:spacing w:val="0"/>
                <w:sz w:val="24"/>
                <w:szCs w:val="24"/>
                <w:highlight w:val="none"/>
                <w:lang w:val="en-US" w:eastAsia="zh-CN"/>
              </w:rPr>
              <w:t xml:space="preserve">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8 </w:t>
            </w:r>
            <w:r>
              <w:rPr>
                <w:rFonts w:hint="eastAsia" w:ascii="宋体" w:hAnsi="宋体"/>
                <w:color w:val="auto"/>
                <w:sz w:val="24"/>
                <w:szCs w:val="20"/>
                <w:highlight w:val="none"/>
              </w:rPr>
              <w:t>日</w:t>
            </w:r>
            <w:r>
              <w:rPr>
                <w:rFonts w:hint="eastAsia"/>
                <w:color w:val="auto"/>
                <w:sz w:val="24"/>
                <w:szCs w:val="20"/>
                <w:highlight w:val="none"/>
                <w:u w:val="single"/>
                <w:lang w:val="en-US" w:eastAsia="zh-CN"/>
              </w:rPr>
              <w:t>10</w:t>
            </w:r>
            <w:r>
              <w:rPr>
                <w:rFonts w:hint="eastAsia" w:ascii="宋体" w:hAnsi="宋体"/>
                <w:color w:val="auto"/>
                <w:sz w:val="24"/>
                <w:szCs w:val="20"/>
                <w:highlight w:val="none"/>
              </w:rPr>
              <w:t>时</w:t>
            </w:r>
            <w:r>
              <w:rPr>
                <w:rFonts w:hint="eastAsia"/>
                <w:color w:val="auto"/>
                <w:sz w:val="24"/>
                <w:szCs w:val="20"/>
                <w:highlight w:val="none"/>
                <w:u w:val="single"/>
                <w:lang w:val="en-US" w:eastAsia="zh-CN"/>
              </w:rPr>
              <w:t>30</w:t>
            </w:r>
            <w:r>
              <w:rPr>
                <w:rFonts w:hint="eastAsia" w:ascii="宋体" w:hAnsi="宋体"/>
                <w:color w:val="auto"/>
                <w:sz w:val="24"/>
                <w:szCs w:val="20"/>
                <w:highlight w:val="none"/>
              </w:rPr>
              <w:t>分</w:t>
            </w:r>
            <w:r>
              <w:rPr>
                <w:rFonts w:hint="eastAsia" w:ascii="宋体" w:hAnsi="宋体" w:eastAsia="宋体" w:cs="宋体"/>
                <w:i w:val="0"/>
                <w:caps w:val="0"/>
                <w:color w:val="auto"/>
                <w:spacing w:val="0"/>
                <w:sz w:val="24"/>
                <w:szCs w:val="24"/>
                <w:highlight w:val="none"/>
              </w:rPr>
              <w:t>；</w:t>
            </w:r>
          </w:p>
          <w:p w14:paraId="3840CD88">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i w:val="0"/>
                <w:caps w:val="0"/>
                <w:color w:val="auto"/>
                <w:spacing w:val="0"/>
                <w:sz w:val="24"/>
                <w:szCs w:val="24"/>
                <w:highlight w:val="none"/>
                <w:lang w:val="en-US" w:eastAsia="zh-CN"/>
              </w:rPr>
            </w:pPr>
            <w:r>
              <w:rPr>
                <w:rFonts w:hint="eastAsia" w:ascii="宋体" w:hAnsi="宋体" w:eastAsia="宋体" w:cs="宋体"/>
                <w:i w:val="0"/>
                <w:caps w:val="0"/>
                <w:color w:val="auto"/>
                <w:spacing w:val="0"/>
                <w:sz w:val="24"/>
                <w:szCs w:val="24"/>
                <w:highlight w:val="none"/>
              </w:rPr>
              <w:t>投标保证担保</w:t>
            </w:r>
            <w:r>
              <w:rPr>
                <w:rFonts w:hint="eastAsia" w:ascii="宋体" w:hAnsi="宋体" w:eastAsia="宋体" w:cs="宋体"/>
                <w:i w:val="0"/>
                <w:caps w:val="0"/>
                <w:color w:val="auto"/>
                <w:spacing w:val="0"/>
                <w:sz w:val="24"/>
                <w:szCs w:val="24"/>
                <w:highlight w:val="none"/>
                <w:lang w:val="en-US" w:eastAsia="zh-CN"/>
              </w:rPr>
              <w:t>办理</w:t>
            </w:r>
            <w:r>
              <w:rPr>
                <w:rFonts w:hint="eastAsia" w:ascii="宋体" w:hAnsi="宋体" w:eastAsia="宋体" w:cs="宋体"/>
                <w:i w:val="0"/>
                <w:caps w:val="0"/>
                <w:color w:val="auto"/>
                <w:spacing w:val="0"/>
                <w:sz w:val="24"/>
                <w:szCs w:val="24"/>
                <w:highlight w:val="none"/>
              </w:rPr>
              <w:t>截止时间：</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8 </w:t>
            </w:r>
            <w:r>
              <w:rPr>
                <w:rFonts w:hint="eastAsia" w:ascii="宋体" w:hAnsi="宋体"/>
                <w:color w:val="auto"/>
                <w:sz w:val="24"/>
                <w:szCs w:val="20"/>
                <w:highlight w:val="none"/>
              </w:rPr>
              <w:t>日</w:t>
            </w:r>
            <w:r>
              <w:rPr>
                <w:rFonts w:hint="eastAsia"/>
                <w:color w:val="auto"/>
                <w:sz w:val="24"/>
                <w:szCs w:val="20"/>
                <w:highlight w:val="none"/>
                <w:u w:val="single"/>
                <w:lang w:val="en-US" w:eastAsia="zh-CN"/>
              </w:rPr>
              <w:t>10</w:t>
            </w:r>
            <w:r>
              <w:rPr>
                <w:rFonts w:hint="eastAsia" w:ascii="宋体" w:hAnsi="宋体"/>
                <w:color w:val="auto"/>
                <w:sz w:val="24"/>
                <w:szCs w:val="20"/>
                <w:highlight w:val="none"/>
              </w:rPr>
              <w:t>时</w:t>
            </w:r>
            <w:r>
              <w:rPr>
                <w:rFonts w:hint="eastAsia"/>
                <w:color w:val="auto"/>
                <w:sz w:val="24"/>
                <w:szCs w:val="20"/>
                <w:highlight w:val="none"/>
                <w:u w:val="single"/>
                <w:lang w:val="en-US" w:eastAsia="zh-CN"/>
              </w:rPr>
              <w:t>30</w:t>
            </w:r>
            <w:r>
              <w:rPr>
                <w:rFonts w:hint="eastAsia" w:ascii="宋体" w:hAnsi="宋体"/>
                <w:color w:val="auto"/>
                <w:sz w:val="24"/>
                <w:szCs w:val="20"/>
                <w:highlight w:val="none"/>
              </w:rPr>
              <w:t>分</w:t>
            </w:r>
            <w:r>
              <w:rPr>
                <w:rFonts w:hint="eastAsia" w:ascii="宋体" w:hAnsi="宋体" w:eastAsia="宋体" w:cs="宋体"/>
                <w:i w:val="0"/>
                <w:caps w:val="0"/>
                <w:color w:val="auto"/>
                <w:spacing w:val="0"/>
                <w:sz w:val="24"/>
                <w:szCs w:val="24"/>
                <w:highlight w:val="none"/>
                <w:lang w:val="en-US" w:eastAsia="zh-CN"/>
              </w:rPr>
              <w:t>；</w:t>
            </w:r>
          </w:p>
          <w:p w14:paraId="23332E6F">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right="0" w:firstLine="210"/>
              <w:jc w:val="left"/>
              <w:rPr>
                <w:rFonts w:hint="eastAsia" w:ascii="宋体" w:hAnsi="宋体" w:eastAsia="宋体" w:cs="宋体"/>
                <w:color w:val="auto"/>
                <w:sz w:val="24"/>
                <w:szCs w:val="24"/>
                <w:highlight w:val="none"/>
                <w:lang w:eastAsia="zh-CN"/>
              </w:rPr>
            </w:pPr>
            <w:r>
              <w:rPr>
                <w:rFonts w:hint="eastAsia" w:ascii="宋体" w:hAnsi="宋体" w:eastAsia="宋体" w:cs="宋体"/>
                <w:caps w:val="0"/>
                <w:smallCaps w:val="0"/>
                <w:snapToGrid w:val="0"/>
                <w:color w:val="auto"/>
                <w:spacing w:val="0"/>
                <w:kern w:val="0"/>
                <w:sz w:val="24"/>
                <w:szCs w:val="24"/>
                <w:highlight w:val="none"/>
                <w:lang w:eastAsia="zh-CN"/>
              </w:rPr>
              <w:t>投标保证保险投保截止时间：</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8 </w:t>
            </w:r>
            <w:r>
              <w:rPr>
                <w:rFonts w:hint="eastAsia" w:ascii="宋体" w:hAnsi="宋体"/>
                <w:color w:val="auto"/>
                <w:sz w:val="24"/>
                <w:szCs w:val="20"/>
                <w:highlight w:val="none"/>
              </w:rPr>
              <w:t>日</w:t>
            </w:r>
            <w:r>
              <w:rPr>
                <w:rFonts w:hint="eastAsia"/>
                <w:color w:val="auto"/>
                <w:sz w:val="24"/>
                <w:szCs w:val="20"/>
                <w:highlight w:val="none"/>
                <w:u w:val="single"/>
                <w:lang w:val="en-US" w:eastAsia="zh-CN"/>
              </w:rPr>
              <w:t>10</w:t>
            </w:r>
            <w:r>
              <w:rPr>
                <w:rFonts w:hint="eastAsia" w:ascii="宋体" w:hAnsi="宋体"/>
                <w:color w:val="auto"/>
                <w:sz w:val="24"/>
                <w:szCs w:val="20"/>
                <w:highlight w:val="none"/>
              </w:rPr>
              <w:t>时</w:t>
            </w:r>
            <w:r>
              <w:rPr>
                <w:rFonts w:hint="eastAsia"/>
                <w:color w:val="auto"/>
                <w:sz w:val="24"/>
                <w:szCs w:val="20"/>
                <w:highlight w:val="none"/>
                <w:u w:val="single"/>
                <w:lang w:val="en-US" w:eastAsia="zh-CN"/>
              </w:rPr>
              <w:t>30</w:t>
            </w:r>
            <w:r>
              <w:rPr>
                <w:rFonts w:hint="eastAsia" w:ascii="宋体" w:hAnsi="宋体"/>
                <w:color w:val="auto"/>
                <w:sz w:val="24"/>
                <w:szCs w:val="20"/>
                <w:highlight w:val="none"/>
              </w:rPr>
              <w:t>分</w:t>
            </w:r>
            <w:r>
              <w:rPr>
                <w:rFonts w:hint="eastAsia" w:ascii="宋体" w:hAnsi="宋体" w:eastAsia="宋体" w:cs="宋体"/>
                <w:caps w:val="0"/>
                <w:smallCaps w:val="0"/>
                <w:snapToGrid w:val="0"/>
                <w:color w:val="auto"/>
                <w:spacing w:val="0"/>
                <w:kern w:val="0"/>
                <w:sz w:val="24"/>
                <w:szCs w:val="24"/>
                <w:highlight w:val="none"/>
                <w:lang w:eastAsia="zh-CN"/>
              </w:rPr>
              <w:t>。</w:t>
            </w:r>
          </w:p>
        </w:tc>
      </w:tr>
      <w:tr w14:paraId="393A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600" w:type="dxa"/>
            <w:noWrap w:val="0"/>
            <w:vAlign w:val="center"/>
          </w:tcPr>
          <w:p w14:paraId="664C0EE9">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6</w:t>
            </w:r>
          </w:p>
        </w:tc>
        <w:tc>
          <w:tcPr>
            <w:tcW w:w="1455" w:type="dxa"/>
            <w:noWrap w:val="0"/>
            <w:vAlign w:val="center"/>
          </w:tcPr>
          <w:p w14:paraId="6EA4AD4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right="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电子投标</w:t>
            </w:r>
          </w:p>
          <w:p w14:paraId="4FFE2BB5">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截止时间</w:t>
            </w:r>
          </w:p>
        </w:tc>
        <w:tc>
          <w:tcPr>
            <w:tcW w:w="7124" w:type="dxa"/>
            <w:noWrap w:val="0"/>
            <w:vAlign w:val="center"/>
          </w:tcPr>
          <w:p w14:paraId="76C9B4D9">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9 </w:t>
            </w:r>
            <w:r>
              <w:rPr>
                <w:rFonts w:hint="eastAsia" w:ascii="宋体" w:hAnsi="宋体"/>
                <w:color w:val="auto"/>
                <w:sz w:val="24"/>
                <w:szCs w:val="20"/>
                <w:highlight w:val="none"/>
              </w:rPr>
              <w:t>日</w:t>
            </w:r>
            <w:r>
              <w:rPr>
                <w:rFonts w:hint="eastAsia"/>
                <w:color w:val="auto"/>
                <w:sz w:val="24"/>
                <w:szCs w:val="20"/>
                <w:highlight w:val="none"/>
                <w:u w:val="single"/>
                <w:lang w:val="en-US" w:eastAsia="zh-CN"/>
              </w:rPr>
              <w:t>10</w:t>
            </w:r>
            <w:r>
              <w:rPr>
                <w:rFonts w:hint="eastAsia" w:ascii="宋体" w:hAnsi="宋体"/>
                <w:color w:val="auto"/>
                <w:sz w:val="24"/>
                <w:szCs w:val="20"/>
                <w:highlight w:val="none"/>
              </w:rPr>
              <w:t>时</w:t>
            </w:r>
            <w:r>
              <w:rPr>
                <w:rFonts w:hint="eastAsia"/>
                <w:color w:val="auto"/>
                <w:sz w:val="24"/>
                <w:szCs w:val="20"/>
                <w:highlight w:val="none"/>
                <w:u w:val="single"/>
                <w:lang w:val="en-US" w:eastAsia="zh-CN"/>
              </w:rPr>
              <w:t>30</w:t>
            </w:r>
            <w:r>
              <w:rPr>
                <w:rFonts w:hint="eastAsia" w:ascii="宋体" w:hAnsi="宋体"/>
                <w:color w:val="auto"/>
                <w:sz w:val="24"/>
                <w:szCs w:val="20"/>
                <w:highlight w:val="none"/>
              </w:rPr>
              <w:t>分</w:t>
            </w:r>
          </w:p>
        </w:tc>
      </w:tr>
      <w:tr w14:paraId="2839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52BF59A7">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7</w:t>
            </w:r>
          </w:p>
        </w:tc>
        <w:tc>
          <w:tcPr>
            <w:tcW w:w="1455" w:type="dxa"/>
            <w:noWrap w:val="0"/>
            <w:vAlign w:val="center"/>
          </w:tcPr>
          <w:p w14:paraId="5FC8423D">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投标相关资料（如有）</w:t>
            </w:r>
          </w:p>
          <w:p w14:paraId="1C2803B0">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递交时间</w:t>
            </w:r>
          </w:p>
        </w:tc>
        <w:tc>
          <w:tcPr>
            <w:tcW w:w="7124" w:type="dxa"/>
            <w:noWrap w:val="0"/>
            <w:vAlign w:val="center"/>
          </w:tcPr>
          <w:p w14:paraId="4F677A70">
            <w:pPr>
              <w:pStyle w:val="89"/>
              <w:tabs>
                <w:tab w:val="left" w:pos="1890"/>
              </w:tabs>
              <w:wordWrap w:val="0"/>
              <w:adjustRightInd w:val="0"/>
              <w:snapToGrid w:val="0"/>
              <w:spacing w:line="400" w:lineRule="exact"/>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 xml:space="preserve">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ascii="宋体" w:hAnsi="宋体" w:eastAsia="宋体" w:cs="宋体"/>
                <w:color w:val="auto"/>
                <w:kern w:val="0"/>
                <w:sz w:val="24"/>
                <w:szCs w:val="20"/>
                <w:highlight w:val="none"/>
                <w:u w:val="single"/>
                <w:lang w:val="en-US" w:eastAsia="zh-CN" w:bidi="ar-SA"/>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w:t>
            </w:r>
            <w:r>
              <w:rPr>
                <w:rFonts w:hint="eastAsia" w:ascii="宋体" w:hAnsi="宋体" w:eastAsia="宋体" w:cs="宋体"/>
                <w:color w:val="auto"/>
                <w:kern w:val="0"/>
                <w:sz w:val="24"/>
                <w:szCs w:val="20"/>
                <w:highlight w:val="none"/>
                <w:u w:val="single"/>
                <w:lang w:val="en-US" w:eastAsia="zh-CN" w:bidi="ar-SA"/>
              </w:rPr>
              <w:t>9</w:t>
            </w:r>
            <w:r>
              <w:rPr>
                <w:rFonts w:hint="eastAsia"/>
                <w:color w:val="auto"/>
                <w:sz w:val="24"/>
                <w:szCs w:val="20"/>
                <w:highlight w:val="none"/>
                <w:u w:val="single"/>
                <w:lang w:val="en-US" w:eastAsia="zh-CN"/>
              </w:rPr>
              <w:t xml:space="preserve"> </w:t>
            </w:r>
            <w:r>
              <w:rPr>
                <w:rFonts w:hint="eastAsia" w:ascii="宋体" w:hAnsi="宋体"/>
                <w:color w:val="auto"/>
                <w:sz w:val="24"/>
                <w:szCs w:val="20"/>
                <w:highlight w:val="none"/>
              </w:rPr>
              <w:t>日</w:t>
            </w:r>
            <w:r>
              <w:rPr>
                <w:rFonts w:hint="eastAsia" w:ascii="宋体" w:hAnsi="宋体" w:eastAsia="宋体" w:cs="宋体"/>
                <w:color w:val="auto"/>
                <w:kern w:val="0"/>
                <w:sz w:val="24"/>
                <w:szCs w:val="20"/>
                <w:highlight w:val="none"/>
                <w:u w:val="single"/>
                <w:lang w:val="en-US" w:eastAsia="zh-CN" w:bidi="ar-SA"/>
              </w:rPr>
              <w:t>10</w:t>
            </w:r>
            <w:r>
              <w:rPr>
                <w:rFonts w:hint="eastAsia" w:ascii="宋体" w:hAnsi="宋体"/>
                <w:color w:val="auto"/>
                <w:sz w:val="24"/>
                <w:szCs w:val="20"/>
                <w:highlight w:val="none"/>
              </w:rPr>
              <w:t>时</w:t>
            </w:r>
            <w:r>
              <w:rPr>
                <w:rFonts w:hint="eastAsia" w:ascii="宋体" w:hAnsi="宋体" w:eastAsia="宋体" w:cs="宋体"/>
                <w:color w:val="auto"/>
                <w:kern w:val="0"/>
                <w:sz w:val="24"/>
                <w:szCs w:val="20"/>
                <w:highlight w:val="none"/>
                <w:u w:val="single"/>
                <w:lang w:val="en-US" w:eastAsia="zh-CN" w:bidi="ar-SA"/>
              </w:rPr>
              <w:t>00</w:t>
            </w:r>
            <w:r>
              <w:rPr>
                <w:rFonts w:hint="eastAsia" w:ascii="宋体" w:hAnsi="宋体"/>
                <w:color w:val="auto"/>
                <w:sz w:val="24"/>
                <w:szCs w:val="20"/>
                <w:highlight w:val="none"/>
              </w:rPr>
              <w:t>分</w:t>
            </w:r>
            <w:r>
              <w:rPr>
                <w:rFonts w:hint="eastAsia" w:ascii="宋体" w:hAnsi="宋体" w:eastAsia="宋体" w:cs="宋体"/>
                <w:color w:val="auto"/>
                <w:kern w:val="2"/>
                <w:sz w:val="24"/>
                <w:szCs w:val="24"/>
                <w:highlight w:val="none"/>
                <w:lang w:val="en-US" w:eastAsia="zh-CN" w:bidi="ar-SA"/>
              </w:rPr>
              <w:t>至</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ascii="宋体" w:hAnsi="宋体" w:eastAsia="宋体" w:cs="宋体"/>
                <w:color w:val="auto"/>
                <w:kern w:val="0"/>
                <w:sz w:val="24"/>
                <w:szCs w:val="20"/>
                <w:highlight w:val="none"/>
                <w:u w:val="single"/>
                <w:lang w:val="en-US" w:eastAsia="zh-CN" w:bidi="ar-SA"/>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w:t>
            </w:r>
            <w:r>
              <w:rPr>
                <w:rFonts w:hint="eastAsia" w:ascii="宋体" w:hAnsi="宋体" w:eastAsia="宋体" w:cs="宋体"/>
                <w:color w:val="auto"/>
                <w:kern w:val="0"/>
                <w:sz w:val="24"/>
                <w:szCs w:val="20"/>
                <w:highlight w:val="none"/>
                <w:u w:val="single"/>
                <w:lang w:val="en-US" w:eastAsia="zh-CN" w:bidi="ar-SA"/>
              </w:rPr>
              <w:t xml:space="preserve">9 </w:t>
            </w:r>
            <w:r>
              <w:rPr>
                <w:rFonts w:hint="eastAsia" w:ascii="宋体" w:hAnsi="宋体"/>
                <w:color w:val="auto"/>
                <w:sz w:val="24"/>
                <w:szCs w:val="20"/>
                <w:highlight w:val="none"/>
              </w:rPr>
              <w:t>日</w:t>
            </w:r>
            <w:r>
              <w:rPr>
                <w:rFonts w:hint="eastAsia" w:ascii="宋体" w:hAnsi="宋体" w:eastAsia="宋体" w:cs="宋体"/>
                <w:color w:val="auto"/>
                <w:kern w:val="0"/>
                <w:sz w:val="24"/>
                <w:szCs w:val="20"/>
                <w:highlight w:val="none"/>
                <w:u w:val="single"/>
                <w:lang w:val="en-US" w:eastAsia="zh-CN" w:bidi="ar-SA"/>
              </w:rPr>
              <w:t>10</w:t>
            </w:r>
            <w:r>
              <w:rPr>
                <w:rFonts w:hint="eastAsia" w:ascii="宋体" w:hAnsi="宋体"/>
                <w:color w:val="auto"/>
                <w:sz w:val="24"/>
                <w:szCs w:val="20"/>
                <w:highlight w:val="none"/>
              </w:rPr>
              <w:t>时</w:t>
            </w:r>
            <w:r>
              <w:rPr>
                <w:rFonts w:hint="eastAsia" w:ascii="宋体" w:hAnsi="宋体" w:eastAsia="宋体" w:cs="宋体"/>
                <w:color w:val="auto"/>
                <w:kern w:val="0"/>
                <w:sz w:val="24"/>
                <w:szCs w:val="20"/>
                <w:highlight w:val="none"/>
                <w:u w:val="single"/>
                <w:lang w:val="en-US" w:eastAsia="zh-CN" w:bidi="ar-SA"/>
              </w:rPr>
              <w:t>30</w:t>
            </w:r>
            <w:r>
              <w:rPr>
                <w:rFonts w:hint="eastAsia" w:ascii="宋体" w:hAnsi="宋体"/>
                <w:color w:val="auto"/>
                <w:sz w:val="24"/>
                <w:szCs w:val="20"/>
                <w:highlight w:val="none"/>
              </w:rPr>
              <w:t>分</w:t>
            </w:r>
          </w:p>
        </w:tc>
      </w:tr>
      <w:tr w14:paraId="61B2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00" w:type="dxa"/>
            <w:noWrap w:val="0"/>
            <w:vAlign w:val="center"/>
          </w:tcPr>
          <w:p w14:paraId="27752D4E">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8</w:t>
            </w:r>
          </w:p>
        </w:tc>
        <w:tc>
          <w:tcPr>
            <w:tcW w:w="1455" w:type="dxa"/>
            <w:noWrap w:val="0"/>
            <w:vAlign w:val="center"/>
          </w:tcPr>
          <w:p w14:paraId="04583A87">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投标相关资料（如有）</w:t>
            </w:r>
          </w:p>
          <w:p w14:paraId="5FED563E">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递交地点</w:t>
            </w:r>
          </w:p>
        </w:tc>
        <w:tc>
          <w:tcPr>
            <w:tcW w:w="7124" w:type="dxa"/>
            <w:noWrap w:val="0"/>
            <w:vAlign w:val="center"/>
          </w:tcPr>
          <w:p w14:paraId="4CB7EE78">
            <w:pPr>
              <w:pStyle w:val="89"/>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递交场所：</w:t>
            </w:r>
            <w:r>
              <w:rPr>
                <w:rFonts w:hint="eastAsia" w:ascii="宋体" w:hAnsi="宋体" w:eastAsia="宋体" w:cs="宋体"/>
                <w:color w:val="auto"/>
                <w:kern w:val="2"/>
                <w:sz w:val="24"/>
                <w:szCs w:val="24"/>
                <w:highlight w:val="none"/>
                <w:u w:val="single"/>
                <w:lang w:val="en-US" w:eastAsia="zh-CN" w:bidi="ar-SA"/>
              </w:rPr>
              <w:t>韶关市公共资源交易中心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31CB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600" w:type="dxa"/>
            <w:noWrap w:val="0"/>
            <w:vAlign w:val="center"/>
          </w:tcPr>
          <w:p w14:paraId="78F6BC76">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p>
        </w:tc>
        <w:tc>
          <w:tcPr>
            <w:tcW w:w="1455" w:type="dxa"/>
            <w:noWrap w:val="0"/>
            <w:vAlign w:val="center"/>
          </w:tcPr>
          <w:p w14:paraId="3D852BEC">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开标时间</w:t>
            </w:r>
          </w:p>
        </w:tc>
        <w:tc>
          <w:tcPr>
            <w:tcW w:w="7124" w:type="dxa"/>
            <w:noWrap w:val="0"/>
            <w:vAlign w:val="center"/>
          </w:tcPr>
          <w:p w14:paraId="4372E2AB">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left"/>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 </w:t>
            </w:r>
            <w:r>
              <w:rPr>
                <w:rFonts w:hint="eastAsia" w:ascii="宋体" w:hAnsi="宋体" w:eastAsia="宋体" w:cs="宋体"/>
                <w:i w:val="0"/>
                <w:caps w:val="0"/>
                <w:color w:val="auto"/>
                <w:spacing w:val="0"/>
                <w:kern w:val="0"/>
                <w:sz w:val="24"/>
                <w:szCs w:val="24"/>
                <w:highlight w:val="none"/>
                <w:lang w:val="en-US" w:eastAsia="zh-CN" w:bidi="ar-SA"/>
              </w:rPr>
              <w:t xml:space="preserve"> </w:t>
            </w:r>
            <w:r>
              <w:rPr>
                <w:rFonts w:hint="eastAsia" w:ascii="宋体" w:hAnsi="宋体"/>
                <w:color w:val="auto"/>
                <w:sz w:val="24"/>
                <w:szCs w:val="20"/>
                <w:highlight w:val="none"/>
                <w:u w:val="single"/>
                <w:lang w:val="en-US" w:eastAsia="zh-CN"/>
              </w:rPr>
              <w:t>2026</w:t>
            </w:r>
            <w:r>
              <w:rPr>
                <w:rFonts w:hint="eastAsia" w:ascii="宋体" w:hAnsi="宋体"/>
                <w:i w:val="0"/>
                <w:iCs w:val="0"/>
                <w:color w:val="auto"/>
                <w:sz w:val="24"/>
                <w:szCs w:val="20"/>
                <w:highlight w:val="none"/>
                <w:u w:val="none"/>
                <w:lang w:val="en-US" w:eastAsia="zh-CN"/>
              </w:rPr>
              <w:t>年</w:t>
            </w:r>
            <w:r>
              <w:rPr>
                <w:rFonts w:hint="eastAsia" w:ascii="宋体" w:hAnsi="宋体"/>
                <w:color w:val="auto"/>
                <w:sz w:val="24"/>
                <w:szCs w:val="20"/>
                <w:highlight w:val="none"/>
                <w:u w:val="single"/>
                <w:lang w:val="en-US" w:eastAsia="zh-CN"/>
              </w:rPr>
              <w:t xml:space="preserve"> </w:t>
            </w:r>
            <w:r>
              <w:rPr>
                <w:rFonts w:hint="eastAsia"/>
                <w:color w:val="auto"/>
                <w:sz w:val="24"/>
                <w:szCs w:val="20"/>
                <w:highlight w:val="none"/>
                <w:u w:val="single"/>
                <w:lang w:val="en-US" w:eastAsia="zh-CN"/>
              </w:rPr>
              <w:t>10</w:t>
            </w:r>
            <w:r>
              <w:rPr>
                <w:rFonts w:hint="eastAsia" w:ascii="宋体" w:hAnsi="宋体"/>
                <w:color w:val="auto"/>
                <w:sz w:val="24"/>
                <w:szCs w:val="20"/>
                <w:highlight w:val="none"/>
                <w:u w:val="single"/>
                <w:lang w:val="en-US" w:eastAsia="zh-CN"/>
              </w:rPr>
              <w:t xml:space="preserve"> </w:t>
            </w:r>
            <w:r>
              <w:rPr>
                <w:rFonts w:hint="eastAsia" w:ascii="宋体" w:hAnsi="宋体"/>
                <w:color w:val="auto"/>
                <w:sz w:val="24"/>
                <w:szCs w:val="20"/>
                <w:highlight w:val="none"/>
              </w:rPr>
              <w:t>月</w:t>
            </w:r>
            <w:r>
              <w:rPr>
                <w:rFonts w:hint="eastAsia"/>
                <w:color w:val="auto"/>
                <w:sz w:val="24"/>
                <w:szCs w:val="20"/>
                <w:highlight w:val="none"/>
                <w:u w:val="single"/>
                <w:lang w:val="en-US" w:eastAsia="zh-CN"/>
              </w:rPr>
              <w:t xml:space="preserve"> 9 </w:t>
            </w:r>
            <w:r>
              <w:rPr>
                <w:rFonts w:hint="eastAsia" w:ascii="宋体" w:hAnsi="宋体"/>
                <w:color w:val="auto"/>
                <w:sz w:val="24"/>
                <w:szCs w:val="20"/>
                <w:highlight w:val="none"/>
              </w:rPr>
              <w:t>日</w:t>
            </w:r>
            <w:r>
              <w:rPr>
                <w:rFonts w:hint="eastAsia"/>
                <w:color w:val="auto"/>
                <w:sz w:val="24"/>
                <w:szCs w:val="20"/>
                <w:highlight w:val="none"/>
                <w:u w:val="single"/>
                <w:lang w:val="en-US" w:eastAsia="zh-CN"/>
              </w:rPr>
              <w:t>10</w:t>
            </w:r>
            <w:r>
              <w:rPr>
                <w:rFonts w:hint="eastAsia" w:ascii="宋体" w:hAnsi="宋体"/>
                <w:color w:val="auto"/>
                <w:sz w:val="24"/>
                <w:szCs w:val="20"/>
                <w:highlight w:val="none"/>
              </w:rPr>
              <w:t>时</w:t>
            </w:r>
            <w:r>
              <w:rPr>
                <w:rFonts w:hint="eastAsia"/>
                <w:color w:val="auto"/>
                <w:sz w:val="24"/>
                <w:szCs w:val="20"/>
                <w:highlight w:val="none"/>
                <w:u w:val="single"/>
                <w:lang w:val="en-US" w:eastAsia="zh-CN"/>
              </w:rPr>
              <w:t>30</w:t>
            </w:r>
            <w:r>
              <w:rPr>
                <w:rFonts w:hint="eastAsia" w:ascii="宋体" w:hAnsi="宋体"/>
                <w:color w:val="auto"/>
                <w:sz w:val="24"/>
                <w:szCs w:val="20"/>
                <w:highlight w:val="none"/>
              </w:rPr>
              <w:t>分</w:t>
            </w:r>
          </w:p>
        </w:tc>
      </w:tr>
      <w:tr w14:paraId="320C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600" w:type="dxa"/>
            <w:noWrap w:val="0"/>
            <w:vAlign w:val="center"/>
          </w:tcPr>
          <w:p w14:paraId="0E63CB16">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p>
        </w:tc>
        <w:tc>
          <w:tcPr>
            <w:tcW w:w="1455" w:type="dxa"/>
            <w:noWrap w:val="0"/>
            <w:vAlign w:val="center"/>
          </w:tcPr>
          <w:p w14:paraId="4CBB942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i w:val="0"/>
                <w:caps w:val="0"/>
                <w:color w:val="auto"/>
                <w:spacing w:val="0"/>
                <w:sz w:val="24"/>
                <w:szCs w:val="24"/>
                <w:highlight w:val="none"/>
              </w:rPr>
              <w:t>开标地点</w:t>
            </w:r>
          </w:p>
        </w:tc>
        <w:tc>
          <w:tcPr>
            <w:tcW w:w="7124" w:type="dxa"/>
            <w:noWrap w:val="0"/>
            <w:vAlign w:val="center"/>
          </w:tcPr>
          <w:p w14:paraId="253348DF">
            <w:pPr>
              <w:pStyle w:val="28"/>
              <w:keepNext w:val="0"/>
              <w:keepLines w:val="0"/>
              <w:widowControl/>
              <w:suppressLineNumbers w:val="0"/>
              <w:pBdr>
                <w:top w:val="none" w:color="auto" w:sz="0" w:space="0"/>
                <w:left w:val="none" w:color="auto" w:sz="0" w:space="0"/>
                <w:bottom w:val="none" w:color="auto" w:sz="0" w:space="0"/>
                <w:right w:val="none" w:color="auto" w:sz="0" w:space="0"/>
              </w:pBdr>
              <w:tabs>
                <w:tab w:val="left" w:pos="1890"/>
              </w:tabs>
              <w:spacing w:before="0" w:beforeAutospacing="0" w:after="150" w:afterAutospacing="0" w:line="360" w:lineRule="atLeast"/>
              <w:ind w:left="0" w:leftChars="0" w:right="0" w:rightChars="0" w:firstLine="21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开标场所：</w:t>
            </w:r>
            <w:r>
              <w:rPr>
                <w:rFonts w:hint="eastAsia" w:ascii="宋体" w:hAnsi="宋体" w:eastAsia="宋体" w:cs="宋体"/>
                <w:color w:val="auto"/>
                <w:kern w:val="2"/>
                <w:sz w:val="24"/>
                <w:szCs w:val="24"/>
                <w:highlight w:val="none"/>
                <w:u w:val="single"/>
                <w:lang w:val="en-US" w:eastAsia="zh-CN" w:bidi="ar-SA"/>
              </w:rPr>
              <w:t>韶关市公共资源交易中心</w:t>
            </w:r>
            <w:r>
              <w:rPr>
                <w:rFonts w:hint="eastAsia" w:ascii="宋体" w:hAnsi="宋体" w:eastAsia="宋体" w:cs="宋体"/>
                <w:color w:val="auto"/>
                <w:kern w:val="2"/>
                <w:sz w:val="24"/>
                <w:szCs w:val="24"/>
                <w:highlight w:val="none"/>
                <w:lang w:val="en-US" w:eastAsia="zh-CN" w:bidi="ar-SA"/>
              </w:rPr>
              <w:t>，地址：</w:t>
            </w:r>
            <w:r>
              <w:rPr>
                <w:rFonts w:hint="eastAsia" w:ascii="宋体" w:hAnsi="宋体" w:eastAsia="宋体" w:cs="宋体"/>
                <w:color w:val="auto"/>
                <w:kern w:val="2"/>
                <w:sz w:val="24"/>
                <w:szCs w:val="24"/>
                <w:highlight w:val="none"/>
                <w:u w:val="single"/>
                <w:lang w:val="en-US" w:eastAsia="zh-CN" w:bidi="ar-SA"/>
              </w:rPr>
              <w:t>南雄市雄东路1号(大润发)四楼韶关市公共资源交易中心南雄分中心(南雄市公共服务中心内)</w:t>
            </w:r>
            <w:r>
              <w:rPr>
                <w:rFonts w:hint="eastAsia" w:ascii="宋体" w:hAnsi="宋体" w:eastAsia="宋体" w:cs="宋体"/>
                <w:color w:val="auto"/>
                <w:kern w:val="2"/>
                <w:sz w:val="24"/>
                <w:szCs w:val="24"/>
                <w:highlight w:val="none"/>
                <w:lang w:val="en-US" w:eastAsia="zh-CN" w:bidi="ar-SA"/>
              </w:rPr>
              <w:t>，具体房间号以当日现场通知为准。</w:t>
            </w:r>
          </w:p>
        </w:tc>
      </w:tr>
      <w:tr w14:paraId="13DB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0" w:hRule="atLeast"/>
          <w:jc w:val="center"/>
        </w:trPr>
        <w:tc>
          <w:tcPr>
            <w:tcW w:w="600" w:type="dxa"/>
            <w:noWrap w:val="0"/>
            <w:vAlign w:val="center"/>
          </w:tcPr>
          <w:p w14:paraId="1B469871">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1890"/>
              </w:tabs>
              <w:kinsoku/>
              <w:wordWrap/>
              <w:overflowPunct/>
              <w:topLinePunct w:val="0"/>
              <w:autoSpaceDE/>
              <w:autoSpaceDN/>
              <w:bidi w:val="0"/>
              <w:adjustRightInd/>
              <w:snapToGrid/>
              <w:spacing w:before="0" w:beforeAutospacing="0" w:after="0" w:afterAutospacing="0" w:line="360" w:lineRule="atLeast"/>
              <w:ind w:left="0" w:leftChars="0" w:right="0" w:rightChars="0"/>
              <w:jc w:val="center"/>
              <w:textAlignment w:val="auto"/>
              <w:rPr>
                <w:rFonts w:hint="eastAsia" w:ascii="宋体" w:hAnsi="宋体" w:eastAsia="宋体" w:cs="宋体"/>
                <w:i w:val="0"/>
                <w:caps w:val="0"/>
                <w:color w:val="auto"/>
                <w:spacing w:val="0"/>
                <w:sz w:val="24"/>
                <w:szCs w:val="24"/>
                <w:highlight w:val="none"/>
                <w:lang w:val="en-US"/>
              </w:rPr>
            </w:pPr>
            <w:r>
              <w:rPr>
                <w:rFonts w:hint="eastAsia" w:ascii="宋体" w:hAnsi="宋体" w:eastAsia="宋体" w:cs="宋体"/>
                <w:color w:val="auto"/>
                <w:kern w:val="2"/>
                <w:sz w:val="24"/>
                <w:szCs w:val="24"/>
                <w:highlight w:val="none"/>
                <w:lang w:val="en-US" w:eastAsia="zh-CN" w:bidi="ar-SA"/>
              </w:rPr>
              <w:t>11</w:t>
            </w:r>
          </w:p>
        </w:tc>
        <w:tc>
          <w:tcPr>
            <w:tcW w:w="1455" w:type="dxa"/>
            <w:noWrap w:val="0"/>
            <w:vAlign w:val="center"/>
          </w:tcPr>
          <w:p w14:paraId="2E05A177">
            <w:pPr>
              <w:pStyle w:val="89"/>
              <w:tabs>
                <w:tab w:val="left" w:pos="1890"/>
              </w:tabs>
              <w:wordWrap w:val="0"/>
              <w:adjustRightInd w:val="0"/>
              <w:snapToGrid w:val="0"/>
              <w:spacing w:line="360" w:lineRule="exact"/>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其他</w:t>
            </w:r>
          </w:p>
        </w:tc>
        <w:tc>
          <w:tcPr>
            <w:tcW w:w="7124" w:type="dxa"/>
            <w:noWrap w:val="0"/>
            <w:vAlign w:val="center"/>
          </w:tcPr>
          <w:p w14:paraId="423BA51D">
            <w:pPr>
              <w:pStyle w:val="89"/>
              <w:tabs>
                <w:tab w:val="left" w:pos="1890"/>
              </w:tabs>
              <w:wordWrap w:val="0"/>
              <w:adjustRightInd w:val="0"/>
              <w:snapToGrid w:val="0"/>
              <w:spacing w:line="400" w:lineRule="exact"/>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caps w:val="0"/>
                <w:color w:val="auto"/>
                <w:spacing w:val="0"/>
                <w:kern w:val="0"/>
                <w:sz w:val="24"/>
                <w:szCs w:val="24"/>
                <w:highlight w:val="none"/>
                <w:lang w:val="en-US" w:eastAsia="zh-CN" w:bidi="ar-SA"/>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201A1718">
      <w:pPr>
        <w:pStyle w:val="41"/>
        <w:rPr>
          <w:color w:val="auto"/>
          <w:highlight w:val="none"/>
        </w:rPr>
        <w:sectPr>
          <w:endnotePr>
            <w:numFmt w:val="decimal"/>
          </w:endnotePr>
          <w:pgSz w:w="11906" w:h="16838"/>
          <w:pgMar w:top="1417" w:right="1417" w:bottom="1417" w:left="1417" w:header="850" w:footer="992" w:gutter="0"/>
          <w:cols w:space="0" w:num="1"/>
          <w:docGrid w:linePitch="327" w:charSpace="0"/>
        </w:sectPr>
      </w:pPr>
    </w:p>
    <w:p w14:paraId="59BCED9A">
      <w:pPr>
        <w:pStyle w:val="5"/>
        <w:keepNext w:val="0"/>
        <w:keepLines w:val="0"/>
        <w:pageBreakBefore w:val="0"/>
        <w:topLinePunct w:val="0"/>
        <w:bidi w:val="0"/>
        <w:spacing w:line="500" w:lineRule="exact"/>
        <w:textAlignment w:val="auto"/>
        <w:rPr>
          <w:b/>
          <w:bCs/>
          <w:color w:val="auto"/>
          <w:highlight w:val="none"/>
        </w:rPr>
      </w:pPr>
      <w:bookmarkStart w:id="10" w:name="_Hlt87793819"/>
      <w:bookmarkEnd w:id="10"/>
      <w:bookmarkStart w:id="11" w:name="_Toc9819"/>
      <w:bookmarkStart w:id="12" w:name="_Toc29916"/>
      <w:bookmarkStart w:id="13" w:name="_Hlt69698754"/>
      <w:bookmarkStart w:id="14" w:name="_Hlt69698705"/>
      <w:r>
        <w:rPr>
          <w:rFonts w:hint="eastAsia"/>
          <w:b/>
          <w:bCs/>
          <w:color w:val="auto"/>
          <w:highlight w:val="none"/>
        </w:rPr>
        <w:t>第三节 投标人须知</w:t>
      </w:r>
      <w:bookmarkStart w:id="15" w:name="_Hlt69669159"/>
      <w:bookmarkEnd w:id="15"/>
      <w:r>
        <w:rPr>
          <w:rFonts w:hint="eastAsia"/>
          <w:b/>
          <w:bCs/>
          <w:color w:val="auto"/>
          <w:highlight w:val="none"/>
        </w:rPr>
        <w:t>正文</w:t>
      </w:r>
      <w:bookmarkEnd w:id="11"/>
      <w:bookmarkEnd w:id="12"/>
    </w:p>
    <w:bookmarkEnd w:id="13"/>
    <w:bookmarkEnd w:id="14"/>
    <w:p w14:paraId="1CAD0699">
      <w:pPr>
        <w:pStyle w:val="11"/>
        <w:keepNext w:val="0"/>
        <w:keepLines w:val="0"/>
        <w:pageBreakBefore w:val="0"/>
        <w:widowControl w:val="0"/>
        <w:tabs>
          <w:tab w:val="left" w:pos="1890"/>
        </w:tabs>
        <w:kinsoku w:val="0"/>
        <w:wordWrap w:val="0"/>
        <w:overflowPunct w:val="0"/>
        <w:topLinePunct w:val="0"/>
        <w:autoSpaceDE w:val="0"/>
        <w:autoSpaceDN w:val="0"/>
        <w:bidi w:val="0"/>
        <w:adjustRightInd/>
        <w:snapToGrid/>
        <w:spacing w:line="500" w:lineRule="exact"/>
        <w:ind w:firstLine="480" w:firstLineChars="200"/>
        <w:textAlignment w:val="auto"/>
        <w:rPr>
          <w:rFonts w:hint="eastAsia" w:ascii="宋体" w:hAnsi="宋体" w:eastAsia="宋体" w:cs="宋体"/>
          <w:color w:val="auto"/>
          <w:sz w:val="24"/>
          <w:highlight w:val="none"/>
        </w:rPr>
      </w:pPr>
      <w:r>
        <w:rPr>
          <w:rFonts w:hint="eastAsia" w:hAnsi="宋体" w:cs="宋体"/>
          <w:b w:val="0"/>
          <w:bCs w:val="0"/>
          <w:caps w:val="0"/>
          <w:smallCaps w:val="0"/>
          <w:snapToGrid w:val="0"/>
          <w:color w:val="auto"/>
          <w:spacing w:val="0"/>
          <w:kern w:val="0"/>
          <w:sz w:val="24"/>
          <w:szCs w:val="24"/>
          <w:highlight w:val="none"/>
          <w:u w:val="single"/>
          <w:lang w:val="en-US" w:eastAsia="zh-CN"/>
        </w:rPr>
        <w:t>南雄市“银杏染秋”乡村振兴示范带建设项目-南雄市全安镇典型村建设项目施工监理（第二次）</w:t>
      </w:r>
      <w:r>
        <w:rPr>
          <w:rFonts w:hint="eastAsia" w:ascii="宋体" w:hAnsi="宋体" w:eastAsia="宋体" w:cs="宋体"/>
          <w:b w:val="0"/>
          <w:bCs w:val="0"/>
          <w:caps w:val="0"/>
          <w:smallCaps w:val="0"/>
          <w:snapToGrid w:val="0"/>
          <w:color w:val="auto"/>
          <w:spacing w:val="0"/>
          <w:kern w:val="0"/>
          <w:sz w:val="24"/>
          <w:szCs w:val="24"/>
          <w:highlight w:val="none"/>
          <w:lang w:val="en-US" w:eastAsia="zh-CN"/>
        </w:rPr>
        <w:t>经</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南雄市发展和改革局</w:t>
      </w:r>
      <w:r>
        <w:rPr>
          <w:rFonts w:hint="eastAsia" w:ascii="宋体" w:hAnsi="宋体" w:eastAsia="宋体" w:cs="宋体"/>
          <w:b w:val="0"/>
          <w:bCs w:val="0"/>
          <w:caps w:val="0"/>
          <w:smallCaps w:val="0"/>
          <w:snapToGrid w:val="0"/>
          <w:color w:val="auto"/>
          <w:spacing w:val="0"/>
          <w:kern w:val="0"/>
          <w:sz w:val="24"/>
          <w:szCs w:val="24"/>
          <w:highlight w:val="none"/>
          <w:lang w:val="en-US" w:eastAsia="zh-CN"/>
        </w:rPr>
        <w:t>以</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《关于南雄市“银杏染秋”乡村振兴示范带建设项目可行性研究报告的批复》</w:t>
      </w:r>
      <w:r>
        <w:rPr>
          <w:rFonts w:hint="eastAsia" w:hAnsi="宋体" w:cs="宋体"/>
          <w:b w:val="0"/>
          <w:bCs w:val="0"/>
          <w:caps w:val="0"/>
          <w:smallCaps w:val="0"/>
          <w:snapToGrid w:val="0"/>
          <w:color w:val="auto"/>
          <w:spacing w:val="0"/>
          <w:kern w:val="0"/>
          <w:sz w:val="24"/>
          <w:szCs w:val="24"/>
          <w:highlight w:val="none"/>
          <w:u w:val="single"/>
          <w:lang w:val="en-US" w:eastAsia="zh-CN"/>
        </w:rPr>
        <w:t>、《关于同意调整南雄市“银杏染秋”乡村振兴示范带建设项目可行性研究报告的批复》</w:t>
      </w:r>
      <w:r>
        <w:rPr>
          <w:rFonts w:hint="eastAsia" w:ascii="宋体" w:hAnsi="宋体" w:eastAsia="宋体" w:cs="宋体"/>
          <w:b w:val="0"/>
          <w:bCs w:val="0"/>
          <w:caps w:val="0"/>
          <w:smallCaps w:val="0"/>
          <w:snapToGrid w:val="0"/>
          <w:color w:val="auto"/>
          <w:spacing w:val="0"/>
          <w:kern w:val="0"/>
          <w:sz w:val="24"/>
          <w:szCs w:val="24"/>
          <w:highlight w:val="none"/>
          <w:lang w:val="en-US" w:eastAsia="zh-CN"/>
        </w:rPr>
        <w:t>批准招标，项目批准文号为</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 xml:space="preserve"> 雄发改投审〔2024〕106号</w:t>
      </w:r>
      <w:r>
        <w:rPr>
          <w:rFonts w:hint="eastAsia" w:hAnsi="宋体" w:cs="宋体"/>
          <w:b w:val="0"/>
          <w:bCs w:val="0"/>
          <w:caps w:val="0"/>
          <w:smallCaps w:val="0"/>
          <w:snapToGrid w:val="0"/>
          <w:color w:val="auto"/>
          <w:spacing w:val="0"/>
          <w:kern w:val="0"/>
          <w:sz w:val="24"/>
          <w:szCs w:val="24"/>
          <w:highlight w:val="none"/>
          <w:u w:val="single"/>
          <w:lang w:val="en-US" w:eastAsia="zh-CN"/>
        </w:rPr>
        <w:t>、</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雄发改投审〔202</w:t>
      </w:r>
      <w:r>
        <w:rPr>
          <w:rFonts w:hint="eastAsia" w:hAnsi="宋体" w:cs="宋体"/>
          <w:b w:val="0"/>
          <w:bCs w:val="0"/>
          <w:caps w:val="0"/>
          <w:smallCaps w:val="0"/>
          <w:snapToGrid w:val="0"/>
          <w:color w:val="auto"/>
          <w:spacing w:val="0"/>
          <w:kern w:val="0"/>
          <w:sz w:val="24"/>
          <w:szCs w:val="24"/>
          <w:highlight w:val="none"/>
          <w:u w:val="single"/>
          <w:lang w:val="en-US" w:eastAsia="zh-CN"/>
        </w:rPr>
        <w:t>6</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w:t>
      </w:r>
      <w:r>
        <w:rPr>
          <w:rFonts w:hint="eastAsia" w:hAnsi="宋体" w:cs="宋体"/>
          <w:b w:val="0"/>
          <w:bCs w:val="0"/>
          <w:caps w:val="0"/>
          <w:smallCaps w:val="0"/>
          <w:snapToGrid w:val="0"/>
          <w:color w:val="auto"/>
          <w:spacing w:val="0"/>
          <w:kern w:val="0"/>
          <w:sz w:val="24"/>
          <w:szCs w:val="24"/>
          <w:highlight w:val="none"/>
          <w:u w:val="single"/>
          <w:lang w:val="en-US" w:eastAsia="zh-CN"/>
        </w:rPr>
        <w:t>95</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号，</w:t>
      </w:r>
      <w:r>
        <w:rPr>
          <w:rFonts w:hint="eastAsia" w:ascii="宋体" w:hAnsi="宋体" w:eastAsia="宋体" w:cs="宋体"/>
          <w:b w:val="0"/>
          <w:bCs w:val="0"/>
          <w:caps w:val="0"/>
          <w:smallCaps w:val="0"/>
          <w:snapToGrid w:val="0"/>
          <w:color w:val="auto"/>
          <w:spacing w:val="0"/>
          <w:kern w:val="0"/>
          <w:sz w:val="24"/>
          <w:szCs w:val="24"/>
          <w:highlight w:val="none"/>
          <w:lang w:val="en-US" w:eastAsia="zh-CN"/>
        </w:rPr>
        <w:t>项目代码为</w:t>
      </w:r>
      <w:r>
        <w:rPr>
          <w:rFonts w:hint="eastAsia" w:hAnsi="宋体" w:cs="宋体"/>
          <w:snapToGrid w:val="0"/>
          <w:color w:val="auto"/>
          <w:kern w:val="0"/>
          <w:sz w:val="24"/>
          <w:szCs w:val="24"/>
          <w:highlight w:val="none"/>
          <w:u w:val="single"/>
          <w:lang w:eastAsia="zh-CN"/>
        </w:rPr>
        <w:t>2407-440282-20-01-288869</w:t>
      </w:r>
      <w:r>
        <w:rPr>
          <w:rFonts w:hint="eastAsia" w:ascii="宋体" w:hAnsi="宋体" w:eastAsia="宋体" w:cs="宋体"/>
          <w:b w:val="0"/>
          <w:bCs w:val="0"/>
          <w:caps w:val="0"/>
          <w:smallCaps w:val="0"/>
          <w:snapToGrid w:val="0"/>
          <w:color w:val="auto"/>
          <w:spacing w:val="0"/>
          <w:kern w:val="0"/>
          <w:sz w:val="24"/>
          <w:szCs w:val="24"/>
          <w:highlight w:val="none"/>
          <w:lang w:val="en-US" w:eastAsia="zh-CN"/>
        </w:rPr>
        <w:t>，本工程项目业主为</w:t>
      </w:r>
      <w:r>
        <w:rPr>
          <w:rFonts w:hint="eastAsia"/>
          <w:snapToGrid w:val="0"/>
          <w:color w:val="auto"/>
          <w:kern w:val="0"/>
          <w:highlight w:val="none"/>
          <w:u w:val="single"/>
          <w:lang w:eastAsia="zh-CN"/>
        </w:rPr>
        <w:t>南雄市全安镇人民政府</w:t>
      </w:r>
      <w:r>
        <w:rPr>
          <w:rFonts w:hint="eastAsia" w:ascii="宋体" w:hAnsi="宋体" w:eastAsia="宋体" w:cs="宋体"/>
          <w:b w:val="0"/>
          <w:bCs w:val="0"/>
          <w:caps w:val="0"/>
          <w:smallCaps w:val="0"/>
          <w:snapToGrid w:val="0"/>
          <w:color w:val="auto"/>
          <w:spacing w:val="0"/>
          <w:kern w:val="0"/>
          <w:sz w:val="24"/>
          <w:szCs w:val="24"/>
          <w:highlight w:val="none"/>
          <w:lang w:val="en-US" w:eastAsia="zh-CN"/>
        </w:rPr>
        <w:t>，建设资金来自</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区财政统筹</w:t>
      </w:r>
      <w:r>
        <w:rPr>
          <w:rFonts w:hint="eastAsia" w:ascii="宋体" w:hAnsi="宋体" w:eastAsia="宋体" w:cs="宋体"/>
          <w:b w:val="0"/>
          <w:bCs w:val="0"/>
          <w:caps w:val="0"/>
          <w:smallCaps w:val="0"/>
          <w:snapToGrid w:val="0"/>
          <w:color w:val="auto"/>
          <w:spacing w:val="0"/>
          <w:kern w:val="0"/>
          <w:sz w:val="24"/>
          <w:szCs w:val="24"/>
          <w:highlight w:val="none"/>
          <w:lang w:val="en-US" w:eastAsia="zh-CN"/>
        </w:rPr>
        <w:t>，出资比例为</w:t>
      </w:r>
      <w:r>
        <w:rPr>
          <w:rFonts w:hint="eastAsia" w:ascii="宋体" w:hAnsi="宋体" w:eastAsia="宋体" w:cs="宋体"/>
          <w:b w:val="0"/>
          <w:bCs w:val="0"/>
          <w:caps w:val="0"/>
          <w:smallCaps w:val="0"/>
          <w:snapToGrid w:val="0"/>
          <w:color w:val="auto"/>
          <w:spacing w:val="0"/>
          <w:kern w:val="0"/>
          <w:sz w:val="24"/>
          <w:szCs w:val="24"/>
          <w:highlight w:val="none"/>
          <w:u w:val="single"/>
          <w:lang w:val="en-US" w:eastAsia="zh-CN"/>
        </w:rPr>
        <w:t>100%</w:t>
      </w:r>
      <w:r>
        <w:rPr>
          <w:rFonts w:hint="eastAsia" w:ascii="宋体" w:hAnsi="宋体" w:eastAsia="宋体" w:cs="宋体"/>
          <w:b w:val="0"/>
          <w:bCs w:val="0"/>
          <w:caps w:val="0"/>
          <w:smallCaps w:val="0"/>
          <w:snapToGrid w:val="0"/>
          <w:color w:val="auto"/>
          <w:spacing w:val="0"/>
          <w:kern w:val="0"/>
          <w:sz w:val="24"/>
          <w:szCs w:val="24"/>
          <w:highlight w:val="none"/>
          <w:lang w:val="en-US" w:eastAsia="zh-CN"/>
        </w:rPr>
        <w:t>，招标人为</w:t>
      </w:r>
      <w:r>
        <w:rPr>
          <w:rFonts w:hint="eastAsia"/>
          <w:snapToGrid w:val="0"/>
          <w:color w:val="auto"/>
          <w:kern w:val="0"/>
          <w:highlight w:val="none"/>
          <w:u w:val="single"/>
          <w:lang w:eastAsia="zh-CN"/>
        </w:rPr>
        <w:t>南雄市全安镇人民政府</w:t>
      </w:r>
      <w:r>
        <w:rPr>
          <w:rFonts w:hint="eastAsia" w:ascii="宋体" w:hAnsi="宋体" w:eastAsia="宋体" w:cs="宋体"/>
          <w:b w:val="0"/>
          <w:bCs w:val="0"/>
          <w:caps w:val="0"/>
          <w:smallCaps w:val="0"/>
          <w:snapToGrid w:val="0"/>
          <w:color w:val="auto"/>
          <w:spacing w:val="0"/>
          <w:kern w:val="0"/>
          <w:sz w:val="24"/>
          <w:szCs w:val="24"/>
          <w:highlight w:val="none"/>
          <w:lang w:val="en-US" w:eastAsia="zh-CN"/>
        </w:rPr>
        <w:t>，</w:t>
      </w:r>
      <w:r>
        <w:rPr>
          <w:rFonts w:hint="eastAsia" w:ascii="宋体" w:hAnsi="宋体" w:eastAsia="宋体" w:cs="宋体"/>
          <w:snapToGrid w:val="0"/>
          <w:color w:val="auto"/>
          <w:kern w:val="0"/>
          <w:szCs w:val="24"/>
          <w:highlight w:val="none"/>
        </w:rPr>
        <w:t>招标代理机构为</w:t>
      </w:r>
      <w:r>
        <w:rPr>
          <w:rFonts w:hint="eastAsia"/>
          <w:snapToGrid w:val="0"/>
          <w:color w:val="auto"/>
          <w:kern w:val="0"/>
          <w:highlight w:val="none"/>
          <w:u w:val="single"/>
          <w:lang w:eastAsia="zh-CN"/>
        </w:rPr>
        <w:t>韶关市汇富信息咨询有限公司</w:t>
      </w:r>
      <w:r>
        <w:rPr>
          <w:rFonts w:hint="eastAsia" w:ascii="宋体" w:hAnsi="宋体" w:eastAsia="宋体" w:cs="宋体"/>
          <w:snapToGrid w:val="0"/>
          <w:color w:val="auto"/>
          <w:kern w:val="0"/>
          <w:szCs w:val="24"/>
          <w:highlight w:val="none"/>
        </w:rPr>
        <w:t>。</w:t>
      </w:r>
      <w:r>
        <w:rPr>
          <w:rFonts w:hint="eastAsia" w:ascii="宋体" w:hAnsi="宋体" w:eastAsia="宋体" w:cs="宋体"/>
          <w:color w:val="auto"/>
          <w:kern w:val="0"/>
          <w:sz w:val="24"/>
          <w:szCs w:val="22"/>
          <w:highlight w:val="none"/>
        </w:rPr>
        <w:t>项目已具备招标条件，现对该项目</w:t>
      </w:r>
      <w:r>
        <w:rPr>
          <w:rFonts w:hint="eastAsia" w:ascii="宋体" w:hAnsi="宋体" w:eastAsia="宋体" w:cs="宋体"/>
          <w:color w:val="auto"/>
          <w:kern w:val="0"/>
          <w:sz w:val="24"/>
          <w:szCs w:val="22"/>
          <w:highlight w:val="none"/>
          <w:lang w:val="en-US" w:eastAsia="zh-CN"/>
        </w:rPr>
        <w:t>的</w:t>
      </w:r>
      <w:r>
        <w:rPr>
          <w:rFonts w:hint="eastAsia" w:hAnsi="宋体" w:cs="宋体"/>
          <w:color w:val="auto"/>
          <w:sz w:val="24"/>
          <w:szCs w:val="24"/>
          <w:highlight w:val="none"/>
          <w:u w:val="single"/>
          <w:lang w:val="en-US" w:eastAsia="zh-CN"/>
        </w:rPr>
        <w:t>监理</w:t>
      </w:r>
      <w:r>
        <w:rPr>
          <w:rFonts w:hint="eastAsia" w:ascii="宋体" w:hAnsi="宋体" w:eastAsia="宋体" w:cs="宋体"/>
          <w:color w:val="auto"/>
          <w:kern w:val="0"/>
          <w:sz w:val="24"/>
          <w:szCs w:val="22"/>
          <w:highlight w:val="none"/>
        </w:rPr>
        <w:t>进行公开招标。</w:t>
      </w:r>
    </w:p>
    <w:p w14:paraId="6E939B6A">
      <w:pPr>
        <w:pStyle w:val="89"/>
        <w:keepNext w:val="0"/>
        <w:keepLines w:val="0"/>
        <w:pageBreakBefore w:val="0"/>
        <w:wordWrap w:val="0"/>
        <w:topLinePunct w:val="0"/>
        <w:bidi w:val="0"/>
        <w:adjustRightInd w:val="0"/>
        <w:snapToGrid w:val="0"/>
        <w:spacing w:line="500" w:lineRule="exact"/>
        <w:ind w:firstLine="480"/>
        <w:jc w:val="left"/>
        <w:textAlignment w:val="auto"/>
        <w:outlineLvl w:val="2"/>
        <w:rPr>
          <w:b/>
          <w:bCs/>
          <w:snapToGrid w:val="0"/>
          <w:color w:val="auto"/>
          <w:kern w:val="0"/>
          <w:sz w:val="24"/>
          <w:highlight w:val="none"/>
        </w:rPr>
      </w:pPr>
      <w:bookmarkStart w:id="16" w:name="_Toc5851"/>
      <w:r>
        <w:rPr>
          <w:rFonts w:hint="eastAsia"/>
          <w:b/>
          <w:bCs/>
          <w:snapToGrid w:val="0"/>
          <w:color w:val="auto"/>
          <w:kern w:val="0"/>
          <w:sz w:val="24"/>
          <w:highlight w:val="none"/>
        </w:rPr>
        <w:t>1．项目概况、招标范围和标段划分、投标费用</w:t>
      </w:r>
      <w:bookmarkEnd w:id="16"/>
    </w:p>
    <w:p w14:paraId="5A9B532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w:t>
      </w:r>
      <w:r>
        <w:rPr>
          <w:rFonts w:hint="eastAsia" w:ascii="宋体" w:hAnsi="宋体" w:cs="宋体"/>
          <w:snapToGrid w:val="0"/>
          <w:color w:val="auto"/>
          <w:kern w:val="0"/>
          <w:sz w:val="24"/>
          <w:highlight w:val="none"/>
        </w:rPr>
        <w:t xml:space="preserve"> 项目概况</w:t>
      </w:r>
    </w:p>
    <w:p w14:paraId="457EF3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 xml:space="preserve"> 建设地点：</w:t>
      </w:r>
      <w:r>
        <w:rPr>
          <w:rFonts w:hint="eastAsia" w:ascii="宋体" w:hAnsi="宋体" w:cs="宋体"/>
          <w:snapToGrid w:val="0"/>
          <w:color w:val="auto"/>
          <w:kern w:val="0"/>
          <w:sz w:val="24"/>
          <w:highlight w:val="none"/>
          <w:u w:val="single"/>
          <w:lang w:val="en-US" w:eastAsia="zh-CN"/>
        </w:rPr>
        <w:t>南雄市全安</w:t>
      </w:r>
      <w:r>
        <w:rPr>
          <w:rFonts w:hint="eastAsia" w:ascii="宋体" w:hAnsi="宋体" w:cs="宋体"/>
          <w:snapToGrid w:val="0"/>
          <w:color w:val="auto"/>
          <w:kern w:val="0"/>
          <w:sz w:val="24"/>
          <w:highlight w:val="none"/>
          <w:u w:val="single"/>
          <w:lang w:eastAsia="zh-CN"/>
        </w:rPr>
        <w:t>镇。</w:t>
      </w:r>
    </w:p>
    <w:p w14:paraId="467BD3DE">
      <w:pPr>
        <w:pStyle w:val="89"/>
        <w:shd w:val="clear" w:color="auto" w:fill="auto"/>
        <w:wordWrap w:val="0"/>
        <w:adjustRightInd w:val="0"/>
        <w:snapToGrid w:val="0"/>
        <w:spacing w:line="440" w:lineRule="atLeast"/>
        <w:ind w:firstLine="480"/>
        <w:jc w:val="left"/>
        <w:rPr>
          <w:rFonts w:hint="eastAsia" w:ascii="宋体" w:hAnsi="宋体" w:cs="宋体"/>
          <w:snapToGrid w:val="0"/>
          <w:color w:val="auto"/>
          <w:kern w:val="0"/>
          <w:sz w:val="24"/>
          <w:highlight w:val="none"/>
          <w:u w:val="single"/>
        </w:rPr>
      </w:pPr>
      <w:r>
        <w:rPr>
          <w:rFonts w:hint="eastAsia" w:ascii="宋体" w:hAnsi="宋体" w:cs="宋体"/>
          <w:b/>
          <w:bCs/>
          <w:snapToGrid w:val="0"/>
          <w:color w:val="auto"/>
          <w:kern w:val="0"/>
          <w:sz w:val="24"/>
          <w:highlight w:val="none"/>
          <w:lang w:val="en-US" w:eastAsia="zh-CN"/>
        </w:rPr>
        <w:t xml:space="preserve">1.1.2 </w:t>
      </w:r>
      <w:r>
        <w:rPr>
          <w:rFonts w:hint="eastAsia" w:ascii="宋体" w:hAnsi="宋体" w:cs="宋体"/>
          <w:b w:val="0"/>
          <w:bCs w:val="0"/>
          <w:snapToGrid w:val="0"/>
          <w:color w:val="auto"/>
          <w:kern w:val="0"/>
          <w:sz w:val="24"/>
          <w:highlight w:val="none"/>
          <w:lang w:val="en-US" w:eastAsia="zh-CN"/>
        </w:rPr>
        <w:t>建设内容：</w:t>
      </w:r>
      <w:r>
        <w:rPr>
          <w:rFonts w:hint="eastAsia"/>
          <w:snapToGrid w:val="0"/>
          <w:color w:val="auto"/>
          <w:kern w:val="0"/>
          <w:sz w:val="24"/>
          <w:highlight w:val="none"/>
          <w:u w:val="single"/>
          <w:lang w:eastAsia="zh-CN"/>
        </w:rPr>
        <w:t>1、对下村、中村、上村村内1km主干道及房前屋后的闲散空地约300平米进行整治提升，新建四小园5个，新建休闲广场1个，建设水沟及绿化、标识牌等；在西岸畲族村落新建设绿植、墙绘500平米，铺设水沟盖板300米，进行道路黑底化约400平方米，新增标识牌、公共座椅等基础设施，改造提升休闲广场1个，美化亮化村庄整体形象；开展村庄绿美小公园提升，完善畲族文化的导视系统、标识牌，打造游玩+文旅的新样式等。2、投资入股到南雄市全安镇非遗美食文化工坊建设项目中，该项目计划建设一个1700平方米的二层非遗美食文化工坊等。3、（</w:t>
      </w:r>
      <w:r>
        <w:rPr>
          <w:rFonts w:hint="eastAsia"/>
          <w:snapToGrid w:val="0"/>
          <w:color w:val="auto"/>
          <w:kern w:val="0"/>
          <w:sz w:val="24"/>
          <w:highlight w:val="none"/>
          <w:u w:val="single"/>
          <w:lang w:val="en-US" w:eastAsia="zh-CN"/>
        </w:rPr>
        <w:t>1</w:t>
      </w:r>
      <w:r>
        <w:rPr>
          <w:rFonts w:hint="eastAsia"/>
          <w:snapToGrid w:val="0"/>
          <w:color w:val="auto"/>
          <w:kern w:val="0"/>
          <w:sz w:val="24"/>
          <w:highlight w:val="none"/>
          <w:u w:val="single"/>
          <w:lang w:eastAsia="zh-CN"/>
        </w:rPr>
        <w:t>）依托全安新村周边现有空地，统筹盘活低效空间资源，新建生态步道800m、四小园20个、道路黑底化1000平米、停车场3个、文化宣传标识，对破损的道路、护栏等基础设施进行修复，对篮球场等文化娱乐场所进行改造提升，补充文娱设施，统一庭院设计，补充绿植，新增墙绘，优化提升农房风貌，新建共富果园2个，新增“百千万工程”元素，全面改善村庄人居环境；（</w:t>
      </w:r>
      <w:r>
        <w:rPr>
          <w:rFonts w:hint="eastAsia"/>
          <w:snapToGrid w:val="0"/>
          <w:color w:val="auto"/>
          <w:kern w:val="0"/>
          <w:sz w:val="24"/>
          <w:highlight w:val="none"/>
          <w:u w:val="single"/>
          <w:lang w:val="en-US" w:eastAsia="zh-CN"/>
        </w:rPr>
        <w:t>2</w:t>
      </w:r>
      <w:r>
        <w:rPr>
          <w:rFonts w:hint="eastAsia"/>
          <w:snapToGrid w:val="0"/>
          <w:color w:val="auto"/>
          <w:kern w:val="0"/>
          <w:sz w:val="24"/>
          <w:highlight w:val="none"/>
          <w:u w:val="single"/>
          <w:lang w:eastAsia="zh-CN"/>
        </w:rPr>
        <w:t>）在340县道沿线房前屋后空地、重要路口和节点，新增四小园、水沟盖板700米、地坪硬化1000平方米、村牌等，提升村庄整体风貌等。</w:t>
      </w:r>
    </w:p>
    <w:p w14:paraId="7FDC4FD4">
      <w:pPr>
        <w:pStyle w:val="89"/>
        <w:keepNext w:val="0"/>
        <w:keepLines w:val="0"/>
        <w:pageBreakBefore w:val="0"/>
        <w:wordWrap w:val="0"/>
        <w:topLinePunct w:val="0"/>
        <w:bidi w:val="0"/>
        <w:adjustRightInd w:val="0"/>
        <w:snapToGrid w:val="0"/>
        <w:spacing w:line="500" w:lineRule="exact"/>
        <w:ind w:firstLine="48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cs="宋体"/>
          <w:b/>
          <w:bCs/>
          <w:snapToGrid w:val="0"/>
          <w:color w:val="auto"/>
          <w:kern w:val="0"/>
          <w:sz w:val="24"/>
          <w:highlight w:val="none"/>
        </w:rPr>
        <w:t xml:space="preserve">1.1.3 </w:t>
      </w:r>
      <w:r>
        <w:rPr>
          <w:rFonts w:hint="eastAsia" w:ascii="宋体" w:hAnsi="宋体" w:eastAsia="宋体" w:cs="宋体"/>
          <w:snapToGrid w:val="0"/>
          <w:color w:val="auto"/>
          <w:kern w:val="0"/>
          <w:sz w:val="24"/>
          <w:szCs w:val="24"/>
          <w:highlight w:val="none"/>
          <w:lang w:val="en-US" w:eastAsia="zh-CN"/>
        </w:rPr>
        <w:t>项目总投资：</w:t>
      </w:r>
      <w:r>
        <w:rPr>
          <w:rFonts w:hint="eastAsia"/>
          <w:snapToGrid w:val="0"/>
          <w:color w:val="auto"/>
          <w:kern w:val="0"/>
          <w:sz w:val="24"/>
          <w:highlight w:val="none"/>
          <w:u w:val="single"/>
          <w:lang w:eastAsia="zh-CN"/>
        </w:rPr>
        <w:t>项目概算总投资25000万元。其中建安工程费用为20767万元,工程建设其他费为2131万元,预备费为752万元,资金来源为上级财政资金。本次招标的工程费约537.77万元。</w:t>
      </w:r>
    </w:p>
    <w:p w14:paraId="737B544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 xml:space="preserve">1.2 </w:t>
      </w:r>
      <w:r>
        <w:rPr>
          <w:rFonts w:hint="eastAsia" w:ascii="宋体" w:hAnsi="宋体" w:cs="宋体"/>
          <w:snapToGrid w:val="0"/>
          <w:color w:val="auto"/>
          <w:kern w:val="0"/>
          <w:sz w:val="24"/>
          <w:highlight w:val="none"/>
        </w:rPr>
        <w:t>招标范围和标段划分</w:t>
      </w:r>
    </w:p>
    <w:p w14:paraId="5C8BB66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 xml:space="preserve"> 招标范围</w:t>
      </w:r>
    </w:p>
    <w:p w14:paraId="0F812CFE">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监理：项目建设施工阶段监理（含施工准备阶段、施工阶段、工程竣工结算阶段和保修阶段监理）</w:t>
      </w:r>
    </w:p>
    <w:p w14:paraId="76AFCD12">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1.2.2</w:t>
      </w:r>
      <w:r>
        <w:rPr>
          <w:rFonts w:hint="eastAsia" w:hAnsi="宋体" w:cs="宋体"/>
          <w:snapToGrid w:val="0"/>
          <w:color w:val="auto"/>
          <w:kern w:val="0"/>
          <w:szCs w:val="24"/>
          <w:highlight w:val="none"/>
        </w:rPr>
        <w:t xml:space="preserve"> 标段划分：本招标项目不划分标段。</w:t>
      </w:r>
    </w:p>
    <w:p w14:paraId="5632ADE2">
      <w:pPr>
        <w:keepNext w:val="0"/>
        <w:keepLines w:val="0"/>
        <w:pageBreakBefore w:val="0"/>
        <w:wordWrap w:val="0"/>
        <w:topLinePunct w:val="0"/>
        <w:bidi w:val="0"/>
        <w:adjustRightInd w:val="0"/>
        <w:snapToGrid w:val="0"/>
        <w:spacing w:line="500" w:lineRule="exact"/>
        <w:ind w:firstLine="532" w:firstLineChars="221"/>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1.3</w:t>
      </w:r>
      <w:r>
        <w:rPr>
          <w:rFonts w:hint="eastAsia" w:hAnsi="宋体" w:cs="宋体"/>
          <w:snapToGrid w:val="0"/>
          <w:color w:val="auto"/>
          <w:kern w:val="0"/>
          <w:szCs w:val="24"/>
          <w:highlight w:val="none"/>
        </w:rPr>
        <w:t xml:space="preserve"> 投标费用：投标人应承担所有准备和参加投标的相关费用，不论投标结果如何，招标人均无义务和责任承担这些费用。</w:t>
      </w:r>
    </w:p>
    <w:p w14:paraId="6BE91A1C">
      <w:pPr>
        <w:pStyle w:val="89"/>
        <w:keepNext w:val="0"/>
        <w:keepLines w:val="0"/>
        <w:pageBreakBefore w:val="0"/>
        <w:wordWrap w:val="0"/>
        <w:topLinePunct w:val="0"/>
        <w:bidi w:val="0"/>
        <w:adjustRightInd w:val="0"/>
        <w:snapToGrid w:val="0"/>
        <w:spacing w:line="500" w:lineRule="exact"/>
        <w:ind w:firstLine="480"/>
        <w:jc w:val="left"/>
        <w:textAlignment w:val="auto"/>
        <w:outlineLvl w:val="2"/>
        <w:rPr>
          <w:rFonts w:hint="eastAsia"/>
          <w:b/>
          <w:bCs/>
          <w:snapToGrid w:val="0"/>
          <w:color w:val="auto"/>
          <w:kern w:val="0"/>
          <w:sz w:val="24"/>
          <w:highlight w:val="none"/>
        </w:rPr>
      </w:pPr>
      <w:bookmarkStart w:id="17" w:name="_Toc1649"/>
      <w:bookmarkStart w:id="18" w:name="_Toc31795"/>
      <w:r>
        <w:rPr>
          <w:rFonts w:hint="eastAsia"/>
          <w:b/>
          <w:bCs/>
          <w:snapToGrid w:val="0"/>
          <w:color w:val="auto"/>
          <w:kern w:val="0"/>
          <w:sz w:val="24"/>
          <w:highlight w:val="none"/>
        </w:rPr>
        <w:t>2．投标人资格要求</w:t>
      </w:r>
      <w:bookmarkEnd w:id="17"/>
      <w:bookmarkEnd w:id="18"/>
      <w:bookmarkStart w:id="19" w:name="_Hlt74496495"/>
      <w:bookmarkEnd w:id="19"/>
    </w:p>
    <w:p w14:paraId="229AFBAA">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2.1</w:t>
      </w:r>
      <w:r>
        <w:rPr>
          <w:rFonts w:hint="eastAsia" w:ascii="宋体" w:hAnsi="宋体" w:cs="宋体"/>
          <w:snapToGrid w:val="0"/>
          <w:color w:val="auto"/>
          <w:kern w:val="0"/>
          <w:sz w:val="24"/>
          <w:highlight w:val="none"/>
        </w:rPr>
        <w:t xml:space="preserve"> 本次招标不接受联合体投标。</w:t>
      </w:r>
    </w:p>
    <w:p w14:paraId="376870E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w:t>
      </w:r>
      <w:r>
        <w:rPr>
          <w:rFonts w:hint="eastAsia" w:ascii="宋体" w:hAnsi="宋体" w:cs="宋体"/>
          <w:snapToGrid w:val="0"/>
          <w:color w:val="auto"/>
          <w:kern w:val="0"/>
          <w:sz w:val="24"/>
          <w:highlight w:val="none"/>
        </w:rPr>
        <w:t xml:space="preserve"> 资格资质要求</w:t>
      </w:r>
    </w:p>
    <w:p w14:paraId="296608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2.2.1</w:t>
      </w:r>
      <w:r>
        <w:rPr>
          <w:rFonts w:hint="eastAsia" w:ascii="宋体" w:hAnsi="宋体" w:cs="宋体"/>
          <w:snapToGrid w:val="0"/>
          <w:color w:val="auto"/>
          <w:kern w:val="0"/>
          <w:sz w:val="24"/>
          <w:highlight w:val="none"/>
        </w:rPr>
        <w:t xml:space="preserve"> 投标人须具备独立法人资格，按国家法律经营。</w:t>
      </w:r>
    </w:p>
    <w:p w14:paraId="3918A31D">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2.2.2</w:t>
      </w:r>
      <w:r>
        <w:rPr>
          <w:rFonts w:hint="eastAsia" w:hAnsi="宋体" w:cs="宋体"/>
          <w:snapToGrid w:val="0"/>
          <w:color w:val="auto"/>
          <w:kern w:val="0"/>
          <w:szCs w:val="24"/>
          <w:highlight w:val="none"/>
        </w:rPr>
        <w:t xml:space="preserve"> </w:t>
      </w:r>
      <w:r>
        <w:rPr>
          <w:rFonts w:hint="eastAsia" w:ascii="宋体" w:hAnsi="宋体" w:eastAsia="宋体" w:cs="宋体"/>
          <w:color w:val="auto"/>
          <w:szCs w:val="24"/>
          <w:highlight w:val="none"/>
        </w:rPr>
        <w:t>投标人须具备以下资质之一：①工程监理综合资质；②市政公用工程监理</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级以上（含</w:t>
      </w:r>
      <w:r>
        <w:rPr>
          <w:rFonts w:hint="eastAsia" w:hAnsi="宋体" w:cs="宋体"/>
          <w:color w:val="auto"/>
          <w:szCs w:val="24"/>
          <w:highlight w:val="none"/>
          <w:lang w:val="en-US" w:eastAsia="zh-CN"/>
        </w:rPr>
        <w:t>乙</w:t>
      </w:r>
      <w:r>
        <w:rPr>
          <w:rFonts w:hint="eastAsia" w:ascii="宋体" w:hAnsi="宋体" w:eastAsia="宋体" w:cs="宋体"/>
          <w:color w:val="auto"/>
          <w:szCs w:val="24"/>
          <w:highlight w:val="none"/>
        </w:rPr>
        <w:t>级）资质</w:t>
      </w:r>
      <w:r>
        <w:rPr>
          <w:rFonts w:hint="eastAsia" w:hAnsi="宋体" w:cs="宋体"/>
          <w:snapToGrid w:val="0"/>
          <w:color w:val="auto"/>
          <w:kern w:val="0"/>
          <w:szCs w:val="24"/>
          <w:highlight w:val="none"/>
        </w:rPr>
        <w:t>。</w:t>
      </w:r>
    </w:p>
    <w:p w14:paraId="6AE8E91B">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hAnsi="宋体" w:cs="宋体"/>
          <w:b/>
          <w:bCs/>
          <w:snapToGrid w:val="0"/>
          <w:color w:val="auto"/>
          <w:kern w:val="0"/>
          <w:szCs w:val="24"/>
          <w:highlight w:val="none"/>
        </w:rPr>
        <w:t>2.2.3</w:t>
      </w:r>
      <w:r>
        <w:rPr>
          <w:rFonts w:hint="eastAsia" w:hAnsi="宋体" w:cs="宋体"/>
          <w:snapToGrid w:val="0"/>
          <w:color w:val="auto"/>
          <w:kern w:val="0"/>
          <w:szCs w:val="24"/>
          <w:highlight w:val="none"/>
        </w:rPr>
        <w:t xml:space="preserve"> </w:t>
      </w:r>
      <w:r>
        <w:rPr>
          <w:rFonts w:hint="eastAsia" w:hAnsi="宋体" w:cs="宋体"/>
          <w:color w:val="auto"/>
          <w:szCs w:val="24"/>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p>
    <w:p w14:paraId="53EE323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w:t>
      </w:r>
      <w:r>
        <w:rPr>
          <w:rFonts w:hint="eastAsia" w:ascii="宋体" w:hAnsi="宋体" w:cs="宋体"/>
          <w:snapToGrid w:val="0"/>
          <w:color w:val="auto"/>
          <w:kern w:val="0"/>
          <w:sz w:val="24"/>
          <w:highlight w:val="none"/>
        </w:rPr>
        <w:t xml:space="preserve"> 相关人员要求</w:t>
      </w:r>
    </w:p>
    <w:p w14:paraId="3BEF3E14">
      <w:pPr>
        <w:keepNext w:val="0"/>
        <w:keepLines w:val="0"/>
        <w:pageBreakBefore w:val="0"/>
        <w:wordWrap w:val="0"/>
        <w:topLinePunct w:val="0"/>
        <w:bidi w:val="0"/>
        <w:adjustRightInd w:val="0"/>
        <w:snapToGrid w:val="0"/>
        <w:spacing w:line="500" w:lineRule="exact"/>
        <w:ind w:firstLine="482" w:firstLineChars="200"/>
        <w:jc w:val="left"/>
        <w:textAlignment w:val="auto"/>
        <w:rPr>
          <w:rFonts w:hAnsi="宋体" w:cs="宋体"/>
          <w:color w:val="auto"/>
          <w:szCs w:val="24"/>
          <w:highlight w:val="none"/>
        </w:rPr>
      </w:pPr>
      <w:r>
        <w:rPr>
          <w:rFonts w:hint="eastAsia" w:ascii="宋体" w:hAnsi="宋体" w:cs="宋体"/>
          <w:b/>
          <w:bCs/>
          <w:snapToGrid w:val="0"/>
          <w:color w:val="auto"/>
          <w:kern w:val="0"/>
          <w:sz w:val="24"/>
          <w:highlight w:val="none"/>
        </w:rPr>
        <w:t>2.3.1</w:t>
      </w:r>
      <w:r>
        <w:rPr>
          <w:rFonts w:hint="eastAsia" w:ascii="宋体" w:hAnsi="宋体" w:cs="宋体"/>
          <w:snapToGrid w:val="0"/>
          <w:color w:val="auto"/>
          <w:kern w:val="0"/>
          <w:sz w:val="24"/>
          <w:highlight w:val="none"/>
        </w:rPr>
        <w:t xml:space="preserve"> </w:t>
      </w:r>
      <w:r>
        <w:rPr>
          <w:rFonts w:hint="eastAsia" w:hAnsi="宋体" w:cs="宋体"/>
          <w:color w:val="auto"/>
          <w:szCs w:val="24"/>
          <w:highlight w:val="none"/>
        </w:rPr>
        <w:t>拟派总监理工程师为市政公用工程专业注册监理工程师，应持有国家住建部印发的有效注册证书，其担任总监理工程师职务的其他在施（包括已中标未开工、已开工未竣工）建设工程项目不得超过</w:t>
      </w:r>
      <w:r>
        <w:rPr>
          <w:rFonts w:hint="eastAsia" w:hAnsi="宋体" w:cs="宋体"/>
          <w:color w:val="auto"/>
          <w:szCs w:val="24"/>
          <w:highlight w:val="none"/>
          <w:u w:val="single"/>
        </w:rPr>
        <w:t xml:space="preserve"> 2 </w:t>
      </w:r>
      <w:r>
        <w:rPr>
          <w:rFonts w:hint="eastAsia" w:hAnsi="宋体" w:cs="宋体"/>
          <w:color w:val="auto"/>
          <w:szCs w:val="24"/>
          <w:highlight w:val="none"/>
        </w:rPr>
        <w:t>个。</w:t>
      </w:r>
    </w:p>
    <w:p w14:paraId="1B937DB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拟派总监理工程师现阶段有担任其他在施建设工程项目总监理工程师职务的，须得到任职项目建设单位书面同意后方可担任本招标项目总监理工程师。</w:t>
      </w:r>
    </w:p>
    <w:p w14:paraId="729B3FCF">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2.3.2</w:t>
      </w:r>
      <w:r>
        <w:rPr>
          <w:rFonts w:hint="eastAsia" w:ascii="宋体" w:hAnsi="宋体" w:cs="宋体"/>
          <w:snapToGrid w:val="0"/>
          <w:color w:val="auto"/>
          <w:kern w:val="0"/>
          <w:sz w:val="24"/>
          <w:highlight w:val="none"/>
        </w:rPr>
        <w:t xml:space="preserve"> 投标人与其拟派往本项目监理机构的所有人员之间必须具备合法、唯一的劳动聘用关系。拟派人员中具备注册执业资格的，其注册单位须与投标人保持一致。</w:t>
      </w:r>
    </w:p>
    <w:p w14:paraId="51D5C15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w:t>
      </w:r>
      <w:r>
        <w:rPr>
          <w:rFonts w:hint="eastAsia" w:ascii="宋体" w:hAnsi="宋体" w:cs="宋体"/>
          <w:snapToGrid w:val="0"/>
          <w:color w:val="auto"/>
          <w:kern w:val="0"/>
          <w:sz w:val="24"/>
          <w:highlight w:val="none"/>
        </w:rPr>
        <w:t xml:space="preserve"> 禁止投标条款</w:t>
      </w:r>
    </w:p>
    <w:p w14:paraId="7D7AD0E4">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2.4.1</w:t>
      </w:r>
      <w:r>
        <w:rPr>
          <w:rFonts w:hint="eastAsia" w:ascii="宋体" w:hAnsi="宋体" w:cs="宋体"/>
          <w:snapToGrid w:val="0"/>
          <w:color w:val="auto"/>
          <w:kern w:val="0"/>
          <w:sz w:val="24"/>
          <w:highlight w:val="none"/>
        </w:rPr>
        <w:t xml:space="preserve"> 投标人不得存在下列情形之一：</w:t>
      </w:r>
    </w:p>
    <w:p w14:paraId="23B2DC3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（1）为招标人不具有独立法人资格的附属机构（单位）；</w:t>
      </w:r>
    </w:p>
    <w:p w14:paraId="7B77E29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（2）与招标人存在利害关系且可能影响招标公正性；</w:t>
      </w:r>
    </w:p>
    <w:p w14:paraId="66A8637F">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（3）与本招标项目的其他投标人为同一个单位负责人；</w:t>
      </w:r>
    </w:p>
    <w:p w14:paraId="6445557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（4）与本招标项目的其他投标人存在控股、管理关系；</w:t>
      </w:r>
    </w:p>
    <w:p w14:paraId="66EBD7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（5）为本招标项目的代建人；</w:t>
      </w:r>
    </w:p>
    <w:p w14:paraId="2102A470">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（6）为本招标项目的招标代理机构；</w:t>
      </w:r>
    </w:p>
    <w:p w14:paraId="22A7EB6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（7）与本招标项目的代建人或招标代理机构同为一个法定代表人；</w:t>
      </w:r>
    </w:p>
    <w:p w14:paraId="3FC11BF5">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（8）与本招标项目的代建人或招标代理机构存在控股或参股关系；</w:t>
      </w:r>
    </w:p>
    <w:p w14:paraId="12857A0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（9）与本招标项目的施工承包人以及建筑材料、建筑构配件和设备供应商有隶属关系或者其他利害关系；</w:t>
      </w:r>
    </w:p>
    <w:p w14:paraId="4A6FC44A">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（10）被依法暂停或者取消投标资格；</w:t>
      </w:r>
    </w:p>
    <w:p w14:paraId="68E70B2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（11）被责令停产停业、暂扣或者吊销许可证、暂扣或者吊销执照；</w:t>
      </w:r>
    </w:p>
    <w:p w14:paraId="75517A3D">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（12）进入清算程序，或被宣告破产，或其他丧失履约能力的情形；</w:t>
      </w:r>
    </w:p>
    <w:p w14:paraId="40C303D7">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（13）在最近三年内发生重大监理质量问题（以相关行业主管部门的行政处罚决定或司法机关出具的有关法律文书为准）；</w:t>
      </w:r>
    </w:p>
    <w:p w14:paraId="331A83DA">
      <w:pPr>
        <w:pStyle w:val="89"/>
        <w:keepNext w:val="0"/>
        <w:keepLines w:val="0"/>
        <w:pageBreakBefore w:val="0"/>
        <w:wordWrap w:val="0"/>
        <w:topLinePunct w:val="0"/>
        <w:bidi w:val="0"/>
        <w:adjustRightInd w:val="0"/>
        <w:snapToGrid w:val="0"/>
        <w:spacing w:line="500" w:lineRule="exact"/>
        <w:ind w:firstLine="240" w:firstLineChars="1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lang w:val="en-US" w:eastAsia="zh-CN"/>
        </w:rPr>
        <w:t xml:space="preserve"> </w:t>
      </w:r>
      <w:r>
        <w:rPr>
          <w:rFonts w:hint="eastAsia" w:ascii="宋体" w:hAnsi="宋体" w:cs="宋体"/>
          <w:snapToGrid w:val="0"/>
          <w:color w:val="auto"/>
          <w:kern w:val="0"/>
          <w:sz w:val="24"/>
          <w:highlight w:val="none"/>
        </w:rPr>
        <w:t xml:space="preserve"> （14）</w:t>
      </w:r>
      <w:r>
        <w:rPr>
          <w:rFonts w:hint="eastAsia" w:ascii="宋体" w:hAnsi="宋体" w:cs="宋体"/>
          <w:color w:val="auto"/>
          <w:kern w:val="0"/>
          <w:sz w:val="24"/>
          <w:highlight w:val="none"/>
        </w:rPr>
        <w:t>被“信用中国”网站（https://www.creditchina.gov.cn）发布的《法人和非法人组织公共信用信息报告》列为严重失信主体名单的</w:t>
      </w:r>
      <w:r>
        <w:rPr>
          <w:rFonts w:hint="eastAsia" w:ascii="宋体" w:hAnsi="宋体" w:cs="宋体"/>
          <w:snapToGrid w:val="0"/>
          <w:color w:val="auto"/>
          <w:kern w:val="0"/>
          <w:sz w:val="24"/>
          <w:highlight w:val="none"/>
        </w:rPr>
        <w:t>。</w:t>
      </w:r>
    </w:p>
    <w:p w14:paraId="6D2A9BC1">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2.4.2</w:t>
      </w:r>
      <w:r>
        <w:rPr>
          <w:rFonts w:hint="eastAsia" w:ascii="宋体" w:hAnsi="宋体" w:cs="宋体"/>
          <w:snapToGrid w:val="0"/>
          <w:color w:val="auto"/>
          <w:kern w:val="0"/>
          <w:sz w:val="24"/>
          <w:highlight w:val="none"/>
        </w:rPr>
        <w:t xml:space="preserve"> 招标人拒绝以下名单中的单位参加本次投标：</w:t>
      </w:r>
    </w:p>
    <w:tbl>
      <w:tblPr>
        <w:tblStyle w:val="3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3853"/>
        <w:gridCol w:w="4354"/>
      </w:tblGrid>
      <w:tr w14:paraId="6D2E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5845F1F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2074" w:type="pct"/>
            <w:noWrap w:val="0"/>
            <w:vAlign w:val="center"/>
          </w:tcPr>
          <w:p w14:paraId="3E303607">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2344" w:type="pct"/>
            <w:noWrap w:val="0"/>
            <w:vAlign w:val="center"/>
          </w:tcPr>
          <w:p w14:paraId="1DEE47F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25AD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64C0B915">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w:t>
            </w:r>
          </w:p>
        </w:tc>
        <w:tc>
          <w:tcPr>
            <w:tcW w:w="2074" w:type="pct"/>
            <w:noWrap w:val="0"/>
            <w:vAlign w:val="center"/>
          </w:tcPr>
          <w:p w14:paraId="2AB3938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南雄市全安镇人民政府</w:t>
            </w:r>
          </w:p>
        </w:tc>
        <w:tc>
          <w:tcPr>
            <w:tcW w:w="2344" w:type="pct"/>
            <w:noWrap w:val="0"/>
            <w:vAlign w:val="center"/>
          </w:tcPr>
          <w:p w14:paraId="0A0EF0A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为本招标项目的招标人</w:t>
            </w:r>
          </w:p>
        </w:tc>
      </w:tr>
      <w:tr w14:paraId="5C6F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0519041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w:t>
            </w:r>
          </w:p>
        </w:tc>
        <w:tc>
          <w:tcPr>
            <w:tcW w:w="2074" w:type="pct"/>
            <w:noWrap w:val="0"/>
            <w:vAlign w:val="center"/>
          </w:tcPr>
          <w:p w14:paraId="2EBFC4D4">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韶关市汇富信息咨询有限公司</w:t>
            </w:r>
          </w:p>
        </w:tc>
        <w:tc>
          <w:tcPr>
            <w:tcW w:w="2344" w:type="pct"/>
            <w:noWrap w:val="0"/>
            <w:vAlign w:val="center"/>
          </w:tcPr>
          <w:p w14:paraId="7AF87708">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为本招标项目的招标代理机构</w:t>
            </w:r>
          </w:p>
        </w:tc>
      </w:tr>
      <w:tr w14:paraId="00F6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3C2BF67C">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w:t>
            </w:r>
          </w:p>
        </w:tc>
        <w:tc>
          <w:tcPr>
            <w:tcW w:w="2074" w:type="pct"/>
            <w:noWrap w:val="0"/>
            <w:vAlign w:val="center"/>
          </w:tcPr>
          <w:p w14:paraId="557A9DE2">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广东省国际工程咨询有限公司</w:t>
            </w:r>
          </w:p>
        </w:tc>
        <w:tc>
          <w:tcPr>
            <w:tcW w:w="2344" w:type="pct"/>
            <w:noWrap w:val="0"/>
            <w:vAlign w:val="center"/>
          </w:tcPr>
          <w:p w14:paraId="2169060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为本项目的可研编制单位</w:t>
            </w:r>
          </w:p>
        </w:tc>
      </w:tr>
      <w:tr w14:paraId="6CFD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3C27D923">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w:t>
            </w:r>
          </w:p>
        </w:tc>
        <w:tc>
          <w:tcPr>
            <w:tcW w:w="2074" w:type="pct"/>
            <w:noWrap w:val="0"/>
            <w:vAlign w:val="center"/>
          </w:tcPr>
          <w:p w14:paraId="346F3A70">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中晟汇创建设发展有限公司</w:t>
            </w:r>
          </w:p>
        </w:tc>
        <w:tc>
          <w:tcPr>
            <w:tcW w:w="2344" w:type="pct"/>
            <w:noWrap w:val="0"/>
            <w:vAlign w:val="center"/>
          </w:tcPr>
          <w:p w14:paraId="77FC833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为本项目的设计单位</w:t>
            </w:r>
          </w:p>
        </w:tc>
      </w:tr>
      <w:tr w14:paraId="1273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3A01496D">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w:t>
            </w:r>
          </w:p>
        </w:tc>
        <w:tc>
          <w:tcPr>
            <w:tcW w:w="2074" w:type="pct"/>
            <w:noWrap w:val="0"/>
            <w:vAlign w:val="center"/>
          </w:tcPr>
          <w:p w14:paraId="263421DF">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韶关市筑宸设计咨询有限公司</w:t>
            </w:r>
          </w:p>
        </w:tc>
        <w:tc>
          <w:tcPr>
            <w:tcW w:w="2344" w:type="pct"/>
            <w:noWrap w:val="0"/>
            <w:vAlign w:val="center"/>
          </w:tcPr>
          <w:p w14:paraId="06C3F8E8">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为本项目的概算编制单位</w:t>
            </w:r>
          </w:p>
        </w:tc>
      </w:tr>
      <w:tr w14:paraId="7C25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11103158">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6</w:t>
            </w:r>
          </w:p>
        </w:tc>
        <w:tc>
          <w:tcPr>
            <w:tcW w:w="2074" w:type="pct"/>
            <w:noWrap w:val="0"/>
            <w:vAlign w:val="center"/>
          </w:tcPr>
          <w:p w14:paraId="3C47EB6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广东君霖项目管理有限公司</w:t>
            </w:r>
          </w:p>
        </w:tc>
        <w:tc>
          <w:tcPr>
            <w:tcW w:w="2344" w:type="pct"/>
            <w:noWrap w:val="0"/>
            <w:vAlign w:val="center"/>
          </w:tcPr>
          <w:p w14:paraId="0799C2C9">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为本项目的概算审核单位</w:t>
            </w:r>
          </w:p>
        </w:tc>
      </w:tr>
      <w:tr w14:paraId="0B20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3CC780A0">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7</w:t>
            </w:r>
          </w:p>
        </w:tc>
        <w:tc>
          <w:tcPr>
            <w:tcW w:w="2074" w:type="pct"/>
            <w:noWrap w:val="0"/>
            <w:vAlign w:val="center"/>
          </w:tcPr>
          <w:p w14:paraId="7A542BCB">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韶关市筑宸设计咨询有限公司</w:t>
            </w:r>
          </w:p>
        </w:tc>
        <w:tc>
          <w:tcPr>
            <w:tcW w:w="2344" w:type="pct"/>
            <w:noWrap w:val="0"/>
            <w:vAlign w:val="center"/>
          </w:tcPr>
          <w:p w14:paraId="3E35FCCF">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为本项目的造价咨询单位</w:t>
            </w:r>
          </w:p>
        </w:tc>
      </w:tr>
      <w:tr w14:paraId="7F72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0" w:type="pct"/>
            <w:noWrap w:val="0"/>
            <w:vAlign w:val="center"/>
          </w:tcPr>
          <w:p w14:paraId="6D02E320">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8</w:t>
            </w:r>
          </w:p>
        </w:tc>
        <w:tc>
          <w:tcPr>
            <w:tcW w:w="2074" w:type="pct"/>
            <w:noWrap w:val="0"/>
            <w:vAlign w:val="center"/>
          </w:tcPr>
          <w:p w14:paraId="7067F64A">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待定</w:t>
            </w:r>
          </w:p>
        </w:tc>
        <w:tc>
          <w:tcPr>
            <w:tcW w:w="2344" w:type="pct"/>
            <w:noWrap w:val="0"/>
            <w:vAlign w:val="center"/>
          </w:tcPr>
          <w:p w14:paraId="6E5155DD">
            <w:pPr>
              <w:keepNext w:val="0"/>
              <w:keepLines w:val="0"/>
              <w:pageBreakBefore w:val="0"/>
              <w:widowControl w:val="0"/>
              <w:tabs>
                <w:tab w:val="left" w:pos="1890"/>
              </w:tabs>
              <w:kinsoku/>
              <w:wordWrap/>
              <w:overflowPunct/>
              <w:topLinePunct w:val="0"/>
              <w:autoSpaceDE/>
              <w:autoSpaceDN/>
              <w:bidi w:val="0"/>
              <w:adjustRightInd/>
              <w:snapToGrid/>
              <w:spacing w:line="460" w:lineRule="exact"/>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为本招标项目的施工单位</w:t>
            </w:r>
          </w:p>
        </w:tc>
      </w:tr>
    </w:tbl>
    <w:p w14:paraId="436A391F">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2.5</w:t>
      </w:r>
      <w:r>
        <w:rPr>
          <w:rFonts w:hint="eastAsia" w:ascii="宋体" w:hAnsi="宋体" w:cs="宋体"/>
          <w:snapToGrid w:val="0"/>
          <w:color w:val="auto"/>
          <w:kern w:val="0"/>
          <w:sz w:val="24"/>
          <w:highlight w:val="none"/>
        </w:rPr>
        <w:t xml:space="preserve"> 其他要求</w:t>
      </w:r>
    </w:p>
    <w:p w14:paraId="574A12A8">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2A30E4C1">
      <w:pPr>
        <w:pStyle w:val="89"/>
        <w:keepNext w:val="0"/>
        <w:keepLines w:val="0"/>
        <w:pageBreakBefore w:val="0"/>
        <w:wordWrap w:val="0"/>
        <w:topLinePunct w:val="0"/>
        <w:bidi w:val="0"/>
        <w:adjustRightInd w:val="0"/>
        <w:snapToGrid w:val="0"/>
        <w:spacing w:before="120" w:beforeLines="50" w:line="500" w:lineRule="exact"/>
        <w:ind w:firstLine="482" w:firstLineChars="200"/>
        <w:jc w:val="left"/>
        <w:textAlignment w:val="auto"/>
        <w:outlineLvl w:val="2"/>
        <w:rPr>
          <w:rFonts w:ascii="宋体" w:hAnsi="宋体" w:cs="宋体"/>
          <w:b/>
          <w:bCs/>
          <w:snapToGrid w:val="0"/>
          <w:color w:val="auto"/>
          <w:kern w:val="0"/>
          <w:sz w:val="24"/>
          <w:highlight w:val="none"/>
        </w:rPr>
      </w:pPr>
      <w:bookmarkStart w:id="20" w:name="_Toc14234"/>
      <w:r>
        <w:rPr>
          <w:rFonts w:hint="eastAsia" w:ascii="宋体" w:hAnsi="宋体" w:cs="宋体"/>
          <w:b/>
          <w:bCs/>
          <w:snapToGrid w:val="0"/>
          <w:color w:val="auto"/>
          <w:kern w:val="0"/>
          <w:sz w:val="24"/>
          <w:highlight w:val="none"/>
        </w:rPr>
        <w:t>3．获取招标文件</w:t>
      </w:r>
      <w:bookmarkEnd w:id="20"/>
    </w:p>
    <w:p w14:paraId="1DF04FBD">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color w:val="auto"/>
          <w:sz w:val="24"/>
          <w:highlight w:val="none"/>
          <w:shd w:val="clear" w:color="auto" w:fill="FFFFFF"/>
        </w:rPr>
      </w:pPr>
      <w:r>
        <w:rPr>
          <w:rFonts w:hint="eastAsia" w:ascii="宋体" w:hAnsi="宋体" w:cs="宋体"/>
          <w:snapToGrid w:val="0"/>
          <w:color w:val="auto"/>
          <w:kern w:val="0"/>
          <w:sz w:val="24"/>
          <w:highlight w:val="none"/>
        </w:rPr>
        <w:t xml:space="preserve">3.1 </w:t>
      </w:r>
      <w:r>
        <w:rPr>
          <w:rFonts w:hint="eastAsia" w:ascii="宋体" w:hAnsi="宋体" w:cs="宋体"/>
          <w:color w:val="auto"/>
          <w:sz w:val="24"/>
          <w:highlight w:val="none"/>
          <w:shd w:val="clear" w:color="auto" w:fill="FFFFFF"/>
        </w:rPr>
        <w:t xml:space="preserve">本次招标实行电子投标。本项目招标文件随招标公告一并在全国公共资源交易平台（广东省·韶关市）（https://ygp.gdzwfw.gov.cn/ggzy-portal/#/440200/index）网站发布，招标文件一经在全国公共资源交易平台（广东省·韶关市）发布，视为发送投标人，招标文件及相关附件由投标人自行在全国公共资源交易平台（广东省·韶关市）网站下载。投标人请于招标文件获取期间（见本章第二节“重要事项时间地点一览表”）登录全国公共资源交易平台（广东省·韶关市）（https://ygp.gdzwfw.gov.cn/ggzy-portal/#/440200/index）进行下载招标文件及相关附件，并于电子投标截止时间（见本章第二节“重要事项时间地点一览表”）前完成电子投标。   </w:t>
      </w:r>
    </w:p>
    <w:p w14:paraId="47326E30">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color w:val="auto"/>
          <w:sz w:val="24"/>
          <w:highlight w:val="none"/>
          <w:shd w:val="clear" w:color="auto" w:fill="FFFFFF"/>
        </w:rPr>
        <w:t>投标人可登录全国公共资源交易平台（广东省·韶关市）（https://ygp.gdzwfw.gov.cn/ggzy-portal/#/440200/index），在【服务指南】栏目中下载《韶关市公共资源建设工程交易系统-投标人操作指南》，了解网上获取招标文件操作流程。技术咨询电话：0751-8379671伍先生，业务咨询电话：0751-8633211、8633071。</w:t>
      </w:r>
    </w:p>
    <w:p w14:paraId="72C76745">
      <w:pPr>
        <w:pStyle w:val="28"/>
        <w:keepNext w:val="0"/>
        <w:keepLines w:val="0"/>
        <w:pageBreakBefore w:val="0"/>
        <w:topLinePunct w:val="0"/>
        <w:bidi w:val="0"/>
        <w:spacing w:before="0" w:beforeAutospacing="0" w:after="0" w:afterAutospacing="0" w:line="500" w:lineRule="exact"/>
        <w:ind w:firstLine="480" w:firstLineChars="200"/>
        <w:textAlignment w:val="auto"/>
        <w:rPr>
          <w:snapToGrid w:val="0"/>
          <w:color w:val="auto"/>
          <w:highlight w:val="none"/>
        </w:rPr>
      </w:pPr>
      <w:r>
        <w:rPr>
          <w:rFonts w:hint="eastAsia"/>
          <w:snapToGrid w:val="0"/>
          <w:color w:val="auto"/>
          <w:highlight w:val="none"/>
        </w:rPr>
        <w:t>3.2 只有申领了数字证书（CA）、“粤企签”或GDCA/SZCA/NETCA等符合法律法规规定的电子印章，并在交易系统中完成企业信息数据入库的投标人，方可使用建设工程交易系统进行招标文件及相关附件的获取和电子投标。首次在韶关市参与建设工程招标投标活动的投标人，必须在平台系统上传企业相关资料办理企业入库事宜。投标人可登录全国公共资源交易平台（广东省·韶关市）（https://ygp.gdzwfw.gov.cn/ggzy-portal/#/440200/index）办理企业入库、数字证书及电子印章事宜，具体请在平台查阅相应的交易指引。已入库企业有关信息（如单位名称、基本账号、资质、人员等）发生变化的，须及时在交易系统进行相应变更。投标人未及时变更信息而造成的损失和后果，由投标人自行承担。</w:t>
      </w:r>
    </w:p>
    <w:p w14:paraId="40ACF0BC">
      <w:pPr>
        <w:pStyle w:val="28"/>
        <w:keepNext w:val="0"/>
        <w:keepLines w:val="0"/>
        <w:pageBreakBefore w:val="0"/>
        <w:topLinePunct w:val="0"/>
        <w:bidi w:val="0"/>
        <w:spacing w:before="0" w:beforeAutospacing="0" w:after="0" w:afterAutospacing="0" w:line="500" w:lineRule="exact"/>
        <w:ind w:firstLine="480" w:firstLineChars="200"/>
        <w:textAlignment w:val="auto"/>
        <w:rPr>
          <w:bCs/>
          <w:color w:val="auto"/>
          <w:highlight w:val="none"/>
        </w:rPr>
      </w:pPr>
      <w:r>
        <w:rPr>
          <w:rFonts w:hint="eastAsia"/>
          <w:snapToGrid w:val="0"/>
          <w:color w:val="auto"/>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bCs/>
          <w:color w:val="auto"/>
          <w:highlight w:val="none"/>
        </w:rPr>
        <w:t xml:space="preserve"> </w:t>
      </w:r>
    </w:p>
    <w:p w14:paraId="3710C64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kern w:val="0"/>
          <w:sz w:val="24"/>
          <w:highlight w:val="none"/>
        </w:rPr>
        <w:t>已入库企业的有关信息（如单位名称、基本账号、资质、人员等）发生变化的，应及时在建设工程交易系统进行相应变更。投标人未及时变更而造成的损失和后果，由投标人自行承担。</w:t>
      </w:r>
    </w:p>
    <w:p w14:paraId="5349E3D5">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 投标保证</w:t>
      </w:r>
    </w:p>
    <w:p w14:paraId="71FD51AC">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3.3.1 投标人须缴纳金额为人民币</w:t>
      </w:r>
      <w:r>
        <w:rPr>
          <w:rFonts w:hint="eastAsia" w:ascii="宋体" w:hAnsi="宋体" w:cs="宋体"/>
          <w:color w:val="auto"/>
          <w:sz w:val="24"/>
          <w:highlight w:val="none"/>
          <w:u w:val="single"/>
          <w:shd w:val="clear" w:color="auto" w:fill="FFFFFF"/>
          <w:lang w:val="en-US" w:eastAsia="zh-CN"/>
        </w:rPr>
        <w:t>贰仟元</w:t>
      </w:r>
      <w:r>
        <w:rPr>
          <w:rFonts w:hint="eastAsia" w:ascii="宋体" w:hAnsi="宋体" w:cs="宋体"/>
          <w:color w:val="auto"/>
          <w:sz w:val="24"/>
          <w:highlight w:val="none"/>
          <w:shd w:val="clear" w:color="auto" w:fill="FFFFFF"/>
        </w:rPr>
        <w:t xml:space="preserve">的投标保证。 </w:t>
      </w:r>
    </w:p>
    <w:p w14:paraId="081C9AA3">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3.3.2 投标保证的形式包括投标保证金、投标保证担保、投标保证保险三种，由投标人自主选择。</w:t>
      </w:r>
    </w:p>
    <w:p w14:paraId="42604924">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hAnsi="宋体" w:cs="宋体"/>
          <w:color w:val="auto"/>
          <w:highlight w:val="none"/>
          <w:lang w:val="en-US" w:eastAsia="zh-CN"/>
        </w:rPr>
        <w:t>见</w:t>
      </w:r>
      <w:r>
        <w:rPr>
          <w:rFonts w:hint="eastAsia" w:hAnsi="宋体" w:cs="宋体"/>
          <w:color w:val="auto"/>
          <w:highlight w:val="none"/>
        </w:rPr>
        <w:t>本章第二节“重要事项时间地点一览表”）前，从其基本账户将投标保证金转账到指定的缴纳账号。逾期到账的、从非投标人基本账户转出的，其投标无效。</w:t>
      </w:r>
    </w:p>
    <w:p w14:paraId="629683DA">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3B93C12">
      <w:pPr>
        <w:keepNext w:val="0"/>
        <w:keepLines w:val="0"/>
        <w:pageBreakBefore w:val="0"/>
        <w:topLinePunct w:val="0"/>
        <w:bidi w:val="0"/>
        <w:snapToGrid w:val="0"/>
        <w:spacing w:line="500" w:lineRule="exact"/>
        <w:ind w:firstLine="480" w:firstLineChars="200"/>
        <w:textAlignment w:val="auto"/>
        <w:rPr>
          <w:rFonts w:hAnsi="宋体" w:cs="宋体"/>
          <w:color w:val="auto"/>
          <w:highlight w:val="none"/>
        </w:rPr>
      </w:pPr>
      <w:r>
        <w:rPr>
          <w:rFonts w:hint="eastAsia" w:hAnsi="宋体" w:cs="宋体"/>
          <w:color w:val="auto"/>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076D42C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rPr>
        <w:t>温馨提醒：投标人采用投标保证担保或投标保证保险的，为避免在评标过程中因有效期发生争议，建议投标人将银行保函或电子保单有效期设置为较招标文件规定的投标有效期</w:t>
      </w:r>
      <w:r>
        <w:rPr>
          <w:rFonts w:hint="eastAsia" w:hAnsi="宋体" w:cs="宋体"/>
          <w:color w:val="auto"/>
          <w:sz w:val="24"/>
          <w:highlight w:val="none"/>
        </w:rPr>
        <w:t>延长</w:t>
      </w:r>
      <w:r>
        <w:rPr>
          <w:rFonts w:hint="eastAsia" w:ascii="宋体" w:hAnsi="宋体" w:cs="宋体"/>
          <w:color w:val="auto"/>
          <w:sz w:val="24"/>
          <w:highlight w:val="none"/>
        </w:rPr>
        <w:t>不少于20个日历天。</w:t>
      </w:r>
    </w:p>
    <w:p w14:paraId="62BC1000">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3.4</w:t>
      </w:r>
      <w:r>
        <w:rPr>
          <w:rFonts w:hint="eastAsia" w:hAnsi="宋体" w:cs="宋体"/>
          <w:snapToGrid w:val="0"/>
          <w:color w:val="auto"/>
          <w:kern w:val="0"/>
          <w:highlight w:val="none"/>
        </w:rPr>
        <w:t xml:space="preserve"> 若投标人因自身原因未能正确完成获取招标文件、电子投标、缴纳投标保证的，其投标无效。</w:t>
      </w:r>
    </w:p>
    <w:p w14:paraId="0034AD8F">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highlight w:val="none"/>
        </w:rPr>
      </w:pPr>
      <w:bookmarkStart w:id="21" w:name="_Toc6862"/>
      <w:r>
        <w:rPr>
          <w:rFonts w:hint="eastAsia" w:hAnsi="宋体" w:cs="宋体"/>
          <w:b/>
          <w:bCs/>
          <w:snapToGrid w:val="0"/>
          <w:color w:val="auto"/>
          <w:kern w:val="0"/>
          <w:highlight w:val="none"/>
        </w:rPr>
        <w:t>4．服务期限</w:t>
      </w:r>
      <w:bookmarkEnd w:id="21"/>
    </w:p>
    <w:p w14:paraId="222B7AA0">
      <w:pPr>
        <w:keepNext w:val="0"/>
        <w:keepLines w:val="0"/>
        <w:pageBreakBefore w:val="0"/>
        <w:tabs>
          <w:tab w:val="left" w:pos="7020"/>
        </w:tabs>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4.1</w:t>
      </w:r>
      <w:r>
        <w:rPr>
          <w:rFonts w:hint="eastAsia" w:hAnsi="宋体" w:cs="宋体"/>
          <w:snapToGrid w:val="0"/>
          <w:color w:val="auto"/>
          <w:kern w:val="0"/>
          <w:highlight w:val="none"/>
        </w:rPr>
        <w:t xml:space="preserve"> 监理：本项目施工工期为90日历天。监理服务期从监理合同签订之日起计，至本工程缺陷责任保修期结束且本工程结算金额经政府主管部门审定且双方的责任义务履行完毕时止。</w:t>
      </w:r>
    </w:p>
    <w:p w14:paraId="4006A3C3">
      <w:pPr>
        <w:pStyle w:val="6"/>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2" w:name="_Toc15565"/>
      <w:bookmarkStart w:id="23" w:name="_Toc10746"/>
      <w:r>
        <w:rPr>
          <w:rFonts w:hint="eastAsia" w:hAnsi="宋体" w:cs="宋体"/>
          <w:b/>
          <w:snapToGrid w:val="0"/>
          <w:color w:val="auto"/>
          <w:highlight w:val="none"/>
        </w:rPr>
        <w:t>5．服务标准</w:t>
      </w:r>
      <w:bookmarkEnd w:id="22"/>
      <w:bookmarkEnd w:id="23"/>
    </w:p>
    <w:p w14:paraId="3B444BA7">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5.1</w:t>
      </w:r>
      <w:r>
        <w:rPr>
          <w:rFonts w:hint="eastAsia" w:hAnsi="宋体" w:cs="宋体"/>
          <w:snapToGrid w:val="0"/>
          <w:color w:val="auto"/>
          <w:kern w:val="0"/>
          <w:highlight w:val="none"/>
        </w:rPr>
        <w:t xml:space="preserve"> 监理：</w:t>
      </w:r>
      <w:r>
        <w:rPr>
          <w:rFonts w:hint="eastAsia" w:hAnsi="宋体" w:cs="宋体"/>
          <w:color w:val="auto"/>
          <w:szCs w:val="24"/>
          <w:highlight w:val="none"/>
        </w:rPr>
        <w:t>工程质量达到合格或以上标准。</w:t>
      </w:r>
      <w:r>
        <w:rPr>
          <w:rFonts w:hint="eastAsia" w:hAnsi="宋体" w:cs="宋体"/>
          <w:snapToGrid w:val="0"/>
          <w:color w:val="auto"/>
          <w:kern w:val="0"/>
          <w:highlight w:val="none"/>
        </w:rPr>
        <w:t xml:space="preserve"> </w:t>
      </w:r>
    </w:p>
    <w:p w14:paraId="4CCCF34C">
      <w:pPr>
        <w:pStyle w:val="6"/>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4" w:name="_Toc17907"/>
      <w:bookmarkStart w:id="25" w:name="_Toc32757"/>
      <w:r>
        <w:rPr>
          <w:rFonts w:hint="eastAsia" w:hAnsi="宋体" w:cs="宋体"/>
          <w:b/>
          <w:snapToGrid w:val="0"/>
          <w:color w:val="auto"/>
          <w:highlight w:val="none"/>
        </w:rPr>
        <w:t>6．现场踏勘</w:t>
      </w:r>
      <w:bookmarkEnd w:id="24"/>
      <w:bookmarkEnd w:id="25"/>
    </w:p>
    <w:p w14:paraId="1F65B6C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6.1</w:t>
      </w:r>
      <w:r>
        <w:rPr>
          <w:rFonts w:hint="eastAsia" w:hAnsi="宋体" w:cs="宋体"/>
          <w:snapToGrid w:val="0"/>
          <w:color w:val="auto"/>
          <w:kern w:val="0"/>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50B9508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6.2</w:t>
      </w:r>
      <w:r>
        <w:rPr>
          <w:rFonts w:hint="eastAsia" w:hAnsi="宋体" w:cs="宋体"/>
          <w:snapToGrid w:val="0"/>
          <w:color w:val="auto"/>
          <w:kern w:val="0"/>
          <w:highlight w:val="none"/>
        </w:rPr>
        <w:t xml:space="preserve"> 在现场踏勘过程中，投标人应确保自身安全，投标人如果发生人身伤亡、财物或其他损失，法律法规有规定的按有关规定处理，没有规定的由投标人自行负责。</w:t>
      </w:r>
    </w:p>
    <w:p w14:paraId="299F308C">
      <w:pPr>
        <w:keepNext w:val="0"/>
        <w:keepLines w:val="0"/>
        <w:pageBreakBefore w:val="0"/>
        <w:wordWrap w:val="0"/>
        <w:topLinePunct w:val="0"/>
        <w:bidi w:val="0"/>
        <w:adjustRightInd w:val="0"/>
        <w:snapToGrid w:val="0"/>
        <w:spacing w:line="500" w:lineRule="exact"/>
        <w:ind w:firstLine="560"/>
        <w:textAlignment w:val="auto"/>
        <w:rPr>
          <w:rFonts w:hAnsi="宋体" w:cs="宋体"/>
          <w:b/>
          <w:snapToGrid w:val="0"/>
          <w:color w:val="auto"/>
          <w:highlight w:val="none"/>
        </w:rPr>
      </w:pPr>
      <w:r>
        <w:rPr>
          <w:rFonts w:hint="eastAsia" w:hAnsi="宋体" w:cs="宋体"/>
          <w:b/>
          <w:bCs/>
          <w:snapToGrid w:val="0"/>
          <w:color w:val="auto"/>
          <w:kern w:val="0"/>
          <w:highlight w:val="none"/>
        </w:rPr>
        <w:t>6.3</w:t>
      </w:r>
      <w:r>
        <w:rPr>
          <w:rFonts w:hint="eastAsia" w:hAnsi="宋体" w:cs="宋体"/>
          <w:snapToGrid w:val="0"/>
          <w:color w:val="auto"/>
          <w:kern w:val="0"/>
          <w:highlight w:val="none"/>
        </w:rPr>
        <w:t xml:space="preserve"> 现场踏勘期间的交通、食宿由投标人自行安排，费用自理。</w:t>
      </w:r>
    </w:p>
    <w:p w14:paraId="7ACE9C36">
      <w:pPr>
        <w:pStyle w:val="6"/>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26" w:name="_Toc7619"/>
      <w:bookmarkStart w:id="27" w:name="_Toc8198"/>
      <w:r>
        <w:rPr>
          <w:rFonts w:hint="eastAsia" w:hAnsi="宋体" w:cs="宋体"/>
          <w:b/>
          <w:snapToGrid w:val="0"/>
          <w:color w:val="auto"/>
          <w:highlight w:val="none"/>
        </w:rPr>
        <w:t>7．招标文件的提问和答疑</w:t>
      </w:r>
      <w:bookmarkEnd w:id="26"/>
      <w:bookmarkEnd w:id="27"/>
      <w:bookmarkStart w:id="28" w:name="_Hlt74496410"/>
      <w:bookmarkEnd w:id="28"/>
    </w:p>
    <w:p w14:paraId="1498B16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lang w:bidi="ar"/>
        </w:rPr>
      </w:pPr>
      <w:r>
        <w:rPr>
          <w:rFonts w:hint="eastAsia" w:hAnsi="宋体" w:cs="宋体"/>
          <w:b/>
          <w:bCs/>
          <w:snapToGrid w:val="0"/>
          <w:color w:val="auto"/>
          <w:kern w:val="0"/>
          <w:highlight w:val="none"/>
        </w:rPr>
        <w:t>7.1</w:t>
      </w:r>
      <w:r>
        <w:rPr>
          <w:rFonts w:hint="eastAsia" w:hAnsi="宋体" w:cs="宋体"/>
          <w:snapToGrid w:val="0"/>
          <w:color w:val="auto"/>
          <w:kern w:val="0"/>
          <w:highlight w:val="none"/>
        </w:rPr>
        <w:t xml:space="preserve"> 投标人若对招标文件有疑问，应在提问截止时间（见本章第二节“重要事项时间地点一览表”）前使用建设工程交易系统提出问题。未在指定时间前、未采用指定方式提出的，招标人不予受理</w:t>
      </w:r>
      <w:r>
        <w:rPr>
          <w:rFonts w:hint="eastAsia" w:hAnsi="宋体" w:cs="宋体"/>
          <w:snapToGrid w:val="0"/>
          <w:color w:val="auto"/>
          <w:kern w:val="0"/>
          <w:szCs w:val="24"/>
          <w:highlight w:val="none"/>
          <w:lang w:bidi="ar"/>
        </w:rPr>
        <w:t>。</w:t>
      </w:r>
    </w:p>
    <w:p w14:paraId="45D1F833">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7.2 </w:t>
      </w:r>
      <w:r>
        <w:rPr>
          <w:rFonts w:hint="eastAsia" w:hAnsi="宋体" w:cs="宋体"/>
          <w:snapToGrid w:val="0"/>
          <w:color w:val="auto"/>
          <w:kern w:val="0"/>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1BD116F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7.3</w:t>
      </w:r>
      <w:r>
        <w:rPr>
          <w:rFonts w:hint="eastAsia" w:hAnsi="宋体" w:cs="宋体"/>
          <w:snapToGrid w:val="0"/>
          <w:color w:val="auto"/>
          <w:kern w:val="0"/>
          <w:highlight w:val="none"/>
        </w:rPr>
        <w:t xml:space="preserve"> 招标人对招标文件所作的答疑（或修改）公告，构成招标文件的组成部分。</w:t>
      </w:r>
    </w:p>
    <w:p w14:paraId="3906303B">
      <w:pPr>
        <w:pStyle w:val="6"/>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highlight w:val="none"/>
        </w:rPr>
      </w:pPr>
      <w:bookmarkStart w:id="29" w:name="_Hlt92513711"/>
      <w:bookmarkEnd w:id="29"/>
      <w:bookmarkStart w:id="30" w:name="_Hlt92513715"/>
      <w:bookmarkEnd w:id="30"/>
      <w:bookmarkStart w:id="31" w:name="_Hlt69699188"/>
      <w:bookmarkEnd w:id="31"/>
      <w:bookmarkStart w:id="32" w:name="_Toc23036"/>
      <w:bookmarkStart w:id="33" w:name="_Toc4159"/>
      <w:r>
        <w:rPr>
          <w:rFonts w:hint="eastAsia" w:hAnsi="宋体" w:cs="宋体"/>
          <w:b/>
          <w:snapToGrid w:val="0"/>
          <w:color w:val="auto"/>
          <w:highlight w:val="none"/>
        </w:rPr>
        <w:t>8．最高投标限价</w:t>
      </w:r>
      <w:bookmarkEnd w:id="32"/>
      <w:bookmarkEnd w:id="33"/>
    </w:p>
    <w:p w14:paraId="64DE536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8.1</w:t>
      </w:r>
      <w:r>
        <w:rPr>
          <w:rFonts w:hint="eastAsia" w:hAnsi="宋体" w:cs="宋体"/>
          <w:snapToGrid w:val="0"/>
          <w:color w:val="auto"/>
          <w:kern w:val="0"/>
          <w:highlight w:val="none"/>
        </w:rPr>
        <w:t xml:space="preserve"> 本招标项目参考以下依据编制最高投标限价：</w:t>
      </w:r>
    </w:p>
    <w:p w14:paraId="0983EF7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（1）项目</w:t>
      </w:r>
      <w:r>
        <w:rPr>
          <w:rFonts w:hint="eastAsia" w:ascii="Times New Roman"/>
          <w:snapToGrid w:val="0"/>
          <w:color w:val="auto"/>
          <w:kern w:val="0"/>
          <w:highlight w:val="none"/>
        </w:rPr>
        <w:t>概算</w:t>
      </w:r>
      <w:r>
        <w:rPr>
          <w:rFonts w:hint="eastAsia" w:hAnsi="宋体" w:cs="宋体"/>
          <w:snapToGrid w:val="0"/>
          <w:color w:val="auto"/>
          <w:kern w:val="0"/>
          <w:highlight w:val="none"/>
        </w:rPr>
        <w:t>投资额；</w:t>
      </w:r>
    </w:p>
    <w:p w14:paraId="1A9F8FD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（2）《建设工程监理与相关服务收费标准》；</w:t>
      </w:r>
    </w:p>
    <w:p w14:paraId="32C2B58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（3）监理及相关服务内容；</w:t>
      </w:r>
    </w:p>
    <w:p w14:paraId="645C97D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（4）施工现场情况、工程特点；</w:t>
      </w:r>
    </w:p>
    <w:p w14:paraId="0439B09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（5）项目所在地市场价格。</w:t>
      </w:r>
    </w:p>
    <w:p w14:paraId="729BA8FC">
      <w:pPr>
        <w:pStyle w:val="41"/>
        <w:keepNext w:val="0"/>
        <w:keepLines w:val="0"/>
        <w:pageBreakBefore w:val="0"/>
        <w:topLinePunct w:val="0"/>
        <w:bidi w:val="0"/>
        <w:spacing w:line="500" w:lineRule="exact"/>
        <w:jc w:val="left"/>
        <w:textAlignment w:val="auto"/>
        <w:rPr>
          <w:rFonts w:hint="eastAsia" w:ascii="宋体" w:hAnsi="宋体" w:eastAsia="宋体" w:cs="宋体"/>
          <w:b/>
          <w:bCs/>
          <w:color w:val="auto"/>
          <w:sz w:val="24"/>
          <w:highlight w:val="none"/>
          <w:u w:val="none"/>
        </w:rPr>
      </w:pPr>
      <w:r>
        <w:rPr>
          <w:rFonts w:hint="eastAsia" w:ascii="宋体" w:hAnsi="宋体" w:cs="宋体"/>
          <w:bCs/>
          <w:snapToGrid w:val="0"/>
          <w:color w:val="auto"/>
          <w:kern w:val="0"/>
          <w:sz w:val="24"/>
          <w:highlight w:val="none"/>
        </w:rPr>
        <w:t xml:space="preserve">  </w:t>
      </w:r>
      <w:r>
        <w:rPr>
          <w:rFonts w:hint="eastAsia" w:ascii="宋体" w:hAnsi="宋体" w:cs="宋体"/>
          <w:b/>
          <w:bCs/>
          <w:snapToGrid w:val="0"/>
          <w:color w:val="auto"/>
          <w:kern w:val="0"/>
          <w:sz w:val="24"/>
          <w:highlight w:val="none"/>
          <w:u w:val="none"/>
        </w:rPr>
        <w:t xml:space="preserve"> 8.2 本次招标最高投标限价为人民币（大写）：</w:t>
      </w:r>
      <w:r>
        <w:rPr>
          <w:rFonts w:hint="eastAsia" w:ascii="宋体" w:hAnsi="宋体" w:cs="宋体"/>
          <w:b/>
          <w:bCs/>
          <w:snapToGrid w:val="0"/>
          <w:color w:val="auto"/>
          <w:kern w:val="0"/>
          <w:sz w:val="24"/>
          <w:highlight w:val="none"/>
          <w:u w:val="single"/>
          <w:lang w:val="en-US" w:eastAsia="zh-CN"/>
        </w:rPr>
        <w:t>壹拾壹万玖仟壹佰捌拾伍元整</w:t>
      </w:r>
      <w:r>
        <w:rPr>
          <w:rFonts w:hint="eastAsia" w:ascii="宋体" w:hAnsi="宋体" w:cs="宋体"/>
          <w:b/>
          <w:bCs/>
          <w:snapToGrid w:val="0"/>
          <w:color w:val="auto"/>
          <w:kern w:val="0"/>
          <w:sz w:val="24"/>
          <w:highlight w:val="none"/>
          <w:u w:val="none"/>
          <w:lang w:val="en-US" w:eastAsia="zh-CN"/>
        </w:rPr>
        <w:t>（小写：¥</w:t>
      </w:r>
      <w:r>
        <w:rPr>
          <w:rFonts w:hint="eastAsia" w:ascii="宋体" w:hAnsi="宋体" w:cs="宋体"/>
          <w:b/>
          <w:bCs/>
          <w:snapToGrid w:val="0"/>
          <w:color w:val="auto"/>
          <w:kern w:val="0"/>
          <w:sz w:val="24"/>
          <w:highlight w:val="none"/>
          <w:u w:val="single"/>
          <w:lang w:val="en-US" w:eastAsia="zh-CN"/>
        </w:rPr>
        <w:t xml:space="preserve"> 119185.00 </w:t>
      </w:r>
      <w:r>
        <w:rPr>
          <w:rFonts w:hint="eastAsia" w:ascii="宋体" w:hAnsi="宋体" w:cs="宋体"/>
          <w:b/>
          <w:bCs/>
          <w:snapToGrid w:val="0"/>
          <w:color w:val="auto"/>
          <w:kern w:val="0"/>
          <w:sz w:val="24"/>
          <w:highlight w:val="none"/>
          <w:u w:val="none"/>
          <w:lang w:val="en-US" w:eastAsia="zh-CN"/>
        </w:rPr>
        <w:t>元）</w:t>
      </w:r>
      <w:r>
        <w:rPr>
          <w:rFonts w:hint="eastAsia" w:ascii="宋体" w:hAnsi="宋体" w:eastAsia="宋体" w:cs="宋体"/>
          <w:b/>
          <w:bCs/>
          <w:snapToGrid w:val="0"/>
          <w:color w:val="auto"/>
          <w:kern w:val="0"/>
          <w:sz w:val="24"/>
          <w:highlight w:val="none"/>
          <w:u w:val="none"/>
          <w:lang w:eastAsia="zh-CN"/>
        </w:rPr>
        <w:t>，监理服务费投标取费费率上限为</w:t>
      </w:r>
      <w:r>
        <w:rPr>
          <w:rFonts w:hint="eastAsia" w:ascii="宋体" w:hAnsi="宋体" w:cs="宋体"/>
          <w:b/>
          <w:bCs/>
          <w:snapToGrid w:val="0"/>
          <w:color w:val="auto"/>
          <w:kern w:val="0"/>
          <w:sz w:val="24"/>
          <w:highlight w:val="none"/>
          <w:u w:val="single"/>
          <w:lang w:val="en-US" w:eastAsia="zh-CN"/>
        </w:rPr>
        <w:t>2.216</w:t>
      </w:r>
      <w:r>
        <w:rPr>
          <w:rFonts w:hint="eastAsia" w:ascii="宋体" w:hAnsi="宋体" w:eastAsia="宋体" w:cs="宋体"/>
          <w:b/>
          <w:bCs/>
          <w:snapToGrid w:val="0"/>
          <w:color w:val="auto"/>
          <w:kern w:val="0"/>
          <w:sz w:val="24"/>
          <w:highlight w:val="none"/>
          <w:u w:val="none"/>
          <w:lang w:eastAsia="zh-CN"/>
        </w:rPr>
        <w:t>%</w:t>
      </w:r>
      <w:r>
        <w:rPr>
          <w:rFonts w:hint="eastAsia" w:ascii="宋体" w:hAnsi="宋体" w:eastAsia="宋体" w:cs="宋体"/>
          <w:b/>
          <w:bCs/>
          <w:snapToGrid w:val="0"/>
          <w:color w:val="auto"/>
          <w:kern w:val="0"/>
          <w:sz w:val="24"/>
          <w:highlight w:val="none"/>
          <w:u w:val="none"/>
        </w:rPr>
        <w:t>。</w:t>
      </w:r>
    </w:p>
    <w:p w14:paraId="08F85732">
      <w:pPr>
        <w:pStyle w:val="6"/>
        <w:keepNext w:val="0"/>
        <w:keepLines w:val="0"/>
        <w:pageBreakBefore w:val="0"/>
        <w:wordWrap w:val="0"/>
        <w:topLinePunct w:val="0"/>
        <w:autoSpaceDE/>
        <w:autoSpaceDN/>
        <w:bidi w:val="0"/>
        <w:snapToGrid w:val="0"/>
        <w:spacing w:line="500" w:lineRule="exact"/>
        <w:ind w:firstLine="482" w:firstLineChars="200"/>
        <w:jc w:val="both"/>
        <w:textAlignment w:val="auto"/>
        <w:outlineLvl w:val="2"/>
        <w:rPr>
          <w:rFonts w:hAnsi="宋体" w:cs="宋体"/>
          <w:b/>
          <w:snapToGrid w:val="0"/>
          <w:color w:val="auto"/>
          <w:highlight w:val="none"/>
        </w:rPr>
      </w:pPr>
      <w:bookmarkStart w:id="34" w:name="_Toc7437"/>
      <w:bookmarkStart w:id="35" w:name="_Toc4086"/>
      <w:r>
        <w:rPr>
          <w:rFonts w:hint="eastAsia" w:hAnsi="宋体" w:cs="宋体"/>
          <w:b/>
          <w:snapToGrid w:val="0"/>
          <w:color w:val="auto"/>
          <w:highlight w:val="none"/>
        </w:rPr>
        <w:t>9．投标报价</w:t>
      </w:r>
      <w:bookmarkEnd w:id="34"/>
      <w:bookmarkEnd w:id="35"/>
      <w:bookmarkStart w:id="36" w:name="_Hlt74498519"/>
      <w:bookmarkEnd w:id="36"/>
    </w:p>
    <w:p w14:paraId="7BFA7456">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9.1</w:t>
      </w:r>
      <w:r>
        <w:rPr>
          <w:rFonts w:hint="eastAsia" w:hAnsi="宋体" w:cs="宋体"/>
          <w:snapToGrid w:val="0"/>
          <w:color w:val="auto"/>
          <w:kern w:val="0"/>
          <w:highlight w:val="none"/>
        </w:rPr>
        <w:t xml:space="preserve"> 本次招标采用填报</w:t>
      </w:r>
      <w:r>
        <w:rPr>
          <w:rFonts w:hint="eastAsia" w:hAnsi="宋体" w:cs="宋体"/>
          <w:snapToGrid w:val="0"/>
          <w:color w:val="auto"/>
          <w:kern w:val="0"/>
          <w:highlight w:val="none"/>
          <w:u w:val="single"/>
        </w:rPr>
        <w:t xml:space="preserve"> 投标报价及取费费率 </w:t>
      </w:r>
      <w:r>
        <w:rPr>
          <w:rFonts w:hint="eastAsia" w:hAnsi="宋体" w:cs="宋体"/>
          <w:snapToGrid w:val="0"/>
          <w:color w:val="auto"/>
          <w:kern w:val="0"/>
          <w:highlight w:val="none"/>
        </w:rPr>
        <w:t>的方式进行报价。投标人应在《投标函》（格式二）中进行报价。</w:t>
      </w:r>
    </w:p>
    <w:p w14:paraId="21C89D7E">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highlight w:val="none"/>
          <w:u w:val="single"/>
        </w:rPr>
      </w:pPr>
      <w:r>
        <w:rPr>
          <w:rFonts w:hint="eastAsia" w:hAnsi="宋体" w:cs="宋体"/>
          <w:b/>
          <w:bCs/>
          <w:snapToGrid w:val="0"/>
          <w:color w:val="auto"/>
          <w:kern w:val="0"/>
          <w:highlight w:val="none"/>
        </w:rPr>
        <w:t>9.2</w:t>
      </w:r>
      <w:r>
        <w:rPr>
          <w:rFonts w:hint="eastAsia" w:hAnsi="宋体" w:cs="宋体"/>
          <w:snapToGrid w:val="0"/>
          <w:color w:val="auto"/>
          <w:kern w:val="0"/>
          <w:highlight w:val="none"/>
        </w:rPr>
        <w:t xml:space="preserve"> 所有报价均以人民币“元”为单位，并保留两位小数。投标取费费率=投标总价÷建安工程费暂定价×100%，并保留</w:t>
      </w:r>
      <w:r>
        <w:rPr>
          <w:rFonts w:hint="eastAsia" w:hAnsi="宋体" w:cs="宋体"/>
          <w:snapToGrid w:val="0"/>
          <w:color w:val="auto"/>
          <w:kern w:val="0"/>
          <w:highlight w:val="none"/>
          <w:lang w:val="en-US" w:eastAsia="zh-CN"/>
        </w:rPr>
        <w:t>三</w:t>
      </w:r>
      <w:r>
        <w:rPr>
          <w:rFonts w:hint="eastAsia" w:hAnsi="宋体" w:cs="宋体"/>
          <w:snapToGrid w:val="0"/>
          <w:color w:val="auto"/>
          <w:kern w:val="0"/>
          <w:highlight w:val="none"/>
        </w:rPr>
        <w:t>位小数。</w:t>
      </w:r>
      <w:r>
        <w:rPr>
          <w:rFonts w:hint="eastAsia" w:hAnsi="宋体" w:cs="宋体"/>
          <w:b/>
          <w:bCs/>
          <w:snapToGrid w:val="0"/>
          <w:color w:val="auto"/>
          <w:kern w:val="0"/>
          <w:highlight w:val="none"/>
          <w:u w:val="single"/>
        </w:rPr>
        <w:t>本项目的建安工程费暂定价为人民币</w:t>
      </w:r>
      <w:r>
        <w:rPr>
          <w:rFonts w:hint="eastAsia" w:hAnsi="宋体" w:cs="宋体"/>
          <w:b/>
          <w:bCs/>
          <w:snapToGrid w:val="0"/>
          <w:color w:val="auto"/>
          <w:kern w:val="0"/>
          <w:highlight w:val="none"/>
          <w:u w:val="single"/>
          <w:lang w:val="en-US" w:eastAsia="zh-CN"/>
        </w:rPr>
        <w:t>537.77万元</w:t>
      </w:r>
      <w:r>
        <w:rPr>
          <w:rFonts w:hint="eastAsia" w:hAnsi="宋体" w:cs="宋体"/>
          <w:b w:val="0"/>
          <w:bCs w:val="0"/>
          <w:snapToGrid w:val="0"/>
          <w:color w:val="auto"/>
          <w:kern w:val="0"/>
          <w:highlight w:val="none"/>
          <w:u w:val="single"/>
        </w:rPr>
        <w:t>。</w:t>
      </w:r>
    </w:p>
    <w:p w14:paraId="1F6DB8B2">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hAnsi="宋体" w:cs="宋体"/>
          <w:b w:val="0"/>
          <w:bCs w:val="0"/>
          <w:snapToGrid w:val="0"/>
          <w:color w:val="auto"/>
          <w:kern w:val="0"/>
          <w:highlight w:val="none"/>
        </w:rPr>
      </w:pPr>
      <w:r>
        <w:rPr>
          <w:rFonts w:hint="eastAsia" w:hAnsi="宋体" w:cs="宋体"/>
          <w:b/>
          <w:bCs/>
          <w:snapToGrid w:val="0"/>
          <w:color w:val="auto"/>
          <w:kern w:val="0"/>
          <w:highlight w:val="none"/>
        </w:rPr>
        <w:t xml:space="preserve">9.3 </w:t>
      </w:r>
      <w:r>
        <w:rPr>
          <w:rFonts w:hint="eastAsia" w:hAnsi="宋体" w:cs="宋体"/>
          <w:b w:val="0"/>
          <w:bCs w:val="0"/>
          <w:snapToGrid w:val="0"/>
          <w:color w:val="auto"/>
          <w:kern w:val="0"/>
          <w:highlight w:val="none"/>
        </w:rPr>
        <w:t>监理服务费结算价在项目的合同价范围内按实结算，即：以施工</w:t>
      </w:r>
      <w:r>
        <w:rPr>
          <w:rFonts w:hint="eastAsia" w:hAnsi="宋体" w:cs="宋体"/>
          <w:b w:val="0"/>
          <w:bCs w:val="0"/>
          <w:snapToGrid w:val="0"/>
          <w:color w:val="auto"/>
          <w:kern w:val="0"/>
          <w:highlight w:val="none"/>
          <w:lang w:val="en-US" w:eastAsia="zh-CN"/>
        </w:rPr>
        <w:t>财审</w:t>
      </w:r>
      <w:r>
        <w:rPr>
          <w:rFonts w:hint="eastAsia" w:hAnsi="宋体" w:cs="宋体"/>
          <w:b w:val="0"/>
          <w:bCs w:val="0"/>
          <w:snapToGrid w:val="0"/>
          <w:color w:val="auto"/>
          <w:kern w:val="0"/>
          <w:highlight w:val="none"/>
        </w:rPr>
        <w:t>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3F602751">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ascii="宋体" w:hAnsi="宋体" w:eastAsia="宋体" w:cs="宋体"/>
          <w:b/>
          <w:bCs/>
          <w:snapToGrid w:val="0"/>
          <w:color w:val="auto"/>
          <w:kern w:val="0"/>
          <w:highlight w:val="none"/>
          <w:lang w:val="en-US" w:eastAsia="zh-CN"/>
        </w:rPr>
        <w:t>9.4</w:t>
      </w:r>
      <w:r>
        <w:rPr>
          <w:rFonts w:hint="eastAsia" w:hAnsi="宋体" w:cs="宋体"/>
          <w:snapToGrid w:val="0"/>
          <w:color w:val="auto"/>
          <w:kern w:val="0"/>
          <w:szCs w:val="24"/>
          <w:highlight w:val="none"/>
          <w:lang w:val="en-US" w:eastAsia="zh-CN"/>
        </w:rPr>
        <w:t xml:space="preserve"> </w:t>
      </w:r>
      <w:r>
        <w:rPr>
          <w:rFonts w:hint="eastAsia" w:hAnsi="宋体" w:cs="宋体"/>
          <w:snapToGrid w:val="0"/>
          <w:color w:val="auto"/>
          <w:kern w:val="0"/>
          <w:szCs w:val="24"/>
          <w:highlight w:val="none"/>
        </w:rPr>
        <w:t>投标人只允许有一个投标总价。投标总价必须同时用大、小写表示，大、小写报价应保持一致，若不一致，以大写报价为准。</w:t>
      </w:r>
    </w:p>
    <w:p w14:paraId="6368BE5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5 </w:t>
      </w:r>
      <w:r>
        <w:rPr>
          <w:rFonts w:hint="eastAsia" w:hAnsi="宋体" w:cs="宋体"/>
          <w:snapToGrid w:val="0"/>
          <w:color w:val="auto"/>
          <w:kern w:val="0"/>
          <w:szCs w:val="24"/>
          <w:highlight w:val="none"/>
        </w:rPr>
        <w:t>投标总价应包括国家规定的增值税税金。本次招标增值税税金按</w:t>
      </w:r>
      <w:r>
        <w:rPr>
          <w:rFonts w:hint="eastAsia" w:hAnsi="宋体" w:cs="宋体"/>
          <w:snapToGrid w:val="0"/>
          <w:color w:val="auto"/>
          <w:kern w:val="0"/>
          <w:szCs w:val="24"/>
          <w:highlight w:val="none"/>
          <w:u w:val="single"/>
        </w:rPr>
        <w:t xml:space="preserve"> 一般 </w:t>
      </w:r>
      <w:r>
        <w:rPr>
          <w:rFonts w:hint="eastAsia" w:hAnsi="宋体" w:cs="宋体"/>
          <w:snapToGrid w:val="0"/>
          <w:color w:val="auto"/>
          <w:kern w:val="0"/>
          <w:szCs w:val="24"/>
          <w:highlight w:val="none"/>
        </w:rPr>
        <w:t>计税方法计算。</w:t>
      </w:r>
    </w:p>
    <w:p w14:paraId="19B4E766">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6 </w:t>
      </w:r>
      <w:r>
        <w:rPr>
          <w:rFonts w:hint="eastAsia" w:ascii="Times New Roman"/>
          <w:snapToGrid w:val="0"/>
          <w:color w:val="auto"/>
          <w:kern w:val="0"/>
          <w:highlight w:val="none"/>
        </w:rPr>
        <w:t>投标总价不得高于最高投标限价，也不得低于成本。</w:t>
      </w:r>
    </w:p>
    <w:p w14:paraId="10121C5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szCs w:val="24"/>
          <w:highlight w:val="none"/>
        </w:rPr>
      </w:pPr>
      <w:r>
        <w:rPr>
          <w:rFonts w:hint="eastAsia" w:hAnsi="宋体" w:cs="宋体"/>
          <w:b/>
          <w:bCs/>
          <w:snapToGrid w:val="0"/>
          <w:color w:val="auto"/>
          <w:kern w:val="0"/>
          <w:szCs w:val="24"/>
          <w:highlight w:val="none"/>
        </w:rPr>
        <w:t>9.</w:t>
      </w:r>
      <w:r>
        <w:rPr>
          <w:rFonts w:hint="eastAsia" w:hAnsi="宋体" w:cs="宋体"/>
          <w:b/>
          <w:bCs/>
          <w:snapToGrid w:val="0"/>
          <w:color w:val="auto"/>
          <w:kern w:val="0"/>
          <w:szCs w:val="24"/>
          <w:highlight w:val="none"/>
          <w:lang w:val="en-US" w:eastAsia="zh-CN"/>
        </w:rPr>
        <w:t xml:space="preserve">7 </w:t>
      </w:r>
      <w:r>
        <w:rPr>
          <w:rFonts w:hint="eastAsia" w:hAnsi="宋体" w:cs="宋体"/>
          <w:snapToGrid w:val="0"/>
          <w:color w:val="auto"/>
          <w:kern w:val="0"/>
          <w:szCs w:val="24"/>
          <w:highlight w:val="none"/>
        </w:rPr>
        <w:t>投标人应充分了解招标项目的总体情况以及影响投标报价的其他要素。</w:t>
      </w:r>
      <w:bookmarkStart w:id="37" w:name="_（十）投标文件的编制、包装、密封"/>
      <w:bookmarkEnd w:id="37"/>
    </w:p>
    <w:p w14:paraId="182D9B17">
      <w:pPr>
        <w:pStyle w:val="6"/>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trike/>
          <w:snapToGrid w:val="0"/>
          <w:color w:val="auto"/>
          <w:szCs w:val="24"/>
          <w:highlight w:val="none"/>
        </w:rPr>
      </w:pPr>
      <w:bookmarkStart w:id="38" w:name="_Toc684"/>
      <w:bookmarkStart w:id="39" w:name="_Toc31873"/>
      <w:r>
        <w:rPr>
          <w:rFonts w:hint="eastAsia" w:hAnsi="宋体" w:cs="宋体"/>
          <w:b/>
          <w:snapToGrid w:val="0"/>
          <w:color w:val="auto"/>
          <w:szCs w:val="24"/>
          <w:highlight w:val="none"/>
        </w:rPr>
        <w:t>10．投标文件的编制</w:t>
      </w:r>
      <w:bookmarkStart w:id="40" w:name="_Hlt69208262"/>
      <w:bookmarkEnd w:id="40"/>
      <w:bookmarkStart w:id="41" w:name="_Hlt69332370"/>
      <w:bookmarkEnd w:id="41"/>
      <w:r>
        <w:rPr>
          <w:rFonts w:hint="eastAsia" w:hAnsi="宋体" w:cs="宋体"/>
          <w:b/>
          <w:snapToGrid w:val="0"/>
          <w:color w:val="auto"/>
          <w:szCs w:val="24"/>
          <w:highlight w:val="none"/>
        </w:rPr>
        <w:t>要求</w:t>
      </w:r>
      <w:bookmarkEnd w:id="38"/>
      <w:bookmarkEnd w:id="39"/>
      <w:bookmarkStart w:id="42" w:name="_Hlt78768224"/>
      <w:bookmarkEnd w:id="42"/>
      <w:bookmarkStart w:id="43" w:name="_Hlt74495594"/>
      <w:bookmarkEnd w:id="43"/>
      <w:bookmarkStart w:id="44" w:name="_Hlt74497202"/>
      <w:bookmarkEnd w:id="44"/>
    </w:p>
    <w:p w14:paraId="41A66317">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snapToGrid w:val="0"/>
          <w:color w:val="auto"/>
          <w:kern w:val="0"/>
          <w:szCs w:val="24"/>
          <w:highlight w:val="none"/>
        </w:rPr>
      </w:pPr>
      <w:r>
        <w:rPr>
          <w:rFonts w:hint="eastAsia" w:hAnsi="宋体" w:cs="宋体"/>
          <w:b/>
          <w:bCs/>
          <w:snapToGrid w:val="0"/>
          <w:color w:val="auto"/>
          <w:kern w:val="0"/>
          <w:szCs w:val="24"/>
          <w:highlight w:val="none"/>
        </w:rPr>
        <w:t>10.1</w:t>
      </w:r>
      <w:r>
        <w:rPr>
          <w:rFonts w:hint="eastAsia" w:hAnsi="宋体" w:cs="宋体"/>
          <w:bCs/>
          <w:snapToGrid w:val="0"/>
          <w:color w:val="auto"/>
          <w:kern w:val="0"/>
          <w:szCs w:val="24"/>
          <w:highlight w:val="none"/>
        </w:rPr>
        <w:t xml:space="preserve"> 一般要求</w:t>
      </w:r>
    </w:p>
    <w:p w14:paraId="35DD415F">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bookmarkStart w:id="45" w:name="_Hlt74496890"/>
      <w:bookmarkEnd w:id="45"/>
      <w:r>
        <w:rPr>
          <w:rFonts w:hint="eastAsia" w:hAnsi="宋体" w:cs="宋体"/>
          <w:snapToGrid w:val="0"/>
          <w:color w:val="auto"/>
          <w:kern w:val="0"/>
          <w:szCs w:val="24"/>
          <w:highlight w:val="none"/>
        </w:rPr>
        <w:t>投标文件应按第五章 投标文件格式规定的内容，投标人提交的投标文件应当使用招标文件所提供的投标文件全部格式。</w:t>
      </w:r>
    </w:p>
    <w:p w14:paraId="467E50B9">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10.1.1</w:t>
      </w:r>
      <w:r>
        <w:rPr>
          <w:rFonts w:hint="eastAsia" w:hAnsi="宋体" w:cs="宋体"/>
          <w:snapToGrid w:val="0"/>
          <w:color w:val="auto"/>
          <w:kern w:val="0"/>
          <w:szCs w:val="24"/>
          <w:highlight w:val="none"/>
        </w:rPr>
        <w:t>投标人必须响应招标文件，并在充分理解招标文件的基础上编制投标文件。因投标文件不符合招标文件的要求而造成的损失和后果，由投标人自行承担。</w:t>
      </w:r>
    </w:p>
    <w:p w14:paraId="59E34259">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10.1.2</w:t>
      </w:r>
      <w:r>
        <w:rPr>
          <w:rFonts w:hint="eastAsia" w:hAnsi="宋体" w:cs="宋体"/>
          <w:snapToGrid w:val="0"/>
          <w:color w:val="auto"/>
          <w:kern w:val="0"/>
          <w:szCs w:val="24"/>
          <w:highlight w:val="none"/>
        </w:rPr>
        <w:t xml:space="preserve"> 投标文件包括商务标书、监理大纲</w:t>
      </w:r>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定标文件三</w:t>
      </w:r>
      <w:r>
        <w:rPr>
          <w:rFonts w:hint="eastAsia" w:hAnsi="宋体" w:cs="宋体"/>
          <w:snapToGrid w:val="0"/>
          <w:color w:val="auto"/>
          <w:kern w:val="0"/>
          <w:szCs w:val="24"/>
          <w:highlight w:val="none"/>
        </w:rPr>
        <w:t>个分册。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韶关市公共资源建设工程交易系统-投标人操作指南》。</w:t>
      </w:r>
    </w:p>
    <w:p w14:paraId="3D5A4502">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w:t>
      </w:r>
      <w:r>
        <w:rPr>
          <w:rFonts w:hint="eastAsia" w:hAnsi="宋体" w:cs="宋体"/>
          <w:snapToGrid w:val="0"/>
          <w:color w:val="auto"/>
          <w:kern w:val="0"/>
          <w:szCs w:val="24"/>
          <w:highlight w:val="none"/>
        </w:rPr>
        <w:t xml:space="preserve"> 投标文件需按以下要求签字、盖章：</w:t>
      </w:r>
    </w:p>
    <w:p w14:paraId="756F2778">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10.1.3.1</w:t>
      </w:r>
      <w:r>
        <w:rPr>
          <w:rFonts w:hint="eastAsia" w:hAnsi="宋体" w:cs="宋体"/>
          <w:snapToGrid w:val="0"/>
          <w:color w:val="auto"/>
          <w:kern w:val="0"/>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0FB42055">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10.1.3.2</w:t>
      </w:r>
      <w:r>
        <w:rPr>
          <w:rFonts w:hint="eastAsia" w:hAnsi="宋体" w:cs="宋体"/>
          <w:snapToGrid w:val="0"/>
          <w:color w:val="auto"/>
          <w:kern w:val="0"/>
          <w:szCs w:val="24"/>
          <w:highlight w:val="none"/>
        </w:rPr>
        <w:t xml:space="preserve"> 投标文件封套、封面、组成内容中凡要求录入投标人名称且注明“盖单位章”处盖单位法人公章（电子印章）。</w:t>
      </w:r>
    </w:p>
    <w:p w14:paraId="02444178">
      <w:pPr>
        <w:pStyle w:val="12"/>
        <w:keepNext w:val="0"/>
        <w:keepLines w:val="0"/>
        <w:pageBreakBefore w:val="0"/>
        <w:wordWrap w:val="0"/>
        <w:topLinePunct w:val="0"/>
        <w:bidi w:val="0"/>
        <w:adjustRightInd w:val="0"/>
        <w:snapToGrid w:val="0"/>
        <w:spacing w:line="500" w:lineRule="exact"/>
        <w:ind w:firstLineChars="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10.1.3.3</w:t>
      </w:r>
      <w:r>
        <w:rPr>
          <w:rFonts w:hint="eastAsia" w:hAnsi="宋体" w:cs="宋体"/>
          <w:snapToGrid w:val="0"/>
          <w:color w:val="auto"/>
          <w:kern w:val="0"/>
          <w:szCs w:val="24"/>
          <w:highlight w:val="none"/>
        </w:rPr>
        <w:t xml:space="preserve"> 投标文件的签字均为签字人本人亲笔署名或签章（电子印章），其余部分的扫描件无须另行签字、盖章。</w:t>
      </w:r>
    </w:p>
    <w:p w14:paraId="1D2984FA">
      <w:pPr>
        <w:keepNext w:val="0"/>
        <w:keepLines w:val="0"/>
        <w:pageBreakBefore w:val="0"/>
        <w:wordWrap w:val="0"/>
        <w:topLinePunct w:val="0"/>
        <w:bidi w:val="0"/>
        <w:adjustRightInd w:val="0"/>
        <w:snapToGrid w:val="0"/>
        <w:spacing w:line="500" w:lineRule="exact"/>
        <w:ind w:firstLine="560"/>
        <w:textAlignment w:val="auto"/>
        <w:rPr>
          <w:rFonts w:hAnsi="宋体" w:cs="宋体"/>
          <w:b/>
          <w:bCs/>
          <w:snapToGrid w:val="0"/>
          <w:color w:val="auto"/>
          <w:kern w:val="0"/>
          <w:szCs w:val="24"/>
          <w:highlight w:val="none"/>
        </w:rPr>
      </w:pPr>
      <w:bookmarkStart w:id="46" w:name="_Toc274313880"/>
      <w:bookmarkStart w:id="47" w:name="_Toc257031159"/>
      <w:r>
        <w:rPr>
          <w:rFonts w:hint="eastAsia" w:hAnsi="宋体" w:cs="宋体"/>
          <w:b/>
          <w:bCs/>
          <w:snapToGrid w:val="0"/>
          <w:color w:val="auto"/>
          <w:kern w:val="0"/>
          <w:szCs w:val="24"/>
          <w:highlight w:val="none"/>
        </w:rPr>
        <w:t>10.2 商务标书的编制要求</w:t>
      </w:r>
      <w:bookmarkEnd w:id="46"/>
      <w:bookmarkEnd w:id="47"/>
    </w:p>
    <w:p w14:paraId="209EADCE">
      <w:pPr>
        <w:keepNext w:val="0"/>
        <w:keepLines w:val="0"/>
        <w:pageBreakBefore w:val="0"/>
        <w:wordWrap w:val="0"/>
        <w:topLinePunct w:val="0"/>
        <w:bidi w:val="0"/>
        <w:adjustRightInd w:val="0"/>
        <w:snapToGrid w:val="0"/>
        <w:spacing w:line="500" w:lineRule="exact"/>
        <w:ind w:firstLine="561"/>
        <w:textAlignment w:val="auto"/>
        <w:rPr>
          <w:rFonts w:hAnsi="宋体" w:cs="宋体"/>
          <w:snapToGrid w:val="0"/>
          <w:color w:val="auto"/>
          <w:kern w:val="0"/>
          <w:szCs w:val="24"/>
          <w:highlight w:val="none"/>
          <w:u w:val="single"/>
        </w:rPr>
      </w:pP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商务标书</w:t>
      </w:r>
      <w:r>
        <w:rPr>
          <w:rFonts w:hint="eastAsia" w:hAnsi="宋体" w:cs="宋体"/>
          <w:snapToGrid w:val="0"/>
          <w:color w:val="auto"/>
          <w:kern w:val="0"/>
          <w:szCs w:val="24"/>
          <w:highlight w:val="none"/>
        </w:rPr>
        <w:t>包括但不限于以下内容：</w:t>
      </w:r>
    </w:p>
    <w:p w14:paraId="48C459DB">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（1）封面（格式一）；</w:t>
      </w:r>
    </w:p>
    <w:p w14:paraId="17B55DC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194BBEE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（3）《投标函》（格式二）；</w:t>
      </w:r>
    </w:p>
    <w:p w14:paraId="4D46548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（4）《各项承诺一览表》（格式三）；</w:t>
      </w:r>
    </w:p>
    <w:p w14:paraId="5F80BBD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（5）《授权委托书》（格式四）；</w:t>
      </w:r>
    </w:p>
    <w:p w14:paraId="48D780F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（6）《法定代表人身份证明》（格式五）；</w:t>
      </w:r>
    </w:p>
    <w:p w14:paraId="6AC6B6C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投标保证缴纳证明（投标人采用投标保证金的，附建设工程交易系统《缴纳投标保证金通知书》页面截图和银行转账单扫描件；采用投标保证担保的，附银行保函扫描件；采用投标保证保险的，附电子保单和《交易平台保证金缴纳信息》页面截图）。</w:t>
      </w:r>
    </w:p>
    <w:p w14:paraId="0EFBD1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（8）《投标人基本情况表》（格式六）及所附资料；</w:t>
      </w:r>
    </w:p>
    <w:p w14:paraId="1B42CD2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（9）《总监理工程师任职声明》（格式七或格式八，由投标人根据拟派总监理工程师任职情况选用）；</w:t>
      </w:r>
    </w:p>
    <w:p w14:paraId="69C941F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（10）《总监理工程师任职项目情况表》（格式九）及所附资料；</w:t>
      </w:r>
    </w:p>
    <w:p w14:paraId="1BB1C9C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（11）《项目监理机构组成人员汇总表》（格式十）；</w:t>
      </w:r>
    </w:p>
    <w:p w14:paraId="44A9562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（12）《总监理工程师简历表》（格式十一）及所附资料；</w:t>
      </w:r>
    </w:p>
    <w:p w14:paraId="18EF2A8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（13）《其他拟派人员简历表》（格式十二）及所附资料；</w:t>
      </w:r>
    </w:p>
    <w:p w14:paraId="74B8BCE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（14）详细评审阶段要求提供的评审资料（详见本节第</w:t>
      </w:r>
      <w:r>
        <w:rPr>
          <w:rFonts w:hint="eastAsia" w:hAnsi="宋体" w:cs="宋体"/>
          <w:b/>
          <w:bCs/>
          <w:snapToGrid w:val="0"/>
          <w:color w:val="auto"/>
          <w:kern w:val="0"/>
          <w:szCs w:val="24"/>
          <w:highlight w:val="none"/>
        </w:rPr>
        <w:t>15.5.1</w:t>
      </w:r>
      <w:r>
        <w:rPr>
          <w:rFonts w:hint="eastAsia" w:hAnsi="宋体" w:cs="宋体"/>
          <w:snapToGrid w:val="0"/>
          <w:color w:val="auto"/>
          <w:kern w:val="0"/>
          <w:szCs w:val="24"/>
          <w:highlight w:val="none"/>
        </w:rPr>
        <w:t>目）；</w:t>
      </w:r>
    </w:p>
    <w:p w14:paraId="65548FB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15）投标人认为有必要补充的其他资料。（例如投标人已经工商变更，但其员工执业资格注册证书上的企业名称未能在投标期间完成变更的书面说明和佐证材料；外省企业所在省、地级市住建部门或其授权的组织（机构）关于企业资质、人员资格有效期自动顺延或延续办理的相关文件等）。</w:t>
      </w:r>
    </w:p>
    <w:p w14:paraId="6FA9E74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10.2.2</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目中所列出的商务标书组成内容中，第（1）至第（13）项所有投标人均应提供。</w:t>
      </w:r>
      <w:r>
        <w:rPr>
          <w:rFonts w:hint="eastAsia" w:hAnsi="宋体" w:cs="宋体"/>
          <w:b/>
          <w:bCs/>
          <w:snapToGrid w:val="0"/>
          <w:color w:val="auto"/>
          <w:kern w:val="0"/>
          <w:szCs w:val="24"/>
          <w:highlight w:val="none"/>
        </w:rPr>
        <w:t>但拟派总监理工程师现阶段未担任任何在施建设工程项目总监理工程师的，无需提供第（10）项内容。</w:t>
      </w:r>
    </w:p>
    <w:p w14:paraId="4EA0BD70">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10.2.3</w:t>
      </w:r>
      <w:r>
        <w:rPr>
          <w:rFonts w:hint="eastAsia" w:hAnsi="宋体" w:cs="宋体"/>
          <w:snapToGrid w:val="0"/>
          <w:color w:val="auto"/>
          <w:kern w:val="0"/>
          <w:szCs w:val="24"/>
          <w:highlight w:val="none"/>
        </w:rPr>
        <w:t xml:space="preserve"> 商务标书的组成内容按本节第</w:t>
      </w:r>
      <w:r>
        <w:rPr>
          <w:rFonts w:hint="eastAsia" w:hAnsi="宋体" w:cs="宋体"/>
          <w:b/>
          <w:bCs/>
          <w:snapToGrid w:val="0"/>
          <w:color w:val="auto"/>
          <w:kern w:val="0"/>
          <w:szCs w:val="24"/>
          <w:highlight w:val="none"/>
        </w:rPr>
        <w:t>10.2.1</w:t>
      </w:r>
      <w:r>
        <w:rPr>
          <w:rFonts w:hint="eastAsia" w:hAnsi="宋体" w:cs="宋体"/>
          <w:snapToGrid w:val="0"/>
          <w:color w:val="auto"/>
          <w:kern w:val="0"/>
          <w:szCs w:val="24"/>
          <w:highlight w:val="none"/>
        </w:rPr>
        <w:t>目规定的顺序整理、编排后，逐页（页码起始从封面开始）连续标记页码。</w:t>
      </w:r>
    </w:p>
    <w:p w14:paraId="5B77C9E7">
      <w:pPr>
        <w:keepNext w:val="0"/>
        <w:keepLines w:val="0"/>
        <w:pageBreakBefore w:val="0"/>
        <w:wordWrap w:val="0"/>
        <w:topLinePunct w:val="0"/>
        <w:bidi w:val="0"/>
        <w:adjustRightInd w:val="0"/>
        <w:snapToGrid w:val="0"/>
        <w:spacing w:line="500" w:lineRule="exact"/>
        <w:ind w:firstLine="48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10.3 监理大纲的编制要求</w:t>
      </w:r>
    </w:p>
    <w:p w14:paraId="5A965037">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
          <w:snapToGrid w:val="0"/>
          <w:color w:val="auto"/>
          <w:kern w:val="0"/>
          <w:szCs w:val="24"/>
          <w:highlight w:val="none"/>
        </w:rPr>
        <w:t>10.3.1</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的编制依据包括且不限于</w:t>
      </w:r>
      <w:r>
        <w:rPr>
          <w:rFonts w:hint="eastAsia" w:hAnsi="宋体" w:cs="宋体"/>
          <w:bCs/>
          <w:snapToGrid w:val="0"/>
          <w:color w:val="auto"/>
          <w:kern w:val="0"/>
          <w:szCs w:val="24"/>
          <w:highlight w:val="none"/>
        </w:rPr>
        <w:t>：</w:t>
      </w:r>
    </w:p>
    <w:p w14:paraId="34E3B350">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（1）招标文件及</w:t>
      </w:r>
      <w:r>
        <w:rPr>
          <w:rFonts w:hint="eastAsia" w:hAnsi="宋体" w:cs="宋体"/>
          <w:snapToGrid w:val="0"/>
          <w:color w:val="auto"/>
          <w:kern w:val="0"/>
          <w:szCs w:val="24"/>
          <w:highlight w:val="none"/>
        </w:rPr>
        <w:t>其答疑（或修改）公告；</w:t>
      </w:r>
    </w:p>
    <w:p w14:paraId="3CC5C04E">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（2）施工现场情况、工程特点；</w:t>
      </w:r>
    </w:p>
    <w:p w14:paraId="0728D743">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（3）相关法律、法规、规定；</w:t>
      </w:r>
    </w:p>
    <w:p w14:paraId="3A40A899">
      <w:pPr>
        <w:keepNext w:val="0"/>
        <w:keepLines w:val="0"/>
        <w:pageBreakBefore w:val="0"/>
        <w:wordWrap w:val="0"/>
        <w:topLinePunct w:val="0"/>
        <w:bidi w:val="0"/>
        <w:adjustRightInd w:val="0"/>
        <w:snapToGrid w:val="0"/>
        <w:spacing w:line="500" w:lineRule="exact"/>
        <w:ind w:firstLine="48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4）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4A8CC213">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snapToGrid w:val="0"/>
          <w:color w:val="auto"/>
          <w:kern w:val="0"/>
          <w:szCs w:val="24"/>
          <w:highlight w:val="none"/>
        </w:rPr>
        <w:t>10.3.2</w:t>
      </w:r>
      <w:r>
        <w:rPr>
          <w:rFonts w:hint="eastAsia" w:hAnsi="宋体" w:cs="宋体"/>
          <w:bCs/>
          <w:snapToGrid w:val="0"/>
          <w:color w:val="auto"/>
          <w:kern w:val="0"/>
          <w:szCs w:val="24"/>
          <w:highlight w:val="none"/>
        </w:rPr>
        <w:t xml:space="preserve"> 监理大纲</w:t>
      </w:r>
      <w:r>
        <w:rPr>
          <w:rFonts w:hint="eastAsia" w:hAnsi="宋体" w:cs="宋体"/>
          <w:snapToGrid w:val="0"/>
          <w:color w:val="auto"/>
          <w:kern w:val="0"/>
          <w:szCs w:val="24"/>
          <w:highlight w:val="none"/>
        </w:rPr>
        <w:t>包括但不限于以下内容：</w:t>
      </w:r>
    </w:p>
    <w:p w14:paraId="0EF7354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（1）封面（格式一）；</w:t>
      </w:r>
    </w:p>
    <w:p w14:paraId="5A40844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（2）目录；</w:t>
      </w:r>
    </w:p>
    <w:p w14:paraId="28314E1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（3）监理工程概况；</w:t>
      </w:r>
    </w:p>
    <w:p w14:paraId="34DF6C2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（4）监理及相关服务的范围、内容；</w:t>
      </w:r>
    </w:p>
    <w:p w14:paraId="669B212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（5）监理及相关服务的依据、目标；</w:t>
      </w:r>
    </w:p>
    <w:p w14:paraId="729D7A4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（6）项目监理机构设置（框图）、岗位职责；</w:t>
      </w:r>
    </w:p>
    <w:p w14:paraId="7BA8674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（7）监理及相关服务的工作程序、方法和制度；</w:t>
      </w:r>
    </w:p>
    <w:p w14:paraId="0E2C6BA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（8）拟投入的监理及相关服务人员；</w:t>
      </w:r>
    </w:p>
    <w:p w14:paraId="079E62E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（9）质量、进度、造价、安全、绿色施工监理措施；</w:t>
      </w:r>
    </w:p>
    <w:p w14:paraId="16B671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（10）合同、信息管理方案；</w:t>
      </w:r>
    </w:p>
    <w:p w14:paraId="02B4437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（11）组织协调内容及措施；</w:t>
      </w:r>
    </w:p>
    <w:p w14:paraId="1E541A3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（12）监理及相关服务的工作重点、难点分析；</w:t>
      </w:r>
    </w:p>
    <w:p w14:paraId="38377DE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（13）对本工程监理及相关服务的合理化建议。</w:t>
      </w:r>
    </w:p>
    <w:p w14:paraId="69D5831B">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10.3.3</w:t>
      </w:r>
      <w:r>
        <w:rPr>
          <w:rFonts w:hint="eastAsia" w:hAnsi="宋体" w:cs="宋体"/>
          <w:snapToGrid w:val="0"/>
          <w:color w:val="auto"/>
          <w:kern w:val="0"/>
          <w:szCs w:val="24"/>
          <w:highlight w:val="none"/>
        </w:rPr>
        <w:t xml:space="preserve"> 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目中所列出的</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组成内容，所有投标人均应提供。</w:t>
      </w:r>
    </w:p>
    <w:p w14:paraId="1EB9B1B5">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rPr>
        <w:t>10.3.4</w:t>
      </w:r>
      <w:r>
        <w:rPr>
          <w:rFonts w:hint="eastAsia" w:hAnsi="宋体" w:cs="宋体"/>
          <w:snapToGrid w:val="0"/>
          <w:color w:val="auto"/>
          <w:kern w:val="0"/>
          <w:szCs w:val="24"/>
          <w:highlight w:val="none"/>
        </w:rPr>
        <w:t xml:space="preserve"> </w:t>
      </w:r>
      <w:r>
        <w:rPr>
          <w:rFonts w:hint="eastAsia" w:hAnsi="宋体" w:cs="宋体"/>
          <w:bCs/>
          <w:snapToGrid w:val="0"/>
          <w:color w:val="auto"/>
          <w:kern w:val="0"/>
          <w:szCs w:val="24"/>
          <w:highlight w:val="none"/>
        </w:rPr>
        <w:t>监理大纲</w:t>
      </w:r>
      <w:r>
        <w:rPr>
          <w:rFonts w:hint="eastAsia" w:hAnsi="宋体" w:cs="宋体"/>
          <w:snapToGrid w:val="0"/>
          <w:color w:val="auto"/>
          <w:kern w:val="0"/>
          <w:szCs w:val="24"/>
          <w:highlight w:val="none"/>
        </w:rPr>
        <w:t>的组成内容按本节第</w:t>
      </w:r>
      <w:r>
        <w:rPr>
          <w:rFonts w:hint="eastAsia" w:hAnsi="宋体" w:cs="宋体"/>
          <w:b/>
          <w:bCs/>
          <w:snapToGrid w:val="0"/>
          <w:color w:val="auto"/>
          <w:kern w:val="0"/>
          <w:szCs w:val="24"/>
          <w:highlight w:val="none"/>
        </w:rPr>
        <w:t>10.3.2</w:t>
      </w:r>
      <w:r>
        <w:rPr>
          <w:rFonts w:hint="eastAsia" w:hAnsi="宋体" w:cs="宋体"/>
          <w:snapToGrid w:val="0"/>
          <w:color w:val="auto"/>
          <w:kern w:val="0"/>
          <w:szCs w:val="24"/>
          <w:highlight w:val="none"/>
        </w:rPr>
        <w:t>目规定的顺序整理、编排后，逐页（页码起始从封面开始）连续标记页码。</w:t>
      </w:r>
    </w:p>
    <w:p w14:paraId="7126D010">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b/>
          <w:bCs/>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w:t>
      </w:r>
      <w:r>
        <w:rPr>
          <w:rFonts w:hint="eastAsia" w:hAnsi="宋体" w:cs="宋体"/>
          <w:b/>
          <w:bCs/>
          <w:snapToGrid w:val="0"/>
          <w:color w:val="auto"/>
          <w:kern w:val="0"/>
          <w:szCs w:val="24"/>
          <w:highlight w:val="none"/>
          <w:lang w:val="en-US" w:eastAsia="zh-CN"/>
        </w:rPr>
        <w:t xml:space="preserve"> 定标文件的编制要求：</w:t>
      </w:r>
    </w:p>
    <w:p w14:paraId="637B509F">
      <w:pPr>
        <w:keepNext w:val="0"/>
        <w:keepLines w:val="0"/>
        <w:pageBreakBefore w:val="0"/>
        <w:wordWrap w:val="0"/>
        <w:topLinePunct w:val="0"/>
        <w:bidi w:val="0"/>
        <w:adjustRightInd w:val="0"/>
        <w:snapToGrid w:val="0"/>
        <w:spacing w:line="500" w:lineRule="exact"/>
        <w:ind w:firstLine="482" w:firstLineChars="200"/>
        <w:textAlignment w:val="auto"/>
        <w:rPr>
          <w:rFonts w:hint="eastAsia" w:hAnsi="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 xml:space="preserve">10.4.1 </w:t>
      </w:r>
      <w:r>
        <w:rPr>
          <w:rFonts w:hint="eastAsia" w:hAnsi="宋体" w:cs="宋体"/>
          <w:snapToGrid w:val="0"/>
          <w:color w:val="auto"/>
          <w:kern w:val="0"/>
          <w:szCs w:val="24"/>
          <w:highlight w:val="none"/>
          <w:lang w:val="en-US" w:eastAsia="zh-CN"/>
        </w:rPr>
        <w:t>定标文件包括但不限于以下内容：</w:t>
      </w:r>
    </w:p>
    <w:p w14:paraId="02C42CC8">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（1）封面（格式一）；</w:t>
      </w:r>
    </w:p>
    <w:p w14:paraId="176C9059">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（2）目录；</w:t>
      </w:r>
    </w:p>
    <w:p w14:paraId="5990ED94">
      <w:pPr>
        <w:keepNext w:val="0"/>
        <w:keepLines w:val="0"/>
        <w:pageBreakBefore w:val="0"/>
        <w:wordWrap w:val="0"/>
        <w:topLinePunct w:val="0"/>
        <w:bidi w:val="0"/>
        <w:adjustRightInd w:val="0"/>
        <w:snapToGrid w:val="0"/>
        <w:spacing w:line="500" w:lineRule="exact"/>
        <w:ind w:firstLine="480" w:firstLineChars="200"/>
        <w:textAlignment w:val="auto"/>
        <w:rPr>
          <w:rFonts w:hint="eastAsia" w:hAnsi="宋体" w:cs="宋体"/>
          <w:snapToGrid w:val="0"/>
          <w:color w:val="auto"/>
          <w:kern w:val="0"/>
          <w:szCs w:val="24"/>
          <w:highlight w:val="none"/>
          <w:lang w:val="en-US" w:eastAsia="zh-CN"/>
        </w:rPr>
      </w:pPr>
      <w:r>
        <w:rPr>
          <w:rFonts w:hint="eastAsia" w:hAnsi="宋体" w:cs="宋体"/>
          <w:snapToGrid w:val="0"/>
          <w:color w:val="auto"/>
          <w:kern w:val="0"/>
          <w:szCs w:val="24"/>
          <w:highlight w:val="none"/>
          <w:lang w:val="en-US" w:eastAsia="zh-CN"/>
        </w:rPr>
        <w:t>（3）定标因素评审资料</w:t>
      </w:r>
      <w:r>
        <w:rPr>
          <w:rFonts w:hint="eastAsia" w:ascii="宋体" w:hAnsi="宋体" w:eastAsia="宋体" w:cs="宋体"/>
          <w:b w:val="0"/>
          <w:bCs w:val="0"/>
          <w:color w:val="auto"/>
          <w:sz w:val="24"/>
          <w:highlight w:val="none"/>
          <w:lang w:val="en-US" w:eastAsia="zh-CN"/>
        </w:rPr>
        <w:t>（投标人根据“评标定标办法”载明的定标因素自行确定）</w:t>
      </w:r>
      <w:r>
        <w:rPr>
          <w:rFonts w:hint="eastAsia" w:hAnsi="宋体" w:cs="宋体"/>
          <w:snapToGrid w:val="0"/>
          <w:color w:val="auto"/>
          <w:kern w:val="0"/>
          <w:szCs w:val="24"/>
          <w:highlight w:val="none"/>
          <w:lang w:val="en-US" w:eastAsia="zh-CN"/>
        </w:rPr>
        <w:t>。</w:t>
      </w:r>
    </w:p>
    <w:p w14:paraId="5C74C3D5">
      <w:pPr>
        <w:keepNext w:val="0"/>
        <w:keepLines w:val="0"/>
        <w:pageBreakBefore w:val="0"/>
        <w:wordWrap w:val="0"/>
        <w:topLinePunct w:val="0"/>
        <w:bidi w:val="0"/>
        <w:adjustRightInd w:val="0"/>
        <w:snapToGrid w:val="0"/>
        <w:spacing w:line="500" w:lineRule="exact"/>
        <w:ind w:firstLine="482" w:firstLineChars="200"/>
        <w:textAlignment w:val="auto"/>
        <w:rPr>
          <w:rFonts w:hint="default" w:hAnsi="宋体" w:eastAsia="宋体" w:cs="宋体"/>
          <w:snapToGrid w:val="0"/>
          <w:color w:val="auto"/>
          <w:kern w:val="0"/>
          <w:szCs w:val="24"/>
          <w:highlight w:val="none"/>
          <w:lang w:val="en-US" w:eastAsia="zh-CN"/>
        </w:rPr>
      </w:pPr>
      <w:r>
        <w:rPr>
          <w:rFonts w:hint="eastAsia" w:ascii="宋体" w:hAnsi="宋体" w:eastAsia="宋体" w:cs="宋体"/>
          <w:b/>
          <w:bCs/>
          <w:snapToGrid w:val="0"/>
          <w:color w:val="auto"/>
          <w:kern w:val="0"/>
          <w:szCs w:val="24"/>
          <w:highlight w:val="none"/>
          <w:lang w:val="en-US" w:eastAsia="zh-CN"/>
        </w:rPr>
        <w:t>10.4.2</w:t>
      </w:r>
      <w:r>
        <w:rPr>
          <w:rFonts w:hint="eastAsia" w:hAnsi="宋体" w:cs="宋体"/>
          <w:snapToGrid w:val="0"/>
          <w:color w:val="auto"/>
          <w:kern w:val="0"/>
          <w:szCs w:val="24"/>
          <w:highlight w:val="none"/>
          <w:lang w:val="en-US" w:eastAsia="zh-CN"/>
        </w:rPr>
        <w:t xml:space="preserve"> 本节第</w:t>
      </w:r>
      <w:r>
        <w:rPr>
          <w:rFonts w:hint="eastAsia" w:ascii="宋体" w:hAnsi="宋体" w:eastAsia="宋体" w:cs="宋体"/>
          <w:b/>
          <w:bCs/>
          <w:snapToGrid w:val="0"/>
          <w:color w:val="auto"/>
          <w:kern w:val="0"/>
          <w:szCs w:val="24"/>
          <w:highlight w:val="none"/>
          <w:lang w:val="en-US" w:eastAsia="zh-CN"/>
        </w:rPr>
        <w:t>10.4.1</w:t>
      </w:r>
      <w:r>
        <w:rPr>
          <w:rFonts w:hint="eastAsia" w:hAnsi="宋体" w:cs="宋体"/>
          <w:snapToGrid w:val="0"/>
          <w:color w:val="auto"/>
          <w:kern w:val="0"/>
          <w:szCs w:val="24"/>
          <w:highlight w:val="none"/>
          <w:lang w:val="en-US" w:eastAsia="zh-CN"/>
        </w:rPr>
        <w:t>目中所列出的组成内容中，第（1）项所有投标人均应提供。</w:t>
      </w:r>
    </w:p>
    <w:p w14:paraId="79A97868">
      <w:pPr>
        <w:pStyle w:val="6"/>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48" w:name="_Toc2864"/>
      <w:bookmarkStart w:id="49" w:name="_Toc24639"/>
      <w:r>
        <w:rPr>
          <w:rFonts w:hint="eastAsia" w:hAnsi="宋体" w:cs="宋体"/>
          <w:b/>
          <w:snapToGrid w:val="0"/>
          <w:color w:val="auto"/>
          <w:szCs w:val="24"/>
          <w:highlight w:val="none"/>
        </w:rPr>
        <w:t>11．</w:t>
      </w:r>
      <w:bookmarkEnd w:id="48"/>
      <w:r>
        <w:rPr>
          <w:rFonts w:hint="eastAsia" w:hAnsi="宋体" w:cs="宋体"/>
          <w:b/>
          <w:snapToGrid w:val="0"/>
          <w:color w:val="auto"/>
          <w:szCs w:val="24"/>
          <w:highlight w:val="none"/>
        </w:rPr>
        <w:t>电子投标</w:t>
      </w:r>
      <w:bookmarkEnd w:id="49"/>
    </w:p>
    <w:p w14:paraId="72F1BB7A">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cs="宋体"/>
          <w:b/>
          <w:bCs/>
          <w:snapToGrid w:val="0"/>
          <w:color w:val="auto"/>
          <w:kern w:val="0"/>
          <w:sz w:val="24"/>
          <w:highlight w:val="none"/>
        </w:rPr>
        <w:t>11.1</w:t>
      </w:r>
      <w:r>
        <w:rPr>
          <w:rFonts w:hint="eastAsia" w:ascii="宋体" w:hAnsi="宋体" w:cs="宋体"/>
          <w:snapToGrid w:val="0"/>
          <w:color w:val="auto"/>
          <w:kern w:val="0"/>
          <w:sz w:val="24"/>
          <w:highlight w:val="none"/>
        </w:rPr>
        <w:t>在建设工程交易系统上传加盖了电子印章的投标文件、录入相关信息及标书页码信息，（页码起始从封面开始）并提交投标标书，提交标书为已加密投标文件。具体操作参</w:t>
      </w:r>
      <w:r>
        <w:rPr>
          <w:rFonts w:hint="eastAsia" w:ascii="宋体" w:hAnsi="宋体" w:eastAsia="宋体" w:cs="宋体"/>
          <w:snapToGrid w:val="0"/>
          <w:color w:val="auto"/>
          <w:kern w:val="0"/>
          <w:sz w:val="24"/>
          <w:highlight w:val="none"/>
        </w:rPr>
        <w:t>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BED457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11.2</w:t>
      </w:r>
      <w:r>
        <w:rPr>
          <w:rFonts w:hint="eastAsia" w:ascii="宋体" w:hAnsi="宋体" w:cs="宋体"/>
          <w:snapToGrid w:val="0"/>
          <w:color w:val="auto"/>
          <w:kern w:val="0"/>
          <w:sz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7EFFAA2A">
      <w:pPr>
        <w:keepNext w:val="0"/>
        <w:keepLines w:val="0"/>
        <w:pageBreakBefore w:val="0"/>
        <w:topLinePunct w:val="0"/>
        <w:bidi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11.3 </w:t>
      </w:r>
      <w:r>
        <w:rPr>
          <w:rFonts w:hint="eastAsia" w:hAnsi="宋体" w:cs="宋体"/>
          <w:snapToGrid w:val="0"/>
          <w:color w:val="auto"/>
          <w:kern w:val="0"/>
          <w:szCs w:val="24"/>
          <w:highlight w:val="none"/>
        </w:rPr>
        <w:t>电子投标解密失败及突发情况的补救</w:t>
      </w:r>
    </w:p>
    <w:p w14:paraId="55067ABC">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11.3.1</w:t>
      </w:r>
      <w:r>
        <w:rPr>
          <w:rFonts w:hint="eastAsia" w:ascii="宋体" w:hAnsi="宋体" w:cs="宋体"/>
          <w:snapToGrid w:val="0"/>
          <w:color w:val="auto"/>
          <w:kern w:val="0"/>
          <w:sz w:val="24"/>
          <w:highlight w:val="none"/>
        </w:rPr>
        <w:t xml:space="preserve">按照交易平台关于全流程电子化项目的相关指南进行操作。详见：全国公共资源交易平台（广东省·韶关市）（https://ygp.gdzwfw.gov.cn/ggzy-portal/#/440200/index）【服务指南】栏目发布的最新版操作指引。  </w:t>
      </w:r>
    </w:p>
    <w:p w14:paraId="0E3EAC08">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11.3.2</w:t>
      </w:r>
      <w:r>
        <w:rPr>
          <w:rFonts w:hint="eastAsia" w:ascii="宋体" w:hAnsi="宋体" w:cs="宋体"/>
          <w:snapToGrid w:val="0"/>
          <w:color w:val="auto"/>
          <w:kern w:val="0"/>
          <w:sz w:val="24"/>
          <w:highlight w:val="none"/>
        </w:rPr>
        <w:t>补救方案：</w:t>
      </w:r>
    </w:p>
    <w:p w14:paraId="0B52C661">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投标文件解密失败的补救方案：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34D20B3C">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评标时突发情况的补救方案：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28F7F60E">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（3）除发生上述情况外，开标评标均以投标人通过交易平台网上提交的电子投标文件为准。</w:t>
      </w:r>
    </w:p>
    <w:p w14:paraId="07C6E646">
      <w:pPr>
        <w:pStyle w:val="6"/>
        <w:keepNext w:val="0"/>
        <w:keepLines w:val="0"/>
        <w:pageBreakBefore w:val="0"/>
        <w:wordWrap w:val="0"/>
        <w:topLinePunct w:val="0"/>
        <w:autoSpaceDE/>
        <w:autoSpaceDN/>
        <w:bidi w:val="0"/>
        <w:snapToGrid w:val="0"/>
        <w:spacing w:line="500" w:lineRule="exact"/>
        <w:ind w:firstLine="480"/>
        <w:jc w:val="both"/>
        <w:textAlignment w:val="auto"/>
        <w:outlineLvl w:val="2"/>
        <w:rPr>
          <w:rFonts w:hAnsi="宋体" w:cs="宋体"/>
          <w:b/>
          <w:snapToGrid w:val="0"/>
          <w:color w:val="auto"/>
          <w:szCs w:val="24"/>
          <w:highlight w:val="none"/>
        </w:rPr>
      </w:pPr>
      <w:bookmarkStart w:id="50" w:name="_Toc13209"/>
      <w:r>
        <w:rPr>
          <w:rFonts w:hint="eastAsia" w:hAnsi="宋体" w:cs="宋体"/>
          <w:b/>
          <w:snapToGrid w:val="0"/>
          <w:color w:val="auto"/>
          <w:szCs w:val="24"/>
          <w:highlight w:val="none"/>
        </w:rPr>
        <w:t>12. 投标文件的提交</w:t>
      </w:r>
      <w:bookmarkEnd w:id="50"/>
    </w:p>
    <w:p w14:paraId="63A3794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12.1</w:t>
      </w:r>
      <w:r>
        <w:rPr>
          <w:rFonts w:hint="eastAsia" w:ascii="宋体" w:hAnsi="宋体" w:cs="宋体"/>
          <w:snapToGrid w:val="0"/>
          <w:color w:val="auto"/>
          <w:kern w:val="0"/>
          <w:sz w:val="24"/>
          <w:highlight w:val="none"/>
        </w:rPr>
        <w:t>在电子投标截止时间前，投标人通过全国公共资源交易平台（广东省·韶关市）提交已加密投标文件。逾期提交的电子投标文件，全国公共资源交易平台（广东省·韶关市）将予以拒收。</w:t>
      </w:r>
    </w:p>
    <w:p w14:paraId="7CF91D7D">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12.2</w:t>
      </w:r>
      <w:r>
        <w:rPr>
          <w:rFonts w:hint="eastAsia" w:ascii="宋体" w:hAnsi="宋体" w:cs="宋体"/>
          <w:snapToGrid w:val="0"/>
          <w:color w:val="auto"/>
          <w:kern w:val="0"/>
          <w:sz w:val="24"/>
          <w:highlight w:val="none"/>
        </w:rPr>
        <w:t>投标文件提交截止时间（同电子投标截止时间）：见本章第二节“重要事项时间地点一览表”。</w:t>
      </w:r>
    </w:p>
    <w:p w14:paraId="348B16E2">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b/>
          <w:bCs/>
          <w:snapToGrid w:val="0"/>
          <w:color w:val="auto"/>
          <w:kern w:val="0"/>
          <w:sz w:val="24"/>
          <w:highlight w:val="none"/>
        </w:rPr>
      </w:pPr>
      <w:r>
        <w:rPr>
          <w:rFonts w:hint="eastAsia" w:ascii="宋体" w:hAnsi="宋体" w:cs="宋体"/>
          <w:b/>
          <w:bCs/>
          <w:snapToGrid w:val="0"/>
          <w:color w:val="auto"/>
          <w:kern w:val="0"/>
          <w:sz w:val="24"/>
          <w:highlight w:val="none"/>
        </w:rPr>
        <w:t>12.3</w:t>
      </w:r>
      <w:r>
        <w:rPr>
          <w:rFonts w:hint="eastAsia" w:ascii="宋体" w:hAnsi="宋体" w:cs="宋体"/>
          <w:snapToGrid w:val="0"/>
          <w:color w:val="auto"/>
          <w:kern w:val="0"/>
          <w:sz w:val="24"/>
          <w:highlight w:val="none"/>
        </w:rPr>
        <w:t>代理机构对因不可抗力事件造成的投标文件的损坏、丢失的，不承担责任。</w:t>
      </w:r>
      <w:r>
        <w:rPr>
          <w:rFonts w:hint="eastAsia" w:ascii="宋体" w:hAnsi="宋体" w:cs="宋体"/>
          <w:b/>
          <w:bCs/>
          <w:snapToGrid w:val="0"/>
          <w:color w:val="auto"/>
          <w:kern w:val="0"/>
          <w:sz w:val="24"/>
          <w:highlight w:val="none"/>
        </w:rPr>
        <w:t xml:space="preserve">  </w:t>
      </w:r>
    </w:p>
    <w:p w14:paraId="16456DE3">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 xml:space="preserve">12.4 </w:t>
      </w:r>
      <w:r>
        <w:rPr>
          <w:rFonts w:hint="eastAsia" w:ascii="宋体" w:hAnsi="宋体" w:cs="宋体"/>
          <w:snapToGrid w:val="0"/>
          <w:color w:val="auto"/>
          <w:kern w:val="0"/>
          <w:sz w:val="24"/>
          <w:highlight w:val="none"/>
        </w:rPr>
        <w:t>投标人法定代表人或其委托代理人（以下简称“投标人代表”）应在指定的时间和地点递交以下的资料</w:t>
      </w:r>
      <w:r>
        <w:rPr>
          <w:rFonts w:hint="eastAsia" w:ascii="宋体" w:hAnsi="宋体" w:cs="宋体"/>
          <w:b/>
          <w:bCs/>
          <w:snapToGrid w:val="0"/>
          <w:color w:val="auto"/>
          <w:kern w:val="0"/>
          <w:sz w:val="24"/>
          <w:highlight w:val="none"/>
        </w:rPr>
        <w:t>（如有）</w:t>
      </w:r>
      <w:r>
        <w:rPr>
          <w:rFonts w:hint="eastAsia" w:ascii="宋体" w:hAnsi="宋体" w:cs="宋体"/>
          <w:snapToGrid w:val="0"/>
          <w:color w:val="auto"/>
          <w:kern w:val="0"/>
          <w:sz w:val="24"/>
          <w:highlight w:val="none"/>
        </w:rPr>
        <w:t>：招标文件要求提交的用于评审的证书、证件、证明原件（附一式</w:t>
      </w:r>
      <w:r>
        <w:rPr>
          <w:rFonts w:hint="eastAsia" w:ascii="宋体" w:hAnsi="宋体" w:cs="宋体"/>
          <w:snapToGrid w:val="0"/>
          <w:color w:val="auto"/>
          <w:kern w:val="0"/>
          <w:sz w:val="24"/>
          <w:highlight w:val="none"/>
          <w:u w:val="single"/>
        </w:rPr>
        <w:t xml:space="preserve"> 两 </w:t>
      </w:r>
      <w:r>
        <w:rPr>
          <w:rFonts w:hint="eastAsia" w:ascii="宋体" w:hAnsi="宋体" w:cs="宋体"/>
          <w:snapToGrid w:val="0"/>
          <w:color w:val="auto"/>
          <w:kern w:val="0"/>
          <w:sz w:val="24"/>
          <w:highlight w:val="none"/>
        </w:rPr>
        <w:t>份清单）。</w:t>
      </w:r>
    </w:p>
    <w:p w14:paraId="513CE89F">
      <w:pPr>
        <w:pStyle w:val="89"/>
        <w:keepNext w:val="0"/>
        <w:keepLines w:val="0"/>
        <w:pageBreakBefore w:val="0"/>
        <w:wordWrap w:val="0"/>
        <w:topLinePunct w:val="0"/>
        <w:bidi w:val="0"/>
        <w:adjustRightInd w:val="0"/>
        <w:snapToGrid w:val="0"/>
        <w:spacing w:line="500" w:lineRule="exact"/>
        <w:ind w:firstLine="482" w:firstLineChars="20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12.5</w:t>
      </w:r>
      <w:r>
        <w:rPr>
          <w:rFonts w:hint="eastAsia" w:ascii="宋体" w:hAnsi="宋体" w:cs="宋体"/>
          <w:snapToGrid w:val="0"/>
          <w:color w:val="auto"/>
          <w:kern w:val="0"/>
          <w:sz w:val="24"/>
          <w:highlight w:val="none"/>
        </w:rPr>
        <w:t>出现下述情形之一，属于未成功提交投标文件，按无效投标处理：</w:t>
      </w:r>
    </w:p>
    <w:p w14:paraId="06E3DFD5">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hint="eastAsia" w:ascii="宋体" w:hAnsi="宋体" w:eastAsia="宋体" w:cs="宋体"/>
          <w:snapToGrid w:val="0"/>
          <w:color w:val="auto"/>
          <w:kern w:val="0"/>
          <w:sz w:val="24"/>
          <w:highlight w:val="none"/>
          <w:lang w:eastAsia="zh-CN"/>
        </w:rPr>
      </w:pPr>
      <w:r>
        <w:rPr>
          <w:rFonts w:hint="eastAsia" w:ascii="宋体" w:hAnsi="宋体" w:cs="宋体"/>
          <w:snapToGrid w:val="0"/>
          <w:color w:val="auto"/>
          <w:kern w:val="0"/>
          <w:sz w:val="24"/>
          <w:highlight w:val="none"/>
        </w:rPr>
        <w:t>（1）至电子投标截止时间时，投标文件未完整上传或未提交投标</w:t>
      </w:r>
      <w:r>
        <w:rPr>
          <w:rFonts w:hint="eastAsia" w:ascii="宋体" w:hAnsi="宋体" w:cs="宋体"/>
          <w:snapToGrid w:val="0"/>
          <w:color w:val="auto"/>
          <w:kern w:val="0"/>
          <w:sz w:val="24"/>
          <w:highlight w:val="none"/>
          <w:lang w:eastAsia="zh-CN"/>
        </w:rPr>
        <w:t>；</w:t>
      </w:r>
    </w:p>
    <w:p w14:paraId="393C44A8">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（2）解密失败且在规定时间内未重新提交投标文件的；</w:t>
      </w:r>
    </w:p>
    <w:p w14:paraId="1C2ECEAF">
      <w:pPr>
        <w:pStyle w:val="89"/>
        <w:keepNext w:val="0"/>
        <w:keepLines w:val="0"/>
        <w:pageBreakBefore w:val="0"/>
        <w:wordWrap w:val="0"/>
        <w:topLinePunct w:val="0"/>
        <w:bidi w:val="0"/>
        <w:adjustRightInd w:val="0"/>
        <w:snapToGrid w:val="0"/>
        <w:spacing w:line="500" w:lineRule="exact"/>
        <w:ind w:firstLine="480" w:firstLineChars="20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lang w:val="en-US" w:eastAsia="zh-CN"/>
        </w:rPr>
        <w:t>3</w:t>
      </w:r>
      <w:r>
        <w:rPr>
          <w:rFonts w:hint="eastAsia" w:ascii="宋体" w:hAnsi="宋体" w:cs="宋体"/>
          <w:snapToGrid w:val="0"/>
          <w:color w:val="auto"/>
          <w:kern w:val="0"/>
          <w:sz w:val="24"/>
          <w:highlight w:val="none"/>
        </w:rPr>
        <w:t>）投标文件损坏或格式不正确的。</w:t>
      </w:r>
    </w:p>
    <w:p w14:paraId="3AC0F6D3">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1" w:name="_Toc3521"/>
      <w:r>
        <w:rPr>
          <w:rFonts w:hint="eastAsia" w:hAnsi="宋体" w:cs="宋体"/>
          <w:b/>
          <w:snapToGrid w:val="0"/>
          <w:color w:val="auto"/>
          <w:kern w:val="0"/>
          <w:szCs w:val="24"/>
          <w:highlight w:val="none"/>
        </w:rPr>
        <w:t>13．投标有效期</w:t>
      </w:r>
      <w:bookmarkEnd w:id="51"/>
    </w:p>
    <w:p w14:paraId="71D92EA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本次招标投标有效期为</w:t>
      </w:r>
      <w:r>
        <w:rPr>
          <w:rFonts w:hint="eastAsia" w:hAnsi="宋体" w:cs="宋体"/>
          <w:snapToGrid w:val="0"/>
          <w:color w:val="auto"/>
          <w:kern w:val="0"/>
          <w:szCs w:val="24"/>
          <w:highlight w:val="none"/>
          <w:u w:val="single"/>
        </w:rPr>
        <w:t xml:space="preserve">  90  </w:t>
      </w:r>
      <w:r>
        <w:rPr>
          <w:rFonts w:hint="eastAsia" w:hAnsi="宋体" w:cs="宋体"/>
          <w:snapToGrid w:val="0"/>
          <w:color w:val="auto"/>
          <w:kern w:val="0"/>
          <w:szCs w:val="24"/>
          <w:highlight w:val="none"/>
        </w:rPr>
        <w:t>个日历天，自招标人或其授权的招标代理机构接收投标人递交的投标文件之日起计。在此期间，投标人不得撤销或修改其投标文件，否则其投标保证不予退还。</w:t>
      </w:r>
    </w:p>
    <w:p w14:paraId="21271E1F">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snapToGrid w:val="0"/>
          <w:color w:val="auto"/>
          <w:kern w:val="0"/>
          <w:szCs w:val="24"/>
          <w:highlight w:val="none"/>
        </w:rPr>
      </w:pPr>
      <w:bookmarkStart w:id="52" w:name="_Toc21206"/>
      <w:r>
        <w:rPr>
          <w:rFonts w:hint="eastAsia" w:hAnsi="宋体" w:cs="宋体"/>
          <w:b/>
          <w:snapToGrid w:val="0"/>
          <w:color w:val="auto"/>
          <w:kern w:val="0"/>
          <w:szCs w:val="24"/>
          <w:highlight w:val="none"/>
        </w:rPr>
        <w:t>14．开标</w:t>
      </w:r>
      <w:bookmarkEnd w:id="52"/>
    </w:p>
    <w:p w14:paraId="36A9A778">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w:t>
      </w:r>
      <w:r>
        <w:rPr>
          <w:rFonts w:hint="eastAsia" w:ascii="宋体" w:hAnsi="宋体" w:cs="宋体"/>
          <w:snapToGrid w:val="0"/>
          <w:color w:val="auto"/>
          <w:kern w:val="0"/>
          <w:sz w:val="24"/>
          <w:highlight w:val="none"/>
        </w:rPr>
        <w:t xml:space="preserve"> 招标人邀请所有正确获取招标文件、电子投标、缴纳投标保证的投标人参加开标，投标人可自主决定是否参加。投标人可登录交易平台观看开标实况、提出异议或进行澄清、确认等操作（具体按招标文件和系统操作手册为准）。投标人不参加开标的，视其默认开标结果，以及放弃在开标期间见证、监督、投诉、申辩的权利。</w:t>
      </w:r>
    </w:p>
    <w:p w14:paraId="773191BB">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14.1.1</w:t>
      </w:r>
      <w:r>
        <w:rPr>
          <w:rFonts w:hint="eastAsia" w:ascii="宋体" w:hAnsi="宋体" w:cs="宋体"/>
          <w:snapToGrid w:val="0"/>
          <w:color w:val="auto"/>
          <w:kern w:val="0"/>
          <w:sz w:val="24"/>
          <w:highlight w:val="none"/>
        </w:rPr>
        <w:t xml:space="preserve"> 开标时间和地点：见本章第二节“重要事项时间地点一览表”。</w:t>
      </w:r>
    </w:p>
    <w:p w14:paraId="4500A2D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b/>
          <w:bCs/>
          <w:snapToGrid w:val="0"/>
          <w:color w:val="auto"/>
          <w:kern w:val="0"/>
          <w:sz w:val="24"/>
          <w:highlight w:val="none"/>
        </w:rPr>
        <w:t>14.1.2</w:t>
      </w:r>
      <w:r>
        <w:rPr>
          <w:rFonts w:hint="eastAsia" w:ascii="宋体" w:hAnsi="宋体" w:cs="宋体"/>
          <w:snapToGrid w:val="0"/>
          <w:color w:val="auto"/>
          <w:kern w:val="0"/>
          <w:sz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3DA94E81">
      <w:pPr>
        <w:pStyle w:val="89"/>
        <w:keepNext w:val="0"/>
        <w:keepLines w:val="0"/>
        <w:pageBreakBefore w:val="0"/>
        <w:wordWrap w:val="0"/>
        <w:topLinePunct w:val="0"/>
        <w:bidi w:val="0"/>
        <w:adjustRightInd w:val="0"/>
        <w:snapToGrid w:val="0"/>
        <w:spacing w:line="500" w:lineRule="exact"/>
        <w:ind w:firstLine="480"/>
        <w:jc w:val="left"/>
        <w:textAlignment w:val="auto"/>
        <w:rPr>
          <w:rFonts w:ascii="宋体" w:hAnsi="宋体" w:cs="宋体"/>
          <w:snapToGrid w:val="0"/>
          <w:color w:val="auto"/>
          <w:kern w:val="0"/>
          <w:sz w:val="24"/>
          <w:highlight w:val="none"/>
        </w:rPr>
      </w:pPr>
      <w:r>
        <w:rPr>
          <w:rFonts w:hint="eastAsia" w:ascii="宋体" w:hAnsi="宋体" w:cs="宋体"/>
          <w:snapToGrid w:val="0"/>
          <w:color w:val="auto"/>
          <w:kern w:val="0"/>
          <w:sz w:val="24"/>
          <w:highlight w:val="none"/>
        </w:rPr>
        <w:t>14.1.3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ED783F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14.2</w:t>
      </w:r>
      <w:r>
        <w:rPr>
          <w:rFonts w:hint="eastAsia" w:hAnsi="宋体" w:cs="宋体"/>
          <w:snapToGrid w:val="0"/>
          <w:color w:val="auto"/>
          <w:kern w:val="0"/>
          <w:szCs w:val="24"/>
          <w:highlight w:val="none"/>
        </w:rPr>
        <w:t xml:space="preserve"> 开标程序</w:t>
      </w:r>
    </w:p>
    <w:p w14:paraId="60A7711B">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（1）主持人（招标人代表或招标人授权的招标代理机构人员）宣读开标纪律。</w:t>
      </w:r>
    </w:p>
    <w:p w14:paraId="7D103B3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（2）主持人宣布唱标人、记录人、见证人、监督人等有关人员姓名。</w:t>
      </w:r>
    </w:p>
    <w:p w14:paraId="48E3927E">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（3）招标代理机构在交易场所工作人员见证下对投标人的电子投标信息进行解密，建设工程交易系统自动生成《投标保证缴纳情况表》和《开标一览表》。</w:t>
      </w:r>
    </w:p>
    <w:p w14:paraId="1E7E204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（4）唱标人检查《投标保证缴纳情况表》中各投标人所缴纳投标保证的金额、有效期是否符合招标文件规定。若不符合规定，该投标人的投标无效。将有关情形在《投标保证缴纳情况表》“备注”栏中注明。</w:t>
      </w:r>
    </w:p>
    <w:p w14:paraId="4DDC415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（5）唱标人检查《开标一览表》中各投标人的投标总价、质量标准、工期是否符合招标文件规定。若不符合规定，招标代理机构应将有关情形在《开标一览表》“备注”栏中注明。</w:t>
      </w:r>
    </w:p>
    <w:p w14:paraId="0B68CA2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（6）投标人代表、招标人代表、唱标人、记录人等有关人员在《投标保证缴纳情况表》以及《开标一览表》上签字确认。</w:t>
      </w:r>
    </w:p>
    <w:p w14:paraId="6B5B1C5D">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（7）主持人宣布有关注意事项后，宣布开标结束。</w:t>
      </w:r>
    </w:p>
    <w:p w14:paraId="7920A604">
      <w:pPr>
        <w:keepNext w:val="0"/>
        <w:keepLines w:val="0"/>
        <w:pageBreakBefore w:val="0"/>
        <w:wordWrap w:val="0"/>
        <w:topLinePunct w:val="0"/>
        <w:bidi w:val="0"/>
        <w:adjustRightInd w:val="0"/>
        <w:snapToGrid w:val="0"/>
        <w:spacing w:line="500" w:lineRule="exact"/>
        <w:ind w:firstLine="482" w:firstLineChars="200"/>
        <w:textAlignment w:val="auto"/>
        <w:rPr>
          <w:rFonts w:ascii="Times New Roman"/>
          <w:snapToGrid w:val="0"/>
          <w:color w:val="auto"/>
          <w:kern w:val="0"/>
          <w:highlight w:val="none"/>
        </w:rPr>
      </w:pPr>
      <w:r>
        <w:rPr>
          <w:rFonts w:hint="eastAsia" w:hAnsi="宋体" w:cs="宋体"/>
          <w:b/>
          <w:bCs/>
          <w:snapToGrid w:val="0"/>
          <w:color w:val="auto"/>
          <w:kern w:val="0"/>
          <w:szCs w:val="24"/>
          <w:highlight w:val="none"/>
        </w:rPr>
        <w:t>备注：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0E18E934">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14.3</w:t>
      </w:r>
      <w:r>
        <w:rPr>
          <w:rFonts w:hint="eastAsia" w:hAnsi="宋体" w:cs="宋体"/>
          <w:snapToGrid w:val="0"/>
          <w:color w:val="auto"/>
          <w:kern w:val="0"/>
          <w:highlight w:val="none"/>
        </w:rPr>
        <w:t xml:space="preserve"> </w:t>
      </w:r>
      <w:r>
        <w:rPr>
          <w:rFonts w:hint="eastAsia" w:hAnsi="宋体" w:cs="宋体"/>
          <w:snapToGrid w:val="0"/>
          <w:color w:val="auto"/>
          <w:kern w:val="0"/>
          <w:szCs w:val="24"/>
          <w:highlight w:val="none"/>
        </w:rPr>
        <w:t>投标人对开标相关事项（如开标程序、投标文件组成和数量、唱标次序和内容等）有异议的，必须在开标期间和开标现场提出，招标人或其授权的招标代理机构应当场作出答复，并记录在案。对开标事项的异议未在开标期间和开标现场提出的，招标人不予受理。</w:t>
      </w:r>
    </w:p>
    <w:p w14:paraId="6D08E7C9">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14.4</w:t>
      </w:r>
      <w:r>
        <w:rPr>
          <w:rFonts w:hint="eastAsia" w:hAnsi="宋体" w:cs="宋体"/>
          <w:snapToGrid w:val="0"/>
          <w:color w:val="auto"/>
          <w:kern w:val="0"/>
          <w:highlight w:val="none"/>
        </w:rPr>
        <w:t xml:space="preserve"> 招标代理机构将资料原件（如有）、《开标一览表》以及其他有关资料移交评标委员会。</w:t>
      </w:r>
    </w:p>
    <w:p w14:paraId="084023D5">
      <w:pPr>
        <w:keepNext w:val="0"/>
        <w:keepLines w:val="0"/>
        <w:pageBreakBefore w:val="0"/>
        <w:wordWrap w:val="0"/>
        <w:topLinePunct w:val="0"/>
        <w:bidi w:val="0"/>
        <w:adjustRightInd w:val="0"/>
        <w:snapToGrid w:val="0"/>
        <w:spacing w:line="500" w:lineRule="exact"/>
        <w:ind w:firstLine="482" w:firstLineChars="200"/>
        <w:textAlignment w:val="auto"/>
        <w:outlineLvl w:val="2"/>
        <w:rPr>
          <w:rFonts w:hAnsi="宋体" w:cs="宋体"/>
          <w:b/>
          <w:snapToGrid w:val="0"/>
          <w:color w:val="auto"/>
          <w:kern w:val="0"/>
          <w:highlight w:val="none"/>
        </w:rPr>
      </w:pPr>
      <w:bookmarkStart w:id="53" w:name="_Hlt127093805"/>
      <w:bookmarkEnd w:id="53"/>
      <w:bookmarkStart w:id="54" w:name="_Toc22622"/>
      <w:r>
        <w:rPr>
          <w:rFonts w:hint="eastAsia" w:hAnsi="宋体" w:cs="宋体"/>
          <w:b/>
          <w:snapToGrid w:val="0"/>
          <w:color w:val="auto"/>
          <w:kern w:val="0"/>
          <w:highlight w:val="none"/>
        </w:rPr>
        <w:t>15．评标</w:t>
      </w:r>
      <w:bookmarkEnd w:id="54"/>
    </w:p>
    <w:p w14:paraId="6EA3193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评标分为初步评审和详细评审两个阶段，由评标委员会在有关部门的监督下，严格按照本招标文件指定的评标方法，对投标人的投标文件进行评审。</w:t>
      </w:r>
    </w:p>
    <w:p w14:paraId="57771A4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bCs/>
          <w:snapToGrid w:val="0"/>
          <w:color w:val="auto"/>
          <w:kern w:val="0"/>
          <w:highlight w:val="none"/>
        </w:rPr>
      </w:pPr>
      <w:r>
        <w:rPr>
          <w:rFonts w:hint="eastAsia" w:hAnsi="宋体" w:cs="宋体"/>
          <w:b/>
          <w:bCs/>
          <w:snapToGrid w:val="0"/>
          <w:color w:val="auto"/>
          <w:kern w:val="0"/>
          <w:highlight w:val="none"/>
        </w:rPr>
        <w:t>15.1</w:t>
      </w:r>
      <w:r>
        <w:rPr>
          <w:rFonts w:hint="eastAsia" w:hAnsi="宋体" w:cs="宋体"/>
          <w:bCs/>
          <w:snapToGrid w:val="0"/>
          <w:color w:val="auto"/>
          <w:kern w:val="0"/>
          <w:highlight w:val="none"/>
        </w:rPr>
        <w:t xml:space="preserve"> 评标委员会</w:t>
      </w:r>
    </w:p>
    <w:p w14:paraId="5942C79C">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b/>
          <w:bCs/>
          <w:snapToGrid w:val="0"/>
          <w:color w:val="auto"/>
          <w:kern w:val="0"/>
          <w:highlight w:val="none"/>
        </w:rPr>
        <w:t>15.1.1</w:t>
      </w:r>
      <w:r>
        <w:rPr>
          <w:rFonts w:hint="eastAsia" w:hAnsi="宋体" w:cs="宋体"/>
          <w:snapToGrid w:val="0"/>
          <w:color w:val="auto"/>
          <w:kern w:val="0"/>
          <w:highlight w:val="none"/>
        </w:rPr>
        <w:t xml:space="preserve"> 评标委员会由</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人组成，其中招标人代表</w:t>
      </w:r>
      <w:r>
        <w:rPr>
          <w:rFonts w:hint="eastAsia" w:hAnsi="宋体" w:cs="宋体"/>
          <w:snapToGrid w:val="0"/>
          <w:color w:val="auto"/>
          <w:kern w:val="0"/>
          <w:highlight w:val="none"/>
          <w:u w:val="single"/>
          <w:lang w:val="en-US" w:eastAsia="zh-CN"/>
        </w:rPr>
        <w:t>0</w:t>
      </w:r>
      <w:r>
        <w:rPr>
          <w:rFonts w:hint="eastAsia" w:hAnsi="宋体" w:cs="宋体"/>
          <w:snapToGrid w:val="0"/>
          <w:color w:val="auto"/>
          <w:kern w:val="0"/>
          <w:highlight w:val="none"/>
        </w:rPr>
        <w:t>人，专家</w:t>
      </w:r>
      <w:r>
        <w:rPr>
          <w:rFonts w:hint="eastAsia" w:hAnsi="宋体" w:cs="宋体"/>
          <w:snapToGrid w:val="0"/>
          <w:color w:val="auto"/>
          <w:kern w:val="0"/>
          <w:highlight w:val="none"/>
          <w:u w:val="single"/>
        </w:rPr>
        <w:t xml:space="preserve"> 5 </w:t>
      </w:r>
      <w:r>
        <w:rPr>
          <w:rFonts w:hint="eastAsia" w:hAnsi="宋体" w:cs="宋体"/>
          <w:snapToGrid w:val="0"/>
          <w:color w:val="auto"/>
          <w:kern w:val="0"/>
          <w:highlight w:val="none"/>
        </w:rPr>
        <w:t>人。专家从广东省综合评标评审专家库</w:t>
      </w:r>
      <w:r>
        <w:rPr>
          <w:rFonts w:hint="eastAsia" w:hAnsi="宋体" w:cs="宋体"/>
          <w:snapToGrid w:val="0"/>
          <w:color w:val="auto"/>
          <w:kern w:val="0"/>
          <w:szCs w:val="24"/>
          <w:highlight w:val="none"/>
          <w:lang w:val="en-US" w:eastAsia="zh-CN"/>
        </w:rPr>
        <w:t>-韶关区域</w:t>
      </w:r>
      <w:r>
        <w:rPr>
          <w:rFonts w:hint="eastAsia" w:hAnsi="宋体" w:cs="宋体"/>
          <w:snapToGrid w:val="0"/>
          <w:color w:val="auto"/>
          <w:kern w:val="0"/>
          <w:highlight w:val="none"/>
        </w:rPr>
        <w:t>中随机抽取，其中技术类专家</w:t>
      </w:r>
      <w:r>
        <w:rPr>
          <w:rFonts w:hint="eastAsia" w:hAnsi="宋体" w:cs="宋体"/>
          <w:snapToGrid w:val="0"/>
          <w:color w:val="auto"/>
          <w:kern w:val="0"/>
          <w:highlight w:val="none"/>
          <w:u w:val="single"/>
        </w:rPr>
        <w:t xml:space="preserve">3 </w:t>
      </w:r>
      <w:r>
        <w:rPr>
          <w:rFonts w:hint="eastAsia" w:hAnsi="宋体" w:cs="宋体"/>
          <w:snapToGrid w:val="0"/>
          <w:color w:val="auto"/>
          <w:kern w:val="0"/>
          <w:highlight w:val="none"/>
        </w:rPr>
        <w:t>人，经济类专家</w:t>
      </w:r>
      <w:r>
        <w:rPr>
          <w:rFonts w:hint="eastAsia" w:hAnsi="宋体" w:cs="宋体"/>
          <w:snapToGrid w:val="0"/>
          <w:color w:val="auto"/>
          <w:kern w:val="0"/>
          <w:highlight w:val="none"/>
          <w:u w:val="single"/>
        </w:rPr>
        <w:t xml:space="preserve"> 2</w:t>
      </w:r>
      <w:r>
        <w:rPr>
          <w:rFonts w:hint="eastAsia" w:hAnsi="宋体" w:cs="宋体"/>
          <w:snapToGrid w:val="0"/>
          <w:color w:val="auto"/>
          <w:kern w:val="0"/>
          <w:highlight w:val="none"/>
        </w:rPr>
        <w:t>人。评标委员会设负责人，由评标委员会成员推举产生。评标委员会负责人与评标委员会的其他成员有同等的表决权。</w:t>
      </w:r>
    </w:p>
    <w:p w14:paraId="60C2BC93">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b/>
          <w:bCs/>
          <w:snapToGrid w:val="0"/>
          <w:color w:val="auto"/>
          <w:kern w:val="0"/>
          <w:highlight w:val="none"/>
        </w:rPr>
        <w:t>15.1.2</w:t>
      </w:r>
      <w:r>
        <w:rPr>
          <w:rFonts w:hint="eastAsia" w:hAnsi="宋体" w:cs="宋体"/>
          <w:snapToGrid w:val="0"/>
          <w:color w:val="auto"/>
          <w:kern w:val="0"/>
          <w:highlight w:val="none"/>
        </w:rPr>
        <w:t xml:space="preserve"> 评标委员会应认真、公正、诚实、廉洁地履行职责。有下列情形之一的，不得担任评标委员会成员：</w:t>
      </w:r>
    </w:p>
    <w:p w14:paraId="3229C8B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（1）投标人或投标人主要负责人的近亲属；</w:t>
      </w:r>
    </w:p>
    <w:p w14:paraId="60059B62">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（2）项目主管部门或者行政监督部门的人员；</w:t>
      </w:r>
    </w:p>
    <w:p w14:paraId="15B3F50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（3）与投标人有经济利益关系，可能影响对投标公正评审的；</w:t>
      </w:r>
    </w:p>
    <w:p w14:paraId="48F180A7">
      <w:pPr>
        <w:keepNext w:val="0"/>
        <w:keepLines w:val="0"/>
        <w:pageBreakBefore w:val="0"/>
        <w:wordWrap w:val="0"/>
        <w:topLinePunct w:val="0"/>
        <w:bidi w:val="0"/>
        <w:adjustRightInd w:val="0"/>
        <w:snapToGrid w:val="0"/>
        <w:spacing w:line="500" w:lineRule="exact"/>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（4）曾因在招标、评标以及其他与招标投标有关活动中从事违法行为而受过行政处罚或刑事处罚的。</w:t>
      </w:r>
    </w:p>
    <w:p w14:paraId="623043D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评标委员会成员有以上情形之一的，应主动提出回避。</w:t>
      </w:r>
    </w:p>
    <w:p w14:paraId="0931A33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15.1.3</w:t>
      </w:r>
      <w:r>
        <w:rPr>
          <w:rFonts w:hint="eastAsia" w:hAnsi="宋体" w:cs="宋体"/>
          <w:snapToGrid w:val="0"/>
          <w:color w:val="auto"/>
          <w:kern w:val="0"/>
          <w:highlight w:val="none"/>
        </w:rPr>
        <w:t xml:space="preserve"> 评标全过程实行封闭式管理，在中标结果公布前，禁止评标委员会成员以任何方式私下接触投标人。</w:t>
      </w:r>
    </w:p>
    <w:p w14:paraId="61E47F7E">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15.1.4</w:t>
      </w:r>
      <w:r>
        <w:rPr>
          <w:rFonts w:hint="eastAsia" w:hAnsi="宋体" w:cs="宋体"/>
          <w:snapToGrid w:val="0"/>
          <w:color w:val="auto"/>
          <w:kern w:val="0"/>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0C0DD49">
      <w:pPr>
        <w:keepNext w:val="0"/>
        <w:keepLines w:val="0"/>
        <w:pageBreakBefore w:val="0"/>
        <w:wordWrap w:val="0"/>
        <w:topLinePunct w:val="0"/>
        <w:bidi w:val="0"/>
        <w:adjustRightInd w:val="0"/>
        <w:snapToGrid w:val="0"/>
        <w:spacing w:line="500" w:lineRule="exact"/>
        <w:ind w:firstLine="562"/>
        <w:textAlignment w:val="auto"/>
        <w:rPr>
          <w:rFonts w:hAnsi="宋体" w:cs="宋体"/>
          <w:b/>
          <w:snapToGrid w:val="0"/>
          <w:color w:val="auto"/>
          <w:kern w:val="0"/>
          <w:szCs w:val="22"/>
          <w:highlight w:val="none"/>
        </w:rPr>
      </w:pPr>
      <w:r>
        <w:rPr>
          <w:rFonts w:hint="eastAsia" w:hAnsi="宋体" w:cs="宋体"/>
          <w:b/>
          <w:bCs/>
          <w:snapToGrid w:val="0"/>
          <w:color w:val="auto"/>
          <w:kern w:val="0"/>
          <w:highlight w:val="none"/>
        </w:rPr>
        <w:t>15.1.5</w:t>
      </w:r>
      <w:r>
        <w:rPr>
          <w:rFonts w:hint="eastAsia" w:hAnsi="宋体" w:cs="宋体"/>
          <w:snapToGrid w:val="0"/>
          <w:color w:val="auto"/>
          <w:kern w:val="0"/>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423CFD1F">
      <w:pPr>
        <w:keepNext w:val="0"/>
        <w:keepLines w:val="0"/>
        <w:pageBreakBefore w:val="0"/>
        <w:wordWrap w:val="0"/>
        <w:topLinePunct w:val="0"/>
        <w:bidi w:val="0"/>
        <w:adjustRightInd w:val="0"/>
        <w:snapToGrid w:val="0"/>
        <w:spacing w:line="500" w:lineRule="exact"/>
        <w:ind w:firstLine="561"/>
        <w:textAlignment w:val="auto"/>
        <w:rPr>
          <w:rFonts w:hAnsi="宋体" w:cs="宋体"/>
          <w:bCs/>
          <w:snapToGrid w:val="0"/>
          <w:color w:val="auto"/>
          <w:kern w:val="0"/>
          <w:highlight w:val="none"/>
        </w:rPr>
      </w:pPr>
      <w:r>
        <w:rPr>
          <w:rFonts w:hint="eastAsia" w:hAnsi="宋体" w:cs="宋体"/>
          <w:b/>
          <w:bCs/>
          <w:snapToGrid w:val="0"/>
          <w:color w:val="auto"/>
          <w:kern w:val="0"/>
          <w:highlight w:val="none"/>
        </w:rPr>
        <w:t>15.2</w:t>
      </w:r>
      <w:r>
        <w:rPr>
          <w:rFonts w:hint="eastAsia" w:hAnsi="宋体" w:cs="宋体"/>
          <w:bCs/>
          <w:snapToGrid w:val="0"/>
          <w:color w:val="auto"/>
          <w:kern w:val="0"/>
          <w:szCs w:val="22"/>
          <w:highlight w:val="none"/>
        </w:rPr>
        <w:t xml:space="preserve"> 评标方法</w:t>
      </w:r>
    </w:p>
    <w:p w14:paraId="41C6F5C9">
      <w:pPr>
        <w:keepNext w:val="0"/>
        <w:keepLines w:val="0"/>
        <w:pageBreakBefore w:val="0"/>
        <w:wordWrap w:val="0"/>
        <w:topLinePunct w:val="0"/>
        <w:bidi w:val="0"/>
        <w:adjustRightInd w:val="0"/>
        <w:snapToGrid w:val="0"/>
        <w:spacing w:line="500" w:lineRule="exact"/>
        <w:ind w:firstLine="562"/>
        <w:textAlignment w:val="auto"/>
        <w:rPr>
          <w:rFonts w:hAnsi="宋体" w:cs="宋体"/>
          <w:i/>
          <w:iCs/>
          <w:snapToGrid w:val="0"/>
          <w:color w:val="auto"/>
          <w:kern w:val="0"/>
          <w:highlight w:val="none"/>
        </w:rPr>
      </w:pPr>
      <w:r>
        <w:rPr>
          <w:rFonts w:hint="eastAsia" w:hAnsi="宋体" w:cs="宋体"/>
          <w:snapToGrid w:val="0"/>
          <w:color w:val="auto"/>
          <w:kern w:val="0"/>
          <w:highlight w:val="none"/>
        </w:rPr>
        <w:t>根据有关法律、法规的相关规定，结合本招标项目资金来源和规模特点，本次招标采用“综合评估法”进行评标。</w:t>
      </w:r>
    </w:p>
    <w:p w14:paraId="284DAF78">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15.3</w:t>
      </w:r>
      <w:r>
        <w:rPr>
          <w:rFonts w:hint="eastAsia" w:hAnsi="宋体" w:cs="宋体"/>
          <w:bCs/>
          <w:snapToGrid w:val="0"/>
          <w:color w:val="auto"/>
          <w:kern w:val="0"/>
          <w:szCs w:val="22"/>
          <w:highlight w:val="none"/>
        </w:rPr>
        <w:t xml:space="preserve"> 评审范围：</w:t>
      </w:r>
      <w:r>
        <w:rPr>
          <w:rFonts w:hint="eastAsia" w:hAnsi="宋体" w:cs="宋体"/>
          <w:snapToGrid w:val="0"/>
          <w:color w:val="auto"/>
          <w:kern w:val="0"/>
          <w:highlight w:val="none"/>
        </w:rPr>
        <w:t>评标委员会应对所有进入评标投标人的投标文件进行评审。</w:t>
      </w:r>
    </w:p>
    <w:p w14:paraId="628310C2">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w:t>
      </w:r>
      <w:r>
        <w:rPr>
          <w:rFonts w:hint="eastAsia" w:hAnsi="宋体" w:cs="宋体"/>
          <w:snapToGrid w:val="0"/>
          <w:color w:val="auto"/>
          <w:kern w:val="0"/>
          <w:highlight w:val="none"/>
        </w:rPr>
        <w:t xml:space="preserve"> 初步评审阶段</w:t>
      </w:r>
    </w:p>
    <w:p w14:paraId="64754F0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初步评审阶段分为资格评审、形式评审和响应性评审三个环节。</w:t>
      </w:r>
    </w:p>
    <w:p w14:paraId="24716141">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15.4.1</w:t>
      </w:r>
      <w:r>
        <w:rPr>
          <w:rFonts w:hint="eastAsia" w:hAnsi="宋体" w:cs="宋体"/>
          <w:snapToGrid w:val="0"/>
          <w:color w:val="auto"/>
          <w:kern w:val="0"/>
          <w:highlight w:val="none"/>
        </w:rPr>
        <w:t xml:space="preserve"> 资格评审环节</w:t>
      </w:r>
    </w:p>
    <w:p w14:paraId="025EF35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资格评审事项包括：</w:t>
      </w:r>
    </w:p>
    <w:p w14:paraId="5001DD5C">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w:t>
      </w:r>
      <w:r>
        <w:rPr>
          <w:rFonts w:hint="eastAsia" w:ascii="宋体" w:hAnsi="宋体" w:eastAsia="宋体" w:cs="宋体"/>
          <w:snapToGrid w:val="0"/>
          <w:color w:val="auto"/>
          <w:kern w:val="0"/>
          <w:sz w:val="24"/>
          <w:szCs w:val="24"/>
          <w:highlight w:val="none"/>
        </w:rPr>
        <w:t>投标人是否符合本章第三节第</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.4条“禁止投标条款”规定。如果“禁止投标条款”包括失信惩戒的，投标人信用信息的获取采用现场实时查询的方式实施。由评标委员会成员登录信用中国网站（https://www.creditchina.gov.cn）进行查询。</w:t>
      </w:r>
    </w:p>
    <w:p w14:paraId="25C22F3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（2）投标人名称是否与营业执照、资质证书一致。</w:t>
      </w:r>
    </w:p>
    <w:p w14:paraId="1F66C27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（3）投标人的资质是否符合招标文件规定；其营业执照、资质证书是否合法、有效。</w:t>
      </w:r>
    </w:p>
    <w:p w14:paraId="259451E9">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投标文件中拟派总监理工程师是否与《开标一览表》一致；拟派总监理工程师的条件是否符合招标文件规定；是否擅自修改、遗漏《总监理工程师任职声明》的实质性内容；拟派总监理工程师现阶段有担任其他在施建设工程项目总监理工程师职务的，任职项目建设单位是否在《</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 xml:space="preserve">》内盖章同意或另行出具了书面同意意见。 </w:t>
      </w:r>
    </w:p>
    <w:p w14:paraId="40D4786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w:t>
      </w:r>
      <w:r>
        <w:rPr>
          <w:rFonts w:hint="eastAsia" w:hAnsi="宋体" w:cs="宋体"/>
          <w:snapToGrid w:val="0"/>
          <w:color w:val="auto"/>
          <w:kern w:val="0"/>
          <w:highlight w:val="none"/>
          <w:lang w:val="en-US" w:eastAsia="zh-CN"/>
        </w:rPr>
        <w:t>5</w:t>
      </w:r>
      <w:r>
        <w:rPr>
          <w:rFonts w:hint="eastAsia" w:hAnsi="宋体" w:cs="宋体"/>
          <w:snapToGrid w:val="0"/>
          <w:color w:val="auto"/>
          <w:kern w:val="0"/>
          <w:highlight w:val="none"/>
        </w:rPr>
        <w:t>）投标人为外省建筑企业的，是否按规定在“进粤企业和人员诚信信息登记平台”录入企业及其拟派往人员相关信息并通过数据规范检查。</w:t>
      </w:r>
    </w:p>
    <w:p w14:paraId="3880F61D">
      <w:pPr>
        <w:keepNext w:val="0"/>
        <w:keepLines w:val="0"/>
        <w:pageBreakBefore w:val="0"/>
        <w:wordWrap w:val="0"/>
        <w:topLinePunct w:val="0"/>
        <w:bidi w:val="0"/>
        <w:adjustRightInd w:val="0"/>
        <w:snapToGrid w:val="0"/>
        <w:spacing w:line="500" w:lineRule="exact"/>
        <w:ind w:firstLine="482" w:firstLineChars="200"/>
        <w:textAlignment w:val="auto"/>
        <w:rPr>
          <w:rFonts w:hAnsi="宋体" w:cs="宋体"/>
          <w:snapToGrid w:val="0"/>
          <w:color w:val="auto"/>
          <w:kern w:val="0"/>
          <w:highlight w:val="none"/>
        </w:rPr>
      </w:pPr>
      <w:r>
        <w:rPr>
          <w:rFonts w:hint="eastAsia" w:hAnsi="宋体" w:cs="宋体"/>
          <w:b/>
          <w:bCs/>
          <w:snapToGrid w:val="0"/>
          <w:color w:val="auto"/>
          <w:kern w:val="0"/>
          <w:highlight w:val="none"/>
        </w:rPr>
        <w:t>15.4.2</w:t>
      </w:r>
      <w:r>
        <w:rPr>
          <w:rFonts w:hint="eastAsia" w:hAnsi="宋体" w:cs="宋体"/>
          <w:snapToGrid w:val="0"/>
          <w:color w:val="auto"/>
          <w:kern w:val="0"/>
          <w:highlight w:val="none"/>
        </w:rPr>
        <w:t xml:space="preserve"> 形式评审环节</w:t>
      </w:r>
    </w:p>
    <w:p w14:paraId="31C3FB62">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形式评审事项包括：</w:t>
      </w:r>
    </w:p>
    <w:p w14:paraId="34BAB71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（1）各分册是否按招标文件规定加盖电子印章。</w:t>
      </w:r>
    </w:p>
    <w:p w14:paraId="34D0638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（2）本节第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”的组成内容（包括该组成内容的所附资料）是否完整、齐全。</w:t>
      </w:r>
    </w:p>
    <w:p w14:paraId="52F49B4C">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15.4.3</w:t>
      </w:r>
      <w:r>
        <w:rPr>
          <w:rFonts w:hint="eastAsia" w:hAnsi="宋体" w:cs="宋体"/>
          <w:snapToGrid w:val="0"/>
          <w:color w:val="auto"/>
          <w:kern w:val="0"/>
          <w:highlight w:val="none"/>
        </w:rPr>
        <w:t xml:space="preserve"> 响应性评审环节</w:t>
      </w:r>
    </w:p>
    <w:p w14:paraId="6152F2A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响应性评审事项包括：</w:t>
      </w:r>
    </w:p>
    <w:p w14:paraId="3B18108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（1）投标有效期、监理及相关服务期限等是否响应招标文件实质性要求；是否擅自修改、遗漏《投标函》《各项承诺一览表》的实质性内容。</w:t>
      </w:r>
    </w:p>
    <w:p w14:paraId="20F6D749">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（2）投标总价是否唯一；投标总价是否超出最高投标限价。</w:t>
      </w:r>
    </w:p>
    <w:p w14:paraId="6D8D3B02">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（3）监理大纲中的监理及相关服务的范围、内容、目标是否符合招标文件规定。</w:t>
      </w:r>
    </w:p>
    <w:p w14:paraId="0D7CB7D7">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b/>
          <w:bCs/>
          <w:snapToGrid w:val="0"/>
          <w:color w:val="auto"/>
          <w:kern w:val="0"/>
          <w:highlight w:val="none"/>
        </w:rPr>
        <w:t>15.4.4</w:t>
      </w:r>
      <w:r>
        <w:rPr>
          <w:rFonts w:hint="eastAsia" w:hAnsi="宋体" w:cs="宋体"/>
          <w:snapToGrid w:val="0"/>
          <w:color w:val="auto"/>
          <w:kern w:val="0"/>
          <w:highlight w:val="none"/>
        </w:rPr>
        <w:t xml:space="preserve"> 否决投标说明</w:t>
      </w:r>
    </w:p>
    <w:p w14:paraId="717AAFB5">
      <w:pPr>
        <w:keepNext w:val="0"/>
        <w:keepLines w:val="0"/>
        <w:pageBreakBefore w:val="0"/>
        <w:wordWrap w:val="0"/>
        <w:topLinePunct w:val="0"/>
        <w:bidi w:val="0"/>
        <w:adjustRightInd w:val="0"/>
        <w:snapToGrid w:val="0"/>
        <w:spacing w:line="500" w:lineRule="exact"/>
        <w:ind w:firstLine="562"/>
        <w:textAlignment w:val="auto"/>
        <w:rPr>
          <w:rFonts w:hAnsi="宋体" w:cs="宋体"/>
          <w:snapToGrid w:val="0"/>
          <w:color w:val="auto"/>
          <w:kern w:val="0"/>
          <w:highlight w:val="none"/>
        </w:rPr>
      </w:pPr>
      <w:r>
        <w:rPr>
          <w:rFonts w:hint="eastAsia" w:hAnsi="宋体" w:cs="宋体"/>
          <w:snapToGrid w:val="0"/>
          <w:color w:val="auto"/>
          <w:kern w:val="0"/>
          <w:highlight w:val="none"/>
        </w:rPr>
        <w:t>初步评审阶段各个环节否决投标的全部条件，在本章第四节“否决投标条件”第</w:t>
      </w:r>
      <w:r>
        <w:rPr>
          <w:rFonts w:hint="eastAsia" w:hAnsi="宋体" w:cs="宋体"/>
          <w:b/>
          <w:bCs/>
          <w:snapToGrid w:val="0"/>
          <w:color w:val="auto"/>
          <w:kern w:val="0"/>
          <w:highlight w:val="none"/>
        </w:rPr>
        <w:t>1</w:t>
      </w:r>
      <w:r>
        <w:rPr>
          <w:rFonts w:hint="eastAsia" w:hAnsi="宋体" w:cs="宋体"/>
          <w:snapToGrid w:val="0"/>
          <w:color w:val="auto"/>
          <w:kern w:val="0"/>
          <w:highlight w:val="none"/>
        </w:rPr>
        <w:t>条至第</w:t>
      </w:r>
      <w:r>
        <w:rPr>
          <w:rFonts w:hint="eastAsia" w:hAnsi="宋体" w:cs="宋体"/>
          <w:b/>
          <w:bCs/>
          <w:snapToGrid w:val="0"/>
          <w:color w:val="auto"/>
          <w:kern w:val="0"/>
          <w:highlight w:val="none"/>
        </w:rPr>
        <w:t>4</w:t>
      </w:r>
      <w:r>
        <w:rPr>
          <w:rFonts w:hint="eastAsia" w:hAnsi="宋体" w:cs="宋体"/>
          <w:snapToGrid w:val="0"/>
          <w:color w:val="auto"/>
          <w:kern w:val="0"/>
          <w:highlight w:val="none"/>
        </w:rPr>
        <w:t>条中集中列示。投标人有其中所列任何一种情形的，由评标委员会否决其投标。在初步评审阶段任何环节被否决的投标，不进入下一环节（或阶段）评审。经初步评审后，若所有投标均被否决，招标人应当依法重新招标。</w:t>
      </w:r>
    </w:p>
    <w:p w14:paraId="4F691C7F">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w:t>
      </w:r>
      <w:r>
        <w:rPr>
          <w:rFonts w:hint="eastAsia" w:hAnsi="宋体" w:cs="宋体"/>
          <w:snapToGrid w:val="0"/>
          <w:color w:val="auto"/>
          <w:kern w:val="0"/>
          <w:highlight w:val="none"/>
        </w:rPr>
        <w:t xml:space="preserve"> 详细评审</w:t>
      </w:r>
      <w:bookmarkStart w:id="55" w:name="_Hlt121629839"/>
      <w:r>
        <w:rPr>
          <w:rFonts w:hint="eastAsia" w:hAnsi="宋体" w:cs="宋体"/>
          <w:snapToGrid w:val="0"/>
          <w:color w:val="auto"/>
          <w:kern w:val="0"/>
          <w:highlight w:val="none"/>
        </w:rPr>
        <w:t>阶段</w:t>
      </w:r>
    </w:p>
    <w:p w14:paraId="7AA415AA">
      <w:pPr>
        <w:keepNext w:val="0"/>
        <w:keepLines w:val="0"/>
        <w:pageBreakBefore w:val="0"/>
        <w:wordWrap w:val="0"/>
        <w:topLinePunct w:val="0"/>
        <w:bidi w:val="0"/>
        <w:adjustRightInd w:val="0"/>
        <w:snapToGrid w:val="0"/>
        <w:spacing w:line="500" w:lineRule="exact"/>
        <w:textAlignment w:val="auto"/>
        <w:rPr>
          <w:rFonts w:hAnsi="宋体" w:cs="宋体"/>
          <w:snapToGrid w:val="0"/>
          <w:color w:val="auto"/>
          <w:kern w:val="0"/>
          <w:highlight w:val="none"/>
        </w:rPr>
      </w:pPr>
      <w:r>
        <w:rPr>
          <w:rFonts w:hint="eastAsia" w:hAnsi="宋体" w:cs="宋体"/>
          <w:b/>
          <w:bCs/>
          <w:snapToGrid w:val="0"/>
          <w:color w:val="auto"/>
          <w:kern w:val="0"/>
          <w:highlight w:val="none"/>
        </w:rPr>
        <w:t xml:space="preserve">    15.5.1</w:t>
      </w:r>
      <w:r>
        <w:rPr>
          <w:rFonts w:hint="eastAsia" w:hAnsi="宋体" w:cs="宋体"/>
          <w:bCs/>
          <w:snapToGrid w:val="0"/>
          <w:color w:val="auto"/>
          <w:kern w:val="0"/>
          <w:highlight w:val="none"/>
        </w:rPr>
        <w:t xml:space="preserve"> “综合评估法”评审程序</w:t>
      </w:r>
    </w:p>
    <w:p w14:paraId="74C9E74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评审内容分为商务、技术和投标报价三大部分，综合得分满分为100分。其中，商务满分为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50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分，技术满分为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20</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分，投标报价部分满分为</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3</w:t>
      </w:r>
      <w:r>
        <w:rPr>
          <w:rFonts w:hint="eastAsia" w:hAnsi="宋体" w:cs="宋体"/>
          <w:snapToGrid w:val="0"/>
          <w:color w:val="auto"/>
          <w:kern w:val="0"/>
          <w:highlight w:val="none"/>
          <w:u w:val="single"/>
        </w:rPr>
        <w:t xml:space="preserve">0 </w:t>
      </w:r>
      <w:r>
        <w:rPr>
          <w:rFonts w:hint="eastAsia" w:hAnsi="宋体" w:cs="宋体"/>
          <w:snapToGrid w:val="0"/>
          <w:color w:val="auto"/>
          <w:kern w:val="0"/>
          <w:highlight w:val="none"/>
        </w:rPr>
        <w:t>分。</w:t>
      </w:r>
    </w:p>
    <w:p w14:paraId="49097322">
      <w:pPr>
        <w:keepNext w:val="0"/>
        <w:keepLines w:val="0"/>
        <w:pageBreakBefore w:val="0"/>
        <w:wordWrap w:val="0"/>
        <w:topLinePunct w:val="0"/>
        <w:bidi w:val="0"/>
        <w:adjustRightInd w:val="0"/>
        <w:snapToGrid w:val="0"/>
        <w:spacing w:line="500" w:lineRule="exact"/>
        <w:ind w:firstLine="480"/>
        <w:textAlignment w:val="auto"/>
        <w:rPr>
          <w:rFonts w:hAnsi="宋体" w:cs="宋体"/>
          <w:snapToGrid w:val="0"/>
          <w:color w:val="auto"/>
          <w:kern w:val="0"/>
          <w:highlight w:val="none"/>
        </w:rPr>
      </w:pPr>
      <w:r>
        <w:rPr>
          <w:rFonts w:hint="eastAsia" w:hAnsi="宋体" w:cs="宋体"/>
          <w:snapToGrid w:val="0"/>
          <w:color w:val="auto"/>
          <w:kern w:val="0"/>
          <w:highlight w:val="none"/>
        </w:rPr>
        <w:t>除特别注明外，综合得分以及商务、技术、投标报价得分的中间过程计算值和最终值，均按“四舍五入”原则精确到两位小数。</w:t>
      </w:r>
    </w:p>
    <w:p w14:paraId="5D5F80A8">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（1）商务得分M</w:t>
      </w:r>
      <w:r>
        <w:rPr>
          <w:rFonts w:hint="eastAsia" w:hAnsi="宋体" w:cs="宋体"/>
          <w:snapToGrid w:val="0"/>
          <w:color w:val="auto"/>
          <w:kern w:val="0"/>
          <w:highlight w:val="none"/>
          <w:vertAlign w:val="subscript"/>
        </w:rPr>
        <w:t>1</w:t>
      </w:r>
    </w:p>
    <w:p w14:paraId="7D776785">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评标委员会按照《综合评分表》商务部分指定的评分标准对各评分因素进行打分。各评分因素得分之和即为某投标人的商务得分M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w:t>
      </w:r>
    </w:p>
    <w:p w14:paraId="23498F90">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（2）技术得分M</w:t>
      </w:r>
      <w:r>
        <w:rPr>
          <w:rFonts w:hint="eastAsia" w:hAnsi="宋体" w:cs="宋体"/>
          <w:snapToGrid w:val="0"/>
          <w:color w:val="auto"/>
          <w:kern w:val="0"/>
          <w:highlight w:val="none"/>
          <w:vertAlign w:val="subscript"/>
        </w:rPr>
        <w:t>2</w:t>
      </w:r>
    </w:p>
    <w:p w14:paraId="47A40284">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评标委员会各成员独立按照《综合评分表》技术部分（监理大纲）指定的评分标准对各评分因素进行打分，累加后得出技术评分。将评标委员会所有成员的技术评分去掉一个最高分和一个最低分后，取算术平均值，即为某投标人的技术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w:t>
      </w:r>
    </w:p>
    <w:p w14:paraId="13AF2206">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（3）投标报价得分M</w:t>
      </w:r>
      <w:r>
        <w:rPr>
          <w:rFonts w:hint="eastAsia" w:hAnsi="宋体" w:cs="宋体"/>
          <w:snapToGrid w:val="0"/>
          <w:color w:val="auto"/>
          <w:kern w:val="0"/>
          <w:highlight w:val="none"/>
          <w:vertAlign w:val="subscript"/>
        </w:rPr>
        <w:t>3</w:t>
      </w:r>
    </w:p>
    <w:p w14:paraId="5274240F">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a．评标委员会按照《综合评分表》投标报价部分指定的方法计算评标基准价D。</w:t>
      </w:r>
    </w:p>
    <w:p w14:paraId="00B3E84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b．采用内插法计算某投标人的投标报价得分M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，即当投标人的投标总价等于评标基准价时得满分，每高于评标基准价一个百分点扣</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分, 每低于评标基准价一个百分点扣0.</w:t>
      </w:r>
      <w:r>
        <w:rPr>
          <w:rFonts w:hint="eastAsia" w:hAnsi="宋体" w:cs="宋体"/>
          <w:snapToGrid w:val="0"/>
          <w:color w:val="auto"/>
          <w:kern w:val="0"/>
          <w:highlight w:val="none"/>
          <w:lang w:val="en-US" w:eastAsia="zh-CN"/>
        </w:rPr>
        <w:t>3</w:t>
      </w:r>
      <w:r>
        <w:rPr>
          <w:rFonts w:hint="eastAsia" w:hAnsi="宋体" w:cs="宋体"/>
          <w:snapToGrid w:val="0"/>
          <w:color w:val="auto"/>
          <w:kern w:val="0"/>
          <w:highlight w:val="none"/>
        </w:rPr>
        <w:t>分，扣完为止。公式如下：</w:t>
      </w:r>
    </w:p>
    <w:p w14:paraId="3641A7FA">
      <w:pPr>
        <w:keepNext w:val="0"/>
        <w:keepLines w:val="0"/>
        <w:pageBreakBefore w:val="0"/>
        <w:wordWrap w:val="0"/>
        <w:topLinePunct w:val="0"/>
        <w:bidi w:val="0"/>
        <w:adjustRightInd w:val="0"/>
        <w:snapToGrid w:val="0"/>
        <w:spacing w:line="500" w:lineRule="exact"/>
        <w:ind w:firstLine="480" w:firstLineChars="200"/>
        <w:jc w:val="center"/>
        <w:textAlignment w:val="auto"/>
        <w:rPr>
          <w:rFonts w:hAnsi="宋体" w:cs="宋体"/>
          <w:snapToGrid w:val="0"/>
          <w:color w:val="auto"/>
          <w:kern w:val="0"/>
          <w:highlight w:val="none"/>
        </w:rPr>
      </w:pP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r>
        <w:rPr>
          <w:rFonts w:hint="eastAsia" w:hAnsi="宋体" w:cs="宋体"/>
          <w:snapToGrid w:val="0"/>
          <w:color w:val="auto"/>
          <w:kern w:val="0"/>
          <w:highlight w:val="none"/>
        </w:rPr>
        <w:t>＝投标报价满分－（|Di－D|÷D）×100×E</w:t>
      </w:r>
    </w:p>
    <w:p w14:paraId="7D5BE617">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式中：D为评标基准价，Di为某投标人的投标总价；</w:t>
      </w:r>
    </w:p>
    <w:p w14:paraId="4D67AE7A">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E为扣分因子。当Di＞D时，E＝</w:t>
      </w:r>
      <w:r>
        <w:rPr>
          <w:rFonts w:hint="eastAsia" w:hAnsi="宋体" w:cs="宋体"/>
          <w:snapToGrid w:val="0"/>
          <w:color w:val="auto"/>
          <w:kern w:val="0"/>
          <w:highlight w:val="none"/>
          <w:lang w:val="en-US" w:eastAsia="zh-CN"/>
        </w:rPr>
        <w:t>0.5</w:t>
      </w:r>
      <w:r>
        <w:rPr>
          <w:rFonts w:hint="eastAsia" w:hAnsi="宋体" w:cs="宋体"/>
          <w:snapToGrid w:val="0"/>
          <w:color w:val="auto"/>
          <w:kern w:val="0"/>
          <w:highlight w:val="none"/>
        </w:rPr>
        <w:t>；当Di＜D时，E＝</w:t>
      </w:r>
      <w:r>
        <w:rPr>
          <w:rFonts w:hint="eastAsia" w:hAnsi="宋体" w:cs="宋体"/>
          <w:snapToGrid w:val="0"/>
          <w:color w:val="auto"/>
          <w:kern w:val="0"/>
          <w:highlight w:val="none"/>
          <w:lang w:val="en-US" w:eastAsia="zh-CN"/>
        </w:rPr>
        <w:t>0.3</w:t>
      </w:r>
      <w:r>
        <w:rPr>
          <w:rFonts w:hint="eastAsia" w:hAnsi="宋体" w:cs="宋体"/>
          <w:snapToGrid w:val="0"/>
          <w:color w:val="auto"/>
          <w:kern w:val="0"/>
          <w:highlight w:val="none"/>
        </w:rPr>
        <w:t>。</w:t>
      </w:r>
    </w:p>
    <w:p w14:paraId="0EFE1443">
      <w:pPr>
        <w:keepNext w:val="0"/>
        <w:keepLines w:val="0"/>
        <w:pageBreakBefore w:val="0"/>
        <w:wordWrap w:val="0"/>
        <w:topLinePunct w:val="0"/>
        <w:bidi w:val="0"/>
        <w:adjustRightInd w:val="0"/>
        <w:snapToGrid w:val="0"/>
        <w:spacing w:line="500" w:lineRule="exact"/>
        <w:ind w:firstLine="480" w:firstLineChars="200"/>
        <w:textAlignment w:val="auto"/>
        <w:rPr>
          <w:rFonts w:hAnsi="宋体" w:cs="宋体"/>
          <w:snapToGrid w:val="0"/>
          <w:color w:val="auto"/>
          <w:kern w:val="0"/>
          <w:highlight w:val="none"/>
        </w:rPr>
      </w:pPr>
      <w:r>
        <w:rPr>
          <w:rFonts w:hint="eastAsia" w:hAnsi="宋体" w:cs="宋体"/>
          <w:snapToGrid w:val="0"/>
          <w:color w:val="auto"/>
          <w:kern w:val="0"/>
          <w:highlight w:val="none"/>
        </w:rPr>
        <w:t>（4）综合得分M</w:t>
      </w:r>
    </w:p>
    <w:p w14:paraId="245E1952">
      <w:pPr>
        <w:keepNext w:val="0"/>
        <w:keepLines w:val="0"/>
        <w:pageBreakBefore w:val="0"/>
        <w:wordWrap w:val="0"/>
        <w:topLinePunct w:val="0"/>
        <w:bidi w:val="0"/>
        <w:adjustRightInd w:val="0"/>
        <w:snapToGrid w:val="0"/>
        <w:spacing w:line="500" w:lineRule="exact"/>
        <w:jc w:val="center"/>
        <w:textAlignment w:val="auto"/>
        <w:rPr>
          <w:rFonts w:hAnsi="宋体" w:cs="宋体"/>
          <w:snapToGrid w:val="0"/>
          <w:color w:val="auto"/>
          <w:kern w:val="0"/>
          <w:highlight w:val="none"/>
        </w:rPr>
      </w:pPr>
      <w:r>
        <w:rPr>
          <w:rFonts w:hint="eastAsia" w:hAnsi="宋体" w:cs="宋体"/>
          <w:snapToGrid w:val="0"/>
          <w:color w:val="auto"/>
          <w:kern w:val="0"/>
          <w:highlight w:val="none"/>
        </w:rPr>
        <w:t>M＝M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＋M</w:t>
      </w:r>
      <w:r>
        <w:rPr>
          <w:rFonts w:hint="eastAsia" w:hAnsi="宋体" w:cs="宋体"/>
          <w:snapToGrid w:val="0"/>
          <w:color w:val="auto"/>
          <w:kern w:val="0"/>
          <w:highlight w:val="none"/>
          <w:vertAlign w:val="subscript"/>
        </w:rPr>
        <w:t>3</w:t>
      </w:r>
    </w:p>
    <w:p w14:paraId="2DEB2EA3">
      <w:pPr>
        <w:keepNext w:val="0"/>
        <w:keepLines w:val="0"/>
        <w:pageBreakBefore w:val="0"/>
        <w:wordWrap w:val="0"/>
        <w:topLinePunct w:val="0"/>
        <w:bidi w:val="0"/>
        <w:adjustRightInd w:val="0"/>
        <w:snapToGrid w:val="0"/>
        <w:spacing w:line="500" w:lineRule="exact"/>
        <w:ind w:firstLine="480" w:firstLineChars="200"/>
        <w:textAlignment w:val="auto"/>
        <w:rPr>
          <w:rFonts w:hint="eastAsia" w:ascii="Times New Roman"/>
          <w:snapToGrid w:val="0"/>
          <w:color w:val="auto"/>
          <w:kern w:val="0"/>
          <w:highlight w:val="none"/>
        </w:rPr>
      </w:pPr>
      <w:r>
        <w:rPr>
          <w:rFonts w:hint="eastAsia" w:hAnsi="宋体" w:cs="宋体"/>
          <w:snapToGrid w:val="0"/>
          <w:color w:val="auto"/>
          <w:kern w:val="0"/>
          <w:highlight w:val="none"/>
        </w:rPr>
        <w:t>式中：M为综合得分，M</w:t>
      </w:r>
      <w:r>
        <w:rPr>
          <w:rFonts w:hint="eastAsia" w:hAnsi="宋体" w:cs="宋体"/>
          <w:snapToGrid w:val="0"/>
          <w:color w:val="auto"/>
          <w:kern w:val="0"/>
          <w:highlight w:val="none"/>
          <w:vertAlign w:val="subscript"/>
        </w:rPr>
        <w:t>1</w:t>
      </w:r>
      <w:r>
        <w:rPr>
          <w:rFonts w:hint="eastAsia" w:hAnsi="宋体" w:cs="宋体"/>
          <w:snapToGrid w:val="0"/>
          <w:color w:val="auto"/>
          <w:kern w:val="0"/>
          <w:highlight w:val="none"/>
        </w:rPr>
        <w:t>为商务得分，M</w:t>
      </w:r>
      <w:r>
        <w:rPr>
          <w:rFonts w:hint="eastAsia" w:hAnsi="宋体" w:cs="宋体"/>
          <w:snapToGrid w:val="0"/>
          <w:color w:val="auto"/>
          <w:kern w:val="0"/>
          <w:highlight w:val="none"/>
          <w:vertAlign w:val="subscript"/>
        </w:rPr>
        <w:t>2</w:t>
      </w:r>
      <w:r>
        <w:rPr>
          <w:rFonts w:hint="eastAsia" w:hAnsi="宋体" w:cs="宋体"/>
          <w:snapToGrid w:val="0"/>
          <w:color w:val="auto"/>
          <w:kern w:val="0"/>
          <w:highlight w:val="none"/>
        </w:rPr>
        <w:t>为技术得分，M</w:t>
      </w:r>
      <w:r>
        <w:rPr>
          <w:rFonts w:hint="eastAsia" w:hAnsi="宋体" w:cs="宋体"/>
          <w:snapToGrid w:val="0"/>
          <w:color w:val="auto"/>
          <w:kern w:val="0"/>
          <w:highlight w:val="none"/>
          <w:vertAlign w:val="subscript"/>
        </w:rPr>
        <w:t>3</w:t>
      </w:r>
      <w:r>
        <w:rPr>
          <w:rFonts w:hint="eastAsia" w:ascii="Times New Roman"/>
          <w:snapToGrid w:val="0"/>
          <w:color w:val="auto"/>
          <w:kern w:val="0"/>
          <w:highlight w:val="none"/>
        </w:rPr>
        <w:t>为投标报价得分。</w:t>
      </w:r>
    </w:p>
    <w:p w14:paraId="015B4829">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3CF358A1">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7E555631">
      <w:pPr>
        <w:keepNext w:val="0"/>
        <w:keepLines w:val="0"/>
        <w:pageBreakBefore w:val="0"/>
        <w:wordWrap w:val="0"/>
        <w:topLinePunct w:val="0"/>
        <w:bidi w:val="0"/>
        <w:adjustRightInd w:val="0"/>
        <w:snapToGrid w:val="0"/>
        <w:spacing w:line="500" w:lineRule="exact"/>
        <w:ind w:firstLine="480" w:firstLineChars="200"/>
        <w:textAlignment w:val="auto"/>
        <w:rPr>
          <w:rFonts w:ascii="Times New Roman"/>
          <w:snapToGrid w:val="0"/>
          <w:color w:val="auto"/>
          <w:kern w:val="0"/>
          <w:highlight w:val="none"/>
        </w:rPr>
      </w:pPr>
    </w:p>
    <w:p w14:paraId="65DF1DB6">
      <w:pPr>
        <w:pStyle w:val="6"/>
        <w:rPr>
          <w:rFonts w:hint="eastAsia" w:ascii="宋体" w:hAnsi="宋体" w:eastAsia="宋体" w:cs="宋体"/>
          <w:b/>
          <w:bCs/>
          <w:color w:val="auto"/>
          <w:sz w:val="32"/>
          <w:szCs w:val="22"/>
          <w:highlight w:val="none"/>
        </w:rPr>
      </w:pPr>
      <w:bookmarkStart w:id="56" w:name="_Toc31548"/>
      <w:bookmarkStart w:id="57" w:name="_Toc6939"/>
      <w:bookmarkStart w:id="58" w:name="_Toc6276"/>
      <w:r>
        <w:rPr>
          <w:rFonts w:hint="eastAsia" w:ascii="宋体" w:hAnsi="宋体" w:eastAsia="宋体" w:cs="宋体"/>
          <w:b/>
          <w:bCs/>
          <w:color w:val="auto"/>
          <w:sz w:val="32"/>
          <w:szCs w:val="22"/>
          <w:highlight w:val="none"/>
        </w:rPr>
        <w:t>表1 综合评分表</w:t>
      </w:r>
      <w:bookmarkEnd w:id="56"/>
      <w:bookmarkEnd w:id="57"/>
      <w:bookmarkEnd w:id="58"/>
    </w:p>
    <w:p w14:paraId="086905B1">
      <w:pPr>
        <w:pStyle w:val="41"/>
        <w:jc w:val="both"/>
        <w:rPr>
          <w:rFonts w:ascii="宋体" w:hAnsi="宋体" w:cs="宋体"/>
          <w:color w:val="auto"/>
          <w:sz w:val="24"/>
          <w:highlight w:val="none"/>
        </w:rPr>
      </w:pPr>
    </w:p>
    <w:tbl>
      <w:tblPr>
        <w:tblStyle w:val="32"/>
        <w:tblW w:w="9564" w:type="dxa"/>
        <w:jc w:val="center"/>
        <w:tblLayout w:type="fixed"/>
        <w:tblCellMar>
          <w:top w:w="0" w:type="dxa"/>
          <w:left w:w="108" w:type="dxa"/>
          <w:bottom w:w="0" w:type="dxa"/>
          <w:right w:w="108" w:type="dxa"/>
        </w:tblCellMar>
      </w:tblPr>
      <w:tblGrid>
        <w:gridCol w:w="1370"/>
        <w:gridCol w:w="4176"/>
        <w:gridCol w:w="4018"/>
      </w:tblGrid>
      <w:tr w14:paraId="2382B442">
        <w:tblPrEx>
          <w:tblCellMar>
            <w:top w:w="0" w:type="dxa"/>
            <w:left w:w="108" w:type="dxa"/>
            <w:bottom w:w="0" w:type="dxa"/>
            <w:right w:w="108" w:type="dxa"/>
          </w:tblCellMar>
        </w:tblPrEx>
        <w:trPr>
          <w:trHeight w:val="510"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0D4244FA">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商务部分，满分：</w:t>
            </w:r>
            <w:r>
              <w:rPr>
                <w:rFonts w:hint="eastAsia" w:ascii="宋体" w:hAnsi="宋体" w:eastAsia="宋体" w:cs="宋体"/>
                <w:b/>
                <w:bCs/>
                <w:color w:val="auto"/>
                <w:kern w:val="0"/>
                <w:sz w:val="24"/>
                <w:szCs w:val="24"/>
                <w:highlight w:val="none"/>
                <w:u w:val="single"/>
                <w:lang w:eastAsia="zh-CN"/>
              </w:rPr>
              <w:t>5</w:t>
            </w:r>
            <w:r>
              <w:rPr>
                <w:rFonts w:hint="eastAsia" w:hAnsi="宋体" w:cs="宋体"/>
                <w:b/>
                <w:bCs/>
                <w:color w:val="auto"/>
                <w:kern w:val="0"/>
                <w:sz w:val="24"/>
                <w:szCs w:val="24"/>
                <w:highlight w:val="none"/>
                <w:u w:val="single"/>
                <w:lang w:val="en-US" w:eastAsia="zh-CN"/>
              </w:rPr>
              <w:t>0</w:t>
            </w:r>
            <w:r>
              <w:rPr>
                <w:rFonts w:hint="eastAsia" w:ascii="宋体" w:hAnsi="宋体" w:eastAsia="宋体" w:cs="宋体"/>
                <w:b/>
                <w:bCs/>
                <w:color w:val="auto"/>
                <w:kern w:val="0"/>
                <w:sz w:val="24"/>
                <w:szCs w:val="24"/>
                <w:highlight w:val="none"/>
              </w:rPr>
              <w:t>分。</w:t>
            </w:r>
          </w:p>
        </w:tc>
      </w:tr>
      <w:tr w14:paraId="5AE4316C">
        <w:tblPrEx>
          <w:tblCellMar>
            <w:top w:w="0" w:type="dxa"/>
            <w:left w:w="108" w:type="dxa"/>
            <w:bottom w:w="0" w:type="dxa"/>
            <w:right w:w="108" w:type="dxa"/>
          </w:tblCellMar>
        </w:tblPrEx>
        <w:trPr>
          <w:trHeight w:val="510" w:hRule="exac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59CED0E8">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4FBAF56A">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1908CD52">
            <w:pPr>
              <w:pStyle w:val="156"/>
              <w:keepNext w:val="0"/>
              <w:keepLines w:val="0"/>
              <w:pageBreakBefore w:val="0"/>
              <w:widowControl w:val="0"/>
              <w:tabs>
                <w:tab w:val="left" w:pos="1354"/>
                <w:tab w:val="left" w:pos="1459"/>
                <w:tab w:val="center" w:pos="3902"/>
                <w:tab w:val="right" w:pos="7805"/>
              </w:tabs>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6FA911D2">
        <w:tblPrEx>
          <w:tblCellMar>
            <w:top w:w="0" w:type="dxa"/>
            <w:left w:w="108" w:type="dxa"/>
            <w:bottom w:w="0" w:type="dxa"/>
            <w:right w:w="108" w:type="dxa"/>
          </w:tblCellMar>
        </w:tblPrEx>
        <w:trPr>
          <w:trHeight w:val="2812" w:hRule="atLeast"/>
          <w:jc w:val="center"/>
        </w:trPr>
        <w:tc>
          <w:tcPr>
            <w:tcW w:w="13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5EDC8">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03C1A133">
            <w:pPr>
              <w:pStyle w:val="156"/>
              <w:keepNext w:val="0"/>
              <w:keepLines w:val="0"/>
              <w:pageBreakBefore w:val="0"/>
              <w:widowControl w:val="0"/>
              <w:kinsoku/>
              <w:wordWrap w:val="0"/>
              <w:overflowPunct/>
              <w:topLinePunct w:val="0"/>
              <w:autoSpaceDE/>
              <w:autoSpaceDN/>
              <w:bidi w:val="0"/>
              <w:adjustRightInd/>
              <w:snapToGrid w:val="0"/>
              <w:spacing w:after="0" w:line="288" w:lineRule="auto"/>
              <w:ind w:firstLine="120" w:firstLineChars="5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915A8">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2021年1月1日至今，投标人承接过同类工程监理业绩情况：</w:t>
            </w:r>
          </w:p>
          <w:p w14:paraId="17603B19">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1.承接过类似监理项目的，每项得</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40D7D1D6">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2.未承接过类似监理项目的，不予计分。</w:t>
            </w:r>
          </w:p>
          <w:p w14:paraId="12F94FEF">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说明:本项最高得</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40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98DF">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b w:val="0"/>
                <w:bCs w:val="0"/>
                <w:i w:val="0"/>
                <w:iCs w:val="0"/>
                <w:color w:val="auto"/>
                <w:kern w:val="0"/>
                <w:sz w:val="24"/>
                <w:szCs w:val="24"/>
                <w:highlight w:val="none"/>
              </w:rPr>
            </w:pPr>
            <w:r>
              <w:rPr>
                <w:rFonts w:hint="eastAsia" w:ascii="宋体" w:hAnsi="宋体" w:eastAsia="宋体" w:cs="宋体"/>
                <w:b w:val="0"/>
                <w:bCs w:val="0"/>
                <w:i w:val="0"/>
                <w:iCs w:val="0"/>
                <w:color w:val="auto"/>
                <w:kern w:val="0"/>
                <w:sz w:val="24"/>
                <w:szCs w:val="24"/>
                <w:highlight w:val="none"/>
              </w:rPr>
              <w:t>1.类似监理项目指：工程总投资金额≥</w:t>
            </w:r>
            <w:r>
              <w:rPr>
                <w:rFonts w:hint="eastAsia" w:hAnsi="宋体" w:cs="宋体"/>
                <w:b w:val="0"/>
                <w:bCs w:val="0"/>
                <w:i w:val="0"/>
                <w:iCs w:val="0"/>
                <w:color w:val="auto"/>
                <w:kern w:val="0"/>
                <w:sz w:val="24"/>
                <w:szCs w:val="24"/>
                <w:highlight w:val="none"/>
                <w:lang w:val="en-US" w:eastAsia="zh-CN"/>
              </w:rPr>
              <w:t>500</w:t>
            </w:r>
            <w:r>
              <w:rPr>
                <w:rFonts w:hint="eastAsia" w:ascii="宋体" w:hAnsi="宋体" w:eastAsia="宋体" w:cs="宋体"/>
                <w:b w:val="0"/>
                <w:bCs w:val="0"/>
                <w:i w:val="0"/>
                <w:iCs w:val="0"/>
                <w:color w:val="auto"/>
                <w:kern w:val="0"/>
                <w:sz w:val="24"/>
                <w:szCs w:val="24"/>
                <w:highlight w:val="none"/>
              </w:rPr>
              <w:t>万元的市政公用工程类监理项目。</w:t>
            </w:r>
          </w:p>
          <w:p w14:paraId="76CA050A">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b w:val="0"/>
                <w:bCs w:val="0"/>
                <w:i w:val="0"/>
                <w:iCs w:val="0"/>
                <w:color w:val="auto"/>
                <w:kern w:val="0"/>
                <w:sz w:val="24"/>
                <w:szCs w:val="24"/>
                <w:highlight w:val="none"/>
              </w:rPr>
            </w:pPr>
            <w:r>
              <w:rPr>
                <w:rFonts w:hint="eastAsia" w:ascii="宋体" w:hAnsi="宋体" w:eastAsia="宋体" w:cs="宋体"/>
                <w:b w:val="0"/>
                <w:bCs w:val="0"/>
                <w:i w:val="0"/>
                <w:iCs w:val="0"/>
                <w:color w:val="auto"/>
                <w:kern w:val="0"/>
                <w:sz w:val="24"/>
                <w:szCs w:val="24"/>
                <w:highlight w:val="none"/>
              </w:rPr>
              <w:t>2.需提供监理合同关键页彩色扫描件</w:t>
            </w:r>
            <w:r>
              <w:rPr>
                <w:rFonts w:hint="eastAsia" w:ascii="宋体" w:hAnsi="宋体" w:eastAsia="宋体" w:cs="宋体"/>
                <w:color w:val="auto"/>
                <w:kern w:val="0"/>
                <w:sz w:val="24"/>
                <w:szCs w:val="24"/>
                <w:highlight w:val="none"/>
              </w:rPr>
              <w:t>，</w:t>
            </w:r>
            <w:r>
              <w:rPr>
                <w:rFonts w:hint="eastAsia" w:hAnsi="宋体" w:cs="宋体"/>
                <w:snapToGrid w:val="0"/>
                <w:color w:val="auto"/>
                <w:sz w:val="24"/>
                <w:szCs w:val="24"/>
                <w:highlight w:val="none"/>
                <w:lang w:val="en-US" w:eastAsia="zh-CN"/>
              </w:rPr>
              <w:t>未按要求提供不得分。</w:t>
            </w:r>
          </w:p>
          <w:p w14:paraId="021F7643">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i w:val="0"/>
                <w:iCs w:val="0"/>
                <w:color w:val="auto"/>
                <w:kern w:val="0"/>
                <w:sz w:val="24"/>
                <w:szCs w:val="24"/>
                <w:highlight w:val="none"/>
              </w:rPr>
              <w:t>3.业绩时间以施工监理合同签订时间为准。</w:t>
            </w:r>
          </w:p>
        </w:tc>
      </w:tr>
      <w:tr w14:paraId="7548075E">
        <w:tblPrEx>
          <w:tblCellMar>
            <w:top w:w="0" w:type="dxa"/>
            <w:left w:w="108" w:type="dxa"/>
            <w:bottom w:w="0" w:type="dxa"/>
            <w:right w:w="108" w:type="dxa"/>
          </w:tblCellMar>
        </w:tblPrEx>
        <w:trPr>
          <w:trHeight w:val="8198"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4288E301">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企业获奖</w:t>
            </w:r>
          </w:p>
          <w:p w14:paraId="32CDA75C">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792D99B0">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2021年1月1日至今，投标人监理过的项目获奖情况：</w:t>
            </w:r>
          </w:p>
          <w:p w14:paraId="06A6B20F">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1.获得省级（或以上）奖项的，每个得</w:t>
            </w:r>
            <w:r>
              <w:rPr>
                <w:rFonts w:hint="eastAsia"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p w14:paraId="41698353">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2.获得地市级奖项的，每个得</w:t>
            </w:r>
            <w:r>
              <w:rPr>
                <w:rFonts w:hint="eastAsia"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w:t>
            </w:r>
          </w:p>
          <w:p w14:paraId="396506E5">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3.以上奖项均未获得的，不予计分。</w:t>
            </w:r>
          </w:p>
          <w:p w14:paraId="6E60BB28">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说明:本项最高得</w:t>
            </w:r>
            <w:r>
              <w:rPr>
                <w:rFonts w:hint="eastAsia"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59F0D750">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1.允许投标人提交多个业绩，但同一业绩只按最高级别奖项计分一次。</w:t>
            </w:r>
          </w:p>
          <w:p w14:paraId="455B7CFB">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2．需附有关奖项证明彩色扫描件。</w:t>
            </w:r>
          </w:p>
          <w:p w14:paraId="2282511F">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3．颁发机构限定以下范围：</w:t>
            </w:r>
          </w:p>
          <w:p w14:paraId="25F131EF">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①国家级奖项：国务院、住建部、国家级行业协会（学会）；（相关协会（学会）需经民政部门备案）</w:t>
            </w:r>
          </w:p>
          <w:p w14:paraId="654665A1">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②省级奖项：省级人民政府、省级住建部门、省级行业协会（学会）；（相关协会（学会）需经民政部门备案）</w:t>
            </w:r>
          </w:p>
          <w:p w14:paraId="26988224">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③地市级奖项：地市级人民政府、地市级住建部门、地市级行业协会（学会）。（相关协会（学会）需经民政部门备案）</w:t>
            </w:r>
          </w:p>
          <w:p w14:paraId="35ED49B9">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4．获奖时间以奖项证明的落款日期为准。</w:t>
            </w:r>
          </w:p>
          <w:p w14:paraId="31978E77">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5．任一奖项有以下情形之一的，该奖项视为无效，不予计分：</w:t>
            </w:r>
          </w:p>
          <w:p w14:paraId="6D9966F2">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①奖项不属于指定类别的；</w:t>
            </w:r>
          </w:p>
          <w:p w14:paraId="320B65F6">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②颁发机构不符合要求的；</w:t>
            </w:r>
          </w:p>
          <w:p w14:paraId="2BBB2B4B">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③获奖时间不符合要求的。</w:t>
            </w:r>
          </w:p>
        </w:tc>
      </w:tr>
      <w:tr w14:paraId="56372D24">
        <w:tblPrEx>
          <w:tblCellMar>
            <w:top w:w="0" w:type="dxa"/>
            <w:left w:w="108" w:type="dxa"/>
            <w:bottom w:w="0" w:type="dxa"/>
            <w:right w:w="108" w:type="dxa"/>
          </w:tblCellMar>
        </w:tblPrEx>
        <w:trPr>
          <w:trHeight w:val="2038" w:hRule="atLeas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2A9EB319">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val="en-US" w:eastAsia="zh-CN"/>
              </w:rPr>
              <w:t>纳税</w:t>
            </w:r>
          </w:p>
          <w:p w14:paraId="0E882EB9">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24F84A58">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投标人连续5年或以上（其中必须包含202</w:t>
            </w:r>
            <w:r>
              <w:rPr>
                <w:rFonts w:hint="eastAsia"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en-US" w:eastAsia="zh-CN"/>
              </w:rPr>
              <w:t>年度）获得纳税信用</w:t>
            </w:r>
            <w:r>
              <w:rPr>
                <w:rFonts w:hint="eastAsia" w:hAnsi="宋体" w:cs="宋体"/>
                <w:color w:val="auto"/>
                <w:kern w:val="0"/>
                <w:sz w:val="24"/>
                <w:szCs w:val="24"/>
                <w:highlight w:val="none"/>
                <w:lang w:val="en-US" w:eastAsia="zh-CN"/>
              </w:rPr>
              <w:t>A</w:t>
            </w:r>
            <w:r>
              <w:rPr>
                <w:rFonts w:hint="eastAsia" w:ascii="宋体" w:hAnsi="宋体" w:eastAsia="宋体" w:cs="宋体"/>
                <w:color w:val="auto"/>
                <w:kern w:val="0"/>
                <w:sz w:val="24"/>
                <w:szCs w:val="24"/>
                <w:highlight w:val="none"/>
                <w:lang w:val="en-US" w:eastAsia="zh-CN"/>
              </w:rPr>
              <w:t>级</w:t>
            </w:r>
            <w:r>
              <w:rPr>
                <w:rFonts w:hint="eastAsia" w:hAnsi="宋体" w:cs="宋体"/>
                <w:color w:val="auto"/>
                <w:kern w:val="0"/>
                <w:sz w:val="24"/>
                <w:szCs w:val="24"/>
                <w:highlight w:val="none"/>
                <w:lang w:val="en-US" w:eastAsia="zh-CN"/>
              </w:rPr>
              <w:t>纳税人的</w:t>
            </w:r>
            <w:r>
              <w:rPr>
                <w:rFonts w:hint="eastAsia" w:ascii="宋体" w:hAnsi="宋体" w:eastAsia="宋体" w:cs="宋体"/>
                <w:color w:val="auto"/>
                <w:kern w:val="0"/>
                <w:sz w:val="24"/>
                <w:szCs w:val="24"/>
                <w:highlight w:val="none"/>
                <w:lang w:val="en-US" w:eastAsia="zh-CN"/>
              </w:rPr>
              <w:t>，得5分；</w:t>
            </w:r>
          </w:p>
          <w:p w14:paraId="4BC61C84">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说明:本项最高得5分。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61A14335">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1.须提供企业纳税信用等级证明材料（或证书）彩色扫描件及国家税务总局（或省级电子税务局）网上查询截图彩色扫描件。</w:t>
            </w:r>
          </w:p>
          <w:p w14:paraId="033BFCC0">
            <w:pPr>
              <w:keepNext w:val="0"/>
              <w:keepLines w:val="0"/>
              <w:pageBreakBefore w:val="0"/>
              <w:widowControl w:val="0"/>
              <w:kinsoku/>
              <w:wordWrap w:val="0"/>
              <w:overflowPunct/>
              <w:topLinePunct w:val="0"/>
              <w:autoSpaceDE/>
              <w:autoSpaceDN/>
              <w:bidi w:val="0"/>
              <w:adjustRightInd/>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2.只计算投标人自身（不包含投标人的分公司和子公司），否则不得分。</w:t>
            </w:r>
          </w:p>
        </w:tc>
      </w:tr>
      <w:tr w14:paraId="4369DF93">
        <w:tblPrEx>
          <w:tblCellMar>
            <w:top w:w="0" w:type="dxa"/>
            <w:left w:w="108" w:type="dxa"/>
            <w:bottom w:w="0" w:type="dxa"/>
            <w:right w:w="108" w:type="dxa"/>
          </w:tblCellMar>
        </w:tblPrEx>
        <w:trPr>
          <w:trHeight w:val="790" w:hRule="atLeast"/>
          <w:jc w:val="center"/>
        </w:trPr>
        <w:tc>
          <w:tcPr>
            <w:tcW w:w="137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3B62EBE">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企业管理体系认证</w:t>
            </w:r>
          </w:p>
          <w:p w14:paraId="05A82D42">
            <w:pPr>
              <w:pStyle w:val="156"/>
              <w:keepNext w:val="0"/>
              <w:keepLines w:val="0"/>
              <w:pageBreakBefore w:val="0"/>
              <w:widowControl w:val="0"/>
              <w:kinsoku/>
              <w:wordWrap w:val="0"/>
              <w:overflowPunct/>
              <w:topLinePunct w:val="0"/>
              <w:autoSpaceDE/>
              <w:autoSpaceDN/>
              <w:bidi w:val="0"/>
              <w:adjustRightInd/>
              <w:snapToGrid w:val="0"/>
              <w:spacing w:after="0" w:line="288"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（5分）</w:t>
            </w:r>
          </w:p>
        </w:tc>
        <w:tc>
          <w:tcPr>
            <w:tcW w:w="417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82C058">
            <w:pPr>
              <w:pStyle w:val="105"/>
              <w:wordWrap w:val="0"/>
              <w:snapToGrid w:val="0"/>
              <w:spacing w:line="288" w:lineRule="auto"/>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rPr>
              <w:t>投标人获得质量管理体系认证证书、环境管理体系认证证书、职业健康安全管理体系认证证书、信息安全管理体系认证证书、工程监理规范体系认证证</w:t>
            </w:r>
            <w:r>
              <w:rPr>
                <w:rFonts w:hint="eastAsia" w:ascii="宋体" w:hAnsi="宋体" w:eastAsia="宋体" w:cs="宋体"/>
                <w:color w:val="auto"/>
                <w:kern w:val="0"/>
                <w:sz w:val="24"/>
                <w:szCs w:val="24"/>
                <w:lang w:val="en-US" w:eastAsia="zh-CN"/>
              </w:rPr>
              <w:t>书</w:t>
            </w:r>
            <w:r>
              <w:rPr>
                <w:rFonts w:hint="eastAsia" w:ascii="宋体" w:hAnsi="宋体" w:eastAsia="宋体" w:cs="宋体"/>
                <w:color w:val="auto"/>
                <w:kern w:val="0"/>
                <w:sz w:val="24"/>
                <w:szCs w:val="24"/>
              </w:rPr>
              <w:t>并在有效期内</w:t>
            </w:r>
            <w:r>
              <w:rPr>
                <w:rFonts w:hint="eastAsia" w:ascii="宋体" w:hAnsi="宋体" w:eastAsia="宋体" w:cs="宋体"/>
                <w:color w:val="auto"/>
                <w:kern w:val="0"/>
                <w:sz w:val="24"/>
                <w:szCs w:val="24"/>
                <w:lang w:eastAsia="zh-CN"/>
              </w:rPr>
              <w:t>：</w:t>
            </w:r>
          </w:p>
          <w:p w14:paraId="5F28C510">
            <w:pPr>
              <w:pStyle w:val="105"/>
              <w:wordWrap w:val="0"/>
              <w:snapToGrid w:val="0"/>
              <w:spacing w:line="288" w:lineRule="auto"/>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1.获得以上5项认证证书的，得5分；</w:t>
            </w:r>
          </w:p>
          <w:p w14:paraId="0B706476">
            <w:pPr>
              <w:pStyle w:val="105"/>
              <w:wordWrap w:val="0"/>
              <w:snapToGrid w:val="0"/>
              <w:spacing w:line="288" w:lineRule="auto"/>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2.获得其中3-4项认证证书的，得3分；</w:t>
            </w:r>
          </w:p>
          <w:p w14:paraId="574D9278">
            <w:pPr>
              <w:pStyle w:val="105"/>
              <w:wordWrap w:val="0"/>
              <w:snapToGrid w:val="0"/>
              <w:spacing w:line="288" w:lineRule="auto"/>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3.获得其中1-2项认证证书的，得1分；</w:t>
            </w:r>
          </w:p>
          <w:p w14:paraId="6F86C4BF">
            <w:pPr>
              <w:pStyle w:val="105"/>
              <w:wordWrap w:val="0"/>
              <w:snapToGrid w:val="0"/>
              <w:spacing w:line="288" w:lineRule="auto"/>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4.以上证书均未获得的，不予计分；</w:t>
            </w:r>
          </w:p>
          <w:p w14:paraId="41964227">
            <w:pPr>
              <w:pStyle w:val="105"/>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rPr>
              <w:t>说明:本项最高得5分。</w:t>
            </w:r>
          </w:p>
        </w:tc>
        <w:tc>
          <w:tcPr>
            <w:tcW w:w="40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73FDC2">
            <w:pPr>
              <w:pStyle w:val="156"/>
              <w:keepNext w:val="0"/>
              <w:keepLines w:val="0"/>
              <w:pageBreakBefore w:val="0"/>
              <w:widowControl w:val="0"/>
              <w:kinsoku/>
              <w:wordWrap w:val="0"/>
              <w:overflowPunct/>
              <w:topLinePunct w:val="0"/>
              <w:autoSpaceDE/>
              <w:autoSpaceDN/>
              <w:bidi w:val="0"/>
              <w:adjustRightInd/>
              <w:snapToGrid w:val="0"/>
              <w:spacing w:after="0" w:line="288" w:lineRule="auto"/>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1.须附在有效期内的认证证书彩色扫描件，同时提供</w:t>
            </w:r>
            <w:r>
              <w:rPr>
                <w:rFonts w:hint="eastAsia" w:ascii="宋体" w:hAnsi="宋体" w:eastAsia="宋体" w:cs="宋体"/>
                <w:color w:val="auto"/>
                <w:kern w:val="0"/>
                <w:sz w:val="24"/>
                <w:szCs w:val="24"/>
                <w:highlight w:val="none"/>
                <w:lang w:val="en-US" w:eastAsia="zh-CN"/>
              </w:rPr>
              <w:t>全国认证认可信息公共服务平台</w:t>
            </w:r>
            <w:r>
              <w:rPr>
                <w:rFonts w:hint="eastAsia" w:ascii="宋体" w:hAnsi="宋体" w:eastAsia="宋体" w:cs="宋体"/>
                <w:color w:val="auto"/>
                <w:kern w:val="0"/>
                <w:sz w:val="24"/>
                <w:szCs w:val="24"/>
                <w:highlight w:val="none"/>
              </w:rPr>
              <w:t>(http://cx.cnca.cn/）网页查询结果截图，否则不得分。</w:t>
            </w:r>
          </w:p>
        </w:tc>
      </w:tr>
      <w:tr w14:paraId="438A21A8">
        <w:tblPrEx>
          <w:tblCellMar>
            <w:top w:w="0" w:type="dxa"/>
            <w:left w:w="108" w:type="dxa"/>
            <w:bottom w:w="0" w:type="dxa"/>
            <w:right w:w="108" w:type="dxa"/>
          </w:tblCellMar>
        </w:tblPrEx>
        <w:trPr>
          <w:trHeight w:val="1153" w:hRule="atLeast"/>
          <w:jc w:val="center"/>
        </w:trPr>
        <w:tc>
          <w:tcPr>
            <w:tcW w:w="1370"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520304E">
            <w:pPr>
              <w:pStyle w:val="156"/>
              <w:keepNext w:val="0"/>
              <w:keepLines w:val="0"/>
              <w:pageBreakBefore w:val="0"/>
              <w:widowControl w:val="0"/>
              <w:kinsoku/>
              <w:wordWrap w:val="0"/>
              <w:overflowPunct/>
              <w:topLinePunct w:val="0"/>
              <w:autoSpaceDE/>
              <w:autoSpaceDN/>
              <w:bidi w:val="0"/>
              <w:snapToGrid w:val="0"/>
              <w:spacing w:after="0" w:line="288"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项目总监综合素质</w:t>
            </w:r>
          </w:p>
          <w:p w14:paraId="402EB699">
            <w:pPr>
              <w:pStyle w:val="156"/>
              <w:keepNext w:val="0"/>
              <w:keepLines w:val="0"/>
              <w:pageBreakBefore w:val="0"/>
              <w:widowControl w:val="0"/>
              <w:kinsoku/>
              <w:wordWrap w:val="0"/>
              <w:overflowPunct/>
              <w:topLinePunct w:val="0"/>
              <w:autoSpaceDE/>
              <w:autoSpaceDN/>
              <w:bidi w:val="0"/>
              <w:snapToGrid w:val="0"/>
              <w:spacing w:after="0" w:line="288" w:lineRule="auto"/>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w:t>
            </w:r>
            <w:r>
              <w:rPr>
                <w:rFonts w:hint="eastAsia" w:hAnsi="宋体" w:cs="宋体"/>
                <w:color w:val="auto"/>
                <w:kern w:val="0"/>
                <w:sz w:val="24"/>
                <w:szCs w:val="24"/>
                <w:highlight w:val="none"/>
                <w:lang w:val="en-US" w:eastAsia="zh-CN" w:bidi="ar-SA"/>
              </w:rPr>
              <w:t>4</w:t>
            </w:r>
            <w:r>
              <w:rPr>
                <w:rFonts w:hint="eastAsia" w:ascii="宋体" w:hAnsi="宋体" w:eastAsia="宋体" w:cs="宋体"/>
                <w:color w:val="auto"/>
                <w:kern w:val="0"/>
                <w:sz w:val="24"/>
                <w:szCs w:val="24"/>
                <w:highlight w:val="none"/>
                <w:lang w:val="en-US" w:eastAsia="zh-CN" w:bidi="ar-SA"/>
              </w:rPr>
              <w:t>分）</w:t>
            </w:r>
          </w:p>
        </w:tc>
        <w:tc>
          <w:tcPr>
            <w:tcW w:w="417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3E631B">
            <w:pPr>
              <w:pStyle w:val="105"/>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拟委派的总监理工程师具有工程师或以上职称的得4分；</w:t>
            </w:r>
          </w:p>
          <w:p w14:paraId="623C6B34">
            <w:pPr>
              <w:pStyle w:val="105"/>
              <w:keepNext w:val="0"/>
              <w:keepLines w:val="0"/>
              <w:pageBreakBefore w:val="0"/>
              <w:widowControl w:val="0"/>
              <w:kinsoku/>
              <w:wordWrap w:val="0"/>
              <w:overflowPunct/>
              <w:topLinePunct w:val="0"/>
              <w:autoSpaceDE/>
              <w:autoSpaceDN/>
              <w:bidi w:val="0"/>
              <w:adjustRightInd/>
              <w:snapToGrid w:val="0"/>
              <w:spacing w:line="288" w:lineRule="auto"/>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说明:本项最高得4分。</w:t>
            </w:r>
          </w:p>
        </w:tc>
        <w:tc>
          <w:tcPr>
            <w:tcW w:w="40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D1654FF">
            <w:pPr>
              <w:keepNext w:val="0"/>
              <w:keepLines w:val="0"/>
              <w:pageBreakBefore w:val="0"/>
              <w:widowControl w:val="0"/>
              <w:kinsoku/>
              <w:wordWrap w:val="0"/>
              <w:overflowPunct/>
              <w:topLinePunct w:val="0"/>
              <w:autoSpaceDE/>
              <w:autoSpaceDN/>
              <w:bidi w:val="0"/>
              <w:spacing w:line="288" w:lineRule="auto"/>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须附提供职称证书彩色扫描件，否则不得分。</w:t>
            </w:r>
          </w:p>
        </w:tc>
      </w:tr>
      <w:tr w14:paraId="775D8F59">
        <w:tblPrEx>
          <w:tblCellMar>
            <w:top w:w="0" w:type="dxa"/>
            <w:left w:w="108" w:type="dxa"/>
            <w:bottom w:w="0" w:type="dxa"/>
            <w:right w:w="108" w:type="dxa"/>
          </w:tblCellMar>
        </w:tblPrEx>
        <w:trPr>
          <w:trHeight w:val="3636"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4831E8ED">
            <w:pPr>
              <w:keepNext w:val="0"/>
              <w:keepLines w:val="0"/>
              <w:pageBreakBefore w:val="0"/>
              <w:widowControl w:val="0"/>
              <w:kinsoku/>
              <w:wordWrap w:val="0"/>
              <w:overflowPunct/>
              <w:topLinePunct w:val="0"/>
              <w:autoSpaceDE/>
              <w:autoSpaceDN/>
              <w:bidi w:val="0"/>
              <w:spacing w:line="288" w:lineRule="auto"/>
              <w:ind w:left="24" w:leftChars="10" w:right="24" w:rightChars="10"/>
              <w:jc w:val="center"/>
              <w:textAlignment w:val="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rPr>
              <w:t>项目监理机构其他人员配备</w:t>
            </w:r>
          </w:p>
          <w:p w14:paraId="7379769E">
            <w:pPr>
              <w:keepNext w:val="0"/>
              <w:keepLines w:val="0"/>
              <w:pageBreakBefore w:val="0"/>
              <w:widowControl w:val="0"/>
              <w:kinsoku/>
              <w:wordWrap w:val="0"/>
              <w:overflowPunct/>
              <w:topLinePunct w:val="0"/>
              <w:autoSpaceDE/>
              <w:autoSpaceDN/>
              <w:bidi w:val="0"/>
              <w:spacing w:line="288" w:lineRule="auto"/>
              <w:ind w:left="24" w:leftChars="10" w:right="24" w:rightChars="1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TW"/>
              </w:rPr>
              <w:t>（</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TW"/>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52B67920">
            <w:pPr>
              <w:keepNext w:val="0"/>
              <w:keepLines w:val="0"/>
              <w:pageBreakBefore w:val="0"/>
              <w:widowControl w:val="0"/>
              <w:kinsoku/>
              <w:wordWrap w:val="0"/>
              <w:overflowPunct/>
              <w:topLinePunct w:val="0"/>
              <w:autoSpaceDE/>
              <w:autoSpaceDN/>
              <w:bidi w:val="0"/>
              <w:adjustRightInd/>
              <w:snapToGrid/>
              <w:spacing w:line="288"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1、拟委派本项目的监理人员，数量和专业完全满足表2《项目监理机构其他人员需求表》要求的得</w:t>
            </w:r>
            <w:r>
              <w:rPr>
                <w:rFonts w:hint="eastAsia"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4990CFED">
            <w:pPr>
              <w:keepNext w:val="0"/>
              <w:keepLines w:val="0"/>
              <w:pageBreakBefore w:val="0"/>
              <w:widowControl w:val="0"/>
              <w:kinsoku/>
              <w:wordWrap w:val="0"/>
              <w:overflowPunct/>
              <w:topLinePunct w:val="0"/>
              <w:autoSpaceDE/>
              <w:autoSpaceDN/>
              <w:bidi w:val="0"/>
              <w:adjustRightInd/>
              <w:snapToGrid/>
              <w:spacing w:line="288" w:lineRule="auto"/>
              <w:textAlignment w:val="auto"/>
              <w:rPr>
                <w:rFonts w:hint="default"/>
                <w:color w:val="auto"/>
                <w:highlight w:val="none"/>
                <w:lang w:val="en-US" w:eastAsia="zh-CN"/>
              </w:rPr>
            </w:pPr>
            <w:r>
              <w:rPr>
                <w:rFonts w:hint="eastAsia" w:ascii="宋体" w:hAnsi="宋体" w:eastAsia="宋体" w:cs="宋体"/>
                <w:color w:val="auto"/>
                <w:sz w:val="24"/>
                <w:szCs w:val="24"/>
                <w:highlight w:val="none"/>
              </w:rPr>
              <w:t>2、拟委派本项目的监理人员(总监理工程师除外)中</w:t>
            </w:r>
            <w:r>
              <w:rPr>
                <w:rFonts w:hint="eastAsia" w:ascii="宋体" w:hAnsi="宋体" w:eastAsia="宋体" w:cs="宋体"/>
                <w:color w:val="auto"/>
                <w:sz w:val="24"/>
                <w:szCs w:val="24"/>
                <w:highlight w:val="none"/>
                <w:shd w:val="clear"/>
              </w:rPr>
              <w:t>：</w:t>
            </w:r>
            <w:r>
              <w:rPr>
                <w:rFonts w:hint="eastAsia" w:hAnsi="宋体" w:cs="宋体"/>
                <w:color w:val="auto"/>
                <w:sz w:val="24"/>
                <w:szCs w:val="24"/>
                <w:highlight w:val="none"/>
                <w:shd w:val="clear" w:fill="FFFFFF" w:themeFill="background1"/>
                <w:lang w:val="en-US" w:eastAsia="zh-CN"/>
              </w:rPr>
              <w:t>具备具有工程师或以上职称的每人得2分，本小项最高得4分。</w:t>
            </w:r>
          </w:p>
          <w:p w14:paraId="4FEC54CE">
            <w:pPr>
              <w:pStyle w:val="105"/>
              <w:wordWrap w:val="0"/>
              <w:snapToGrid w:val="0"/>
              <w:spacing w:line="288" w:lineRule="auto"/>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rPr>
              <w:t>3.其他拟派人员中，获得</w:t>
            </w:r>
            <w:r>
              <w:rPr>
                <w:rFonts w:hint="eastAsia" w:ascii="宋体" w:hAnsi="宋体" w:eastAsia="宋体" w:cs="宋体"/>
                <w:color w:val="auto"/>
                <w:kern w:val="0"/>
                <w:sz w:val="24"/>
                <w:szCs w:val="24"/>
                <w:lang w:val="en-US" w:eastAsia="zh-CN"/>
              </w:rPr>
              <w:t>过</w:t>
            </w:r>
            <w:r>
              <w:rPr>
                <w:rFonts w:hint="eastAsia" w:ascii="宋体" w:hAnsi="宋体" w:eastAsia="宋体" w:cs="宋体"/>
                <w:color w:val="auto"/>
                <w:kern w:val="0"/>
                <w:sz w:val="24"/>
                <w:szCs w:val="24"/>
              </w:rPr>
              <w:t>“总监理工程师执业能力与信用评价AAA级”奖项的得4分，最高得4分。</w:t>
            </w:r>
          </w:p>
          <w:p w14:paraId="49274761">
            <w:pPr>
              <w:keepNext w:val="0"/>
              <w:keepLines w:val="0"/>
              <w:pageBreakBefore w:val="0"/>
              <w:widowControl w:val="0"/>
              <w:kinsoku/>
              <w:wordWrap w:val="0"/>
              <w:overflowPunct/>
              <w:topLinePunct w:val="0"/>
              <w:autoSpaceDE/>
              <w:autoSpaceDN/>
              <w:bidi w:val="0"/>
              <w:adjustRightInd/>
              <w:snapToGrid/>
              <w:spacing w:line="288"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说明:本项最高得</w:t>
            </w:r>
            <w:r>
              <w:rPr>
                <w:rFonts w:hint="eastAsia"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c>
          <w:tcPr>
            <w:tcW w:w="4018" w:type="dxa"/>
            <w:tcBorders>
              <w:top w:val="single" w:color="auto" w:sz="4" w:space="0"/>
              <w:left w:val="single" w:color="auto" w:sz="4" w:space="0"/>
              <w:bottom w:val="single" w:color="auto" w:sz="4" w:space="0"/>
              <w:right w:val="single" w:color="auto" w:sz="4" w:space="0"/>
            </w:tcBorders>
            <w:noWrap w:val="0"/>
            <w:vAlign w:val="center"/>
          </w:tcPr>
          <w:p w14:paraId="408C23DE">
            <w:pPr>
              <w:pStyle w:val="156"/>
              <w:keepNext w:val="0"/>
              <w:keepLines w:val="0"/>
              <w:pageBreakBefore w:val="0"/>
              <w:widowControl w:val="0"/>
              <w:numPr>
                <w:ilvl w:val="0"/>
                <w:numId w:val="0"/>
              </w:numPr>
              <w:kinsoku/>
              <w:wordWrap w:val="0"/>
              <w:overflowPunct/>
              <w:topLinePunct w:val="0"/>
              <w:autoSpaceDE/>
              <w:autoSpaceDN/>
              <w:bidi w:val="0"/>
              <w:snapToGrid w:val="0"/>
              <w:spacing w:after="0" w:line="288" w:lineRule="auto"/>
              <w:textAlignment w:val="auto"/>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1.满足表2《项目监理机构其他人员需求表》要求的本评分项可得分；不满足要求的本评分项不得分。</w:t>
            </w:r>
          </w:p>
          <w:p w14:paraId="28C15AFB">
            <w:pPr>
              <w:pStyle w:val="156"/>
              <w:keepNext w:val="0"/>
              <w:keepLines w:val="0"/>
              <w:pageBreakBefore w:val="0"/>
              <w:widowControl w:val="0"/>
              <w:numPr>
                <w:ilvl w:val="0"/>
                <w:numId w:val="0"/>
              </w:numPr>
              <w:kinsoku/>
              <w:wordWrap w:val="0"/>
              <w:overflowPunct/>
              <w:topLinePunct w:val="0"/>
              <w:autoSpaceDE/>
              <w:autoSpaceDN/>
              <w:bidi w:val="0"/>
              <w:snapToGrid w:val="0"/>
              <w:spacing w:after="0" w:line="288" w:lineRule="auto"/>
              <w:textAlignment w:val="auto"/>
              <w:rPr>
                <w:rFonts w:hint="eastAsia" w:ascii="宋体" w:hAnsi="宋体" w:eastAsia="宋体" w:cs="宋体"/>
                <w:color w:val="auto"/>
                <w:kern w:val="0"/>
                <w:sz w:val="24"/>
                <w:szCs w:val="24"/>
                <w:highlight w:val="none"/>
              </w:rPr>
            </w:pPr>
            <w:r>
              <w:rPr>
                <w:rFonts w:hint="eastAsia" w:hAnsi="宋体" w:cs="宋体"/>
                <w:color w:val="auto"/>
                <w:sz w:val="24"/>
                <w:szCs w:val="24"/>
                <w:highlight w:val="none"/>
                <w:lang w:val="en-US" w:eastAsia="zh-CN"/>
              </w:rPr>
              <w:t>2.须提供相应证件、证书彩色扫描件，否则不得分。</w:t>
            </w:r>
          </w:p>
        </w:tc>
      </w:tr>
      <w:tr w14:paraId="2B5155DC">
        <w:tblPrEx>
          <w:tblCellMar>
            <w:top w:w="0" w:type="dxa"/>
            <w:left w:w="108" w:type="dxa"/>
            <w:bottom w:w="0" w:type="dxa"/>
            <w:right w:w="108" w:type="dxa"/>
          </w:tblCellMar>
        </w:tblPrEx>
        <w:trPr>
          <w:trHeight w:val="546"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C2E6A1E">
            <w:pPr>
              <w:pStyle w:val="156"/>
              <w:keepNext w:val="0"/>
              <w:keepLines w:val="0"/>
              <w:pageBreakBefore w:val="0"/>
              <w:widowControl w:val="0"/>
              <w:kinsoku/>
              <w:wordWrap w:val="0"/>
              <w:overflowPunct/>
              <w:topLinePunct w:val="0"/>
              <w:autoSpaceDE/>
              <w:autoSpaceDN/>
              <w:bidi w:val="0"/>
              <w:snapToGrid w:val="0"/>
              <w:spacing w:after="0" w:line="5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技术部分（监理大纲），满分：</w:t>
            </w:r>
            <w:r>
              <w:rPr>
                <w:rFonts w:hint="eastAsia" w:hAnsi="宋体" w:cs="宋体"/>
                <w:b/>
                <w:bCs/>
                <w:color w:val="auto"/>
                <w:kern w:val="0"/>
                <w:sz w:val="24"/>
                <w:szCs w:val="24"/>
                <w:highlight w:val="none"/>
                <w:u w:val="single"/>
                <w:lang w:val="en-US" w:eastAsia="zh-CN"/>
              </w:rPr>
              <w:t>20</w:t>
            </w:r>
            <w:r>
              <w:rPr>
                <w:rFonts w:hint="eastAsia" w:ascii="宋体" w:hAnsi="宋体" w:eastAsia="宋体" w:cs="宋体"/>
                <w:b/>
                <w:bCs/>
                <w:color w:val="auto"/>
                <w:kern w:val="0"/>
                <w:sz w:val="24"/>
                <w:szCs w:val="24"/>
                <w:highlight w:val="none"/>
              </w:rPr>
              <w:t>分。</w:t>
            </w:r>
          </w:p>
        </w:tc>
      </w:tr>
      <w:tr w14:paraId="0AB7433C">
        <w:tblPrEx>
          <w:tblCellMar>
            <w:top w:w="0" w:type="dxa"/>
            <w:left w:w="108" w:type="dxa"/>
            <w:bottom w:w="0" w:type="dxa"/>
            <w:right w:w="108" w:type="dxa"/>
          </w:tblCellMar>
        </w:tblPrEx>
        <w:trPr>
          <w:trHeight w:val="554" w:hRule="exact"/>
          <w:jc w:val="center"/>
        </w:trPr>
        <w:tc>
          <w:tcPr>
            <w:tcW w:w="1370" w:type="dxa"/>
            <w:tcBorders>
              <w:top w:val="single" w:color="000000" w:sz="4" w:space="0"/>
              <w:left w:val="single" w:color="000000" w:sz="4" w:space="0"/>
              <w:bottom w:val="single" w:color="auto" w:sz="4" w:space="0"/>
              <w:right w:val="single" w:color="000000" w:sz="4" w:space="0"/>
            </w:tcBorders>
            <w:noWrap w:val="0"/>
            <w:vAlign w:val="center"/>
          </w:tcPr>
          <w:p w14:paraId="761521A8">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评分因素</w:t>
            </w:r>
          </w:p>
        </w:tc>
        <w:tc>
          <w:tcPr>
            <w:tcW w:w="4176" w:type="dxa"/>
            <w:tcBorders>
              <w:top w:val="single" w:color="000000" w:sz="4" w:space="0"/>
              <w:left w:val="single" w:color="000000" w:sz="4" w:space="0"/>
              <w:bottom w:val="single" w:color="auto" w:sz="4" w:space="0"/>
              <w:right w:val="single" w:color="000000" w:sz="4" w:space="0"/>
            </w:tcBorders>
            <w:noWrap w:val="0"/>
            <w:vAlign w:val="center"/>
          </w:tcPr>
          <w:p w14:paraId="73D8067F">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评分标准</w:t>
            </w:r>
          </w:p>
        </w:tc>
        <w:tc>
          <w:tcPr>
            <w:tcW w:w="4018" w:type="dxa"/>
            <w:tcBorders>
              <w:top w:val="single" w:color="000000" w:sz="4" w:space="0"/>
              <w:left w:val="single" w:color="000000" w:sz="4" w:space="0"/>
              <w:bottom w:val="single" w:color="auto" w:sz="4" w:space="0"/>
              <w:right w:val="single" w:color="000000" w:sz="4" w:space="0"/>
            </w:tcBorders>
            <w:noWrap w:val="0"/>
            <w:vAlign w:val="center"/>
          </w:tcPr>
          <w:p w14:paraId="1A357280">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5BACB44E">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1D6E9740">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监理依据</w:t>
            </w:r>
          </w:p>
          <w:p w14:paraId="022F846E">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及工作目标（</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72ECF61A">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0EF329D9">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467A12E4">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30532908">
            <w:pPr>
              <w:pStyle w:val="156"/>
              <w:keepNext w:val="0"/>
              <w:keepLines w:val="0"/>
              <w:pageBreakBefore w:val="0"/>
              <w:widowControl w:val="0"/>
              <w:kinsoku/>
              <w:wordWrap w:val="0"/>
              <w:overflowPunct/>
              <w:topLinePunct w:val="0"/>
              <w:autoSpaceDE/>
              <w:autoSpaceDN/>
              <w:bidi w:val="0"/>
              <w:adjustRightInd/>
              <w:snapToGrid w:val="0"/>
              <w:spacing w:after="0"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tcBorders>
              <w:top w:val="single" w:color="auto" w:sz="4" w:space="0"/>
              <w:left w:val="single" w:color="auto" w:sz="4" w:space="0"/>
              <w:bottom w:val="single" w:color="auto" w:sz="4" w:space="0"/>
              <w:right w:val="single" w:color="auto" w:sz="4" w:space="0"/>
            </w:tcBorders>
            <w:noWrap w:val="0"/>
            <w:vAlign w:val="center"/>
          </w:tcPr>
          <w:p w14:paraId="49595D11">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要求依据全面、适用；目标清晰、正确；针对性强。</w:t>
            </w:r>
          </w:p>
        </w:tc>
      </w:tr>
      <w:tr w14:paraId="34CCC798">
        <w:tblPrEx>
          <w:tblCellMar>
            <w:top w:w="0" w:type="dxa"/>
            <w:left w:w="108" w:type="dxa"/>
            <w:bottom w:w="0" w:type="dxa"/>
            <w:right w:w="108" w:type="dxa"/>
          </w:tblCellMar>
        </w:tblPrEx>
        <w:trPr>
          <w:trHeight w:val="985" w:hRule="atLeast"/>
          <w:jc w:val="center"/>
        </w:trPr>
        <w:tc>
          <w:tcPr>
            <w:tcW w:w="1370" w:type="dxa"/>
            <w:tcBorders>
              <w:top w:val="single" w:color="auto" w:sz="4" w:space="0"/>
              <w:left w:val="single" w:color="auto" w:sz="4" w:space="0"/>
              <w:bottom w:val="single" w:color="auto" w:sz="4" w:space="0"/>
              <w:right w:val="single" w:color="auto" w:sz="4" w:space="0"/>
            </w:tcBorders>
            <w:noWrap w:val="0"/>
            <w:vAlign w:val="center"/>
          </w:tcPr>
          <w:p w14:paraId="4C8594AF">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工程质量</w:t>
            </w:r>
          </w:p>
          <w:p w14:paraId="524453CC">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71AFBC8B">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64255FCE">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4753AC67">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4CAFD2EF">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5C7958C2">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vMerge w:val="restart"/>
            <w:tcBorders>
              <w:top w:val="single" w:color="auto" w:sz="4" w:space="0"/>
              <w:left w:val="single" w:color="auto" w:sz="4" w:space="0"/>
              <w:bottom w:val="single" w:color="auto" w:sz="4" w:space="0"/>
              <w:right w:val="single" w:color="auto" w:sz="4" w:space="0"/>
            </w:tcBorders>
            <w:noWrap w:val="0"/>
            <w:vAlign w:val="center"/>
          </w:tcPr>
          <w:p w14:paraId="5EDFDFBE">
            <w:pPr>
              <w:pStyle w:val="111"/>
              <w:keepNext w:val="0"/>
              <w:keepLines w:val="0"/>
              <w:pageBreakBefore w:val="0"/>
              <w:widowControl w:val="0"/>
              <w:kinsoku/>
              <w:wordWrap w:val="0"/>
              <w:overflowPunct/>
              <w:topLinePunct w:val="0"/>
              <w:autoSpaceDE/>
              <w:autoSpaceDN/>
              <w:bidi w:val="0"/>
              <w:snapToGrid w:val="0"/>
              <w:spacing w:line="24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要求目标正确、方法可行、预控和动态管理措施具体、针对性强。脱离本工程实际、机械照搬照抄规范和技术标准的，不能得满分。</w:t>
            </w:r>
          </w:p>
        </w:tc>
      </w:tr>
      <w:tr w14:paraId="657674A1">
        <w:tblPrEx>
          <w:tblCellMar>
            <w:top w:w="0" w:type="dxa"/>
            <w:left w:w="108" w:type="dxa"/>
            <w:bottom w:w="0" w:type="dxa"/>
            <w:right w:w="108" w:type="dxa"/>
          </w:tblCellMar>
        </w:tblPrEx>
        <w:trPr>
          <w:trHeight w:val="321" w:hRule="atLeast"/>
          <w:jc w:val="center"/>
        </w:trPr>
        <w:tc>
          <w:tcPr>
            <w:tcW w:w="1370" w:type="dxa"/>
            <w:tcBorders>
              <w:top w:val="single" w:color="auto" w:sz="4" w:space="0"/>
              <w:left w:val="single" w:color="000000" w:sz="4" w:space="0"/>
              <w:bottom w:val="single" w:color="000000" w:sz="4" w:space="0"/>
              <w:right w:val="single" w:color="auto" w:sz="4" w:space="0"/>
            </w:tcBorders>
            <w:noWrap w:val="0"/>
            <w:vAlign w:val="center"/>
          </w:tcPr>
          <w:p w14:paraId="55D56246">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工程进度</w:t>
            </w:r>
          </w:p>
          <w:p w14:paraId="6613DE54">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1C364B3A">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1C9301B8">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3E012986">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5166F0B0">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685CE569">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vMerge w:val="continue"/>
            <w:tcBorders>
              <w:top w:val="single" w:color="auto" w:sz="4" w:space="0"/>
              <w:left w:val="single" w:color="auto" w:sz="4" w:space="0"/>
              <w:bottom w:val="single" w:color="auto" w:sz="4" w:space="0"/>
              <w:right w:val="single" w:color="auto" w:sz="4" w:space="0"/>
            </w:tcBorders>
            <w:noWrap w:val="0"/>
            <w:vAlign w:val="center"/>
          </w:tcPr>
          <w:p w14:paraId="33D6114C">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p>
        </w:tc>
      </w:tr>
      <w:tr w14:paraId="0AC42CCD">
        <w:tblPrEx>
          <w:tblCellMar>
            <w:top w:w="0" w:type="dxa"/>
            <w:left w:w="108" w:type="dxa"/>
            <w:bottom w:w="0" w:type="dxa"/>
            <w:right w:w="108" w:type="dxa"/>
          </w:tblCellMar>
        </w:tblPrEx>
        <w:trPr>
          <w:trHeight w:val="1480" w:hRule="atLeast"/>
          <w:jc w:val="center"/>
        </w:trPr>
        <w:tc>
          <w:tcPr>
            <w:tcW w:w="1370" w:type="dxa"/>
            <w:tcBorders>
              <w:top w:val="single" w:color="000000" w:sz="4" w:space="0"/>
              <w:left w:val="single" w:color="000000" w:sz="4" w:space="0"/>
              <w:bottom w:val="single" w:color="000000" w:sz="4" w:space="0"/>
              <w:right w:val="single" w:color="auto" w:sz="4" w:space="0"/>
            </w:tcBorders>
            <w:noWrap w:val="0"/>
            <w:vAlign w:val="center"/>
          </w:tcPr>
          <w:p w14:paraId="38C200EE">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工程造价</w:t>
            </w:r>
          </w:p>
          <w:p w14:paraId="21FFBFF7">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45E15623">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auto" w:sz="4" w:space="0"/>
              <w:bottom w:val="single" w:color="auto" w:sz="4" w:space="0"/>
              <w:right w:val="single" w:color="auto" w:sz="4" w:space="0"/>
            </w:tcBorders>
            <w:noWrap w:val="0"/>
            <w:vAlign w:val="center"/>
          </w:tcPr>
          <w:p w14:paraId="7894184C">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31B475E3">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06E7F1F6">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30CF66B8">
            <w:pPr>
              <w:pStyle w:val="111"/>
              <w:keepNext w:val="0"/>
              <w:keepLines w:val="0"/>
              <w:pageBreakBefore w:val="0"/>
              <w:widowControl w:val="0"/>
              <w:kinsoku/>
              <w:wordWrap w:val="0"/>
              <w:overflowPunct/>
              <w:topLinePunct w:val="0"/>
              <w:autoSpaceDE/>
              <w:autoSpaceDN/>
              <w:bidi w:val="0"/>
              <w:adjustRightInd/>
              <w:snapToGrid w:val="0"/>
              <w:spacing w:line="288" w:lineRule="auto"/>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vMerge w:val="continue"/>
            <w:tcBorders>
              <w:top w:val="single" w:color="auto" w:sz="4" w:space="0"/>
              <w:left w:val="single" w:color="auto" w:sz="4" w:space="0"/>
              <w:bottom w:val="single" w:color="auto" w:sz="4" w:space="0"/>
              <w:right w:val="single" w:color="auto" w:sz="4" w:space="0"/>
            </w:tcBorders>
            <w:noWrap w:val="0"/>
            <w:vAlign w:val="center"/>
          </w:tcPr>
          <w:p w14:paraId="541C6262">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p>
        </w:tc>
      </w:tr>
      <w:tr w14:paraId="37884F6A">
        <w:tblPrEx>
          <w:tblCellMar>
            <w:top w:w="0" w:type="dxa"/>
            <w:left w:w="108" w:type="dxa"/>
            <w:bottom w:w="0" w:type="dxa"/>
            <w:right w:w="108" w:type="dxa"/>
          </w:tblCellMar>
        </w:tblPrEx>
        <w:trPr>
          <w:trHeight w:val="1212"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3087CDFF">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安全防护</w:t>
            </w:r>
          </w:p>
          <w:p w14:paraId="29B76934">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监理措施</w:t>
            </w:r>
          </w:p>
          <w:p w14:paraId="6690FA94">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auto" w:sz="4" w:space="0"/>
              <w:left w:val="single" w:color="000000" w:sz="4" w:space="0"/>
              <w:bottom w:val="single" w:color="000000" w:sz="4" w:space="0"/>
              <w:right w:val="single" w:color="000000" w:sz="4" w:space="0"/>
            </w:tcBorders>
            <w:noWrap w:val="0"/>
            <w:vAlign w:val="center"/>
          </w:tcPr>
          <w:p w14:paraId="7D132941">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7A526C2D">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199A40D3">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4DF518F1">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vMerge w:val="continue"/>
            <w:tcBorders>
              <w:top w:val="single" w:color="auto" w:sz="4" w:space="0"/>
              <w:left w:val="single" w:color="000000" w:sz="4" w:space="0"/>
              <w:right w:val="single" w:color="auto" w:sz="4" w:space="0"/>
            </w:tcBorders>
            <w:noWrap w:val="0"/>
            <w:vAlign w:val="center"/>
          </w:tcPr>
          <w:p w14:paraId="03260D4F">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p>
        </w:tc>
      </w:tr>
      <w:tr w14:paraId="51495A64">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1172BCEC">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绿色施工</w:t>
            </w:r>
          </w:p>
          <w:p w14:paraId="0C221BFB">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、文明施工</w:t>
            </w:r>
          </w:p>
          <w:p w14:paraId="31E21054">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监理措施</w:t>
            </w:r>
          </w:p>
          <w:p w14:paraId="2129A149">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09F02ABD">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005BEF12">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713BA410">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3B9E4652">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vMerge w:val="continue"/>
            <w:tcBorders>
              <w:left w:val="single" w:color="000000" w:sz="4" w:space="0"/>
              <w:bottom w:val="single" w:color="000000" w:sz="4" w:space="0"/>
              <w:right w:val="single" w:color="auto" w:sz="4" w:space="0"/>
            </w:tcBorders>
            <w:noWrap w:val="0"/>
            <w:vAlign w:val="center"/>
          </w:tcPr>
          <w:p w14:paraId="5D6CC703">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p>
        </w:tc>
      </w:tr>
      <w:tr w14:paraId="362CDE2F">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E467A7C">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合同、信息</w:t>
            </w:r>
          </w:p>
          <w:p w14:paraId="31FCD10E">
            <w:pPr>
              <w:pStyle w:val="99"/>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管理方案</w:t>
            </w:r>
          </w:p>
          <w:p w14:paraId="42F50B67">
            <w:pPr>
              <w:pStyle w:val="127"/>
              <w:keepNext w:val="0"/>
              <w:keepLines w:val="0"/>
              <w:pageBreakBefore w:val="0"/>
              <w:widowControl w:val="0"/>
              <w:kinsoku/>
              <w:wordWrap w:val="0"/>
              <w:overflowPunct/>
              <w:topLinePunct w:val="0"/>
              <w:autoSpaceDE/>
              <w:autoSpaceDN/>
              <w:bidi w:val="0"/>
              <w:adjustRightInd/>
              <w:snapToGrid w:val="0"/>
              <w:spacing w:line="24" w:lineRule="atLeas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2785D636">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172C9E0C">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2FB241DA">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658683FF">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15BE8CDA">
            <w:pPr>
              <w:pStyle w:val="111"/>
              <w:keepNext w:val="0"/>
              <w:keepLines w:val="0"/>
              <w:pageBreakBefore w:val="0"/>
              <w:widowControl w:val="0"/>
              <w:kinsoku/>
              <w:wordWrap w:val="0"/>
              <w:overflowPunct/>
              <w:topLinePunct w:val="0"/>
              <w:autoSpaceDE/>
              <w:autoSpaceDN/>
              <w:bidi w:val="0"/>
              <w:adjustRightInd/>
              <w:snapToGrid w:val="0"/>
              <w:spacing w:line="24"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要求各项制度规范清晰，方法科学合理，措施及时有效，针对性强。能够切实防范和处理合同纠纷，提升监理工作效能。</w:t>
            </w:r>
          </w:p>
        </w:tc>
      </w:tr>
      <w:tr w14:paraId="2172DEEB">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40F62563">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组织协调</w:t>
            </w:r>
          </w:p>
          <w:p w14:paraId="5C2DD6FE">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内容及措施</w:t>
            </w:r>
          </w:p>
          <w:p w14:paraId="2522124E">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5D7FDC50">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4D5BF1AE">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6865E762">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33D41A28">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13F64F0E">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要求各项制度规范清晰，方法科学合理，措施及时有效，针对性强。能够高效收集、协调、处理、反馈各方各类问题。</w:t>
            </w:r>
          </w:p>
        </w:tc>
      </w:tr>
      <w:tr w14:paraId="288BA03D">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87613F4">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监理工作重点、难点分析</w:t>
            </w:r>
          </w:p>
          <w:p w14:paraId="38D0E3C3">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65D969D3">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7618814F">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6E022843">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07DEE290">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6497F5BF">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2B2ACF7B">
        <w:tblPrEx>
          <w:tblCellMar>
            <w:top w:w="0" w:type="dxa"/>
            <w:left w:w="108" w:type="dxa"/>
            <w:bottom w:w="0" w:type="dxa"/>
            <w:right w:w="108" w:type="dxa"/>
          </w:tblCellMar>
        </w:tblPrEx>
        <w:trPr>
          <w:trHeight w:val="457"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0E528CA0">
            <w:pPr>
              <w:pStyle w:val="99"/>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合理化建议</w:t>
            </w:r>
          </w:p>
          <w:p w14:paraId="6CEE714D">
            <w:pPr>
              <w:pStyle w:val="127"/>
              <w:keepNext w:val="0"/>
              <w:keepLines w:val="0"/>
              <w:pageBreakBefore w:val="0"/>
              <w:widowControl w:val="0"/>
              <w:kinsoku/>
              <w:wordWrap w:val="0"/>
              <w:overflowPunct/>
              <w:topLinePunct w:val="0"/>
              <w:autoSpaceDE/>
              <w:autoSpaceDN/>
              <w:bidi w:val="0"/>
              <w:adjustRightInd/>
              <w:snapToGrid w:val="0"/>
              <w:spacing w:line="288"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lang w:val="en-US" w:eastAsia="zh-CN"/>
              </w:rPr>
              <w:t>2</w:t>
            </w:r>
            <w:r>
              <w:rPr>
                <w:rFonts w:hint="eastAsia" w:ascii="宋体" w:hAnsi="宋体" w:eastAsia="宋体" w:cs="宋体"/>
                <w:color w:val="auto"/>
                <w:kern w:val="0"/>
                <w:sz w:val="24"/>
                <w:szCs w:val="24"/>
                <w:highlight w:val="none"/>
              </w:rPr>
              <w:t>分）</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14:paraId="4BD6133C">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【优】得该项因素分的90%～100%（含90%）；</w:t>
            </w:r>
          </w:p>
          <w:p w14:paraId="2BDFDE4E">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【良】得该项因素分的80%～90%（含80%）；</w:t>
            </w:r>
          </w:p>
          <w:p w14:paraId="213E26B1">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【中】得该项因素分的70%～80%（含70%）；</w:t>
            </w:r>
          </w:p>
          <w:p w14:paraId="4CAF5DA9">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【差】得该项因素分的60%～70%（含60%）。</w:t>
            </w:r>
          </w:p>
        </w:tc>
        <w:tc>
          <w:tcPr>
            <w:tcW w:w="4018" w:type="dxa"/>
            <w:tcBorders>
              <w:top w:val="single" w:color="000000" w:sz="4" w:space="0"/>
              <w:left w:val="single" w:color="000000" w:sz="4" w:space="0"/>
              <w:bottom w:val="single" w:color="000000" w:sz="4" w:space="0"/>
              <w:right w:val="single" w:color="000000" w:sz="4" w:space="0"/>
            </w:tcBorders>
            <w:noWrap w:val="0"/>
            <w:vAlign w:val="center"/>
          </w:tcPr>
          <w:p w14:paraId="43EB7A57">
            <w:pPr>
              <w:pStyle w:val="111"/>
              <w:keepNext w:val="0"/>
              <w:keepLines w:val="0"/>
              <w:pageBreakBefore w:val="0"/>
              <w:widowControl w:val="0"/>
              <w:kinsoku/>
              <w:wordWrap w:val="0"/>
              <w:overflowPunct/>
              <w:topLinePunct w:val="0"/>
              <w:autoSpaceDE/>
              <w:autoSpaceDN/>
              <w:bidi w:val="0"/>
              <w:adjustRightInd/>
              <w:snapToGrid w:val="0"/>
              <w:spacing w:line="288"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要求方法可行、措施具体、针对性强。</w:t>
            </w:r>
          </w:p>
        </w:tc>
      </w:tr>
      <w:tr w14:paraId="3172C220">
        <w:tblPrEx>
          <w:tblCellMar>
            <w:top w:w="0" w:type="dxa"/>
            <w:left w:w="108" w:type="dxa"/>
            <w:bottom w:w="0" w:type="dxa"/>
            <w:right w:w="108" w:type="dxa"/>
          </w:tblCellMar>
        </w:tblPrEx>
        <w:trPr>
          <w:trHeight w:val="553" w:hRule="exact"/>
          <w:jc w:val="center"/>
        </w:trPr>
        <w:tc>
          <w:tcPr>
            <w:tcW w:w="9564"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65D30DF">
            <w:pPr>
              <w:pStyle w:val="111"/>
              <w:keepNext w:val="0"/>
              <w:keepLines w:val="0"/>
              <w:pageBreakBefore w:val="0"/>
              <w:widowControl w:val="0"/>
              <w:kinsoku/>
              <w:wordWrap w:val="0"/>
              <w:overflowPunct/>
              <w:topLinePunct w:val="0"/>
              <w:autoSpaceDE/>
              <w:autoSpaceDN/>
              <w:bidi w:val="0"/>
              <w:snapToGrid w:val="0"/>
              <w:spacing w:line="50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投标报价部分，满分：</w:t>
            </w:r>
            <w:r>
              <w:rPr>
                <w:rFonts w:hint="eastAsia" w:ascii="宋体" w:hAnsi="宋体" w:eastAsia="宋体" w:cs="宋体"/>
                <w:b/>
                <w:bCs/>
                <w:color w:val="auto"/>
                <w:kern w:val="0"/>
                <w:sz w:val="24"/>
                <w:szCs w:val="24"/>
                <w:highlight w:val="none"/>
                <w:u w:val="single"/>
              </w:rPr>
              <w:t>30</w:t>
            </w:r>
            <w:r>
              <w:rPr>
                <w:rFonts w:hint="eastAsia" w:ascii="宋体" w:hAnsi="宋体" w:eastAsia="宋体" w:cs="宋体"/>
                <w:b/>
                <w:bCs/>
                <w:color w:val="auto"/>
                <w:kern w:val="0"/>
                <w:sz w:val="24"/>
                <w:szCs w:val="24"/>
                <w:highlight w:val="none"/>
              </w:rPr>
              <w:t>分。</w:t>
            </w:r>
          </w:p>
        </w:tc>
      </w:tr>
      <w:tr w14:paraId="6CEA7160">
        <w:tblPrEx>
          <w:tblCellMar>
            <w:top w:w="0" w:type="dxa"/>
            <w:left w:w="108" w:type="dxa"/>
            <w:bottom w:w="0" w:type="dxa"/>
            <w:right w:w="108" w:type="dxa"/>
          </w:tblCellMar>
        </w:tblPrEx>
        <w:trPr>
          <w:trHeight w:val="491" w:hRule="exac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3816EF2B">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评分事项</w:t>
            </w: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0E376BA1">
            <w:pPr>
              <w:pStyle w:val="156"/>
              <w:keepNext w:val="0"/>
              <w:keepLines w:val="0"/>
              <w:pageBreakBefore w:val="0"/>
              <w:widowControl w:val="0"/>
              <w:kinsoku/>
              <w:wordWrap w:val="0"/>
              <w:overflowPunct/>
              <w:topLinePunct w:val="0"/>
              <w:autoSpaceDE/>
              <w:autoSpaceDN/>
              <w:bidi w:val="0"/>
              <w:snapToGrid w:val="0"/>
              <w:spacing w:after="0" w:line="500" w:lineRule="exact"/>
              <w:jc w:val="center"/>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评分方法</w:t>
            </w:r>
          </w:p>
        </w:tc>
      </w:tr>
      <w:tr w14:paraId="192C693E">
        <w:tblPrEx>
          <w:tblCellMar>
            <w:top w:w="0" w:type="dxa"/>
            <w:left w:w="108" w:type="dxa"/>
            <w:bottom w:w="0" w:type="dxa"/>
            <w:right w:w="108" w:type="dxa"/>
          </w:tblCellMar>
        </w:tblPrEx>
        <w:trPr>
          <w:trHeight w:val="5778" w:hRule="atLeast"/>
          <w:jc w:val="center"/>
        </w:trPr>
        <w:tc>
          <w:tcPr>
            <w:tcW w:w="1370" w:type="dxa"/>
            <w:tcBorders>
              <w:top w:val="single" w:color="000000" w:sz="4" w:space="0"/>
              <w:left w:val="single" w:color="000000" w:sz="4" w:space="0"/>
              <w:bottom w:val="single" w:color="000000" w:sz="4" w:space="0"/>
              <w:right w:val="single" w:color="000000" w:sz="4" w:space="0"/>
            </w:tcBorders>
            <w:noWrap w:val="0"/>
            <w:vAlign w:val="center"/>
          </w:tcPr>
          <w:p w14:paraId="5CE3B71C">
            <w:pPr>
              <w:pStyle w:val="127"/>
              <w:keepNext w:val="0"/>
              <w:keepLines w:val="0"/>
              <w:pageBreakBefore w:val="0"/>
              <w:widowControl w:val="0"/>
              <w:kinsoku/>
              <w:overflowPunct/>
              <w:topLinePunct w:val="0"/>
              <w:autoSpaceDE/>
              <w:autoSpaceDN/>
              <w:bidi w:val="0"/>
              <w:adjustRightInd w:val="0"/>
              <w:snapToGrid w:val="0"/>
              <w:spacing w:line="288"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4E6D0910">
            <w:pPr>
              <w:pStyle w:val="127"/>
              <w:keepNext w:val="0"/>
              <w:keepLines w:val="0"/>
              <w:pageBreakBefore w:val="0"/>
              <w:widowControl w:val="0"/>
              <w:kinsoku/>
              <w:overflowPunct/>
              <w:topLinePunct w:val="0"/>
              <w:autoSpaceDE/>
              <w:autoSpaceDN/>
              <w:bidi w:val="0"/>
              <w:adjustRightInd w:val="0"/>
              <w:snapToGrid w:val="0"/>
              <w:spacing w:line="288" w:lineRule="auto"/>
              <w:jc w:val="center"/>
              <w:textAlignment w:val="auto"/>
              <w:rPr>
                <w:rFonts w:hint="eastAsia" w:ascii="宋体" w:hAnsi="宋体" w:eastAsia="宋体" w:cs="宋体"/>
                <w:color w:val="auto"/>
                <w:kern w:val="0"/>
                <w:sz w:val="24"/>
                <w:szCs w:val="24"/>
                <w:highlight w:val="none"/>
              </w:rPr>
            </w:pPr>
          </w:p>
        </w:tc>
        <w:tc>
          <w:tcPr>
            <w:tcW w:w="8194" w:type="dxa"/>
            <w:gridSpan w:val="2"/>
            <w:tcBorders>
              <w:top w:val="single" w:color="000000" w:sz="4" w:space="0"/>
              <w:left w:val="single" w:color="000000" w:sz="4" w:space="0"/>
              <w:bottom w:val="single" w:color="000000" w:sz="4" w:space="0"/>
              <w:right w:val="single" w:color="000000" w:sz="4" w:space="0"/>
            </w:tcBorders>
            <w:noWrap w:val="0"/>
            <w:vAlign w:val="center"/>
          </w:tcPr>
          <w:p w14:paraId="72E9D522">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（1）确定最高投标限价下浮系数n：用1～21号球分别代表一个下浮系数，由评委代表从这21个号码中随机抽取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次，每次抽取1个号码，抽出的号球不参与下次抽取。所抽取的3个号码对应下浮系数的算术平均值作为最高投标限价下浮系数n。具体号码对应的下浮系数可参考下表。</w:t>
            </w:r>
          </w:p>
          <w:tbl>
            <w:tblPr>
              <w:tblStyle w:val="32"/>
              <w:tblW w:w="7753" w:type="dxa"/>
              <w:tblInd w:w="113" w:type="dxa"/>
              <w:tblLayout w:type="fixed"/>
              <w:tblCellMar>
                <w:top w:w="0" w:type="dxa"/>
                <w:left w:w="108" w:type="dxa"/>
                <w:bottom w:w="0" w:type="dxa"/>
                <w:right w:w="108" w:type="dxa"/>
              </w:tblCellMar>
            </w:tblPr>
            <w:tblGrid>
              <w:gridCol w:w="1719"/>
              <w:gridCol w:w="862"/>
              <w:gridCol w:w="862"/>
              <w:gridCol w:w="862"/>
              <w:gridCol w:w="862"/>
              <w:gridCol w:w="862"/>
              <w:gridCol w:w="862"/>
              <w:gridCol w:w="862"/>
            </w:tblGrid>
            <w:tr w14:paraId="0D789BB8">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E233F94">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BFDBED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F19ED5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01442E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3F57EB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7C0451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684A0F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0D1C897">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7</w:t>
                  </w:r>
                </w:p>
              </w:tc>
            </w:tr>
            <w:tr w14:paraId="1F4102CB">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7E0BC0C5">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3311D74">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4F3C10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B12350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175117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82A9CA">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8FC42A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EF20129">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0B5E4B3F">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4DBFE8E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0958E9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C57D59C">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91273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DF4BE2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E2ADE2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174127D">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13</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B4EF1F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14</w:t>
                  </w:r>
                </w:p>
              </w:tc>
            </w:tr>
            <w:tr w14:paraId="7A7A6347">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660795C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904C8E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2387598">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20570C8">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77223B6">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A586EA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474C4E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52312999">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0F1F446D">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022FB4E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号球</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181CA35">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B763312">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00357F1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4AAE184">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1AA304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19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1D3297A3">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20</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4C35A491">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21</w:t>
                  </w:r>
                </w:p>
              </w:tc>
            </w:tr>
            <w:tr w14:paraId="4C4A0516">
              <w:tblPrEx>
                <w:tblCellMar>
                  <w:top w:w="0" w:type="dxa"/>
                  <w:left w:w="108" w:type="dxa"/>
                  <w:bottom w:w="0" w:type="dxa"/>
                  <w:right w:w="108" w:type="dxa"/>
                </w:tblCellMar>
              </w:tblPrEx>
              <w:trPr>
                <w:trHeight w:val="340" w:hRule="exact"/>
              </w:trPr>
              <w:tc>
                <w:tcPr>
                  <w:tcW w:w="1719" w:type="dxa"/>
                  <w:tcBorders>
                    <w:top w:val="single" w:color="000000" w:sz="4" w:space="0"/>
                    <w:left w:val="single" w:color="000000" w:sz="4" w:space="0"/>
                    <w:bottom w:val="single" w:color="000000" w:sz="4" w:space="0"/>
                    <w:right w:val="single" w:color="000000" w:sz="4" w:space="0"/>
                  </w:tcBorders>
                  <w:noWrap w:val="0"/>
                  <w:vAlign w:val="center"/>
                </w:tcPr>
                <w:p w14:paraId="57F52C4E">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22D181FA">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AA24CD8">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70A7D00">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4E1EB0F">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704A733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61176805">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62" w:type="dxa"/>
                  <w:tcBorders>
                    <w:top w:val="single" w:color="000000" w:sz="4" w:space="0"/>
                    <w:left w:val="single" w:color="000000" w:sz="4" w:space="0"/>
                    <w:bottom w:val="single" w:color="000000" w:sz="4" w:space="0"/>
                    <w:right w:val="single" w:color="000000" w:sz="4" w:space="0"/>
                  </w:tcBorders>
                  <w:noWrap w:val="0"/>
                  <w:vAlign w:val="center"/>
                </w:tcPr>
                <w:p w14:paraId="33969A3B">
                  <w:pPr>
                    <w:keepNext w:val="0"/>
                    <w:keepLines w:val="0"/>
                    <w:pageBreakBefore w:val="0"/>
                    <w:widowControl w:val="0"/>
                    <w:kinsoku/>
                    <w:wordWrap w:val="0"/>
                    <w:overflowPunct/>
                    <w:topLinePunct w:val="0"/>
                    <w:autoSpaceDE/>
                    <w:autoSpaceDN/>
                    <w:bidi w:val="0"/>
                    <w:adjustRightInd w:val="0"/>
                    <w:snapToGrid w:val="0"/>
                    <w:spacing w:line="288"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522898BA">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（2）评标基准价D＝最高投标限价×（1－n）</w:t>
            </w:r>
          </w:p>
          <w:p w14:paraId="419FA6DB">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，即当投标人的投标总价等于评标基准价时得30分，每高于评标基准价一个百分点扣</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 每低于评标基准价一个百分点扣</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分，扣完为止。公式如下：</w:t>
            </w:r>
          </w:p>
          <w:p w14:paraId="71925D7D">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snapToGrid w:val="0"/>
                <w:color w:val="auto"/>
                <w:kern w:val="0"/>
                <w:sz w:val="24"/>
                <w:szCs w:val="24"/>
                <w:highlight w:val="none"/>
              </w:rPr>
              <w:t>＝30－（| Di－D | ÷D）×100×E</w:t>
            </w:r>
          </w:p>
          <w:p w14:paraId="36487F77">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hAnsi="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；当Di＜D时，E＝</w:t>
            </w:r>
            <w:r>
              <w:rPr>
                <w:rFonts w:hint="eastAsia" w:hAnsi="宋体" w:cs="宋体"/>
                <w:snapToGrid w:val="0"/>
                <w:color w:val="auto"/>
                <w:kern w:val="0"/>
                <w:sz w:val="24"/>
                <w:szCs w:val="24"/>
                <w:highlight w:val="none"/>
                <w:lang w:val="en-US" w:eastAsia="zh-CN"/>
              </w:rPr>
              <w:t>0.3</w:t>
            </w:r>
            <w:r>
              <w:rPr>
                <w:rFonts w:hint="eastAsia" w:ascii="宋体" w:hAnsi="宋体" w:eastAsia="宋体" w:cs="宋体"/>
                <w:snapToGrid w:val="0"/>
                <w:color w:val="auto"/>
                <w:kern w:val="0"/>
                <w:sz w:val="24"/>
                <w:szCs w:val="24"/>
                <w:highlight w:val="none"/>
              </w:rPr>
              <w:t>。</w:t>
            </w:r>
          </w:p>
          <w:p w14:paraId="7CB978CB">
            <w:pPr>
              <w:keepNext w:val="0"/>
              <w:keepLines w:val="0"/>
              <w:pageBreakBefore w:val="0"/>
              <w:widowControl w:val="0"/>
              <w:kinsoku/>
              <w:wordWrap w:val="0"/>
              <w:overflowPunct/>
              <w:topLinePunct w:val="0"/>
              <w:autoSpaceDE/>
              <w:autoSpaceDN/>
              <w:bidi w:val="0"/>
              <w:adjustRightInd w:val="0"/>
              <w:snapToGrid w:val="0"/>
              <w:spacing w:line="288"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式中：</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3</w:t>
            </w:r>
            <w:r>
              <w:rPr>
                <w:rFonts w:hint="eastAsia" w:ascii="宋体" w:hAnsi="宋体" w:eastAsia="宋体" w:cs="宋体"/>
                <w:color w:val="auto"/>
                <w:sz w:val="24"/>
                <w:szCs w:val="24"/>
                <w:highlight w:val="none"/>
              </w:rPr>
              <w:t xml:space="preserve">=经济部分得分，保留小数点后两位。 </w:t>
            </w:r>
          </w:p>
        </w:tc>
      </w:tr>
    </w:tbl>
    <w:p w14:paraId="5A884232">
      <w:pPr>
        <w:wordWrap w:val="0"/>
        <w:adjustRightInd w:val="0"/>
        <w:snapToGrid w:val="0"/>
        <w:spacing w:line="440" w:lineRule="exact"/>
        <w:ind w:firstLine="480" w:firstLineChars="200"/>
        <w:rPr>
          <w:rFonts w:hint="eastAsia" w:ascii="宋体" w:hAnsi="宋体" w:eastAsia="宋体" w:cs="宋体"/>
          <w:color w:val="auto"/>
          <w:kern w:val="0"/>
          <w:szCs w:val="24"/>
          <w:highlight w:val="none"/>
        </w:rPr>
      </w:pPr>
      <w:r>
        <w:rPr>
          <w:rFonts w:hint="eastAsia" w:ascii="宋体" w:hAnsi="宋体" w:eastAsia="宋体" w:cs="宋体"/>
          <w:color w:val="auto"/>
          <w:kern w:val="0"/>
          <w:szCs w:val="24"/>
          <w:highlight w:val="none"/>
        </w:rPr>
        <w:t>注：评分如出现小数点，则保留小数点后两位，第三位四舍五入。</w:t>
      </w:r>
    </w:p>
    <w:p w14:paraId="4D5E792C">
      <w:pPr>
        <w:rPr>
          <w:rFonts w:hint="eastAsia"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br w:type="page"/>
      </w:r>
    </w:p>
    <w:p w14:paraId="42B2D1BE">
      <w:pPr>
        <w:wordWrap w:val="0"/>
        <w:adjustRightInd w:val="0"/>
        <w:snapToGrid w:val="0"/>
        <w:spacing w:after="240" w:afterLines="100" w:line="440" w:lineRule="exact"/>
        <w:jc w:val="center"/>
        <w:rPr>
          <w:rFonts w:hAnsi="宋体" w:cs="宋体"/>
          <w:b/>
          <w:bCs/>
          <w:snapToGrid w:val="0"/>
          <w:color w:val="auto"/>
          <w:kern w:val="0"/>
          <w:sz w:val="28"/>
          <w:szCs w:val="28"/>
          <w:highlight w:val="none"/>
        </w:rPr>
      </w:pPr>
      <w:r>
        <w:rPr>
          <w:rFonts w:hint="eastAsia" w:hAnsi="宋体" w:cs="宋体"/>
          <w:b/>
          <w:bCs/>
          <w:snapToGrid w:val="0"/>
          <w:color w:val="auto"/>
          <w:kern w:val="0"/>
          <w:sz w:val="28"/>
          <w:szCs w:val="28"/>
          <w:highlight w:val="none"/>
        </w:rPr>
        <w:t>表2 项目监理机构其他人员需求表</w:t>
      </w:r>
    </w:p>
    <w:tbl>
      <w:tblPr>
        <w:tblStyle w:val="32"/>
        <w:tblW w:w="9315" w:type="dxa"/>
        <w:tblInd w:w="32" w:type="dxa"/>
        <w:tblLayout w:type="autofit"/>
        <w:tblCellMar>
          <w:top w:w="0" w:type="dxa"/>
          <w:left w:w="108" w:type="dxa"/>
          <w:bottom w:w="0" w:type="dxa"/>
          <w:right w:w="108" w:type="dxa"/>
        </w:tblCellMar>
      </w:tblPr>
      <w:tblGrid>
        <w:gridCol w:w="1132"/>
        <w:gridCol w:w="1937"/>
        <w:gridCol w:w="1012"/>
        <w:gridCol w:w="5234"/>
      </w:tblGrid>
      <w:tr w14:paraId="207A5B3E">
        <w:tblPrEx>
          <w:tblCellMar>
            <w:top w:w="0" w:type="dxa"/>
            <w:left w:w="108" w:type="dxa"/>
            <w:bottom w:w="0" w:type="dxa"/>
            <w:right w:w="108" w:type="dxa"/>
          </w:tblCellMar>
        </w:tblPrEx>
        <w:trPr>
          <w:trHeight w:val="645" w:hRule="atLeast"/>
        </w:trPr>
        <w:tc>
          <w:tcPr>
            <w:tcW w:w="9315" w:type="dxa"/>
            <w:gridSpan w:val="4"/>
            <w:tcBorders>
              <w:top w:val="single" w:color="auto" w:sz="8" w:space="0"/>
              <w:left w:val="single" w:color="auto" w:sz="8" w:space="0"/>
              <w:bottom w:val="nil"/>
              <w:right w:val="single" w:color="000000" w:sz="8" w:space="0"/>
            </w:tcBorders>
            <w:vAlign w:val="center"/>
          </w:tcPr>
          <w:p w14:paraId="2AC7F590">
            <w:pPr>
              <w:widowControl/>
              <w:spacing w:line="240" w:lineRule="auto"/>
              <w:jc w:val="left"/>
              <w:rPr>
                <w:rFonts w:hAnsi="宋体" w:cs="宋体"/>
                <w:b/>
                <w:bCs/>
                <w:color w:val="auto"/>
                <w:kern w:val="0"/>
                <w:szCs w:val="24"/>
                <w:highlight w:val="none"/>
              </w:rPr>
            </w:pPr>
            <w:r>
              <w:rPr>
                <w:rFonts w:hint="eastAsia" w:hAnsi="宋体" w:cs="宋体"/>
                <w:b/>
                <w:bCs/>
                <w:color w:val="auto"/>
                <w:kern w:val="0"/>
                <w:szCs w:val="24"/>
                <w:highlight w:val="none"/>
              </w:rPr>
              <w:t>监理人员（除总监理工程师外）：共</w:t>
            </w:r>
            <w:r>
              <w:rPr>
                <w:rFonts w:hint="eastAsia" w:hAnsi="宋体" w:cs="宋体"/>
                <w:b/>
                <w:bCs/>
                <w:color w:val="auto"/>
                <w:kern w:val="0"/>
                <w:szCs w:val="24"/>
                <w:highlight w:val="none"/>
                <w:u w:val="single"/>
                <w:lang w:val="en-US" w:eastAsia="zh-CN"/>
              </w:rPr>
              <w:t>2</w:t>
            </w:r>
            <w:r>
              <w:rPr>
                <w:rFonts w:hint="eastAsia" w:hAnsi="宋体" w:cs="宋体"/>
                <w:b/>
                <w:bCs/>
                <w:color w:val="auto"/>
                <w:kern w:val="0"/>
                <w:szCs w:val="24"/>
                <w:highlight w:val="none"/>
              </w:rPr>
              <w:t>人</w:t>
            </w:r>
          </w:p>
        </w:tc>
      </w:tr>
      <w:tr w14:paraId="6DE02C40">
        <w:tblPrEx>
          <w:tblCellMar>
            <w:top w:w="0" w:type="dxa"/>
            <w:left w:w="108" w:type="dxa"/>
            <w:bottom w:w="0" w:type="dxa"/>
            <w:right w:w="108" w:type="dxa"/>
          </w:tblCellMar>
        </w:tblPrEx>
        <w:trPr>
          <w:trHeight w:val="681" w:hRule="atLeast"/>
        </w:trPr>
        <w:tc>
          <w:tcPr>
            <w:tcW w:w="1132" w:type="dxa"/>
            <w:tcBorders>
              <w:top w:val="single" w:color="auto" w:sz="4" w:space="0"/>
              <w:left w:val="single" w:color="auto" w:sz="4" w:space="0"/>
              <w:bottom w:val="single" w:color="auto" w:sz="4" w:space="0"/>
              <w:right w:val="single" w:color="auto" w:sz="4" w:space="0"/>
            </w:tcBorders>
            <w:vAlign w:val="center"/>
          </w:tcPr>
          <w:p w14:paraId="0E5F078E">
            <w:pPr>
              <w:jc w:val="center"/>
              <w:rPr>
                <w:color w:val="auto"/>
                <w:highlight w:val="none"/>
              </w:rPr>
            </w:pPr>
            <w:r>
              <w:rPr>
                <w:rFonts w:hint="eastAsia"/>
                <w:color w:val="auto"/>
                <w:highlight w:val="none"/>
              </w:rPr>
              <w:t>职务</w:t>
            </w:r>
          </w:p>
        </w:tc>
        <w:tc>
          <w:tcPr>
            <w:tcW w:w="1937" w:type="dxa"/>
            <w:tcBorders>
              <w:top w:val="single" w:color="auto" w:sz="4" w:space="0"/>
              <w:left w:val="single" w:color="auto" w:sz="4" w:space="0"/>
              <w:bottom w:val="single" w:color="auto" w:sz="4" w:space="0"/>
              <w:right w:val="single" w:color="auto" w:sz="4" w:space="0"/>
            </w:tcBorders>
            <w:vAlign w:val="center"/>
          </w:tcPr>
          <w:p w14:paraId="54C12C69">
            <w:pPr>
              <w:jc w:val="center"/>
              <w:rPr>
                <w:color w:val="auto"/>
                <w:highlight w:val="none"/>
              </w:rPr>
            </w:pPr>
            <w:r>
              <w:rPr>
                <w:rFonts w:hint="eastAsia"/>
                <w:color w:val="auto"/>
                <w:highlight w:val="none"/>
              </w:rPr>
              <w:t>专业要求</w:t>
            </w:r>
          </w:p>
        </w:tc>
        <w:tc>
          <w:tcPr>
            <w:tcW w:w="1012" w:type="dxa"/>
            <w:tcBorders>
              <w:top w:val="single" w:color="auto" w:sz="4" w:space="0"/>
              <w:left w:val="nil"/>
              <w:bottom w:val="single" w:color="auto" w:sz="4" w:space="0"/>
              <w:right w:val="single" w:color="auto" w:sz="4" w:space="0"/>
            </w:tcBorders>
            <w:vAlign w:val="center"/>
          </w:tcPr>
          <w:p w14:paraId="29E69088">
            <w:pPr>
              <w:jc w:val="center"/>
              <w:rPr>
                <w:color w:val="auto"/>
                <w:highlight w:val="none"/>
              </w:rPr>
            </w:pPr>
            <w:r>
              <w:rPr>
                <w:rFonts w:hint="eastAsia"/>
                <w:color w:val="auto"/>
                <w:highlight w:val="none"/>
              </w:rPr>
              <w:t>数量</w:t>
            </w:r>
          </w:p>
          <w:p w14:paraId="00DA76EC">
            <w:pPr>
              <w:jc w:val="center"/>
              <w:rPr>
                <w:color w:val="auto"/>
                <w:highlight w:val="none"/>
              </w:rPr>
            </w:pPr>
            <w:r>
              <w:rPr>
                <w:rFonts w:hint="eastAsia"/>
                <w:color w:val="auto"/>
                <w:highlight w:val="none"/>
              </w:rPr>
              <w:t>要求</w:t>
            </w:r>
          </w:p>
        </w:tc>
        <w:tc>
          <w:tcPr>
            <w:tcW w:w="5234" w:type="dxa"/>
            <w:tcBorders>
              <w:top w:val="single" w:color="auto" w:sz="4" w:space="0"/>
              <w:left w:val="single" w:color="auto" w:sz="4" w:space="0"/>
              <w:bottom w:val="single" w:color="auto" w:sz="4" w:space="0"/>
              <w:right w:val="single" w:color="auto" w:sz="4" w:space="0"/>
            </w:tcBorders>
            <w:vAlign w:val="center"/>
          </w:tcPr>
          <w:p w14:paraId="3AE81202">
            <w:pPr>
              <w:jc w:val="center"/>
              <w:rPr>
                <w:color w:val="auto"/>
                <w:highlight w:val="none"/>
              </w:rPr>
            </w:pPr>
            <w:r>
              <w:rPr>
                <w:rFonts w:hint="eastAsia"/>
                <w:color w:val="auto"/>
                <w:highlight w:val="none"/>
              </w:rPr>
              <w:t>持证要求</w:t>
            </w:r>
          </w:p>
        </w:tc>
      </w:tr>
      <w:tr w14:paraId="5FF3AD35">
        <w:tblPrEx>
          <w:tblCellMar>
            <w:top w:w="0" w:type="dxa"/>
            <w:left w:w="108" w:type="dxa"/>
            <w:bottom w:w="0" w:type="dxa"/>
            <w:right w:w="108" w:type="dxa"/>
          </w:tblCellMar>
        </w:tblPrEx>
        <w:trPr>
          <w:trHeight w:val="4272" w:hRule="atLeast"/>
        </w:trPr>
        <w:tc>
          <w:tcPr>
            <w:tcW w:w="1132" w:type="dxa"/>
            <w:tcBorders>
              <w:top w:val="single" w:color="auto" w:sz="4" w:space="0"/>
              <w:left w:val="single" w:color="auto" w:sz="4" w:space="0"/>
              <w:right w:val="single" w:color="auto" w:sz="4" w:space="0"/>
            </w:tcBorders>
            <w:vAlign w:val="center"/>
          </w:tcPr>
          <w:p w14:paraId="576B524F">
            <w:pPr>
              <w:widowControl/>
              <w:spacing w:line="440" w:lineRule="exact"/>
              <w:jc w:val="center"/>
              <w:rPr>
                <w:color w:val="auto"/>
                <w:highlight w:val="none"/>
              </w:rPr>
            </w:pPr>
            <w:r>
              <w:rPr>
                <w:rFonts w:hint="eastAsia"/>
                <w:color w:val="auto"/>
                <w:highlight w:val="none"/>
              </w:rPr>
              <w:t>专业监理工程师</w:t>
            </w:r>
          </w:p>
        </w:tc>
        <w:tc>
          <w:tcPr>
            <w:tcW w:w="1937" w:type="dxa"/>
            <w:tcBorders>
              <w:top w:val="single" w:color="auto" w:sz="4" w:space="0"/>
              <w:left w:val="single" w:color="auto" w:sz="4" w:space="0"/>
              <w:right w:val="single" w:color="auto" w:sz="4" w:space="0"/>
            </w:tcBorders>
            <w:vAlign w:val="center"/>
          </w:tcPr>
          <w:p w14:paraId="0C129668">
            <w:pPr>
              <w:widowControl/>
              <w:spacing w:line="360" w:lineRule="auto"/>
              <w:jc w:val="center"/>
              <w:rPr>
                <w:rFonts w:hint="eastAsia" w:eastAsia="宋体"/>
                <w:color w:val="auto"/>
                <w:highlight w:val="none"/>
                <w:lang w:val="en-US" w:eastAsia="zh-CN"/>
              </w:rPr>
            </w:pPr>
            <w:r>
              <w:rPr>
                <w:rFonts w:hint="eastAsia"/>
                <w:color w:val="auto"/>
                <w:highlight w:val="none"/>
              </w:rPr>
              <w:t>市政公用工程专业</w:t>
            </w:r>
          </w:p>
        </w:tc>
        <w:tc>
          <w:tcPr>
            <w:tcW w:w="1012" w:type="dxa"/>
            <w:tcBorders>
              <w:top w:val="single" w:color="auto" w:sz="4" w:space="0"/>
              <w:left w:val="nil"/>
              <w:bottom w:val="single" w:color="auto" w:sz="4" w:space="0"/>
              <w:right w:val="single" w:color="auto" w:sz="4" w:space="0"/>
            </w:tcBorders>
            <w:vAlign w:val="center"/>
          </w:tcPr>
          <w:p w14:paraId="2E19DC76">
            <w:pPr>
              <w:widowControl/>
              <w:spacing w:line="240" w:lineRule="auto"/>
              <w:jc w:val="center"/>
              <w:rPr>
                <w:color w:val="auto"/>
                <w:highlight w:val="none"/>
              </w:rPr>
            </w:pPr>
            <w:r>
              <w:rPr>
                <w:rFonts w:hint="eastAsia"/>
                <w:color w:val="auto"/>
                <w:highlight w:val="none"/>
                <w:lang w:val="en-US" w:eastAsia="zh-CN"/>
              </w:rPr>
              <w:t>1</w:t>
            </w:r>
          </w:p>
        </w:tc>
        <w:tc>
          <w:tcPr>
            <w:tcW w:w="5234" w:type="dxa"/>
            <w:tcBorders>
              <w:top w:val="single" w:color="auto" w:sz="4" w:space="0"/>
              <w:left w:val="single" w:color="auto" w:sz="4" w:space="0"/>
              <w:right w:val="single" w:color="auto" w:sz="4" w:space="0"/>
            </w:tcBorders>
            <w:vAlign w:val="center"/>
          </w:tcPr>
          <w:p w14:paraId="243F9D7B">
            <w:pPr>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专业监理工程师符合以下3种情形之一均可：</w:t>
            </w:r>
          </w:p>
          <w:p w14:paraId="23CF2EF2">
            <w:pPr>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1．具备所需专业注册监理工程师执业资格，持有效的注册证书；</w:t>
            </w:r>
          </w:p>
          <w:p w14:paraId="11E3936D">
            <w:pPr>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2．具备工程类注册执业资格，并经监理业务培训。持有效的注册证书、省级建设行政主管部门或其授权的组织（机构）颁发的岗位证书；</w:t>
            </w:r>
          </w:p>
          <w:p w14:paraId="4A9A46A2">
            <w:pPr>
              <w:keepNext w:val="0"/>
              <w:keepLines w:val="0"/>
              <w:pageBreakBefore w:val="0"/>
              <w:widowControl/>
              <w:kinsoku/>
              <w:wordWrap/>
              <w:overflowPunct/>
              <w:topLinePunct w:val="0"/>
              <w:autoSpaceDE/>
              <w:autoSpaceDN/>
              <w:bidi w:val="0"/>
              <w:adjustRightInd/>
              <w:snapToGrid/>
              <w:spacing w:line="460" w:lineRule="exact"/>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3．具备中级及以上专业技术职称，并经监理业务培训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持有效的职称证书、省级建设行政主管部门或其授权的组织（机构）颁发的岗位证书。</w:t>
            </w:r>
          </w:p>
          <w:p w14:paraId="0B67FE8D">
            <w:pPr>
              <w:widowControl/>
              <w:spacing w:line="440" w:lineRule="exact"/>
              <w:ind w:firstLine="480" w:firstLineChars="200"/>
              <w:rPr>
                <w:rFonts w:hAnsi="宋体" w:cs="宋体"/>
                <w:color w:val="auto"/>
                <w:kern w:val="0"/>
                <w:szCs w:val="24"/>
                <w:highlight w:val="none"/>
              </w:rPr>
            </w:pPr>
            <w:r>
              <w:rPr>
                <w:rFonts w:hint="eastAsia" w:ascii="宋体" w:hAnsi="宋体" w:eastAsia="宋体" w:cs="宋体"/>
                <w:color w:val="auto"/>
                <w:kern w:val="0"/>
                <w:sz w:val="24"/>
                <w:szCs w:val="24"/>
                <w:highlight w:val="none"/>
              </w:rPr>
              <w:t>注：专业类别以注册证书或专业监理工程师证书或职称证书或毕业证所列明的专业为准。</w:t>
            </w:r>
          </w:p>
        </w:tc>
      </w:tr>
      <w:tr w14:paraId="52FED773">
        <w:tblPrEx>
          <w:tblCellMar>
            <w:top w:w="0" w:type="dxa"/>
            <w:left w:w="108" w:type="dxa"/>
            <w:bottom w:w="0" w:type="dxa"/>
            <w:right w:w="108" w:type="dxa"/>
          </w:tblCellMar>
        </w:tblPrEx>
        <w:trPr>
          <w:trHeight w:val="1110" w:hRule="atLeast"/>
        </w:trPr>
        <w:tc>
          <w:tcPr>
            <w:tcW w:w="1132" w:type="dxa"/>
            <w:tcBorders>
              <w:top w:val="single" w:color="auto" w:sz="4" w:space="0"/>
              <w:left w:val="single" w:color="auto" w:sz="4" w:space="0"/>
              <w:bottom w:val="single" w:color="auto" w:sz="4" w:space="0"/>
              <w:right w:val="single" w:color="auto" w:sz="4" w:space="0"/>
            </w:tcBorders>
            <w:vAlign w:val="center"/>
          </w:tcPr>
          <w:p w14:paraId="33AA7C8C">
            <w:pPr>
              <w:pStyle w:val="89"/>
              <w:wordWrap w:val="0"/>
              <w:adjustRightInd w:val="0"/>
              <w:snapToGrid w:val="0"/>
              <w:spacing w:line="360" w:lineRule="exact"/>
              <w:jc w:val="center"/>
              <w:rPr>
                <w:rFonts w:hint="eastAsia"/>
                <w:color w:val="auto"/>
                <w:highlight w:val="none"/>
              </w:rPr>
            </w:pPr>
            <w:r>
              <w:rPr>
                <w:rFonts w:hint="eastAsia" w:ascii="宋体" w:hAnsi="宋体" w:cs="宋体"/>
                <w:snapToGrid w:val="0"/>
                <w:color w:val="auto"/>
                <w:kern w:val="0"/>
                <w:sz w:val="24"/>
                <w:highlight w:val="none"/>
              </w:rPr>
              <w:t>监理员</w:t>
            </w:r>
          </w:p>
        </w:tc>
        <w:tc>
          <w:tcPr>
            <w:tcW w:w="1937" w:type="dxa"/>
            <w:tcBorders>
              <w:top w:val="single" w:color="auto" w:sz="4" w:space="0"/>
              <w:left w:val="single" w:color="auto" w:sz="4" w:space="0"/>
              <w:bottom w:val="single" w:color="auto" w:sz="4" w:space="0"/>
              <w:right w:val="single" w:color="auto" w:sz="4" w:space="0"/>
            </w:tcBorders>
            <w:vAlign w:val="center"/>
          </w:tcPr>
          <w:p w14:paraId="2F7F8E07">
            <w:pPr>
              <w:pStyle w:val="89"/>
              <w:wordWrap w:val="0"/>
              <w:adjustRightInd w:val="0"/>
              <w:snapToGrid w:val="0"/>
              <w:spacing w:line="360" w:lineRule="exact"/>
              <w:jc w:val="center"/>
              <w:rPr>
                <w:rFonts w:hint="eastAsia"/>
                <w:color w:val="auto"/>
                <w:highlight w:val="none"/>
              </w:rPr>
            </w:pPr>
            <w:r>
              <w:rPr>
                <w:rFonts w:hint="eastAsia" w:ascii="宋体" w:hAnsi="宋体" w:cs="宋体"/>
                <w:snapToGrid w:val="0"/>
                <w:color w:val="auto"/>
                <w:kern w:val="0"/>
                <w:sz w:val="24"/>
                <w:highlight w:val="none"/>
              </w:rPr>
              <w:t>监理员岗位证书</w:t>
            </w:r>
          </w:p>
        </w:tc>
        <w:tc>
          <w:tcPr>
            <w:tcW w:w="1012" w:type="dxa"/>
            <w:tcBorders>
              <w:top w:val="single" w:color="auto" w:sz="4" w:space="0"/>
              <w:left w:val="single" w:color="auto" w:sz="4" w:space="0"/>
              <w:bottom w:val="single" w:color="auto" w:sz="4" w:space="0"/>
              <w:right w:val="single" w:color="auto" w:sz="4" w:space="0"/>
            </w:tcBorders>
            <w:vAlign w:val="center"/>
          </w:tcPr>
          <w:p w14:paraId="1672290A">
            <w:pPr>
              <w:pStyle w:val="89"/>
              <w:wordWrap w:val="0"/>
              <w:adjustRightInd w:val="0"/>
              <w:snapToGrid w:val="0"/>
              <w:spacing w:line="360" w:lineRule="exact"/>
              <w:jc w:val="center"/>
              <w:rPr>
                <w:rFonts w:hint="eastAsia"/>
                <w:color w:val="auto"/>
                <w:highlight w:val="none"/>
                <w:lang w:val="en-US" w:eastAsia="zh-CN"/>
              </w:rPr>
            </w:pPr>
            <w:r>
              <w:rPr>
                <w:rFonts w:hint="eastAsia" w:ascii="宋体" w:hAnsi="宋体" w:cs="宋体"/>
                <w:snapToGrid w:val="0"/>
                <w:color w:val="auto"/>
                <w:kern w:val="0"/>
                <w:sz w:val="24"/>
                <w:highlight w:val="none"/>
                <w:lang w:val="en-US" w:eastAsia="zh-CN"/>
              </w:rPr>
              <w:t>1</w:t>
            </w:r>
          </w:p>
        </w:tc>
        <w:tc>
          <w:tcPr>
            <w:tcW w:w="5234" w:type="dxa"/>
            <w:tcBorders>
              <w:top w:val="single" w:color="auto" w:sz="4" w:space="0"/>
              <w:left w:val="single" w:color="auto" w:sz="4" w:space="0"/>
              <w:bottom w:val="single" w:color="auto" w:sz="4" w:space="0"/>
              <w:right w:val="single" w:color="auto" w:sz="4" w:space="0"/>
            </w:tcBorders>
            <w:vAlign w:val="center"/>
          </w:tcPr>
          <w:p w14:paraId="7DFD8B43">
            <w:pPr>
              <w:pStyle w:val="89"/>
              <w:wordWrap w:val="0"/>
              <w:adjustRightInd w:val="0"/>
              <w:snapToGrid w:val="0"/>
              <w:spacing w:line="360" w:lineRule="exact"/>
              <w:jc w:val="center"/>
              <w:rPr>
                <w:rFonts w:hint="eastAsia" w:hAnsi="宋体" w:cs="宋体"/>
                <w:color w:val="auto"/>
                <w:kern w:val="0"/>
                <w:szCs w:val="24"/>
                <w:highlight w:val="none"/>
              </w:rPr>
            </w:pPr>
            <w:r>
              <w:rPr>
                <w:rFonts w:hint="eastAsia" w:ascii="宋体" w:hAnsi="宋体" w:cs="宋体"/>
                <w:snapToGrid w:val="0"/>
                <w:color w:val="auto"/>
                <w:kern w:val="0"/>
                <w:sz w:val="24"/>
                <w:highlight w:val="none"/>
              </w:rPr>
              <w:t>经监理业务培训，持有效的省级建设行政主管部门或其授权的组织（机构）颁发的岗位证书。</w:t>
            </w:r>
          </w:p>
        </w:tc>
      </w:tr>
    </w:tbl>
    <w:p w14:paraId="3E67B8DA">
      <w:pPr>
        <w:wordWrap w:val="0"/>
        <w:adjustRightInd w:val="0"/>
        <w:snapToGrid w:val="0"/>
        <w:spacing w:line="440" w:lineRule="exact"/>
        <w:ind w:firstLine="480" w:firstLineChars="200"/>
        <w:rPr>
          <w:rFonts w:ascii="Times New Roman"/>
          <w:snapToGrid w:val="0"/>
          <w:color w:val="auto"/>
          <w:kern w:val="0"/>
          <w:highlight w:val="none"/>
        </w:rPr>
      </w:pPr>
      <w:r>
        <w:rPr>
          <w:rFonts w:hint="eastAsia" w:hAnsi="宋体" w:cs="宋体"/>
          <w:color w:val="auto"/>
          <w:kern w:val="0"/>
          <w:szCs w:val="24"/>
          <w:highlight w:val="none"/>
        </w:rPr>
        <w:t>注：</w:t>
      </w:r>
      <w:r>
        <w:rPr>
          <w:rFonts w:hint="eastAsia" w:ascii="宋体" w:hAnsi="宋体" w:eastAsia="宋体" w:cs="宋体"/>
          <w:color w:val="auto"/>
          <w:kern w:val="0"/>
          <w:sz w:val="24"/>
          <w:szCs w:val="24"/>
          <w:highlight w:val="none"/>
          <w:lang w:val="en-US" w:eastAsia="zh-CN" w:bidi="ar"/>
        </w:rPr>
        <w:t>以上人员一人一岗，不得重复。除总监理工程师外，本需求表拟委派的项目监理机构其他人员只作为综合评分的评审依据，不属于资格评审、形式评审、响应性评审的审查内容，不得作为否决投标条件。</w:t>
      </w:r>
    </w:p>
    <w:p w14:paraId="1021FFCB">
      <w:pPr>
        <w:rPr>
          <w:color w:val="auto"/>
          <w:highlight w:val="none"/>
        </w:rPr>
      </w:pPr>
    </w:p>
    <w:p w14:paraId="07D9C16A">
      <w:pPr>
        <w:adjustRightInd w:val="0"/>
        <w:snapToGrid w:val="0"/>
        <w:spacing w:line="440" w:lineRule="exact"/>
        <w:ind w:firstLine="480" w:firstLineChars="200"/>
        <w:rPr>
          <w:rFonts w:hAnsi="宋体" w:cs="宋体"/>
          <w:snapToGrid w:val="0"/>
          <w:color w:val="auto"/>
          <w:kern w:val="0"/>
          <w:highlight w:val="none"/>
        </w:rPr>
      </w:pPr>
      <w:r>
        <w:rPr>
          <w:rFonts w:hint="eastAsia" w:hAnsi="宋体" w:cs="宋体"/>
          <w:snapToGrid w:val="0"/>
          <w:color w:val="auto"/>
          <w:kern w:val="0"/>
          <w:highlight w:val="none"/>
        </w:rPr>
        <w:br w:type="page"/>
      </w:r>
    </w:p>
    <w:p w14:paraId="499742D9">
      <w:pPr>
        <w:wordWrap w:val="0"/>
        <w:adjustRightInd w:val="0"/>
        <w:snapToGrid w:val="0"/>
        <w:spacing w:line="440" w:lineRule="exact"/>
        <w:ind w:firstLine="482" w:firstLineChars="200"/>
        <w:rPr>
          <w:rFonts w:hAnsi="宋体" w:cs="宋体"/>
          <w:b/>
          <w:bCs/>
          <w:snapToGrid w:val="0"/>
          <w:color w:val="auto"/>
          <w:kern w:val="0"/>
          <w:szCs w:val="24"/>
          <w:highlight w:val="none"/>
        </w:rPr>
        <w:sectPr>
          <w:endnotePr>
            <w:numFmt w:val="decimal"/>
          </w:endnotePr>
          <w:pgSz w:w="11906" w:h="16838"/>
          <w:pgMar w:top="1417" w:right="1417" w:bottom="1417" w:left="1417" w:header="850" w:footer="992" w:gutter="0"/>
          <w:cols w:space="0" w:num="1"/>
          <w:docGrid w:linePitch="327" w:charSpace="0"/>
        </w:sectPr>
      </w:pPr>
    </w:p>
    <w:p w14:paraId="15F6EFDA">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rPr>
        <w:t xml:space="preserve">15.5.2 </w:t>
      </w:r>
      <w:r>
        <w:rPr>
          <w:rFonts w:hint="eastAsia" w:hAnsi="宋体" w:cs="宋体"/>
          <w:snapToGrid w:val="0"/>
          <w:color w:val="auto"/>
          <w:kern w:val="0"/>
          <w:szCs w:val="24"/>
          <w:highlight w:val="none"/>
        </w:rPr>
        <w:t>否决投标说明</w:t>
      </w:r>
    </w:p>
    <w:p w14:paraId="4CADBCAA">
      <w:pPr>
        <w:wordWrap w:val="0"/>
        <w:adjustRightInd w:val="0"/>
        <w:snapToGrid w:val="0"/>
        <w:spacing w:line="360" w:lineRule="auto"/>
        <w:ind w:firstLine="562"/>
        <w:rPr>
          <w:rFonts w:hAnsi="宋体" w:cs="宋体"/>
          <w:snapToGrid w:val="0"/>
          <w:color w:val="auto"/>
          <w:kern w:val="0"/>
          <w:szCs w:val="24"/>
          <w:highlight w:val="none"/>
        </w:rPr>
      </w:pPr>
      <w:r>
        <w:rPr>
          <w:rFonts w:hint="eastAsia" w:hAnsi="宋体" w:cs="宋体"/>
          <w:snapToGrid w:val="0"/>
          <w:color w:val="auto"/>
          <w:kern w:val="0"/>
          <w:szCs w:val="24"/>
          <w:highlight w:val="none"/>
        </w:rPr>
        <w:t>详细评审阶段否决投标的全部条件，在本章第四节“否决投标条件”第</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条中集中列示。投标人有其中所列任何一种情形的，由评标委员会否决其投标。经详细评审后，若所有投标均被否决，招标人应当依法重新招标。</w:t>
      </w:r>
    </w:p>
    <w:p w14:paraId="200CF558">
      <w:pPr>
        <w:wordWrap w:val="0"/>
        <w:adjustRightInd w:val="0"/>
        <w:snapToGrid w:val="0"/>
        <w:spacing w:line="360" w:lineRule="auto"/>
        <w:ind w:firstLine="482" w:firstLineChars="200"/>
        <w:rPr>
          <w:rFonts w:hAnsi="宋体" w:cs="宋体"/>
          <w:b/>
          <w:snapToGrid w:val="0"/>
          <w:color w:val="auto"/>
          <w:kern w:val="0"/>
          <w:szCs w:val="24"/>
          <w:highlight w:val="none"/>
        </w:rPr>
      </w:pPr>
      <w:r>
        <w:rPr>
          <w:rFonts w:hint="eastAsia" w:hAnsi="宋体" w:cs="宋体"/>
          <w:b/>
          <w:bCs/>
          <w:snapToGrid w:val="0"/>
          <w:color w:val="auto"/>
          <w:kern w:val="0"/>
          <w:szCs w:val="24"/>
          <w:highlight w:val="none"/>
        </w:rPr>
        <w:t>注：投标人在详细评审阶段根据评分方法提供的佐证材料，其合法性、有效性和准确性不符合要求的，有关评分因素的评分按相应评分标准处理，但不否决投标。</w:t>
      </w:r>
    </w:p>
    <w:p w14:paraId="189E4120">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59" w:name="_Toc9172"/>
      <w:r>
        <w:rPr>
          <w:rFonts w:hint="eastAsia" w:hAnsi="宋体" w:cs="宋体"/>
          <w:b/>
          <w:snapToGrid w:val="0"/>
          <w:color w:val="auto"/>
          <w:kern w:val="0"/>
          <w:szCs w:val="24"/>
          <w:highlight w:val="none"/>
        </w:rPr>
        <w:t>16．推荐</w:t>
      </w:r>
      <w:r>
        <w:rPr>
          <w:rFonts w:hint="eastAsia" w:hAnsi="宋体" w:cs="宋体"/>
          <w:b/>
          <w:snapToGrid w:val="0"/>
          <w:color w:val="auto"/>
          <w:kern w:val="0"/>
          <w:szCs w:val="24"/>
          <w:highlight w:val="none"/>
          <w:lang w:val="en-US" w:eastAsia="zh-CN"/>
        </w:rPr>
        <w:t>定标</w:t>
      </w:r>
      <w:r>
        <w:rPr>
          <w:rFonts w:hint="eastAsia" w:hAnsi="宋体" w:cs="宋体"/>
          <w:b/>
          <w:snapToGrid w:val="0"/>
          <w:color w:val="auto"/>
          <w:kern w:val="0"/>
          <w:szCs w:val="24"/>
          <w:highlight w:val="none"/>
        </w:rPr>
        <w:t>候选人</w:t>
      </w:r>
      <w:bookmarkEnd w:id="59"/>
    </w:p>
    <w:p w14:paraId="523718F4">
      <w:pPr>
        <w:wordWrap w:val="0"/>
        <w:adjustRightInd w:val="0"/>
        <w:snapToGrid w:val="0"/>
        <w:spacing w:line="360" w:lineRule="auto"/>
        <w:ind w:firstLine="482" w:firstLineChars="200"/>
        <w:rPr>
          <w:rFonts w:hint="eastAsia"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16.1</w:t>
      </w:r>
      <w:r>
        <w:rPr>
          <w:rFonts w:hint="eastAsia" w:hAnsi="宋体" w:cs="宋体"/>
          <w:snapToGrid w:val="0"/>
          <w:color w:val="auto"/>
          <w:kern w:val="0"/>
          <w:szCs w:val="24"/>
          <w:highlight w:val="none"/>
        </w:rPr>
        <w:t>评标委员会根据招标文件规定的评分细则，对招标文件中的各评审因素进行评审、比较、打分，将得分前5名不排序</w:t>
      </w:r>
      <w:r>
        <w:rPr>
          <w:rFonts w:hint="eastAsia" w:ascii="宋体" w:hAnsi="宋体" w:eastAsia="宋体" w:cs="宋体"/>
          <w:color w:val="auto"/>
          <w:sz w:val="24"/>
          <w:szCs w:val="24"/>
          <w:highlight w:val="none"/>
        </w:rPr>
        <w:t>（按企业统一社会信用代码后4位大小排位</w:t>
      </w:r>
      <w:r>
        <w:rPr>
          <w:rFonts w:hint="eastAsia" w:ascii="宋体" w:hAnsi="宋体" w:cs="宋体"/>
          <w:snapToGrid w:val="0"/>
          <w:color w:val="auto"/>
          <w:kern w:val="0"/>
          <w:sz w:val="24"/>
          <w:szCs w:val="24"/>
          <w:highlight w:val="none"/>
          <w:lang w:eastAsia="zh-CN"/>
        </w:rPr>
        <w:t>，</w:t>
      </w:r>
      <w:r>
        <w:rPr>
          <w:rFonts w:hint="eastAsia" w:ascii="宋体" w:hAnsi="宋体" w:cs="宋体"/>
          <w:snapToGrid w:val="0"/>
          <w:color w:val="auto"/>
          <w:kern w:val="0"/>
          <w:sz w:val="24"/>
          <w:szCs w:val="24"/>
          <w:highlight w:val="none"/>
          <w:lang w:val="en-US" w:eastAsia="zh-CN"/>
        </w:rPr>
        <w:t>其中：</w:t>
      </w:r>
      <w:r>
        <w:rPr>
          <w:rFonts w:hint="eastAsia" w:hAnsi="宋体"/>
          <w:color w:val="auto"/>
          <w:sz w:val="24"/>
          <w:szCs w:val="24"/>
          <w:highlight w:val="none"/>
          <w:lang w:eastAsia="zh-CN"/>
        </w:rPr>
        <w:t>数字＜字母、字母按A→Z顺序</w:t>
      </w:r>
      <w:r>
        <w:rPr>
          <w:rFonts w:hint="eastAsia" w:ascii="宋体" w:hAnsi="宋体" w:eastAsia="宋体" w:cs="宋体"/>
          <w:color w:val="auto"/>
          <w:sz w:val="24"/>
          <w:szCs w:val="24"/>
          <w:highlight w:val="none"/>
        </w:rPr>
        <w:t>）</w:t>
      </w:r>
      <w:r>
        <w:rPr>
          <w:rFonts w:hint="eastAsia" w:hAnsi="宋体" w:cs="宋体"/>
          <w:snapToGrid w:val="0"/>
          <w:color w:val="auto"/>
          <w:kern w:val="0"/>
          <w:szCs w:val="24"/>
          <w:highlight w:val="none"/>
        </w:rPr>
        <w:t>的的投标人作为定标候选人推荐给招标人，并对每个定标候选人的优势、风险等评审情况进行说明。当投标人综合总得分相同时，以报价低为前；当投标人综合总得分相同且报价相同时，由评标委员会投票确定排前。</w:t>
      </w:r>
    </w:p>
    <w:p w14:paraId="714FCB8F">
      <w:pPr>
        <w:wordWrap w:val="0"/>
        <w:adjustRightInd w:val="0"/>
        <w:snapToGrid w:val="0"/>
        <w:spacing w:line="360" w:lineRule="auto"/>
        <w:ind w:firstLine="482" w:firstLineChars="200"/>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16.2</w:t>
      </w:r>
      <w:r>
        <w:rPr>
          <w:rFonts w:hint="eastAsia" w:hAnsi="宋体" w:cs="宋体"/>
          <w:snapToGrid w:val="0"/>
          <w:color w:val="auto"/>
          <w:kern w:val="0"/>
          <w:szCs w:val="24"/>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741B7D3F">
      <w:pPr>
        <w:wordWrap w:val="0"/>
        <w:adjustRightInd w:val="0"/>
        <w:snapToGrid w:val="0"/>
        <w:spacing w:line="360" w:lineRule="auto"/>
        <w:ind w:firstLine="482" w:firstLineChars="200"/>
        <w:outlineLvl w:val="2"/>
        <w:rPr>
          <w:rFonts w:hAnsi="宋体" w:cs="宋体"/>
          <w:b/>
          <w:snapToGrid w:val="0"/>
          <w:color w:val="auto"/>
          <w:kern w:val="0"/>
          <w:szCs w:val="24"/>
          <w:highlight w:val="none"/>
        </w:rPr>
      </w:pPr>
      <w:bookmarkStart w:id="60" w:name="_Toc30223"/>
      <w:r>
        <w:rPr>
          <w:rFonts w:hint="eastAsia" w:hAnsi="宋体" w:cs="宋体"/>
          <w:b/>
          <w:snapToGrid w:val="0"/>
          <w:color w:val="auto"/>
          <w:kern w:val="0"/>
          <w:szCs w:val="24"/>
          <w:highlight w:val="none"/>
        </w:rPr>
        <w:t>17．评标结果公示</w:t>
      </w:r>
      <w:bookmarkEnd w:id="60"/>
    </w:p>
    <w:p w14:paraId="57F98F1D">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lang w:val="en-US" w:eastAsia="zh-CN"/>
        </w:rPr>
        <w:t>17.1</w:t>
      </w:r>
      <w:r>
        <w:rPr>
          <w:rFonts w:hint="eastAsia" w:hAnsi="宋体" w:cs="宋体"/>
          <w:b w:val="0"/>
          <w:bCs w:val="0"/>
          <w:snapToGrid w:val="0"/>
          <w:color w:val="auto"/>
          <w:kern w:val="0"/>
          <w:szCs w:val="24"/>
          <w:highlight w:val="none"/>
        </w:rPr>
        <w:t>评标委员会按照投标人评审综合总得分由高到低的原则,向招标人推荐已明确的定标候选人数量（不标明排序）。评标委员会推荐定标候选人后，招标人应</w:t>
      </w:r>
      <w:r>
        <w:rPr>
          <w:rFonts w:hint="eastAsia" w:hAnsi="宋体" w:cs="宋体"/>
          <w:b w:val="0"/>
          <w:bCs w:val="0"/>
          <w:snapToGrid w:val="0"/>
          <w:color w:val="auto"/>
          <w:kern w:val="0"/>
          <w:szCs w:val="24"/>
          <w:highlight w:val="none"/>
          <w:lang w:val="en-US" w:eastAsia="zh-CN"/>
        </w:rPr>
        <w:t>在收到评标报告之日起3</w:t>
      </w:r>
      <w:r>
        <w:rPr>
          <w:rFonts w:hint="eastAsia" w:hAnsi="宋体" w:cs="宋体"/>
          <w:b w:val="0"/>
          <w:bCs w:val="0"/>
          <w:snapToGrid w:val="0"/>
          <w:color w:val="auto"/>
          <w:kern w:val="0"/>
          <w:szCs w:val="24"/>
          <w:highlight w:val="none"/>
        </w:rPr>
        <w:t>日内将定标候选人和评标情况在广东省招标投标监管网和全国公共资源交易平台（广东省·韶关市）建设工程交易系统上公示，公示时间不少于3日。公示主要内容包括：（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074B2CC9">
      <w:pPr>
        <w:wordWrap w:val="0"/>
        <w:adjustRightInd w:val="0"/>
        <w:snapToGrid w:val="0"/>
        <w:spacing w:line="360" w:lineRule="auto"/>
        <w:ind w:firstLine="482" w:firstLineChars="200"/>
        <w:rPr>
          <w:rFonts w:hint="eastAsia" w:hAnsi="宋体" w:cs="宋体"/>
          <w:b w:val="0"/>
          <w:bCs w:val="0"/>
          <w:snapToGrid w:val="0"/>
          <w:color w:val="auto"/>
          <w:kern w:val="0"/>
          <w:szCs w:val="24"/>
          <w:highlight w:val="none"/>
        </w:rPr>
      </w:pPr>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b w:val="0"/>
          <w:bCs w:val="0"/>
          <w:snapToGrid w:val="0"/>
          <w:color w:val="auto"/>
          <w:kern w:val="0"/>
          <w:szCs w:val="24"/>
          <w:highlight w:val="none"/>
        </w:rPr>
        <w:t>投标人对评标结果、定标候选人投标文件、评标过程有异议的，必须在定标候选人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64317B3C">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1CC0BF9">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8C25B64">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464907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0062FE3">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794C4D8B">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AE8DB7B">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0E260DE">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4F4EC8A">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10D275D9">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05C10A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1592EBC">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9B28003">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DB62438">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6106D8C0">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13DFE92">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B3D651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9C7E56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73AB629D">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5ECD380">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76E7ABA">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04742476">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4AF7B3F7">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57646AA8">
      <w:pPr>
        <w:wordWrap w:val="0"/>
        <w:adjustRightInd w:val="0"/>
        <w:snapToGrid w:val="0"/>
        <w:spacing w:line="360" w:lineRule="auto"/>
        <w:ind w:firstLine="480" w:firstLineChars="200"/>
        <w:rPr>
          <w:rFonts w:hint="eastAsia" w:hAnsi="宋体" w:cs="宋体"/>
          <w:b w:val="0"/>
          <w:bCs w:val="0"/>
          <w:snapToGrid w:val="0"/>
          <w:color w:val="auto"/>
          <w:kern w:val="0"/>
          <w:szCs w:val="24"/>
          <w:highlight w:val="none"/>
        </w:rPr>
      </w:pPr>
    </w:p>
    <w:p w14:paraId="3E4D3842">
      <w:pPr>
        <w:wordWrap w:val="0"/>
        <w:adjustRightInd w:val="0"/>
        <w:snapToGrid w:val="0"/>
        <w:spacing w:line="360" w:lineRule="auto"/>
        <w:outlineLvl w:val="1"/>
        <w:rPr>
          <w:rFonts w:hAnsi="宋体" w:cs="宋体"/>
          <w:snapToGrid w:val="0"/>
          <w:color w:val="auto"/>
          <w:kern w:val="0"/>
          <w:highlight w:val="none"/>
        </w:rPr>
      </w:pPr>
      <w:bookmarkStart w:id="61" w:name="_Toc23707"/>
      <w:r>
        <w:rPr>
          <w:rFonts w:hint="eastAsia" w:hAnsi="宋体" w:cs="宋体"/>
          <w:b/>
          <w:bCs/>
          <w:snapToGrid w:val="0"/>
          <w:color w:val="auto"/>
          <w:kern w:val="0"/>
          <w:highlight w:val="none"/>
        </w:rPr>
        <w:t>第四节 否决投标条件</w:t>
      </w:r>
      <w:bookmarkEnd w:id="61"/>
    </w:p>
    <w:p w14:paraId="1217DA6A">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本节所集中列示的否决投标条件，是本章第三节“投标人须知正文”的组成部分，是对本章第三节所规定的否决投标条件的总结和补充。</w:t>
      </w:r>
      <w:r>
        <w:rPr>
          <w:rFonts w:hint="eastAsia" w:hAnsi="宋体" w:cs="宋体"/>
          <w:b/>
          <w:bCs/>
          <w:snapToGrid w:val="0"/>
          <w:color w:val="auto"/>
          <w:kern w:val="0"/>
          <w:highlight w:val="none"/>
        </w:rPr>
        <w:t>投标人未有列入本节情形的，评标时一律不得否决其投标。</w:t>
      </w:r>
      <w:r>
        <w:rPr>
          <w:rFonts w:hint="eastAsia" w:hAnsi="宋体" w:cs="宋体"/>
          <w:snapToGrid w:val="0"/>
          <w:color w:val="auto"/>
          <w:kern w:val="0"/>
          <w:highlight w:val="none"/>
        </w:rPr>
        <w:t>本节所称“规定”均指招标文件的规定。</w:t>
      </w:r>
    </w:p>
    <w:p w14:paraId="487AC297">
      <w:pPr>
        <w:wordWrap w:val="0"/>
        <w:adjustRightInd w:val="0"/>
        <w:snapToGrid w:val="0"/>
        <w:spacing w:line="360" w:lineRule="auto"/>
        <w:ind w:firstLine="480"/>
        <w:outlineLvl w:val="2"/>
        <w:rPr>
          <w:rFonts w:hAnsi="宋体" w:cs="宋体"/>
          <w:snapToGrid w:val="0"/>
          <w:color w:val="auto"/>
          <w:kern w:val="0"/>
          <w:highlight w:val="none"/>
        </w:rPr>
      </w:pPr>
      <w:bookmarkStart w:id="62" w:name="_Toc27116"/>
      <w:r>
        <w:rPr>
          <w:rFonts w:hint="eastAsia" w:hAnsi="宋体" w:cs="宋体"/>
          <w:b/>
          <w:bCs/>
          <w:snapToGrid w:val="0"/>
          <w:color w:val="auto"/>
          <w:kern w:val="0"/>
          <w:highlight w:val="none"/>
        </w:rPr>
        <w:t>1．资格评审环节</w:t>
      </w:r>
      <w:bookmarkEnd w:id="62"/>
    </w:p>
    <w:p w14:paraId="3AA2319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投标人有下列情形之一的，评标委员会应否决其投标。被否决的投标，不进入形式评审环节。</w:t>
      </w:r>
    </w:p>
    <w:p w14:paraId="584038E0">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（1）有本章第三节第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条“禁止投标条款”规定的任何一种情形；</w:t>
      </w:r>
    </w:p>
    <w:p w14:paraId="6367D39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（2）投标人资质不符合</w:t>
      </w:r>
      <w:r>
        <w:rPr>
          <w:rFonts w:hint="eastAsia" w:hAnsi="宋体" w:cs="宋体"/>
          <w:snapToGrid w:val="0"/>
          <w:color w:val="auto"/>
          <w:kern w:val="0"/>
          <w:szCs w:val="18"/>
          <w:highlight w:val="none"/>
        </w:rPr>
        <w:t>规定的；</w:t>
      </w:r>
    </w:p>
    <w:p w14:paraId="199BFDE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（3）投标人名称与营业执照、资质证书上的企业名称相互不一致的；其资质证书不是由住房城乡建设主管部门颁发的；营业执照、资质证书被吊销、暂扣或不在有效期内的；</w:t>
      </w:r>
    </w:p>
    <w:p w14:paraId="60FCF188">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注：投标人已经工商变更，但其企业资质证书的企业名称未完成变更的，不得否决其投标；投标人营业执照、资质证书之间登记的信息不一致，应当允许投标人澄清，不得直接否决其投标。</w:t>
      </w:r>
    </w:p>
    <w:p w14:paraId="425792C2">
      <w:pPr>
        <w:wordWrap w:val="0"/>
        <w:adjustRightInd w:val="0"/>
        <w:snapToGrid w:val="0"/>
        <w:spacing w:line="360" w:lineRule="auto"/>
        <w:ind w:firstLine="480"/>
        <w:rPr>
          <w:rFonts w:hAnsi="宋体" w:cs="宋体"/>
          <w:b/>
          <w:bCs/>
          <w:snapToGrid w:val="0"/>
          <w:color w:val="auto"/>
          <w:kern w:val="0"/>
          <w:szCs w:val="22"/>
          <w:highlight w:val="none"/>
        </w:rPr>
      </w:pPr>
      <w:r>
        <w:rPr>
          <w:rFonts w:hint="eastAsia" w:hAnsi="宋体" w:cs="宋体"/>
          <w:b/>
          <w:bCs/>
          <w:snapToGrid w:val="0"/>
          <w:color w:val="auto"/>
          <w:kern w:val="0"/>
          <w:highlight w:val="none"/>
        </w:rPr>
        <w:t>投标人的企业相关证书、人员资质、资格有效期到期的，均按该证书的发证机构相关行业主管部门最新文件执行（如自动顺延或推迟办理延期业务的通知），投标人必须将相关文件附在该证书后面中，证明在开标日继续有效。</w:t>
      </w:r>
      <w:r>
        <w:rPr>
          <w:rFonts w:hint="eastAsia" w:hAnsi="宋体" w:cs="宋体"/>
          <w:b/>
          <w:bCs/>
          <w:snapToGrid w:val="0"/>
          <w:color w:val="auto"/>
          <w:kern w:val="0"/>
          <w:szCs w:val="22"/>
          <w:highlight w:val="none"/>
        </w:rPr>
        <w:t xml:space="preserve">  </w:t>
      </w:r>
    </w:p>
    <w:p w14:paraId="0A6B74E3">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4）投标文件中拟派总监理工程师与《开标一览表》不一致的；拟派总监理工程师的条件不符合规定的；擅自修改、遗漏《总监理工程师任职声明》实质性内容的；拟派总监理工程师现阶段有担任其他在施建设工程项目总监理工程师职务，但《</w:t>
      </w:r>
      <w:r>
        <w:rPr>
          <w:rFonts w:hint="eastAsia" w:hAnsi="宋体" w:cs="宋体"/>
          <w:snapToGrid w:val="0"/>
          <w:color w:val="auto"/>
          <w:kern w:val="0"/>
          <w:szCs w:val="18"/>
          <w:highlight w:val="none"/>
        </w:rPr>
        <w:t>总监理工程师任职项目情况表</w:t>
      </w:r>
      <w:r>
        <w:rPr>
          <w:rFonts w:hint="eastAsia" w:hAnsi="宋体" w:cs="宋体"/>
          <w:snapToGrid w:val="0"/>
          <w:color w:val="auto"/>
          <w:kern w:val="0"/>
          <w:highlight w:val="none"/>
        </w:rPr>
        <w:t>》未经任职项目建设单位盖章同意、又未提交任职项目建设单位另行出具的书面同意意见的；</w:t>
      </w:r>
    </w:p>
    <w:p w14:paraId="10954423">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（5）拟派总监理工程师的注册证书不是住房和城乡建设主管部门颁发的，或注册单位与投标人不一致的，或不在有效期内的；</w:t>
      </w:r>
    </w:p>
    <w:p w14:paraId="24597860">
      <w:pPr>
        <w:wordWrap w:val="0"/>
        <w:adjustRightInd w:val="0"/>
        <w:snapToGrid w:val="0"/>
        <w:spacing w:line="360" w:lineRule="auto"/>
        <w:ind w:firstLine="480"/>
        <w:rPr>
          <w:rFonts w:hAnsi="宋体" w:cs="宋体"/>
          <w:b/>
          <w:bCs/>
          <w:snapToGrid w:val="0"/>
          <w:color w:val="auto"/>
          <w:kern w:val="0"/>
          <w:highlight w:val="none"/>
        </w:rPr>
      </w:pPr>
      <w:r>
        <w:rPr>
          <w:rFonts w:hint="eastAsia" w:hAnsi="宋体" w:cs="宋体"/>
          <w:b/>
          <w:bCs/>
          <w:snapToGrid w:val="0"/>
          <w:color w:val="auto"/>
          <w:kern w:val="0"/>
          <w:highlight w:val="none"/>
        </w:rPr>
        <w:t>注：投标人已经工商变更，但其员工执业资格注册证书的注册单位名称未完成变更的，不得否决其投标。</w:t>
      </w:r>
    </w:p>
    <w:p w14:paraId="7D393B0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（6）招标文件规定不接受联合体投标，但以联合体投标的；</w:t>
      </w:r>
    </w:p>
    <w:p w14:paraId="6F29274A">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（7）投标人为外省企业，但未提供“进粤企业和人员诚信信息登记平台”企业和拟派人员信息情况打印页或网页截图的。</w:t>
      </w:r>
    </w:p>
    <w:p w14:paraId="68BFFAD2">
      <w:pPr>
        <w:wordWrap w:val="0"/>
        <w:adjustRightInd w:val="0"/>
        <w:snapToGrid w:val="0"/>
        <w:spacing w:line="360" w:lineRule="auto"/>
        <w:ind w:firstLine="480"/>
        <w:outlineLvl w:val="2"/>
        <w:rPr>
          <w:rFonts w:hAnsi="宋体" w:cs="宋体"/>
          <w:snapToGrid w:val="0"/>
          <w:color w:val="auto"/>
          <w:kern w:val="0"/>
          <w:highlight w:val="none"/>
        </w:rPr>
      </w:pPr>
      <w:bookmarkStart w:id="63" w:name="_Toc13579"/>
      <w:r>
        <w:rPr>
          <w:rFonts w:hint="eastAsia" w:hAnsi="宋体" w:cs="宋体"/>
          <w:b/>
          <w:bCs/>
          <w:snapToGrid w:val="0"/>
          <w:color w:val="auto"/>
          <w:kern w:val="0"/>
          <w:highlight w:val="none"/>
        </w:rPr>
        <w:t>2．形式评审环节</w:t>
      </w:r>
      <w:bookmarkEnd w:id="63"/>
    </w:p>
    <w:p w14:paraId="0BEB2819">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投标人有下列情形之一的，评标委员会应否决其投标。被否决的投标，不进入响应性评审环节。</w:t>
      </w:r>
    </w:p>
    <w:p w14:paraId="03B11B29">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（8）投标文件各分册未按招标文件规定加盖电子印章的；</w:t>
      </w:r>
    </w:p>
    <w:p w14:paraId="417CE6D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（9）本章第三节第</w:t>
      </w:r>
      <w:r>
        <w:rPr>
          <w:rFonts w:hint="eastAsia" w:hAnsi="宋体" w:cs="宋体"/>
          <w:b/>
          <w:bCs/>
          <w:snapToGrid w:val="0"/>
          <w:color w:val="auto"/>
          <w:kern w:val="0"/>
          <w:szCs w:val="18"/>
          <w:highlight w:val="none"/>
        </w:rPr>
        <w:t>10.2.2</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第</w:t>
      </w:r>
      <w:r>
        <w:rPr>
          <w:rFonts w:hint="eastAsia" w:hAnsi="宋体" w:cs="宋体"/>
          <w:b/>
          <w:bCs/>
          <w:snapToGrid w:val="0"/>
          <w:color w:val="auto"/>
          <w:kern w:val="0"/>
          <w:szCs w:val="18"/>
          <w:highlight w:val="none"/>
        </w:rPr>
        <w:t>10.3.3</w:t>
      </w:r>
      <w:r>
        <w:rPr>
          <w:rFonts w:hint="eastAsia" w:hAnsi="宋体" w:cs="宋体"/>
          <w:snapToGrid w:val="0"/>
          <w:color w:val="auto"/>
          <w:kern w:val="0"/>
          <w:szCs w:val="18"/>
          <w:highlight w:val="none"/>
        </w:rPr>
        <w:t>目</w:t>
      </w:r>
      <w:r>
        <w:rPr>
          <w:rFonts w:hint="eastAsia" w:hAnsi="宋体" w:cs="宋体"/>
          <w:snapToGrid w:val="0"/>
          <w:color w:val="auto"/>
          <w:kern w:val="0"/>
          <w:highlight w:val="none"/>
        </w:rPr>
        <w:t>中规定的“</w:t>
      </w:r>
      <w:r>
        <w:rPr>
          <w:rFonts w:hint="eastAsia" w:hAnsi="宋体" w:cs="宋体"/>
          <w:snapToGrid w:val="0"/>
          <w:color w:val="auto"/>
          <w:kern w:val="0"/>
          <w:szCs w:val="18"/>
          <w:highlight w:val="none"/>
        </w:rPr>
        <w:t>所有投标人均应提供</w:t>
      </w:r>
      <w:r>
        <w:rPr>
          <w:rFonts w:hint="eastAsia" w:hAnsi="宋体" w:cs="宋体"/>
          <w:snapToGrid w:val="0"/>
          <w:color w:val="auto"/>
          <w:kern w:val="0"/>
          <w:highlight w:val="none"/>
        </w:rPr>
        <w:t>”的组成内容（包括该组成内容的所附资料）中，任何一项有缺漏的；</w:t>
      </w:r>
    </w:p>
    <w:p w14:paraId="0E9CAD6F">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（10）关键字迹模糊、无法辨认，</w:t>
      </w:r>
      <w:r>
        <w:rPr>
          <w:rFonts w:hint="eastAsia" w:hAnsi="宋体" w:cs="宋体"/>
          <w:b/>
          <w:bCs/>
          <w:snapToGrid w:val="0"/>
          <w:color w:val="auto"/>
          <w:kern w:val="0"/>
          <w:highlight w:val="none"/>
        </w:rPr>
        <w:t>且该种过错将导致评标委员会无法作出投标文件是否响应招标文件实质性要求的</w:t>
      </w:r>
      <w:r>
        <w:rPr>
          <w:rFonts w:hint="eastAsia" w:hAnsi="宋体" w:cs="宋体"/>
          <w:snapToGrid w:val="0"/>
          <w:color w:val="auto"/>
          <w:kern w:val="0"/>
          <w:highlight w:val="none"/>
        </w:rPr>
        <w:t>；出现手工涂改、行间插字或删除，但未加盖单位章或由投标人的法定代表人或其委托代理人签字确认的；</w:t>
      </w:r>
    </w:p>
    <w:p w14:paraId="10F29CE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（11）投标文件未按规定签字、盖章的；</w:t>
      </w:r>
    </w:p>
    <w:p w14:paraId="06540D4A">
      <w:pPr>
        <w:wordWrap w:val="0"/>
        <w:adjustRightInd w:val="0"/>
        <w:snapToGrid w:val="0"/>
        <w:spacing w:line="360" w:lineRule="auto"/>
        <w:ind w:firstLine="480"/>
        <w:outlineLvl w:val="2"/>
        <w:rPr>
          <w:rFonts w:hAnsi="宋体" w:cs="宋体"/>
          <w:b/>
          <w:bCs/>
          <w:snapToGrid w:val="0"/>
          <w:color w:val="auto"/>
          <w:kern w:val="0"/>
          <w:highlight w:val="none"/>
        </w:rPr>
      </w:pPr>
      <w:bookmarkStart w:id="64" w:name="_Toc6314"/>
      <w:r>
        <w:rPr>
          <w:rFonts w:hint="eastAsia" w:hAnsi="宋体" w:cs="宋体"/>
          <w:b/>
          <w:bCs/>
          <w:snapToGrid w:val="0"/>
          <w:color w:val="auto"/>
          <w:kern w:val="0"/>
          <w:highlight w:val="none"/>
        </w:rPr>
        <w:t>3．响应性评审环节</w:t>
      </w:r>
      <w:bookmarkEnd w:id="64"/>
    </w:p>
    <w:p w14:paraId="1D351E7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投标人有下列情形之一的，评标委员会应否决其投标。被否决的投标，不进入详细评审阶段。</w:t>
      </w:r>
    </w:p>
    <w:p w14:paraId="1F3A0771">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（12）投标有效期、服务期限不符合规定的；擅自修改、遗漏《投标函》《各项承诺一览表》实质性内容的；</w:t>
      </w:r>
    </w:p>
    <w:p w14:paraId="59233012">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（13）出现两个或两个以上投标总价的（同一个投标总价大、小写不一致的除外）；投标总价超出最高投标限价的；</w:t>
      </w:r>
    </w:p>
    <w:p w14:paraId="493FD87D">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（14）在监理大纲评审中，评标委员会认定监理及相关服务的范围、内容、目标不符合规定的；质量、进度、造价监理措施明显不符合国家和省市现行有关规范、规定、标准，</w:t>
      </w:r>
      <w:r>
        <w:rPr>
          <w:rFonts w:hint="eastAsia" w:hAnsi="宋体" w:cs="宋体"/>
          <w:b/>
          <w:bCs/>
          <w:snapToGrid w:val="0"/>
          <w:color w:val="auto"/>
          <w:kern w:val="0"/>
          <w:highlight w:val="none"/>
        </w:rPr>
        <w:t>且该种过错将导致“三控制”目标无法实现的</w:t>
      </w:r>
      <w:r>
        <w:rPr>
          <w:rFonts w:hint="eastAsia" w:hAnsi="宋体" w:cs="宋体"/>
          <w:snapToGrid w:val="0"/>
          <w:color w:val="auto"/>
          <w:kern w:val="0"/>
          <w:highlight w:val="none"/>
        </w:rPr>
        <w:t>。</w:t>
      </w:r>
    </w:p>
    <w:p w14:paraId="5BE2B7EB">
      <w:pPr>
        <w:wordWrap w:val="0"/>
        <w:adjustRightInd w:val="0"/>
        <w:snapToGrid w:val="0"/>
        <w:spacing w:line="360" w:lineRule="auto"/>
        <w:ind w:firstLine="480"/>
        <w:outlineLvl w:val="2"/>
        <w:rPr>
          <w:rFonts w:hAnsi="宋体" w:cs="宋体"/>
          <w:b/>
          <w:bCs/>
          <w:snapToGrid w:val="0"/>
          <w:color w:val="auto"/>
          <w:kern w:val="0"/>
          <w:highlight w:val="none"/>
        </w:rPr>
      </w:pPr>
      <w:bookmarkStart w:id="65" w:name="_Toc1100"/>
      <w:r>
        <w:rPr>
          <w:rFonts w:hint="eastAsia" w:hAnsi="宋体" w:cs="宋体"/>
          <w:b/>
          <w:bCs/>
          <w:snapToGrid w:val="0"/>
          <w:color w:val="auto"/>
          <w:kern w:val="0"/>
          <w:highlight w:val="none"/>
        </w:rPr>
        <w:t>4．其他</w:t>
      </w:r>
      <w:bookmarkEnd w:id="65"/>
    </w:p>
    <w:p w14:paraId="33D6B34F">
      <w:pPr>
        <w:wordWrap w:val="0"/>
        <w:adjustRightInd w:val="0"/>
        <w:snapToGrid w:val="0"/>
        <w:spacing w:line="360" w:lineRule="auto"/>
        <w:ind w:firstLine="480"/>
        <w:rPr>
          <w:rFonts w:hAnsi="宋体" w:cs="宋体"/>
          <w:snapToGrid w:val="0"/>
          <w:color w:val="auto"/>
          <w:kern w:val="0"/>
          <w:szCs w:val="22"/>
          <w:highlight w:val="none"/>
        </w:rPr>
      </w:pPr>
      <w:r>
        <w:rPr>
          <w:rFonts w:hint="eastAsia" w:hAnsi="宋体" w:cs="宋体"/>
          <w:snapToGrid w:val="0"/>
          <w:color w:val="auto"/>
          <w:kern w:val="0"/>
          <w:highlight w:val="none"/>
        </w:rPr>
        <w:t>在任何评标环节（或阶段），投标人有下列情形之一的，评标委员会应否决其投标。</w:t>
      </w:r>
      <w:r>
        <w:rPr>
          <w:rFonts w:hint="eastAsia" w:hAnsi="宋体" w:cs="宋体"/>
          <w:snapToGrid w:val="0"/>
          <w:color w:val="auto"/>
          <w:kern w:val="0"/>
          <w:szCs w:val="22"/>
          <w:highlight w:val="none"/>
        </w:rPr>
        <w:t>被否决的投标，不进入下一环节（或阶段）。</w:t>
      </w:r>
    </w:p>
    <w:p w14:paraId="44A9DAF4">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（15）不按评标委员会要求澄清、说明或补正的；</w:t>
      </w:r>
    </w:p>
    <w:p w14:paraId="73919888">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（16）有下列情形之一，被评标委员会认定属于串通投标的：</w:t>
      </w:r>
    </w:p>
    <w:p w14:paraId="163A4EC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①不同投标人的投标文件两处以上（含两处）错、漏一致；</w:t>
      </w:r>
    </w:p>
    <w:p w14:paraId="6C9CC9B1">
      <w:pPr>
        <w:wordWrap w:val="0"/>
        <w:adjustRightInd w:val="0"/>
        <w:snapToGrid w:val="0"/>
        <w:spacing w:line="360" w:lineRule="auto"/>
        <w:rPr>
          <w:rFonts w:hAnsi="宋体" w:cs="宋体"/>
          <w:snapToGrid w:val="0"/>
          <w:color w:val="auto"/>
          <w:kern w:val="0"/>
          <w:highlight w:val="none"/>
        </w:rPr>
      </w:pPr>
      <w:r>
        <w:rPr>
          <w:rFonts w:hint="eastAsia" w:hAnsi="宋体" w:cs="宋体"/>
          <w:snapToGrid w:val="0"/>
          <w:color w:val="auto"/>
          <w:kern w:val="0"/>
          <w:highlight w:val="none"/>
        </w:rPr>
        <w:t xml:space="preserve">    ②不同投标人的投标各项报价存在异常一致或者呈规律性变化；</w:t>
      </w:r>
    </w:p>
    <w:p w14:paraId="2226122B">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③不同投标人的投标文件由同一单位或者同一个人编制；</w:t>
      </w:r>
    </w:p>
    <w:p w14:paraId="3DAC3E25">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④不同投标人的投标文件中投标资料（包括电子资料）相互混装或项目班子成员出现同一人；</w:t>
      </w:r>
    </w:p>
    <w:p w14:paraId="3E85253F">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⑤不同投标人的投标文件由同一电脑编制或同一台附属设备打印；</w:t>
      </w:r>
    </w:p>
    <w:p w14:paraId="5D55D8A7">
      <w:pPr>
        <w:wordWrap w:val="0"/>
        <w:adjustRightInd w:val="0"/>
        <w:snapToGrid w:val="0"/>
        <w:spacing w:line="360" w:lineRule="auto"/>
        <w:ind w:firstLine="480"/>
        <w:rPr>
          <w:rFonts w:hAnsi="宋体" w:cs="宋体"/>
          <w:snapToGrid w:val="0"/>
          <w:color w:val="auto"/>
          <w:kern w:val="0"/>
          <w:highlight w:val="none"/>
        </w:rPr>
      </w:pPr>
      <w:r>
        <w:rPr>
          <w:rFonts w:hint="eastAsia" w:hAnsi="宋体" w:cs="宋体"/>
          <w:snapToGrid w:val="0"/>
          <w:color w:val="auto"/>
          <w:kern w:val="0"/>
          <w:highlight w:val="none"/>
        </w:rPr>
        <w:t>⑥不同投标人的投标保证由同一企业或同一账户资金缴纳；</w:t>
      </w:r>
    </w:p>
    <w:p w14:paraId="6CFCE064">
      <w:pPr>
        <w:wordWrap w:val="0"/>
        <w:adjustRightInd w:val="0"/>
        <w:snapToGrid w:val="0"/>
        <w:spacing w:line="360" w:lineRule="auto"/>
        <w:ind w:firstLine="480"/>
        <w:rPr>
          <w:rFonts w:hint="eastAsia" w:hAnsi="宋体" w:cs="宋体"/>
          <w:snapToGrid w:val="0"/>
          <w:color w:val="auto"/>
          <w:kern w:val="0"/>
          <w:highlight w:val="none"/>
        </w:rPr>
      </w:pPr>
      <w:r>
        <w:rPr>
          <w:rFonts w:hint="eastAsia" w:hAnsi="宋体" w:cs="宋体"/>
          <w:snapToGrid w:val="0"/>
          <w:color w:val="auto"/>
          <w:kern w:val="0"/>
          <w:highlight w:val="none"/>
        </w:rPr>
        <w:t>⑦不同投标人委托同一个人或注册在同一家企业的注册人员或同一家企业为其投标提供投标咨询、商务报价、技术咨询（招标项目本身要求采用专有技术的除外）等服务。</w:t>
      </w:r>
    </w:p>
    <w:p w14:paraId="39D8A852">
      <w:pPr>
        <w:wordWrap w:val="0"/>
        <w:adjustRightInd w:val="0"/>
        <w:snapToGrid w:val="0"/>
        <w:spacing w:line="360" w:lineRule="auto"/>
        <w:ind w:firstLine="480"/>
        <w:rPr>
          <w:rFonts w:hint="eastAsia" w:hAnsi="宋体" w:cs="宋体"/>
          <w:snapToGrid w:val="0"/>
          <w:color w:val="auto"/>
          <w:kern w:val="0"/>
          <w:highlight w:val="none"/>
        </w:rPr>
      </w:pPr>
    </w:p>
    <w:p w14:paraId="0DDFB2F2">
      <w:pPr>
        <w:wordWrap w:val="0"/>
        <w:adjustRightInd w:val="0"/>
        <w:snapToGrid w:val="0"/>
        <w:spacing w:line="360" w:lineRule="auto"/>
        <w:ind w:firstLine="480"/>
        <w:rPr>
          <w:rFonts w:hint="eastAsia" w:hAnsi="宋体" w:cs="宋体"/>
          <w:snapToGrid w:val="0"/>
          <w:color w:val="auto"/>
          <w:kern w:val="0"/>
          <w:highlight w:val="none"/>
        </w:rPr>
      </w:pPr>
    </w:p>
    <w:p w14:paraId="293BE23C">
      <w:pPr>
        <w:wordWrap w:val="0"/>
        <w:adjustRightInd w:val="0"/>
        <w:snapToGrid w:val="0"/>
        <w:spacing w:line="360" w:lineRule="auto"/>
        <w:ind w:firstLine="480"/>
        <w:rPr>
          <w:rFonts w:hint="eastAsia" w:hAnsi="宋体" w:cs="宋体"/>
          <w:snapToGrid w:val="0"/>
          <w:color w:val="auto"/>
          <w:kern w:val="0"/>
          <w:highlight w:val="none"/>
        </w:rPr>
      </w:pPr>
    </w:p>
    <w:p w14:paraId="2EF3D007">
      <w:pPr>
        <w:wordWrap w:val="0"/>
        <w:adjustRightInd w:val="0"/>
        <w:snapToGrid w:val="0"/>
        <w:spacing w:line="360" w:lineRule="auto"/>
        <w:ind w:firstLine="480"/>
        <w:rPr>
          <w:rFonts w:hint="eastAsia" w:hAnsi="宋体" w:cs="宋体"/>
          <w:snapToGrid w:val="0"/>
          <w:color w:val="auto"/>
          <w:kern w:val="0"/>
          <w:highlight w:val="none"/>
        </w:rPr>
      </w:pPr>
    </w:p>
    <w:p w14:paraId="56EDC0EC">
      <w:pPr>
        <w:wordWrap w:val="0"/>
        <w:adjustRightInd w:val="0"/>
        <w:snapToGrid w:val="0"/>
        <w:spacing w:line="360" w:lineRule="auto"/>
        <w:ind w:firstLine="480"/>
        <w:rPr>
          <w:rFonts w:hint="eastAsia" w:hAnsi="宋体" w:cs="宋体"/>
          <w:snapToGrid w:val="0"/>
          <w:color w:val="auto"/>
          <w:kern w:val="0"/>
          <w:highlight w:val="none"/>
        </w:rPr>
      </w:pPr>
    </w:p>
    <w:p w14:paraId="05BBFFEA">
      <w:pPr>
        <w:wordWrap w:val="0"/>
        <w:adjustRightInd w:val="0"/>
        <w:snapToGrid w:val="0"/>
        <w:spacing w:line="360" w:lineRule="auto"/>
        <w:ind w:firstLine="480"/>
        <w:rPr>
          <w:rFonts w:hint="eastAsia" w:hAnsi="宋体" w:cs="宋体"/>
          <w:snapToGrid w:val="0"/>
          <w:color w:val="auto"/>
          <w:kern w:val="0"/>
          <w:highlight w:val="none"/>
        </w:rPr>
      </w:pPr>
    </w:p>
    <w:p w14:paraId="2CE7AEB5">
      <w:pPr>
        <w:wordWrap w:val="0"/>
        <w:adjustRightInd w:val="0"/>
        <w:snapToGrid w:val="0"/>
        <w:spacing w:line="360" w:lineRule="auto"/>
        <w:ind w:firstLine="480"/>
        <w:rPr>
          <w:rFonts w:hint="eastAsia" w:hAnsi="宋体" w:cs="宋体"/>
          <w:snapToGrid w:val="0"/>
          <w:color w:val="auto"/>
          <w:kern w:val="0"/>
          <w:highlight w:val="none"/>
        </w:rPr>
      </w:pPr>
    </w:p>
    <w:p w14:paraId="67A0E873">
      <w:pPr>
        <w:wordWrap w:val="0"/>
        <w:adjustRightInd w:val="0"/>
        <w:snapToGrid w:val="0"/>
        <w:spacing w:line="360" w:lineRule="auto"/>
        <w:ind w:firstLine="480"/>
        <w:rPr>
          <w:rFonts w:hint="eastAsia" w:hAnsi="宋体" w:cs="宋体"/>
          <w:snapToGrid w:val="0"/>
          <w:color w:val="auto"/>
          <w:kern w:val="0"/>
          <w:highlight w:val="none"/>
        </w:rPr>
      </w:pPr>
    </w:p>
    <w:p w14:paraId="2AD333A2">
      <w:pPr>
        <w:wordWrap w:val="0"/>
        <w:adjustRightInd w:val="0"/>
        <w:snapToGrid w:val="0"/>
        <w:spacing w:line="360" w:lineRule="auto"/>
        <w:ind w:firstLine="480"/>
        <w:rPr>
          <w:rFonts w:hint="eastAsia" w:hAnsi="宋体" w:cs="宋体"/>
          <w:snapToGrid w:val="0"/>
          <w:color w:val="auto"/>
          <w:kern w:val="0"/>
          <w:highlight w:val="none"/>
        </w:rPr>
      </w:pPr>
    </w:p>
    <w:p w14:paraId="41A7DD5C">
      <w:pPr>
        <w:wordWrap w:val="0"/>
        <w:adjustRightInd w:val="0"/>
        <w:snapToGrid w:val="0"/>
        <w:spacing w:line="360" w:lineRule="auto"/>
        <w:ind w:firstLine="480"/>
        <w:rPr>
          <w:rFonts w:hint="eastAsia" w:hAnsi="宋体" w:cs="宋体"/>
          <w:snapToGrid w:val="0"/>
          <w:color w:val="auto"/>
          <w:kern w:val="0"/>
          <w:highlight w:val="none"/>
        </w:rPr>
      </w:pPr>
    </w:p>
    <w:p w14:paraId="1A367044">
      <w:pPr>
        <w:wordWrap w:val="0"/>
        <w:adjustRightInd w:val="0"/>
        <w:snapToGrid w:val="0"/>
        <w:spacing w:line="360" w:lineRule="auto"/>
        <w:ind w:firstLine="480"/>
        <w:rPr>
          <w:rFonts w:hint="eastAsia" w:hAnsi="宋体" w:cs="宋体"/>
          <w:snapToGrid w:val="0"/>
          <w:color w:val="auto"/>
          <w:kern w:val="0"/>
          <w:highlight w:val="none"/>
        </w:rPr>
      </w:pPr>
    </w:p>
    <w:p w14:paraId="3462458E">
      <w:pPr>
        <w:wordWrap w:val="0"/>
        <w:adjustRightInd w:val="0"/>
        <w:snapToGrid w:val="0"/>
        <w:spacing w:line="360" w:lineRule="auto"/>
        <w:ind w:firstLine="480"/>
        <w:rPr>
          <w:rFonts w:hint="eastAsia" w:hAnsi="宋体" w:cs="宋体"/>
          <w:snapToGrid w:val="0"/>
          <w:color w:val="auto"/>
          <w:kern w:val="0"/>
          <w:highlight w:val="none"/>
        </w:rPr>
      </w:pPr>
    </w:p>
    <w:p w14:paraId="27E98418">
      <w:pPr>
        <w:wordWrap w:val="0"/>
        <w:adjustRightInd w:val="0"/>
        <w:snapToGrid w:val="0"/>
        <w:spacing w:line="360" w:lineRule="auto"/>
        <w:ind w:firstLine="480"/>
        <w:rPr>
          <w:rFonts w:hint="eastAsia" w:hAnsi="宋体" w:cs="宋体"/>
          <w:snapToGrid w:val="0"/>
          <w:color w:val="auto"/>
          <w:kern w:val="0"/>
          <w:highlight w:val="none"/>
        </w:rPr>
      </w:pPr>
    </w:p>
    <w:p w14:paraId="76672527">
      <w:pPr>
        <w:wordWrap w:val="0"/>
        <w:adjustRightInd w:val="0"/>
        <w:snapToGrid w:val="0"/>
        <w:spacing w:line="360" w:lineRule="auto"/>
        <w:ind w:firstLine="480"/>
        <w:rPr>
          <w:rFonts w:hint="eastAsia" w:hAnsi="宋体" w:cs="宋体"/>
          <w:snapToGrid w:val="0"/>
          <w:color w:val="auto"/>
          <w:kern w:val="0"/>
          <w:highlight w:val="none"/>
        </w:rPr>
      </w:pPr>
    </w:p>
    <w:p w14:paraId="355A01AA">
      <w:pPr>
        <w:wordWrap w:val="0"/>
        <w:adjustRightInd w:val="0"/>
        <w:snapToGrid w:val="0"/>
        <w:spacing w:line="360" w:lineRule="auto"/>
        <w:ind w:firstLine="480"/>
        <w:rPr>
          <w:rFonts w:hint="eastAsia" w:hAnsi="宋体" w:cs="宋体"/>
          <w:snapToGrid w:val="0"/>
          <w:color w:val="auto"/>
          <w:kern w:val="0"/>
          <w:highlight w:val="none"/>
        </w:rPr>
      </w:pPr>
    </w:p>
    <w:p w14:paraId="204B3BF5">
      <w:pPr>
        <w:wordWrap w:val="0"/>
        <w:adjustRightInd w:val="0"/>
        <w:snapToGrid w:val="0"/>
        <w:spacing w:line="360" w:lineRule="auto"/>
        <w:ind w:firstLine="480"/>
        <w:rPr>
          <w:rFonts w:hint="eastAsia" w:hAnsi="宋体" w:cs="宋体"/>
          <w:snapToGrid w:val="0"/>
          <w:color w:val="auto"/>
          <w:kern w:val="0"/>
          <w:highlight w:val="none"/>
        </w:rPr>
      </w:pPr>
    </w:p>
    <w:p w14:paraId="118D95D7">
      <w:pPr>
        <w:wordWrap w:val="0"/>
        <w:adjustRightInd w:val="0"/>
        <w:snapToGrid w:val="0"/>
        <w:spacing w:line="360" w:lineRule="auto"/>
        <w:ind w:firstLine="480"/>
        <w:rPr>
          <w:rFonts w:hint="eastAsia" w:hAnsi="宋体" w:cs="宋体"/>
          <w:snapToGrid w:val="0"/>
          <w:color w:val="auto"/>
          <w:kern w:val="0"/>
          <w:highlight w:val="none"/>
        </w:rPr>
      </w:pPr>
    </w:p>
    <w:p w14:paraId="38243378">
      <w:pPr>
        <w:wordWrap w:val="0"/>
        <w:adjustRightInd w:val="0"/>
        <w:snapToGrid w:val="0"/>
        <w:spacing w:line="360" w:lineRule="auto"/>
        <w:ind w:firstLine="480"/>
        <w:rPr>
          <w:rFonts w:hint="eastAsia" w:hAnsi="宋体" w:cs="宋体"/>
          <w:snapToGrid w:val="0"/>
          <w:color w:val="auto"/>
          <w:kern w:val="0"/>
          <w:highlight w:val="none"/>
        </w:rPr>
      </w:pPr>
    </w:p>
    <w:p w14:paraId="10E3CC93">
      <w:pPr>
        <w:wordWrap w:val="0"/>
        <w:adjustRightInd w:val="0"/>
        <w:snapToGrid w:val="0"/>
        <w:spacing w:line="360" w:lineRule="auto"/>
        <w:ind w:firstLine="480"/>
        <w:rPr>
          <w:rFonts w:hint="eastAsia" w:hAnsi="宋体" w:cs="宋体"/>
          <w:snapToGrid w:val="0"/>
          <w:color w:val="auto"/>
          <w:kern w:val="0"/>
          <w:highlight w:val="none"/>
        </w:rPr>
      </w:pPr>
    </w:p>
    <w:p w14:paraId="6CD6388F">
      <w:pPr>
        <w:wordWrap w:val="0"/>
        <w:adjustRightInd w:val="0"/>
        <w:snapToGrid w:val="0"/>
        <w:spacing w:line="360" w:lineRule="auto"/>
        <w:ind w:firstLine="480"/>
        <w:rPr>
          <w:rFonts w:hint="eastAsia" w:hAnsi="宋体" w:cs="宋体"/>
          <w:snapToGrid w:val="0"/>
          <w:color w:val="auto"/>
          <w:kern w:val="0"/>
          <w:highlight w:val="none"/>
        </w:rPr>
      </w:pPr>
    </w:p>
    <w:p w14:paraId="74C72F6E">
      <w:pPr>
        <w:wordWrap w:val="0"/>
        <w:adjustRightInd w:val="0"/>
        <w:snapToGrid w:val="0"/>
        <w:spacing w:line="360" w:lineRule="auto"/>
        <w:ind w:firstLine="480"/>
        <w:rPr>
          <w:rFonts w:hint="eastAsia" w:hAnsi="宋体" w:cs="宋体"/>
          <w:snapToGrid w:val="0"/>
          <w:color w:val="auto"/>
          <w:kern w:val="0"/>
          <w:highlight w:val="none"/>
        </w:rPr>
      </w:pPr>
    </w:p>
    <w:p w14:paraId="640C7830">
      <w:pPr>
        <w:wordWrap w:val="0"/>
        <w:adjustRightInd w:val="0"/>
        <w:snapToGrid w:val="0"/>
        <w:spacing w:line="360" w:lineRule="auto"/>
        <w:ind w:firstLine="480"/>
        <w:rPr>
          <w:rFonts w:hint="eastAsia" w:hAnsi="宋体" w:cs="宋体"/>
          <w:snapToGrid w:val="0"/>
          <w:color w:val="auto"/>
          <w:kern w:val="0"/>
          <w:highlight w:val="none"/>
        </w:rPr>
      </w:pPr>
    </w:p>
    <w:p w14:paraId="5A543D8E">
      <w:pPr>
        <w:wordWrap w:val="0"/>
        <w:adjustRightInd w:val="0"/>
        <w:snapToGrid w:val="0"/>
        <w:spacing w:line="360" w:lineRule="auto"/>
        <w:ind w:firstLine="480"/>
        <w:rPr>
          <w:rFonts w:hint="eastAsia" w:hAnsi="宋体" w:cs="宋体"/>
          <w:snapToGrid w:val="0"/>
          <w:color w:val="auto"/>
          <w:kern w:val="0"/>
          <w:highlight w:val="none"/>
        </w:rPr>
      </w:pPr>
    </w:p>
    <w:p w14:paraId="7A00651A">
      <w:pPr>
        <w:wordWrap w:val="0"/>
        <w:adjustRightInd w:val="0"/>
        <w:snapToGrid w:val="0"/>
        <w:spacing w:line="360" w:lineRule="auto"/>
        <w:ind w:firstLine="480"/>
        <w:rPr>
          <w:rFonts w:hint="eastAsia" w:hAnsi="宋体" w:cs="宋体"/>
          <w:snapToGrid w:val="0"/>
          <w:color w:val="auto"/>
          <w:kern w:val="0"/>
          <w:highlight w:val="none"/>
        </w:rPr>
      </w:pPr>
    </w:p>
    <w:p w14:paraId="55B5577E">
      <w:pPr>
        <w:wordWrap w:val="0"/>
        <w:adjustRightInd w:val="0"/>
        <w:snapToGrid w:val="0"/>
        <w:spacing w:line="360" w:lineRule="auto"/>
        <w:ind w:firstLine="480"/>
        <w:rPr>
          <w:rFonts w:hint="eastAsia" w:hAnsi="宋体" w:cs="宋体"/>
          <w:snapToGrid w:val="0"/>
          <w:color w:val="auto"/>
          <w:kern w:val="0"/>
          <w:highlight w:val="none"/>
        </w:rPr>
      </w:pPr>
    </w:p>
    <w:p w14:paraId="30136CD2">
      <w:pPr>
        <w:pStyle w:val="5"/>
        <w:pageBreakBefore w:val="0"/>
        <w:kinsoku/>
        <w:overflowPunct/>
        <w:topLinePunct w:val="0"/>
        <w:bidi w:val="0"/>
        <w:spacing w:line="500" w:lineRule="exact"/>
        <w:textAlignment w:val="auto"/>
        <w:outlineLvl w:val="1"/>
        <w:rPr>
          <w:rFonts w:hint="default" w:ascii="宋体" w:hAnsi="宋体" w:eastAsia="宋体" w:cs="宋体"/>
          <w:b/>
          <w:bCs/>
          <w:color w:val="auto"/>
          <w:highlight w:val="none"/>
          <w:lang w:val="en-US" w:eastAsia="zh-CN"/>
        </w:rPr>
      </w:pPr>
      <w:bookmarkStart w:id="66" w:name="_Toc3478"/>
      <w:bookmarkStart w:id="67" w:name="_Toc4309"/>
      <w:r>
        <w:rPr>
          <w:rFonts w:hint="eastAsia" w:ascii="宋体" w:hAnsi="宋体" w:eastAsia="宋体" w:cs="宋体"/>
          <w:b/>
          <w:bCs/>
          <w:color w:val="auto"/>
          <w:highlight w:val="none"/>
          <w:lang w:val="en-US" w:eastAsia="zh-CN"/>
        </w:rPr>
        <w:t>第五节 定标规定及细则</w:t>
      </w:r>
      <w:bookmarkEnd w:id="66"/>
      <w:bookmarkEnd w:id="67"/>
    </w:p>
    <w:p w14:paraId="1206D7CF">
      <w:pPr>
        <w:pStyle w:val="6"/>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68" w:name="_Toc17667"/>
      <w:bookmarkStart w:id="69" w:name="_Toc7706"/>
      <w:r>
        <w:rPr>
          <w:rFonts w:hint="eastAsia" w:ascii="宋体" w:hAnsi="宋体" w:eastAsia="宋体" w:cs="宋体"/>
          <w:b/>
          <w:snapToGrid w:val="0"/>
          <w:color w:val="auto"/>
          <w:highlight w:val="none"/>
          <w:lang w:val="en-US" w:eastAsia="zh-CN"/>
        </w:rPr>
        <w:t>1</w:t>
      </w:r>
      <w:r>
        <w:rPr>
          <w:rFonts w:hint="eastAsia" w:ascii="宋体" w:hAnsi="宋体" w:eastAsia="宋体" w:cs="宋体"/>
          <w:b/>
          <w:snapToGrid w:val="0"/>
          <w:color w:val="auto"/>
          <w:highlight w:val="none"/>
        </w:rPr>
        <w:t>.</w:t>
      </w:r>
      <w:r>
        <w:rPr>
          <w:rFonts w:hint="eastAsia" w:ascii="宋体" w:hAnsi="宋体" w:eastAsia="宋体" w:cs="宋体"/>
          <w:b/>
          <w:snapToGrid w:val="0"/>
          <w:color w:val="auto"/>
          <w:highlight w:val="none"/>
          <w:lang w:val="en-US" w:eastAsia="zh-CN"/>
        </w:rPr>
        <w:t>定标规定</w:t>
      </w:r>
      <w:bookmarkEnd w:id="68"/>
      <w:bookmarkEnd w:id="69"/>
    </w:p>
    <w:p w14:paraId="1ACCE5A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1.1确定定标时间</w:t>
      </w:r>
    </w:p>
    <w:p w14:paraId="5078288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自定标候选人公示期满后5个工作日内进入公共资源交易平台（与评标阶段公共资源交易平台相同）进行定标。定标会议全过程录音录像。招标人需要延期定标的，应通过公共资源交易平台公布延期原因和定标时间。</w:t>
      </w:r>
    </w:p>
    <w:p w14:paraId="3877C79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snapToGrid w:val="0"/>
          <w:color w:val="auto"/>
          <w:highlight w:val="none"/>
          <w:lang w:val="en-US" w:eastAsia="zh-CN"/>
        </w:rPr>
      </w:pPr>
      <w:r>
        <w:rPr>
          <w:rFonts w:hint="eastAsia" w:ascii="宋体" w:hAnsi="宋体" w:eastAsia="宋体" w:cs="宋体"/>
          <w:b/>
          <w:snapToGrid w:val="0"/>
          <w:color w:val="auto"/>
          <w:highlight w:val="none"/>
          <w:lang w:val="en-US" w:eastAsia="zh-CN"/>
        </w:rPr>
        <w:t>1.2定标委员会</w:t>
      </w:r>
    </w:p>
    <w:p w14:paraId="1040D749">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1.2.1</w:t>
      </w:r>
      <w:r>
        <w:rPr>
          <w:rFonts w:hint="eastAsia" w:ascii="宋体" w:hAnsi="宋体" w:eastAsia="宋体" w:cs="宋体"/>
          <w:snapToGrid w:val="0"/>
          <w:color w:val="auto"/>
          <w:kern w:val="0"/>
          <w:highlight w:val="none"/>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319E64B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2DDE6FC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1.2.3</w:t>
      </w:r>
      <w:r>
        <w:rPr>
          <w:rFonts w:hint="eastAsia" w:ascii="宋体" w:hAnsi="宋体" w:eastAsia="宋体" w:cs="宋体"/>
          <w:snapToGrid w:val="0"/>
          <w:color w:val="auto"/>
          <w:kern w:val="0"/>
          <w:highlight w:val="none"/>
        </w:rPr>
        <w:t>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58C95F9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1.3定标办法（本项目采用票决数量法定标）</w:t>
      </w:r>
    </w:p>
    <w:p w14:paraId="615F07F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本项目定标办法由招标人按本投标人须知前附表的规定确定（只能选定其中一种定标办法）。</w:t>
      </w:r>
    </w:p>
    <w:p w14:paraId="1F50119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1.4组建招标监督小组</w:t>
      </w:r>
    </w:p>
    <w:p w14:paraId="4CF123E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3B888DE8">
      <w:pPr>
        <w:pStyle w:val="6"/>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0" w:name="_Toc29848"/>
      <w:bookmarkStart w:id="71" w:name="_Toc18947"/>
      <w:r>
        <w:rPr>
          <w:rFonts w:hint="eastAsia" w:ascii="宋体" w:hAnsi="宋体" w:eastAsia="宋体" w:cs="宋体"/>
          <w:b/>
          <w:snapToGrid w:val="0"/>
          <w:color w:val="auto"/>
          <w:highlight w:val="none"/>
          <w:lang w:val="en-US" w:eastAsia="zh-CN"/>
        </w:rPr>
        <w:t>2.定标细则</w:t>
      </w:r>
      <w:bookmarkEnd w:id="70"/>
      <w:bookmarkEnd w:id="71"/>
    </w:p>
    <w:p w14:paraId="769CB3F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票决数量法</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本项目采用票决数量法定标。</w:t>
      </w:r>
    </w:p>
    <w:p w14:paraId="3587A6C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w:t>
      </w:r>
      <w:r>
        <w:rPr>
          <w:rFonts w:hint="eastAsia" w:ascii="宋体" w:hAnsi="宋体" w:eastAsia="宋体" w:cs="宋体"/>
          <w:b/>
          <w:bCs/>
          <w:snapToGrid w:val="0"/>
          <w:color w:val="auto"/>
          <w:kern w:val="0"/>
          <w:highlight w:val="none"/>
        </w:rPr>
        <w:t>票决数量法程序</w:t>
      </w:r>
    </w:p>
    <w:p w14:paraId="43070B2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根据定标因素对定标候选人进行评审比较后，每名定标委员会成员有且仅有投出1票的权利，1票只能投1名定标候选人，进行票决排名确定排序的中标候选人。即各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若定标候选人中没有符合评审要求的三名中标候选人，则宣告本次招标失败。票决采用记名方式并注明投票理由。</w:t>
      </w:r>
    </w:p>
    <w:p w14:paraId="23B939D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2.1.1</w:t>
      </w:r>
      <w:r>
        <w:rPr>
          <w:rFonts w:hint="eastAsia" w:ascii="宋体" w:hAnsi="宋体" w:eastAsia="宋体" w:cs="宋体"/>
          <w:b/>
          <w:bCs/>
          <w:snapToGrid w:val="0"/>
          <w:color w:val="auto"/>
          <w:kern w:val="0"/>
          <w:highlight w:val="none"/>
        </w:rPr>
        <w:t>项目情况介绍</w:t>
      </w:r>
    </w:p>
    <w:p w14:paraId="7322B89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招标人代表介绍项目的概况及招标要求，以及定标方法与定标工作规则，不得发表具有倾向性的言论。</w:t>
      </w:r>
    </w:p>
    <w:p w14:paraId="5B206EB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2.1.2</w:t>
      </w:r>
      <w:r>
        <w:rPr>
          <w:rFonts w:hint="eastAsia" w:ascii="宋体" w:hAnsi="宋体" w:eastAsia="宋体" w:cs="宋体"/>
          <w:b/>
          <w:bCs/>
          <w:snapToGrid w:val="0"/>
          <w:color w:val="auto"/>
          <w:kern w:val="0"/>
          <w:highlight w:val="none"/>
        </w:rPr>
        <w:t>审阅定标资料</w:t>
      </w:r>
    </w:p>
    <w:p w14:paraId="11669E0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定标委员会成员对各定标候选人的投标文件进行审阅，审阅内容主要是定标工作规则所规定的定标因素，聚焦于项目需求与候选人能力的匹配度。</w:t>
      </w:r>
    </w:p>
    <w:p w14:paraId="5E8FB8A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2.1.3</w:t>
      </w:r>
      <w:r>
        <w:rPr>
          <w:rFonts w:hint="eastAsia" w:ascii="宋体" w:hAnsi="宋体" w:eastAsia="宋体" w:cs="宋体"/>
          <w:b/>
          <w:bCs/>
          <w:snapToGrid w:val="0"/>
          <w:color w:val="auto"/>
          <w:kern w:val="0"/>
          <w:highlight w:val="none"/>
        </w:rPr>
        <w:t>疑问澄清</w:t>
      </w:r>
    </w:p>
    <w:p w14:paraId="0C40A84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970C57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2.1.4</w:t>
      </w:r>
      <w:r>
        <w:rPr>
          <w:rFonts w:hint="eastAsia" w:ascii="宋体" w:hAnsi="宋体" w:eastAsia="宋体" w:cs="宋体"/>
          <w:b/>
          <w:bCs/>
          <w:snapToGrid w:val="0"/>
          <w:color w:val="auto"/>
          <w:kern w:val="0"/>
          <w:highlight w:val="none"/>
        </w:rPr>
        <w:t>投票、收票、点票和汇总</w:t>
      </w:r>
    </w:p>
    <w:p w14:paraId="3ABD7858">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612F2D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2.1.5</w:t>
      </w:r>
      <w:r>
        <w:rPr>
          <w:rFonts w:hint="eastAsia" w:ascii="宋体" w:hAnsi="宋体" w:eastAsia="宋体" w:cs="宋体"/>
          <w:b/>
          <w:bCs/>
          <w:snapToGrid w:val="0"/>
          <w:color w:val="auto"/>
          <w:kern w:val="0"/>
          <w:highlight w:val="none"/>
        </w:rPr>
        <w:t>公布结果和出具定标报告</w:t>
      </w:r>
    </w:p>
    <w:p w14:paraId="08FEA5C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点票工作完成后，定标委员会组长汇总定标结果，编制定标报告，确定中标候选人，全体成员签名。</w:t>
      </w:r>
    </w:p>
    <w:p w14:paraId="1C32093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2.1.6</w:t>
      </w:r>
      <w:r>
        <w:rPr>
          <w:rFonts w:hint="eastAsia" w:ascii="宋体" w:hAnsi="宋体" w:eastAsia="宋体" w:cs="宋体"/>
          <w:b/>
          <w:bCs/>
          <w:snapToGrid w:val="0"/>
          <w:color w:val="auto"/>
          <w:kern w:val="0"/>
          <w:highlight w:val="none"/>
        </w:rPr>
        <w:t>全程监督</w:t>
      </w:r>
    </w:p>
    <w:p w14:paraId="24A721E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招标监督小组对集体议定的全过程进行监督，确保程序合规、讨论充分、记录完整，结论形成过程公正、透明。</w:t>
      </w:r>
    </w:p>
    <w:p w14:paraId="10C36E9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b/>
          <w:bCs/>
          <w:snapToGrid w:val="0"/>
          <w:color w:val="auto"/>
          <w:kern w:val="0"/>
          <w:highlight w:val="none"/>
        </w:rPr>
      </w:pPr>
      <w:r>
        <w:rPr>
          <w:rFonts w:hint="eastAsia" w:hAnsi="宋体" w:eastAsia="宋体" w:cs="宋体"/>
          <w:b/>
          <w:bCs/>
          <w:snapToGrid w:val="0"/>
          <w:color w:val="auto"/>
          <w:kern w:val="0"/>
          <w:highlight w:val="none"/>
          <w:lang w:val="en-US" w:eastAsia="zh-CN"/>
        </w:rPr>
        <w:t>2.2</w:t>
      </w:r>
      <w:r>
        <w:rPr>
          <w:rFonts w:hint="eastAsia" w:ascii="宋体" w:hAnsi="宋体" w:eastAsia="宋体" w:cs="宋体"/>
          <w:b/>
          <w:bCs/>
          <w:snapToGrid w:val="0"/>
          <w:color w:val="auto"/>
          <w:kern w:val="0"/>
          <w:highlight w:val="none"/>
        </w:rPr>
        <w:t>定标因素</w:t>
      </w:r>
    </w:p>
    <w:p w14:paraId="20969D9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在同等条件下，择优的定标因素和相对标准有以下几个方面：</w:t>
      </w:r>
    </w:p>
    <w:p w14:paraId="6E205CF2">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拟派团队管理能力与水平（履约能力）</w:t>
      </w:r>
    </w:p>
    <w:p w14:paraId="5ABA421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相对标准：拟派团队管理能力与水平（履约能力）强的定标候选人优于拟派团队管理能力与水平（履约能力）一般的定标候选人。</w:t>
      </w:r>
    </w:p>
    <w:p w14:paraId="1BD2F34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企业信誉</w:t>
      </w:r>
    </w:p>
    <w:p w14:paraId="6ADB6936">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相对标准：企业信誉评价好的定标候选人优于企业信誉评价一般的定标候选人。</w:t>
      </w:r>
    </w:p>
    <w:p w14:paraId="4C6C427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w:t>
      </w:r>
      <w:r>
        <w:rPr>
          <w:rFonts w:hint="eastAsia" w:hAnsi="宋体" w:cs="宋体"/>
          <w:snapToGrid w:val="0"/>
          <w:color w:val="auto"/>
          <w:kern w:val="0"/>
          <w:highlight w:val="none"/>
          <w:lang w:val="en-US" w:eastAsia="zh-CN"/>
        </w:rPr>
        <w:t>监理大纲</w:t>
      </w:r>
    </w:p>
    <w:p w14:paraId="4CBC37D3">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w:t>
      </w:r>
      <w:r>
        <w:rPr>
          <w:rFonts w:hint="eastAsia" w:hAnsi="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优良的定标候选人优于</w:t>
      </w:r>
      <w:r>
        <w:rPr>
          <w:rFonts w:hint="eastAsia" w:hAnsi="宋体" w:cs="宋体"/>
          <w:snapToGrid w:val="0"/>
          <w:color w:val="auto"/>
          <w:kern w:val="0"/>
          <w:highlight w:val="none"/>
          <w:lang w:val="en-US" w:eastAsia="zh-CN"/>
        </w:rPr>
        <w:t>监理大纲</w:t>
      </w:r>
      <w:r>
        <w:rPr>
          <w:rFonts w:hint="eastAsia" w:ascii="宋体" w:hAnsi="宋体" w:eastAsia="宋体" w:cs="宋体"/>
          <w:snapToGrid w:val="0"/>
          <w:color w:val="auto"/>
          <w:kern w:val="0"/>
          <w:highlight w:val="none"/>
        </w:rPr>
        <w:t>一般的定标候选人。</w:t>
      </w:r>
    </w:p>
    <w:p w14:paraId="4D79F69B">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评标报告</w:t>
      </w:r>
    </w:p>
    <w:p w14:paraId="54AEA60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7FC57C14">
      <w:pPr>
        <w:pStyle w:val="6"/>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2" w:name="_Toc29036"/>
      <w:bookmarkStart w:id="73" w:name="_Toc32345"/>
      <w:r>
        <w:rPr>
          <w:rFonts w:hint="eastAsia" w:ascii="宋体" w:hAnsi="宋体" w:eastAsia="宋体" w:cs="宋体"/>
          <w:b/>
          <w:snapToGrid w:val="0"/>
          <w:color w:val="auto"/>
          <w:highlight w:val="none"/>
          <w:lang w:val="en-US" w:eastAsia="zh-CN"/>
        </w:rPr>
        <w:t>3.定标结果公示</w:t>
      </w:r>
      <w:bookmarkEnd w:id="72"/>
      <w:bookmarkEnd w:id="73"/>
      <w:r>
        <w:rPr>
          <w:rFonts w:hint="eastAsia" w:ascii="宋体" w:hAnsi="宋体" w:eastAsia="宋体" w:cs="宋体"/>
          <w:b/>
          <w:snapToGrid w:val="0"/>
          <w:color w:val="auto"/>
          <w:highlight w:val="none"/>
          <w:lang w:val="en-US" w:eastAsia="zh-CN"/>
        </w:rPr>
        <w:t xml:space="preserve">  </w:t>
      </w:r>
    </w:p>
    <w:p w14:paraId="46D74AE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3.1</w:t>
      </w: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定标委员会完成定标后，招标人应在收到定标报告之日起3日内将中标候选人和定标情况在广东省招标投标监管网和韶关市公共资源交易中心工程交易系统上公示，公示时间不少于3日。</w:t>
      </w:r>
      <w:r>
        <w:rPr>
          <w:rFonts w:hint="eastAsia" w:ascii="宋体" w:hAnsi="宋体" w:eastAsia="宋体" w:cs="宋体"/>
          <w:snapToGrid w:val="0"/>
          <w:color w:val="auto"/>
          <w:kern w:val="0"/>
          <w:highlight w:val="none"/>
        </w:rPr>
        <w:t>公示主要内容包括：公示主要内容包括：定标报告（定标成员信息除外）、中标人名单、中标价和拟投入本项目的项目负责人、技术负责人及各专业负责人（如有）等内容。</w:t>
      </w:r>
    </w:p>
    <w:p w14:paraId="28E0961F">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lang w:val="en-US" w:eastAsia="zh-CN"/>
        </w:rPr>
        <w:t>3.2</w:t>
      </w:r>
      <w:r>
        <w:rPr>
          <w:rFonts w:hint="eastAsia" w:ascii="宋体" w:hAnsi="宋体" w:eastAsia="宋体" w:cs="宋体"/>
          <w:snapToGrid w:val="0"/>
          <w:color w:val="auto"/>
          <w:kern w:val="0"/>
          <w:highlight w:val="none"/>
        </w:rPr>
        <w:t>投标人或者其他利害关系人对招标项目的中标结果有异议的，应当在中标候选人公示期间按规定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法审〔2020〕19 号）执行。如通过交易服务平台提出异议，投标人必须上传提交异议书扫描件（作为附件），异议书格式内容按照《韶关市工程建设项目招标投标活动异议和投诉处理办法》（韶法审〔2020〕19 号）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7D0171C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hAnsi="宋体" w:eastAsia="宋体" w:cs="宋体"/>
          <w:b/>
          <w:bCs/>
          <w:snapToGrid w:val="0"/>
          <w:color w:val="auto"/>
          <w:kern w:val="0"/>
          <w:highlight w:val="none"/>
          <w:lang w:val="en-US" w:eastAsia="zh-CN"/>
        </w:rPr>
        <w:t>3.3</w:t>
      </w:r>
      <w:r>
        <w:rPr>
          <w:rFonts w:hint="eastAsia" w:ascii="宋体" w:hAnsi="宋体" w:eastAsia="宋体" w:cs="宋体"/>
          <w:snapToGrid w:val="0"/>
          <w:color w:val="auto"/>
          <w:kern w:val="0"/>
          <w:highlight w:val="none"/>
        </w:rPr>
        <w:t>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5E0E8692">
      <w:pPr>
        <w:pStyle w:val="6"/>
        <w:pageBreakBefore w:val="0"/>
        <w:kinsoku/>
        <w:wordWrap w:val="0"/>
        <w:overflowPunct/>
        <w:topLinePunct w:val="0"/>
        <w:autoSpaceDE/>
        <w:autoSpaceDN/>
        <w:bidi w:val="0"/>
        <w:snapToGrid w:val="0"/>
        <w:spacing w:line="500" w:lineRule="exact"/>
        <w:ind w:firstLine="480"/>
        <w:jc w:val="both"/>
        <w:textAlignment w:val="auto"/>
        <w:outlineLvl w:val="2"/>
        <w:rPr>
          <w:rFonts w:hint="eastAsia" w:ascii="宋体" w:hAnsi="宋体" w:eastAsia="宋体" w:cs="宋体"/>
          <w:b/>
          <w:snapToGrid w:val="0"/>
          <w:color w:val="auto"/>
          <w:highlight w:val="none"/>
          <w:lang w:val="en-US" w:eastAsia="zh-CN"/>
        </w:rPr>
      </w:pPr>
      <w:bookmarkStart w:id="74" w:name="_Toc28855"/>
      <w:bookmarkStart w:id="75" w:name="_Toc24457"/>
      <w:r>
        <w:rPr>
          <w:rFonts w:hint="eastAsia" w:ascii="宋体" w:hAnsi="宋体" w:eastAsia="宋体" w:cs="宋体"/>
          <w:b/>
          <w:snapToGrid w:val="0"/>
          <w:color w:val="auto"/>
          <w:highlight w:val="none"/>
          <w:lang w:val="en-US" w:eastAsia="zh-CN"/>
        </w:rPr>
        <w:t>4.中标确认</w:t>
      </w:r>
      <w:bookmarkEnd w:id="74"/>
      <w:bookmarkEnd w:id="75"/>
    </w:p>
    <w:p w14:paraId="580587AA">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中标人确定</w:t>
      </w:r>
      <w:r>
        <w:rPr>
          <w:rFonts w:hint="eastAsia"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中标结果公示期满无（投诉）后，招标人确认排名第一的中标候选人为中标人，中标人的投标报价即为中标价。</w:t>
      </w:r>
    </w:p>
    <w:p w14:paraId="5429927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3F9C0E57">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47306078">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240A6FD4">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15C975D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689615A1">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9E5796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008514A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32485CAC">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0C687D8D">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9F88E40">
      <w:pPr>
        <w:pageBreakBefore w:val="0"/>
        <w:kinsoku/>
        <w:wordWrap w:val="0"/>
        <w:overflowPunct/>
        <w:topLinePunct w:val="0"/>
        <w:bidi w:val="0"/>
        <w:adjustRightInd w:val="0"/>
        <w:snapToGrid w:val="0"/>
        <w:spacing w:line="500" w:lineRule="exact"/>
        <w:ind w:firstLine="480"/>
        <w:textAlignment w:val="auto"/>
        <w:rPr>
          <w:rFonts w:hint="eastAsia" w:ascii="宋体" w:hAnsi="宋体" w:eastAsia="宋体" w:cs="宋体"/>
          <w:snapToGrid w:val="0"/>
          <w:color w:val="auto"/>
          <w:kern w:val="0"/>
          <w:highlight w:val="none"/>
        </w:rPr>
      </w:pPr>
    </w:p>
    <w:p w14:paraId="7AF99ABE">
      <w:pPr>
        <w:pageBreakBefore w:val="0"/>
        <w:kinsoku/>
        <w:wordWrap w:val="0"/>
        <w:overflowPunct/>
        <w:topLinePunct w:val="0"/>
        <w:bidi w:val="0"/>
        <w:adjustRightInd w:val="0"/>
        <w:snapToGrid w:val="0"/>
        <w:spacing w:line="500" w:lineRule="exact"/>
        <w:textAlignment w:val="auto"/>
        <w:rPr>
          <w:rFonts w:hint="eastAsia" w:ascii="宋体" w:hAnsi="宋体" w:eastAsia="宋体" w:cs="宋体"/>
          <w:snapToGrid w:val="0"/>
          <w:color w:val="auto"/>
          <w:kern w:val="0"/>
          <w:highlight w:val="none"/>
        </w:rPr>
      </w:pPr>
    </w:p>
    <w:bookmarkEnd w:id="55"/>
    <w:p w14:paraId="753E11E4">
      <w:pPr>
        <w:pStyle w:val="4"/>
        <w:wordWrap w:val="0"/>
        <w:autoSpaceDE/>
        <w:autoSpaceDN/>
        <w:snapToGrid w:val="0"/>
        <w:spacing w:line="440" w:lineRule="exact"/>
        <w:jc w:val="center"/>
        <w:rPr>
          <w:rFonts w:hAnsi="宋体" w:cs="宋体"/>
          <w:b/>
          <w:snapToGrid w:val="0"/>
          <w:color w:val="auto"/>
          <w:sz w:val="32"/>
          <w:szCs w:val="22"/>
          <w:highlight w:val="none"/>
        </w:rPr>
      </w:pPr>
      <w:bookmarkStart w:id="76" w:name="_Hlt112206772"/>
      <w:bookmarkEnd w:id="76"/>
      <w:bookmarkStart w:id="77" w:name="_Hlt87952408"/>
      <w:bookmarkEnd w:id="77"/>
      <w:bookmarkStart w:id="78" w:name="_Hlt69669771"/>
      <w:bookmarkEnd w:id="78"/>
      <w:bookmarkStart w:id="79" w:name="_Hlt70150994"/>
      <w:bookmarkEnd w:id="79"/>
      <w:bookmarkStart w:id="80" w:name="_Toc28020"/>
      <w:bookmarkStart w:id="81" w:name="_Hlt69698769"/>
      <w:bookmarkStart w:id="82" w:name="_Hlt69698722"/>
      <w:bookmarkStart w:id="83" w:name="_Hlt69698741"/>
      <w:r>
        <w:rPr>
          <w:rFonts w:hint="eastAsia" w:hAnsi="宋体" w:cs="宋体"/>
          <w:b/>
          <w:snapToGrid w:val="0"/>
          <w:color w:val="auto"/>
          <w:sz w:val="32"/>
          <w:szCs w:val="22"/>
          <w:highlight w:val="none"/>
        </w:rPr>
        <w:t>第</w:t>
      </w:r>
      <w:bookmarkStart w:id="84" w:name="_Hlt69669171"/>
      <w:bookmarkEnd w:id="84"/>
      <w:r>
        <w:rPr>
          <w:rFonts w:hint="eastAsia" w:hAnsi="宋体" w:cs="宋体"/>
          <w:b/>
          <w:snapToGrid w:val="0"/>
          <w:color w:val="auto"/>
          <w:sz w:val="32"/>
          <w:szCs w:val="22"/>
          <w:highlight w:val="none"/>
        </w:rPr>
        <w:t>二章</w:t>
      </w:r>
      <w:bookmarkStart w:id="85" w:name="_Hlt87793839"/>
      <w:bookmarkEnd w:id="85"/>
      <w:r>
        <w:rPr>
          <w:rFonts w:hint="eastAsia" w:hAnsi="宋体" w:cs="宋体"/>
          <w:b/>
          <w:snapToGrid w:val="0"/>
          <w:color w:val="auto"/>
          <w:sz w:val="32"/>
          <w:szCs w:val="22"/>
          <w:highlight w:val="none"/>
        </w:rPr>
        <w:t xml:space="preserve"> 中标人须知</w:t>
      </w:r>
      <w:bookmarkEnd w:id="80"/>
    </w:p>
    <w:bookmarkEnd w:id="81"/>
    <w:bookmarkEnd w:id="82"/>
    <w:bookmarkEnd w:id="83"/>
    <w:p w14:paraId="38AEC5D6">
      <w:pPr>
        <w:bidi w:val="0"/>
        <w:rPr>
          <w:color w:val="auto"/>
          <w:highlight w:val="none"/>
        </w:rPr>
      </w:pPr>
    </w:p>
    <w:p w14:paraId="33D6C730">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86" w:name="_Toc8149"/>
      <w:bookmarkStart w:id="87" w:name="_Toc21594"/>
      <w:bookmarkStart w:id="88" w:name="_Toc30174"/>
      <w:bookmarkStart w:id="89" w:name="_Toc15170"/>
      <w:bookmarkStart w:id="90" w:name="_Toc31521"/>
      <w:bookmarkStart w:id="91" w:name="_Toc18336"/>
      <w:bookmarkStart w:id="92" w:name="_Toc13203"/>
      <w:r>
        <w:rPr>
          <w:rFonts w:hint="eastAsia" w:hAnsi="宋体" w:cs="宋体"/>
          <w:b/>
          <w:snapToGrid w:val="0"/>
          <w:color w:val="auto"/>
          <w:kern w:val="0"/>
          <w:szCs w:val="24"/>
          <w:highlight w:val="none"/>
        </w:rPr>
        <w:t>1．中标通知书</w:t>
      </w:r>
      <w:bookmarkEnd w:id="86"/>
      <w:bookmarkEnd w:id="87"/>
      <w:bookmarkEnd w:id="88"/>
      <w:bookmarkEnd w:id="89"/>
      <w:bookmarkEnd w:id="90"/>
      <w:bookmarkEnd w:id="91"/>
      <w:bookmarkEnd w:id="92"/>
    </w:p>
    <w:p w14:paraId="11A1ADEE">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7E979E6B">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Ansi="宋体" w:cs="宋体"/>
          <w:snapToGrid w:val="0"/>
          <w:color w:val="auto"/>
          <w:kern w:val="0"/>
          <w:szCs w:val="24"/>
          <w:highlight w:val="none"/>
        </w:rPr>
      </w:pPr>
      <w:bookmarkStart w:id="93" w:name="_Toc17251"/>
      <w:bookmarkStart w:id="94" w:name="_Toc23133"/>
      <w:bookmarkStart w:id="95" w:name="_Toc10931"/>
      <w:bookmarkStart w:id="96" w:name="_Toc1519"/>
      <w:bookmarkStart w:id="97" w:name="_Toc28601"/>
      <w:bookmarkStart w:id="98" w:name="_Toc26525"/>
      <w:bookmarkStart w:id="99" w:name="_Toc30560"/>
      <w:r>
        <w:rPr>
          <w:rFonts w:hint="eastAsia" w:hAnsi="宋体" w:cs="宋体"/>
          <w:b/>
          <w:bCs/>
          <w:snapToGrid w:val="0"/>
          <w:color w:val="auto"/>
          <w:kern w:val="0"/>
          <w:szCs w:val="24"/>
          <w:highlight w:val="none"/>
        </w:rPr>
        <w:t>2．中标结果公示</w:t>
      </w:r>
      <w:bookmarkEnd w:id="93"/>
      <w:bookmarkEnd w:id="94"/>
      <w:bookmarkEnd w:id="95"/>
      <w:bookmarkEnd w:id="96"/>
      <w:bookmarkEnd w:id="97"/>
      <w:bookmarkEnd w:id="98"/>
      <w:bookmarkEnd w:id="99"/>
    </w:p>
    <w:p w14:paraId="52B0780F">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中标通知书发出后15日内，招标人应将中标结果在广东省招标投标监管网</w:t>
      </w:r>
      <w:r>
        <w:rPr>
          <w:rFonts w:hint="eastAsia" w:ascii="宋体" w:hAnsi="宋体" w:eastAsia="宋体" w:cs="宋体"/>
          <w:snapToGrid w:val="0"/>
          <w:color w:val="auto"/>
          <w:kern w:val="0"/>
          <w:sz w:val="24"/>
          <w:szCs w:val="24"/>
          <w:highlight w:val="none"/>
          <w:lang w:eastAsia="zh-CN"/>
        </w:rPr>
        <w:t>（https://zbtb.gd.gov.cn/#/index）</w:t>
      </w: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进行公示。</w:t>
      </w:r>
      <w:bookmarkStart w:id="100" w:name="_Toc22628"/>
      <w:bookmarkStart w:id="101" w:name="_Toc25367"/>
      <w:bookmarkStart w:id="102" w:name="_Toc20923"/>
      <w:bookmarkStart w:id="103" w:name="_Toc23475"/>
      <w:bookmarkStart w:id="104" w:name="_Toc16211"/>
    </w:p>
    <w:p w14:paraId="7573F4F2">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rPr>
      </w:pPr>
      <w:bookmarkStart w:id="105" w:name="_Toc32445"/>
      <w:bookmarkStart w:id="106" w:name="_Toc17913"/>
      <w:r>
        <w:rPr>
          <w:rFonts w:hint="eastAsia" w:hAnsi="宋体" w:cs="宋体"/>
          <w:b/>
          <w:bCs/>
          <w:snapToGrid w:val="0"/>
          <w:color w:val="auto"/>
          <w:kern w:val="0"/>
          <w:szCs w:val="24"/>
          <w:highlight w:val="none"/>
          <w:lang w:val="en-US" w:eastAsia="zh-CN"/>
        </w:rPr>
        <w:t>3</w:t>
      </w:r>
      <w:r>
        <w:rPr>
          <w:rFonts w:hint="eastAsia" w:hAnsi="宋体" w:cs="宋体"/>
          <w:b/>
          <w:bCs/>
          <w:snapToGrid w:val="0"/>
          <w:color w:val="auto"/>
          <w:kern w:val="0"/>
          <w:szCs w:val="24"/>
          <w:highlight w:val="none"/>
        </w:rPr>
        <w:t>．履约保证</w:t>
      </w:r>
      <w:bookmarkEnd w:id="105"/>
      <w:bookmarkEnd w:id="106"/>
    </w:p>
    <w:p w14:paraId="3C0B5C83">
      <w:pPr>
        <w:keepNext w:val="0"/>
        <w:keepLines w:val="0"/>
        <w:pageBreakBefore w:val="0"/>
        <w:widowControl w:val="0"/>
        <w:tabs>
          <w:tab w:val="left" w:pos="1890"/>
        </w:tabs>
        <w:kinsoku/>
        <w:wordWrap w:val="0"/>
        <w:overflowPunct/>
        <w:topLinePunct w:val="0"/>
        <w:autoSpaceDE/>
        <w:autoSpaceDN/>
        <w:bidi w:val="0"/>
        <w:adjustRightInd w:val="0"/>
        <w:snapToGrid w:val="0"/>
        <w:spacing w:line="460" w:lineRule="exact"/>
        <w:ind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b/>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29BD7206">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履约保证的形式包括履约保证金、履约保证担保、履约保证保险三种，中标通知书发出时，招标人发起收缴履约保证金并填写保证金金额、缴交时限和项目工期；由中标人在建设工程交易系统中自主选择一种进行缴交。项目竣工后，由招标人发起退保。</w:t>
      </w:r>
    </w:p>
    <w:p w14:paraId="0517450E">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银行保函或保险合同方式缴纳履约保证金，在保函或保险合同到期前一个月，中标人须主动办理续期手续或提交新的银行保函或保险合同。</w:t>
      </w:r>
    </w:p>
    <w:p w14:paraId="191AA2C0">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在项目实施过程中，如果承包人（即招标阶段的中标人，下同）由于自身的资金、技术、质量、非不可抗力等原因给发包人（即招标阶段的招标人，下同）造成经济损失，发包人有权扣划相应金额的履约保证。</w:t>
      </w:r>
    </w:p>
    <w:p w14:paraId="71E06F02">
      <w:pPr>
        <w:bidi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p>
    <w:p w14:paraId="26AA120B">
      <w:pPr>
        <w:keepNext w:val="0"/>
        <w:keepLines w:val="0"/>
        <w:pageBreakBefore w:val="0"/>
        <w:widowControl w:val="0"/>
        <w:kinsoku/>
        <w:wordWrap w:val="0"/>
        <w:overflowPunct/>
        <w:topLinePunct w:val="0"/>
        <w:autoSpaceDE/>
        <w:autoSpaceDN/>
        <w:bidi w:val="0"/>
        <w:adjustRightInd w:val="0"/>
        <w:snapToGrid w:val="0"/>
        <w:spacing w:line="360" w:lineRule="auto"/>
        <w:ind w:firstLine="562"/>
        <w:textAlignment w:val="auto"/>
        <w:outlineLvl w:val="1"/>
        <w:rPr>
          <w:rFonts w:hint="eastAsia" w:hAnsi="宋体" w:cs="宋体"/>
          <w:b/>
          <w:bCs/>
          <w:snapToGrid w:val="0"/>
          <w:color w:val="auto"/>
          <w:kern w:val="0"/>
          <w:szCs w:val="24"/>
          <w:highlight w:val="none"/>
          <w:lang w:val="en-US" w:eastAsia="zh-CN"/>
        </w:rPr>
      </w:pPr>
      <w:bookmarkStart w:id="107" w:name="_Toc5474"/>
      <w:bookmarkStart w:id="108" w:name="_Toc21100"/>
      <w:r>
        <w:rPr>
          <w:rFonts w:hint="eastAsia" w:hAnsi="宋体" w:cs="宋体"/>
          <w:b/>
          <w:bCs/>
          <w:snapToGrid w:val="0"/>
          <w:color w:val="auto"/>
          <w:kern w:val="0"/>
          <w:szCs w:val="24"/>
          <w:highlight w:val="none"/>
          <w:lang w:val="en-US" w:eastAsia="zh-CN"/>
        </w:rPr>
        <w:t>4.合同订立</w:t>
      </w:r>
      <w:bookmarkEnd w:id="100"/>
      <w:bookmarkEnd w:id="101"/>
      <w:bookmarkEnd w:id="102"/>
      <w:bookmarkEnd w:id="103"/>
      <w:bookmarkEnd w:id="104"/>
      <w:bookmarkEnd w:id="107"/>
      <w:bookmarkEnd w:id="108"/>
    </w:p>
    <w:p w14:paraId="32BFD30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招标人应当自中标通知书发出之日起</w:t>
      </w:r>
      <w:r>
        <w:rPr>
          <w:rFonts w:hint="eastAsia" w:hAnsi="宋体" w:cs="宋体"/>
          <w:snapToGrid w:val="0"/>
          <w:color w:val="auto"/>
          <w:kern w:val="0"/>
          <w:szCs w:val="24"/>
          <w:highlight w:val="none"/>
          <w:u w:val="single"/>
        </w:rPr>
        <w:t xml:space="preserve"> 30 </w:t>
      </w:r>
      <w:r>
        <w:rPr>
          <w:rFonts w:hint="eastAsia" w:hAnsi="宋体" w:cs="宋体"/>
          <w:snapToGrid w:val="0"/>
          <w:color w:val="auto"/>
          <w:kern w:val="0"/>
          <w:szCs w:val="24"/>
          <w:highlight w:val="none"/>
        </w:rPr>
        <w:t>日内，按照招标文件、中标人的投标文件与中标人订立书面合同。</w:t>
      </w:r>
    </w:p>
    <w:p w14:paraId="1CED438A">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合同的标的、质量、履行期限条款和合同的价款、风险分担等主要条款，应当与招标文件、中标人的投标文件的内容一致。中标人在签订合同时不得向招标人提出附加条件。</w:t>
      </w:r>
    </w:p>
    <w:p w14:paraId="123B366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.3</w:t>
      </w:r>
      <w:r>
        <w:rPr>
          <w:rFonts w:hint="eastAsia" w:hAnsi="宋体" w:cs="宋体"/>
          <w:snapToGrid w:val="0"/>
          <w:color w:val="auto"/>
          <w:kern w:val="0"/>
          <w:szCs w:val="24"/>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5A965A09">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4</w:t>
      </w:r>
      <w:r>
        <w:rPr>
          <w:rFonts w:hint="eastAsia" w:hAnsi="宋体" w:cs="宋体"/>
          <w:b/>
          <w:bCs/>
          <w:snapToGrid w:val="0"/>
          <w:color w:val="auto"/>
          <w:kern w:val="0"/>
          <w:szCs w:val="24"/>
          <w:highlight w:val="none"/>
        </w:rPr>
        <w:t>.4</w:t>
      </w:r>
      <w:r>
        <w:rPr>
          <w:rFonts w:hint="eastAsia" w:hAnsi="宋体" w:cs="宋体"/>
          <w:snapToGrid w:val="0"/>
          <w:color w:val="auto"/>
          <w:kern w:val="0"/>
          <w:szCs w:val="24"/>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退还给中标人和其他中标候选人。</w:t>
      </w:r>
    </w:p>
    <w:p w14:paraId="39A3803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09" w:name="_Toc3858"/>
      <w:bookmarkStart w:id="110" w:name="_Toc11598"/>
      <w:bookmarkStart w:id="111" w:name="_Toc1819"/>
      <w:bookmarkStart w:id="112" w:name="_Toc13450"/>
      <w:bookmarkStart w:id="113" w:name="_Toc25887"/>
      <w:bookmarkStart w:id="114" w:name="_Toc12722"/>
      <w:bookmarkStart w:id="115" w:name="_Toc6741"/>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．放弃中标的处理</w:t>
      </w:r>
      <w:bookmarkEnd w:id="109"/>
      <w:bookmarkEnd w:id="110"/>
      <w:bookmarkEnd w:id="111"/>
      <w:bookmarkEnd w:id="112"/>
      <w:bookmarkEnd w:id="113"/>
      <w:bookmarkEnd w:id="114"/>
      <w:bookmarkEnd w:id="115"/>
    </w:p>
    <w:p w14:paraId="3D3DAE4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中标人无正当理由放弃中标的，取消其中标资格，其投标保证不予退还，给招标人造成的损失超过投标保证金额的，弃标人还应当对超过部分予以赔偿。招标人可按照评标委员会提出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5CCD4E8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5</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32AA1A1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16" w:name="_Toc1831"/>
      <w:bookmarkStart w:id="117" w:name="_Toc500"/>
      <w:bookmarkStart w:id="118" w:name="_Toc17549"/>
      <w:bookmarkStart w:id="119" w:name="_Toc8282"/>
      <w:bookmarkStart w:id="120" w:name="_Toc21613"/>
      <w:bookmarkStart w:id="121" w:name="_Toc26352"/>
      <w:bookmarkStart w:id="122" w:name="_Toc15893"/>
      <w:r>
        <w:rPr>
          <w:rFonts w:hint="eastAsia" w:hAnsi="宋体" w:cs="宋体"/>
          <w:b/>
          <w:bCs/>
          <w:snapToGrid w:val="0"/>
          <w:color w:val="auto"/>
          <w:kern w:val="0"/>
          <w:szCs w:val="24"/>
          <w:highlight w:val="none"/>
          <w:lang w:val="en-US" w:eastAsia="zh-CN"/>
        </w:rPr>
        <w:t>6</w:t>
      </w:r>
      <w:r>
        <w:rPr>
          <w:rFonts w:hint="eastAsia" w:hAnsi="宋体" w:cs="宋体"/>
          <w:b/>
          <w:bCs/>
          <w:snapToGrid w:val="0"/>
          <w:color w:val="auto"/>
          <w:kern w:val="0"/>
          <w:szCs w:val="24"/>
          <w:highlight w:val="none"/>
        </w:rPr>
        <w:t>．分包</w:t>
      </w:r>
      <w:bookmarkEnd w:id="116"/>
      <w:bookmarkEnd w:id="117"/>
      <w:bookmarkEnd w:id="118"/>
      <w:bookmarkEnd w:id="119"/>
      <w:bookmarkEnd w:id="120"/>
      <w:bookmarkEnd w:id="121"/>
      <w:bookmarkEnd w:id="122"/>
    </w:p>
    <w:p w14:paraId="1F836E2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合同范围内的监理服务严禁分包，一经发现，委托人有权解除合同，由此引起的一切经济损失和法律责任由监理人自行承担。</w:t>
      </w:r>
    </w:p>
    <w:p w14:paraId="3AD9B3F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23" w:name="_Toc25800"/>
      <w:bookmarkStart w:id="124" w:name="_Toc2527"/>
      <w:bookmarkStart w:id="125" w:name="_Toc32579"/>
      <w:bookmarkStart w:id="126" w:name="_Toc25358"/>
      <w:bookmarkStart w:id="127" w:name="_Toc18249"/>
      <w:bookmarkStart w:id="128" w:name="_Toc19761"/>
      <w:bookmarkStart w:id="129" w:name="_Toc17560"/>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．监理服务期限</w:t>
      </w:r>
      <w:bookmarkEnd w:id="123"/>
      <w:bookmarkEnd w:id="124"/>
      <w:bookmarkEnd w:id="125"/>
      <w:bookmarkEnd w:id="126"/>
      <w:bookmarkEnd w:id="127"/>
      <w:bookmarkEnd w:id="128"/>
      <w:bookmarkEnd w:id="129"/>
    </w:p>
    <w:p w14:paraId="33F7FA03">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当满足专用合同条款约定的开始监理条件时，委托人应提前7天向监理人发出开始监理通知。监理服务期限自开始监理通知中载明的开始监理日期起计算。</w:t>
      </w:r>
    </w:p>
    <w:p w14:paraId="419D82E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7</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在合同履行过程中，由于下列原因造成监理服务期限延误的，委托人应当延长监理服务期限并增加监理酬金，具体方法在专用合同条款中约定。</w:t>
      </w:r>
    </w:p>
    <w:p w14:paraId="0D79786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（1）合同变更；</w:t>
      </w:r>
    </w:p>
    <w:p w14:paraId="2EAE337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（2）因委托人原因导致的监理工作暂停；</w:t>
      </w:r>
    </w:p>
    <w:p w14:paraId="5B9605F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（3）未按合同约定及时支付监理服务酬金；</w:t>
      </w:r>
    </w:p>
    <w:p w14:paraId="55DDA44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（4）未及时履行合同约定的相关义务；</w:t>
      </w:r>
    </w:p>
    <w:p w14:paraId="377E21A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（5）由于承包人（指在本招标项目监理范围内，与委托人签订勘察、设计、施工承包合同的当事人，下同）延误、行政管理造成的监理服务期限延误；</w:t>
      </w:r>
    </w:p>
    <w:p w14:paraId="20EBAA7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（6）造成监理服务期限延误的其他原因。</w:t>
      </w:r>
    </w:p>
    <w:p w14:paraId="72AA307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30" w:name="_Toc13950"/>
      <w:bookmarkStart w:id="131" w:name="_Toc1946"/>
      <w:bookmarkStart w:id="132" w:name="_Toc23108"/>
      <w:bookmarkStart w:id="133" w:name="_Toc13195"/>
      <w:bookmarkStart w:id="134" w:name="_Toc6532"/>
      <w:bookmarkStart w:id="135" w:name="_Toc17664"/>
      <w:bookmarkStart w:id="136" w:name="_Toc25479"/>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．项目监理机构</w:t>
      </w:r>
      <w:bookmarkEnd w:id="130"/>
      <w:bookmarkEnd w:id="131"/>
      <w:bookmarkEnd w:id="132"/>
      <w:bookmarkEnd w:id="133"/>
      <w:bookmarkEnd w:id="134"/>
      <w:bookmarkEnd w:id="135"/>
      <w:bookmarkEnd w:id="136"/>
    </w:p>
    <w:p w14:paraId="67997DEC">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.1</w:t>
      </w:r>
      <w:r>
        <w:rPr>
          <w:rFonts w:hint="eastAsia" w:hAnsi="宋体" w:cs="宋体"/>
          <w:snapToGrid w:val="0"/>
          <w:color w:val="auto"/>
          <w:kern w:val="0"/>
          <w:szCs w:val="24"/>
          <w:highlight w:val="none"/>
        </w:rPr>
        <w:t xml:space="preserve"> 监理人派驻项目监理机构的人员必须为其投标文件确定的人员，否则委托人有权解除合同。</w:t>
      </w:r>
    </w:p>
    <w:p w14:paraId="75E21DC5">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lang w:val="en-US" w:eastAsia="zh-CN"/>
        </w:rPr>
        <w:t>8</w:t>
      </w:r>
      <w:r>
        <w:rPr>
          <w:rFonts w:hint="eastAsia" w:hAnsi="宋体" w:cs="宋体"/>
          <w:b/>
          <w:bCs/>
          <w:snapToGrid w:val="0"/>
          <w:color w:val="auto"/>
          <w:kern w:val="0"/>
          <w:szCs w:val="24"/>
          <w:highlight w:val="none"/>
        </w:rPr>
        <w:t>.2</w:t>
      </w:r>
      <w:r>
        <w:rPr>
          <w:rFonts w:hint="eastAsia" w:hAnsi="宋体" w:cs="宋体"/>
          <w:snapToGrid w:val="0"/>
          <w:color w:val="auto"/>
          <w:kern w:val="0"/>
          <w:szCs w:val="24"/>
          <w:highlight w:val="none"/>
        </w:rPr>
        <w:t xml:space="preserve"> 项目监理机构班子成员不得擅自变更。其中，总监理工程师若有《广东省住房和城乡建设厅关于建设工程项目招标中标后监督检查的办法》（粤建市〔2009〕8号，以下简称“《办法》”）第九条所述除外情形之一确需变更的，监理人应填写《建设工程项目管理班子变更情况报告表》（《办法》附件4）并附上相关证明资料，经委托人和建设行政主管部门审核同意方可变更，且更换后的总监理工程师应与监理人的投标文件所确定的原总监理工程师的主要条件一致；项目监理机构班子其他成员若有《办法》第九条所述除外情形之一确需变更的，监理人应填写《建设工程项目管理班子变更情况报告表》并附上相关证明资料，经委托人审核同意方可变更。</w:t>
      </w:r>
    </w:p>
    <w:p w14:paraId="1A7A45AF">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37" w:name="_Toc19789"/>
      <w:bookmarkStart w:id="138" w:name="_Toc20027"/>
      <w:bookmarkStart w:id="139" w:name="_Toc6056"/>
      <w:bookmarkStart w:id="140" w:name="_Toc27412"/>
      <w:bookmarkStart w:id="141" w:name="_Toc20449"/>
      <w:bookmarkStart w:id="142" w:name="_Toc23097"/>
      <w:bookmarkStart w:id="143" w:name="_Toc20861"/>
      <w:r>
        <w:rPr>
          <w:rFonts w:hint="eastAsia" w:hAnsi="宋体" w:cs="宋体"/>
          <w:b/>
          <w:snapToGrid w:val="0"/>
          <w:color w:val="auto"/>
          <w:kern w:val="0"/>
          <w:szCs w:val="24"/>
          <w:highlight w:val="none"/>
          <w:lang w:val="en-US" w:eastAsia="zh-CN"/>
        </w:rPr>
        <w:t>9</w:t>
      </w:r>
      <w:r>
        <w:rPr>
          <w:rFonts w:hint="eastAsia" w:hAnsi="宋体" w:cs="宋体"/>
          <w:b/>
          <w:snapToGrid w:val="0"/>
          <w:color w:val="auto"/>
          <w:kern w:val="0"/>
          <w:szCs w:val="24"/>
          <w:highlight w:val="none"/>
        </w:rPr>
        <w:t>．安全防护</w:t>
      </w:r>
      <w:bookmarkEnd w:id="137"/>
      <w:bookmarkEnd w:id="138"/>
      <w:bookmarkEnd w:id="139"/>
      <w:bookmarkEnd w:id="140"/>
      <w:bookmarkEnd w:id="141"/>
      <w:bookmarkEnd w:id="142"/>
      <w:bookmarkEnd w:id="143"/>
    </w:p>
    <w:p w14:paraId="23FF1D8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监理人应按照安全监理有关规定，采取严格、科学的安全防护措施，确保监理人员人身安全，承担由于自身安全防护措施不力所造成的安全事故责任和发生的费用。</w:t>
      </w:r>
    </w:p>
    <w:p w14:paraId="45E28A2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trike/>
          <w:snapToGrid w:val="0"/>
          <w:color w:val="auto"/>
          <w:kern w:val="0"/>
          <w:szCs w:val="24"/>
          <w:highlight w:val="none"/>
        </w:rPr>
      </w:pPr>
      <w:bookmarkStart w:id="144" w:name="_Toc17881"/>
      <w:bookmarkStart w:id="145" w:name="_Toc1181"/>
      <w:bookmarkStart w:id="146" w:name="_Toc9618"/>
      <w:bookmarkStart w:id="147" w:name="_Toc11481"/>
      <w:bookmarkStart w:id="148" w:name="_Toc27428"/>
      <w:bookmarkStart w:id="149" w:name="_Toc13413"/>
      <w:bookmarkStart w:id="150" w:name="_Toc16174"/>
      <w:r>
        <w:rPr>
          <w:rFonts w:hint="eastAsia" w:hAnsi="宋体" w:cs="宋体"/>
          <w:b/>
          <w:snapToGrid w:val="0"/>
          <w:color w:val="auto"/>
          <w:kern w:val="0"/>
          <w:szCs w:val="24"/>
          <w:highlight w:val="none"/>
          <w:lang w:val="en-US" w:eastAsia="zh-CN"/>
        </w:rPr>
        <w:t>10</w:t>
      </w:r>
      <w:r>
        <w:rPr>
          <w:rFonts w:hint="eastAsia" w:hAnsi="宋体" w:cs="宋体"/>
          <w:b/>
          <w:snapToGrid w:val="0"/>
          <w:color w:val="auto"/>
          <w:kern w:val="0"/>
          <w:szCs w:val="24"/>
          <w:highlight w:val="none"/>
        </w:rPr>
        <w:t>．接受监督</w:t>
      </w:r>
      <w:bookmarkEnd w:id="144"/>
      <w:bookmarkEnd w:id="145"/>
      <w:bookmarkEnd w:id="146"/>
      <w:bookmarkEnd w:id="147"/>
      <w:bookmarkEnd w:id="148"/>
      <w:bookmarkEnd w:id="149"/>
      <w:bookmarkEnd w:id="150"/>
    </w:p>
    <w:p w14:paraId="0806106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bCs/>
          <w:snapToGrid w:val="0"/>
          <w:color w:val="auto"/>
          <w:kern w:val="0"/>
          <w:szCs w:val="24"/>
          <w:highlight w:val="none"/>
        </w:rPr>
      </w:pPr>
      <w:r>
        <w:rPr>
          <w:rFonts w:hint="eastAsia" w:hAnsi="宋体" w:cs="宋体"/>
          <w:snapToGrid w:val="0"/>
          <w:color w:val="auto"/>
          <w:kern w:val="0"/>
          <w:szCs w:val="24"/>
          <w:highlight w:val="none"/>
        </w:rPr>
        <w:t>监理人应严格按照法律、法规以及</w:t>
      </w:r>
      <w:r>
        <w:rPr>
          <w:rFonts w:hint="eastAsia" w:hAnsi="宋体" w:cs="宋体"/>
          <w:bCs/>
          <w:snapToGrid w:val="0"/>
          <w:color w:val="auto"/>
          <w:kern w:val="0"/>
          <w:szCs w:val="24"/>
          <w:highlight w:val="none"/>
        </w:rPr>
        <w:t>《建设工程监理规范》（GB/T 50319—2013）有关规定实施监理，同时须</w:t>
      </w:r>
      <w:r>
        <w:rPr>
          <w:rFonts w:hint="eastAsia" w:hAnsi="宋体" w:cs="宋体"/>
          <w:snapToGrid w:val="0"/>
          <w:color w:val="auto"/>
          <w:kern w:val="0"/>
          <w:szCs w:val="24"/>
          <w:highlight w:val="none"/>
        </w:rPr>
        <w:t>服从委托人以及建设行政主管部门对监理工作全方位的监督，及时将监理大纲、监理规划、监理实施细则等监理文件报委托人审查备案。</w:t>
      </w:r>
    </w:p>
    <w:p w14:paraId="4F9D73C6">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bCs/>
          <w:snapToGrid w:val="0"/>
          <w:color w:val="auto"/>
          <w:kern w:val="0"/>
          <w:szCs w:val="24"/>
          <w:highlight w:val="none"/>
        </w:rPr>
      </w:pPr>
      <w:bookmarkStart w:id="151" w:name="_Toc24102"/>
      <w:bookmarkStart w:id="152" w:name="_Toc18397"/>
      <w:bookmarkStart w:id="153" w:name="_Toc4730"/>
      <w:bookmarkStart w:id="154" w:name="_Toc14327"/>
      <w:bookmarkStart w:id="155" w:name="_Toc17713"/>
      <w:bookmarkStart w:id="156" w:name="_Toc25424"/>
      <w:bookmarkStart w:id="157" w:name="_Toc26662"/>
      <w:r>
        <w:rPr>
          <w:rFonts w:hint="eastAsia" w:hAnsi="宋体" w:cs="宋体"/>
          <w:b/>
          <w:snapToGrid w:val="0"/>
          <w:color w:val="auto"/>
          <w:kern w:val="0"/>
          <w:szCs w:val="24"/>
          <w:highlight w:val="none"/>
        </w:rPr>
        <w:t>1</w:t>
      </w:r>
      <w:r>
        <w:rPr>
          <w:rFonts w:hint="eastAsia" w:hAnsi="宋体" w:cs="宋体"/>
          <w:b/>
          <w:snapToGrid w:val="0"/>
          <w:color w:val="auto"/>
          <w:kern w:val="0"/>
          <w:szCs w:val="24"/>
          <w:highlight w:val="none"/>
          <w:lang w:val="en-US" w:eastAsia="zh-CN"/>
        </w:rPr>
        <w:t>1</w:t>
      </w:r>
      <w:r>
        <w:rPr>
          <w:rFonts w:hint="eastAsia" w:hAnsi="宋体" w:cs="宋体"/>
          <w:b/>
          <w:snapToGrid w:val="0"/>
          <w:color w:val="auto"/>
          <w:kern w:val="0"/>
          <w:szCs w:val="24"/>
          <w:highlight w:val="none"/>
        </w:rPr>
        <w:t>．监理档案移交</w:t>
      </w:r>
      <w:bookmarkEnd w:id="151"/>
      <w:bookmarkEnd w:id="152"/>
      <w:bookmarkEnd w:id="153"/>
      <w:bookmarkEnd w:id="154"/>
      <w:bookmarkEnd w:id="155"/>
      <w:bookmarkEnd w:id="156"/>
      <w:bookmarkEnd w:id="157"/>
    </w:p>
    <w:p w14:paraId="39E3E4D5">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bCs/>
          <w:snapToGrid w:val="0"/>
          <w:color w:val="auto"/>
          <w:kern w:val="0"/>
          <w:szCs w:val="24"/>
          <w:highlight w:val="none"/>
        </w:rPr>
      </w:pPr>
      <w:r>
        <w:rPr>
          <w:rFonts w:hint="eastAsia" w:hAnsi="宋体" w:cs="宋体"/>
          <w:bCs/>
          <w:snapToGrid w:val="0"/>
          <w:color w:val="auto"/>
          <w:kern w:val="0"/>
          <w:szCs w:val="24"/>
          <w:highlight w:val="none"/>
        </w:rPr>
        <w:t>项目竣工验收后，监理人应向委托人提交一式</w:t>
      </w:r>
      <w:r>
        <w:rPr>
          <w:rFonts w:hint="eastAsia" w:hAnsi="宋体" w:cs="宋体"/>
          <w:bCs/>
          <w:snapToGrid w:val="0"/>
          <w:color w:val="auto"/>
          <w:kern w:val="0"/>
          <w:szCs w:val="24"/>
          <w:highlight w:val="none"/>
          <w:u w:val="single"/>
        </w:rPr>
        <w:t xml:space="preserve"> 五 </w:t>
      </w:r>
      <w:r>
        <w:rPr>
          <w:rFonts w:hint="eastAsia" w:hAnsi="宋体" w:cs="宋体"/>
          <w:bCs/>
          <w:snapToGrid w:val="0"/>
          <w:color w:val="auto"/>
          <w:kern w:val="0"/>
          <w:szCs w:val="24"/>
          <w:highlight w:val="none"/>
        </w:rPr>
        <w:t>份符合《建设工程监理规范》（GB/T 50319—2013）以及《韶关市城市建设档案管理办法》要求的监理档案。</w:t>
      </w:r>
    </w:p>
    <w:p w14:paraId="73BB0CCA">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trike/>
          <w:snapToGrid w:val="0"/>
          <w:color w:val="auto"/>
          <w:kern w:val="0"/>
          <w:szCs w:val="24"/>
          <w:highlight w:val="none"/>
        </w:rPr>
      </w:pPr>
      <w:bookmarkStart w:id="158" w:name="_Toc15489"/>
      <w:bookmarkStart w:id="159" w:name="_Toc24329"/>
      <w:bookmarkStart w:id="160" w:name="_Toc16612"/>
      <w:bookmarkStart w:id="161" w:name="_Toc19314"/>
      <w:bookmarkStart w:id="162" w:name="_Toc13197"/>
      <w:bookmarkStart w:id="163" w:name="_Toc2540"/>
      <w:bookmarkStart w:id="164" w:name="_Toc6629"/>
      <w:r>
        <w:rPr>
          <w:rFonts w:hint="eastAsia" w:hAnsi="宋体" w:cs="宋体"/>
          <w:b/>
          <w:bCs/>
          <w:snapToGrid w:val="0"/>
          <w:color w:val="auto"/>
          <w:kern w:val="0"/>
          <w:szCs w:val="24"/>
          <w:highlight w:val="none"/>
        </w:rPr>
        <w:t>1</w:t>
      </w:r>
      <w:r>
        <w:rPr>
          <w:rFonts w:hint="eastAsia" w:hAnsi="宋体" w:cs="宋体"/>
          <w:b/>
          <w:bCs/>
          <w:snapToGrid w:val="0"/>
          <w:color w:val="auto"/>
          <w:kern w:val="0"/>
          <w:szCs w:val="24"/>
          <w:highlight w:val="none"/>
          <w:lang w:val="en-US" w:eastAsia="zh-CN"/>
        </w:rPr>
        <w:t>2</w:t>
      </w:r>
      <w:r>
        <w:rPr>
          <w:rFonts w:hint="eastAsia" w:hAnsi="宋体" w:cs="宋体"/>
          <w:b/>
          <w:snapToGrid w:val="0"/>
          <w:color w:val="auto"/>
          <w:kern w:val="0"/>
          <w:szCs w:val="24"/>
          <w:highlight w:val="none"/>
        </w:rPr>
        <w:t>．不良行为处理</w:t>
      </w:r>
      <w:bookmarkEnd w:id="158"/>
      <w:bookmarkEnd w:id="159"/>
      <w:bookmarkEnd w:id="160"/>
      <w:bookmarkEnd w:id="161"/>
      <w:bookmarkEnd w:id="162"/>
      <w:bookmarkEnd w:id="163"/>
      <w:bookmarkEnd w:id="164"/>
    </w:p>
    <w:p w14:paraId="04C55AB1">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监理人及其有关人员有下列行为之一的，委托人应及时报请建设行政主管部门查处。</w:t>
      </w:r>
    </w:p>
    <w:p w14:paraId="004FF11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（1）转让监理业务的；</w:t>
      </w:r>
    </w:p>
    <w:p w14:paraId="3812AF6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（2）非原参加投标中标的总监理工程师负责组织监理或在实施过程中擅自更换总监理工程师的、项目监理机构的其他监理人员与中标文件确定的人员不相符的；</w:t>
      </w:r>
    </w:p>
    <w:p w14:paraId="4A3AB02B">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（3）与建设单位、施工单位串通，签认虚假工程量或工程造价的；</w:t>
      </w:r>
    </w:p>
    <w:p w14:paraId="232AE11F">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（4）现场监理不到位的；</w:t>
      </w:r>
    </w:p>
    <w:p w14:paraId="4D39599F">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（5）非本人资格证书注册单位从事监理工作的；</w:t>
      </w:r>
    </w:p>
    <w:p w14:paraId="6B6840EA">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（6）总监理工程师承担超过三项工程监理任务的；</w:t>
      </w:r>
    </w:p>
    <w:p w14:paraId="0F7A5E75">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宋体" w:hAnsi="宋体" w:cs="宋体"/>
          <w:snapToGrid w:val="0"/>
          <w:color w:val="auto"/>
          <w:kern w:val="0"/>
          <w:szCs w:val="24"/>
          <w:highlight w:val="none"/>
        </w:rPr>
      </w:pPr>
      <w:r>
        <w:rPr>
          <w:rFonts w:hint="eastAsia" w:ascii="宋体" w:hAnsi="宋体" w:cs="宋体"/>
          <w:snapToGrid w:val="0"/>
          <w:color w:val="auto"/>
          <w:kern w:val="0"/>
          <w:szCs w:val="24"/>
          <w:highlight w:val="none"/>
        </w:rPr>
        <w:t>（7）违反有关法律、法规、规章规定的其它行为。</w:t>
      </w:r>
    </w:p>
    <w:p w14:paraId="3D1008B4">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outlineLvl w:val="1"/>
        <w:rPr>
          <w:rFonts w:ascii="宋体" w:hAnsi="宋体" w:cs="宋体"/>
          <w:b/>
          <w:bCs/>
          <w:snapToGrid w:val="0"/>
          <w:color w:val="auto"/>
          <w:kern w:val="0"/>
          <w:szCs w:val="24"/>
          <w:highlight w:val="none"/>
        </w:rPr>
      </w:pPr>
      <w:bookmarkStart w:id="165" w:name="_Toc16056"/>
      <w:bookmarkStart w:id="166" w:name="_Toc15431"/>
      <w:bookmarkStart w:id="167" w:name="_Toc2784"/>
      <w:bookmarkStart w:id="168" w:name="_Toc15923"/>
      <w:bookmarkStart w:id="169" w:name="_Toc17537"/>
      <w:bookmarkStart w:id="170" w:name="_Toc29467"/>
      <w:bookmarkStart w:id="171" w:name="_Toc28837"/>
      <w:r>
        <w:rPr>
          <w:rFonts w:hint="eastAsia" w:ascii="宋体" w:hAnsi="宋体" w:cs="宋体"/>
          <w:b/>
          <w:bCs/>
          <w:snapToGrid w:val="0"/>
          <w:color w:val="auto"/>
          <w:kern w:val="0"/>
          <w:szCs w:val="24"/>
          <w:highlight w:val="none"/>
        </w:rPr>
        <w:t>1</w:t>
      </w:r>
      <w:r>
        <w:rPr>
          <w:rFonts w:hint="eastAsia" w:ascii="宋体" w:hAnsi="宋体" w:cs="宋体"/>
          <w:b/>
          <w:bCs/>
          <w:snapToGrid w:val="0"/>
          <w:color w:val="auto"/>
          <w:kern w:val="0"/>
          <w:szCs w:val="24"/>
          <w:highlight w:val="none"/>
          <w:lang w:val="en-US" w:eastAsia="zh-CN"/>
        </w:rPr>
        <w:t>3</w:t>
      </w:r>
      <w:r>
        <w:rPr>
          <w:rFonts w:hint="eastAsia" w:ascii="宋体" w:hAnsi="宋体" w:cs="宋体"/>
          <w:b/>
          <w:snapToGrid w:val="0"/>
          <w:color w:val="auto"/>
          <w:kern w:val="0"/>
          <w:szCs w:val="24"/>
          <w:highlight w:val="none"/>
        </w:rPr>
        <w:t>．</w:t>
      </w:r>
      <w:r>
        <w:rPr>
          <w:rFonts w:hint="eastAsia" w:ascii="宋体" w:hAnsi="宋体" w:cs="宋体"/>
          <w:b/>
          <w:bCs/>
          <w:snapToGrid w:val="0"/>
          <w:color w:val="auto"/>
          <w:kern w:val="0"/>
          <w:szCs w:val="24"/>
          <w:highlight w:val="none"/>
        </w:rPr>
        <w:t>信用评价条款内容</w:t>
      </w:r>
      <w:bookmarkEnd w:id="165"/>
      <w:bookmarkEnd w:id="166"/>
      <w:bookmarkEnd w:id="167"/>
      <w:bookmarkEnd w:id="168"/>
      <w:bookmarkEnd w:id="169"/>
      <w:bookmarkEnd w:id="170"/>
      <w:bookmarkEnd w:id="171"/>
    </w:p>
    <w:p w14:paraId="418B847A">
      <w:pPr>
        <w:pStyle w:val="83"/>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snapToGrid w:val="0"/>
          <w:color w:val="auto"/>
          <w:kern w:val="0"/>
          <w:highlight w:val="none"/>
        </w:rPr>
      </w:pPr>
      <w:r>
        <w:rPr>
          <w:rFonts w:hint="eastAsia" w:hAnsi="宋体" w:cs="宋体"/>
          <w:snapToGrid w:val="0"/>
          <w:color w:val="auto"/>
          <w:kern w:val="0"/>
          <w:highlight w:val="none"/>
        </w:rPr>
        <w:t>由委托人决定是否对监理人的履约情况进行信用评价。若进行信用评价，评价条款由委托人自拟，条款内容可参考人员到位情况、服务配合程度、服务成果质量、项目后期服务以及信用评价结果的运用等。</w:t>
      </w:r>
    </w:p>
    <w:p w14:paraId="50B54F01">
      <w:pPr>
        <w:pStyle w:val="83"/>
        <w:wordWrap w:val="0"/>
        <w:adjustRightInd w:val="0"/>
        <w:snapToGrid w:val="0"/>
        <w:spacing w:line="440" w:lineRule="exact"/>
        <w:ind w:firstLine="560"/>
        <w:rPr>
          <w:rFonts w:hAnsi="宋体" w:cs="宋体"/>
          <w:b/>
          <w:bCs/>
          <w:snapToGrid w:val="0"/>
          <w:color w:val="auto"/>
          <w:kern w:val="0"/>
          <w:highlight w:val="none"/>
        </w:rPr>
      </w:pPr>
    </w:p>
    <w:p w14:paraId="6E146C71">
      <w:pPr>
        <w:pStyle w:val="83"/>
        <w:wordWrap w:val="0"/>
        <w:adjustRightInd w:val="0"/>
        <w:snapToGrid w:val="0"/>
        <w:spacing w:line="440" w:lineRule="exact"/>
        <w:ind w:firstLine="560"/>
        <w:rPr>
          <w:rFonts w:hAnsi="宋体" w:cs="宋体"/>
          <w:b/>
          <w:bCs/>
          <w:snapToGrid w:val="0"/>
          <w:color w:val="auto"/>
          <w:kern w:val="0"/>
          <w:highlight w:val="none"/>
        </w:rPr>
      </w:pPr>
    </w:p>
    <w:p w14:paraId="40581986">
      <w:pPr>
        <w:pStyle w:val="83"/>
        <w:wordWrap w:val="0"/>
        <w:adjustRightInd w:val="0"/>
        <w:snapToGrid w:val="0"/>
        <w:spacing w:line="440" w:lineRule="exact"/>
        <w:ind w:firstLine="560"/>
        <w:rPr>
          <w:rFonts w:hAnsi="宋体" w:cs="宋体"/>
          <w:b/>
          <w:bCs/>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4B26AC6B">
      <w:pPr>
        <w:pStyle w:val="4"/>
        <w:wordWrap w:val="0"/>
        <w:autoSpaceDE/>
        <w:autoSpaceDN/>
        <w:snapToGrid w:val="0"/>
        <w:spacing w:line="500" w:lineRule="exact"/>
        <w:jc w:val="center"/>
        <w:outlineLvl w:val="0"/>
        <w:rPr>
          <w:rFonts w:hAnsi="宋体" w:cs="宋体"/>
          <w:b/>
          <w:snapToGrid w:val="0"/>
          <w:color w:val="auto"/>
          <w:sz w:val="32"/>
          <w:szCs w:val="32"/>
          <w:highlight w:val="none"/>
        </w:rPr>
      </w:pPr>
      <w:bookmarkStart w:id="172" w:name="_Toc17424"/>
      <w:bookmarkStart w:id="173" w:name="_Toc29099"/>
      <w:bookmarkStart w:id="174" w:name="_Hlt69698713"/>
      <w:bookmarkStart w:id="175" w:name="_Hlt69698765"/>
      <w:bookmarkStart w:id="176" w:name="_Hlt69698776"/>
      <w:r>
        <w:rPr>
          <w:rFonts w:hint="eastAsia" w:hAnsi="宋体" w:cs="宋体"/>
          <w:b/>
          <w:snapToGrid w:val="0"/>
          <w:color w:val="auto"/>
          <w:sz w:val="32"/>
          <w:szCs w:val="32"/>
          <w:highlight w:val="none"/>
        </w:rPr>
        <w:t>第三章</w:t>
      </w:r>
      <w:bookmarkStart w:id="177" w:name="_Hlt87793831"/>
      <w:bookmarkEnd w:id="177"/>
      <w:r>
        <w:rPr>
          <w:rFonts w:hint="eastAsia" w:hAnsi="宋体" w:cs="宋体"/>
          <w:b/>
          <w:snapToGrid w:val="0"/>
          <w:color w:val="auto"/>
          <w:sz w:val="32"/>
          <w:szCs w:val="32"/>
          <w:highlight w:val="none"/>
        </w:rPr>
        <w:t xml:space="preserve"> 拟签订合同的主要条款</w:t>
      </w:r>
      <w:bookmarkEnd w:id="172"/>
      <w:bookmarkEnd w:id="173"/>
    </w:p>
    <w:bookmarkEnd w:id="174"/>
    <w:bookmarkEnd w:id="175"/>
    <w:p w14:paraId="6A4F7FF4">
      <w:pPr>
        <w:bidi w:val="0"/>
        <w:rPr>
          <w:color w:val="auto"/>
          <w:highlight w:val="none"/>
        </w:rPr>
      </w:pPr>
      <w:bookmarkStart w:id="178" w:name="_Toc326916629"/>
      <w:bookmarkStart w:id="179" w:name="_Toc322793288"/>
    </w:p>
    <w:bookmarkEnd w:id="178"/>
    <w:bookmarkEnd w:id="179"/>
    <w:p w14:paraId="33043E2D">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snapToGrid w:val="0"/>
          <w:color w:val="auto"/>
          <w:kern w:val="0"/>
          <w:szCs w:val="24"/>
          <w:highlight w:val="none"/>
        </w:rPr>
      </w:pPr>
      <w:bookmarkStart w:id="180" w:name="_Toc11616"/>
      <w:bookmarkStart w:id="181" w:name="_Toc6392"/>
      <w:bookmarkStart w:id="182" w:name="_Toc12203"/>
      <w:bookmarkStart w:id="183" w:name="_Toc1947"/>
      <w:bookmarkStart w:id="184" w:name="_Toc4588"/>
      <w:bookmarkStart w:id="185" w:name="_Toc706"/>
      <w:bookmarkStart w:id="186" w:name="_Toc3741"/>
      <w:r>
        <w:rPr>
          <w:rFonts w:hint="eastAsia" w:hAnsi="宋体" w:cs="宋体"/>
          <w:b/>
          <w:bCs/>
          <w:snapToGrid w:val="0"/>
          <w:color w:val="auto"/>
          <w:kern w:val="0"/>
          <w:szCs w:val="24"/>
          <w:highlight w:val="none"/>
        </w:rPr>
        <w:t>1．现场办公条件</w:t>
      </w:r>
      <w:bookmarkEnd w:id="180"/>
      <w:bookmarkEnd w:id="181"/>
      <w:bookmarkEnd w:id="182"/>
      <w:bookmarkEnd w:id="183"/>
      <w:bookmarkEnd w:id="184"/>
      <w:bookmarkEnd w:id="185"/>
      <w:bookmarkEnd w:id="186"/>
    </w:p>
    <w:p w14:paraId="11DCDCED">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1.1</w:t>
      </w:r>
      <w:r>
        <w:rPr>
          <w:rFonts w:hint="eastAsia" w:hAnsi="宋体" w:cs="宋体"/>
          <w:snapToGrid w:val="0"/>
          <w:color w:val="auto"/>
          <w:kern w:val="0"/>
          <w:szCs w:val="24"/>
          <w:highlight w:val="none"/>
        </w:rPr>
        <w:t xml:space="preserve"> 监理人的办公、休息场所不得与承包人混用。所需场所、水电网络接入由委托人征求监理人意见后，与承包人协调明确，但费用（若有）由监理人支付。监理人所需场所的数量及其面积应与项目规模、特点相匹配，并应满足监理工作正常运作的需要。</w:t>
      </w:r>
    </w:p>
    <w:p w14:paraId="045048A1">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1.2</w:t>
      </w:r>
      <w:r>
        <w:rPr>
          <w:rFonts w:hint="eastAsia" w:hAnsi="宋体" w:cs="宋体"/>
          <w:snapToGrid w:val="0"/>
          <w:color w:val="auto"/>
          <w:kern w:val="0"/>
          <w:szCs w:val="24"/>
          <w:highlight w:val="none"/>
        </w:rPr>
        <w:t xml:space="preserve"> 监理人应按照工程需要，自行配备以下的设施、设备：</w:t>
      </w:r>
    </w:p>
    <w:p w14:paraId="16F4F0B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（1）办公桌椅、文件柜、床铺被褥、供冷采暖设施等办公和生活设施；</w:t>
      </w:r>
    </w:p>
    <w:p w14:paraId="04E9EF1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（2）电脑、投影、打印机、复印机、传真机等办公设备及其耗材；</w:t>
      </w:r>
    </w:p>
    <w:p w14:paraId="0824DF7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（3）拍摄、录音、录像等取证器材；</w:t>
      </w:r>
    </w:p>
    <w:p w14:paraId="66B8580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（4）信息化管理软件或系统；</w:t>
      </w:r>
    </w:p>
    <w:p w14:paraId="27B1D88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（5）通信和交通工具；</w:t>
      </w:r>
    </w:p>
    <w:p w14:paraId="4B95581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（6）本招标项目必备的规范标准、图集等书籍手册；</w:t>
      </w:r>
    </w:p>
    <w:p w14:paraId="4329D7E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（7）安全帽、安全鞋、安全手套、安全服装、手电筒等安全防护用具；</w:t>
      </w:r>
    </w:p>
    <w:p w14:paraId="694A6388">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（8）</w:t>
      </w:r>
      <w:r>
        <w:rPr>
          <w:rFonts w:hint="eastAsia" w:hAnsi="宋体" w:cs="宋体"/>
          <w:snapToGrid w:val="0"/>
          <w:color w:val="auto"/>
          <w:kern w:val="0"/>
          <w:szCs w:val="24"/>
          <w:highlight w:val="none"/>
          <w:u w:val="single"/>
        </w:rPr>
        <w:t xml:space="preserve"> 打卡 / 指纹识别 / 人脸识别 / 虹膜识别 </w:t>
      </w:r>
      <w:r>
        <w:rPr>
          <w:rFonts w:hint="eastAsia" w:hAnsi="宋体" w:cs="宋体"/>
          <w:snapToGrid w:val="0"/>
          <w:color w:val="auto"/>
          <w:kern w:val="0"/>
          <w:szCs w:val="24"/>
          <w:highlight w:val="none"/>
        </w:rPr>
        <w:t>考勤设备；</w:t>
      </w:r>
    </w:p>
    <w:p w14:paraId="746DCCA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（9）其他与监理工作有关的设备与用品。</w:t>
      </w:r>
    </w:p>
    <w:p w14:paraId="6BD7646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1"/>
        <w:rPr>
          <w:rFonts w:hAnsi="宋体" w:cs="宋体"/>
          <w:b/>
          <w:bCs/>
          <w:snapToGrid w:val="0"/>
          <w:color w:val="auto"/>
          <w:kern w:val="0"/>
          <w:szCs w:val="24"/>
          <w:highlight w:val="none"/>
        </w:rPr>
      </w:pPr>
      <w:bookmarkStart w:id="187" w:name="_Toc14419"/>
      <w:bookmarkStart w:id="188" w:name="_Toc6311"/>
      <w:bookmarkStart w:id="189" w:name="_Toc29914"/>
      <w:bookmarkStart w:id="190" w:name="_Toc15844"/>
      <w:bookmarkStart w:id="191" w:name="_Toc8261"/>
      <w:bookmarkStart w:id="192" w:name="_Toc17006"/>
      <w:bookmarkStart w:id="193" w:name="_Toc6193"/>
      <w:r>
        <w:rPr>
          <w:rFonts w:hint="eastAsia" w:hAnsi="宋体" w:cs="宋体"/>
          <w:b/>
          <w:bCs/>
          <w:snapToGrid w:val="0"/>
          <w:color w:val="auto"/>
          <w:kern w:val="0"/>
          <w:szCs w:val="24"/>
          <w:highlight w:val="none"/>
        </w:rPr>
        <w:t>2．</w:t>
      </w:r>
      <w:bookmarkEnd w:id="187"/>
      <w:bookmarkEnd w:id="188"/>
      <w:bookmarkEnd w:id="189"/>
      <w:bookmarkEnd w:id="190"/>
      <w:bookmarkEnd w:id="191"/>
      <w:r>
        <w:rPr>
          <w:rFonts w:hint="eastAsia" w:hAnsi="宋体" w:cs="宋体"/>
          <w:b/>
          <w:bCs/>
          <w:snapToGrid w:val="0"/>
          <w:color w:val="auto"/>
          <w:kern w:val="0"/>
          <w:szCs w:val="24"/>
          <w:highlight w:val="none"/>
        </w:rPr>
        <w:t>监理服务费</w:t>
      </w:r>
      <w:bookmarkEnd w:id="192"/>
      <w:bookmarkEnd w:id="193"/>
    </w:p>
    <w:p w14:paraId="1C133234">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Ansi="宋体" w:cs="宋体"/>
          <w:snapToGrid w:val="0"/>
          <w:color w:val="auto"/>
          <w:kern w:val="0"/>
          <w:szCs w:val="24"/>
          <w:highlight w:val="none"/>
        </w:rPr>
      </w:pPr>
      <w:r>
        <w:rPr>
          <w:rFonts w:hint="eastAsia" w:hAnsi="宋体" w:cs="宋体"/>
          <w:b/>
          <w:bCs/>
          <w:snapToGrid w:val="0"/>
          <w:color w:val="auto"/>
          <w:kern w:val="0"/>
          <w:szCs w:val="24"/>
          <w:highlight w:val="none"/>
        </w:rPr>
        <w:t>2.1</w:t>
      </w:r>
      <w:r>
        <w:rPr>
          <w:rFonts w:hint="eastAsia" w:hAnsi="宋体" w:cs="宋体"/>
          <w:snapToGrid w:val="0"/>
          <w:color w:val="auto"/>
          <w:kern w:val="0"/>
          <w:szCs w:val="24"/>
          <w:highlight w:val="none"/>
        </w:rPr>
        <w:t xml:space="preserve"> “监理服务费”指监理人履行本合同义务，委托人按照本合同约定（包括按照合同约定进行的变更和调整）给付监理人的金额，“监理服务费”指监理人完成正常工作，委托人应给付监理人并在协议书中载明的签约酬金额。</w:t>
      </w:r>
    </w:p>
    <w:p w14:paraId="48F0A665">
      <w:pPr>
        <w:keepNext w:val="0"/>
        <w:keepLines w:val="0"/>
        <w:pageBreakBefore w:val="0"/>
        <w:widowControl w:val="0"/>
        <w:kinsoku/>
        <w:wordWrap w:val="0"/>
        <w:overflowPunct/>
        <w:topLinePunct w:val="0"/>
        <w:autoSpaceDE/>
        <w:autoSpaceDN/>
        <w:bidi w:val="0"/>
        <w:adjustRightInd w:val="0"/>
        <w:spacing w:line="360" w:lineRule="auto"/>
        <w:ind w:firstLine="482" w:firstLineChars="200"/>
        <w:textAlignment w:val="auto"/>
        <w:rPr>
          <w:rFonts w:hAnsi="宋体" w:cs="宋体"/>
          <w:b/>
          <w:bCs/>
          <w:snapToGrid w:val="0"/>
          <w:color w:val="auto"/>
          <w:kern w:val="0"/>
          <w:szCs w:val="24"/>
          <w:highlight w:val="none"/>
        </w:rPr>
      </w:pPr>
      <w:r>
        <w:rPr>
          <w:rFonts w:hint="eastAsia" w:hAnsi="宋体" w:cs="宋体"/>
          <w:b/>
          <w:bCs/>
          <w:snapToGrid w:val="0"/>
          <w:color w:val="auto"/>
          <w:kern w:val="0"/>
          <w:szCs w:val="24"/>
          <w:highlight w:val="none"/>
        </w:rPr>
        <w:t>2.2 监理服务费结算原则：</w:t>
      </w:r>
    </w:p>
    <w:p w14:paraId="7622FDA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bookmarkStart w:id="194" w:name="_Toc17740"/>
      <w:bookmarkStart w:id="195" w:name="_Toc31653"/>
      <w:bookmarkStart w:id="196" w:name="_Toc31657"/>
      <w:bookmarkStart w:id="197" w:name="_Toc6502"/>
      <w:bookmarkStart w:id="198" w:name="_Toc18979"/>
      <w:r>
        <w:rPr>
          <w:rFonts w:hint="eastAsia" w:hAnsi="宋体" w:cs="宋体"/>
          <w:snapToGrid w:val="0"/>
          <w:color w:val="auto"/>
          <w:kern w:val="0"/>
          <w:szCs w:val="24"/>
          <w:highlight w:val="none"/>
          <w:lang w:eastAsia="zh-CN"/>
        </w:rPr>
        <w:t>（</w:t>
      </w:r>
      <w:r>
        <w:rPr>
          <w:rFonts w:hint="eastAsia" w:hAnsi="宋体" w:cs="宋体"/>
          <w:snapToGrid w:val="0"/>
          <w:color w:val="auto"/>
          <w:kern w:val="0"/>
          <w:szCs w:val="24"/>
          <w:highlight w:val="none"/>
          <w:lang w:val="en-US" w:eastAsia="zh-CN"/>
        </w:rPr>
        <w:t>1</w:t>
      </w:r>
      <w:r>
        <w:rPr>
          <w:rFonts w:hint="eastAsia" w:hAnsi="宋体" w:cs="宋体"/>
          <w:snapToGrid w:val="0"/>
          <w:color w:val="auto"/>
          <w:kern w:val="0"/>
          <w:szCs w:val="24"/>
          <w:highlight w:val="none"/>
          <w:lang w:eastAsia="zh-CN"/>
        </w:rPr>
        <w:t>）</w:t>
      </w:r>
      <w:r>
        <w:rPr>
          <w:rFonts w:hint="eastAsia" w:ascii="宋体" w:hAnsi="宋体" w:eastAsia="宋体" w:cs="宋体"/>
          <w:snapToGrid w:val="0"/>
          <w:color w:val="auto"/>
          <w:kern w:val="0"/>
          <w:szCs w:val="24"/>
          <w:highlight w:val="none"/>
        </w:rPr>
        <w:t>监理服务费结算价在项目的合同价范围内按实结算，即：以施工财审结算价为基数乘以监理人中标取费费率计算，若监理服务费结算总价超过签约合同价，则按签约合同价包干结算；若监理服务费结算总价未超过签约合同价，则按以施工结算价为基数乘以监理人中标取费费率计算的结算价进行结算。</w:t>
      </w:r>
    </w:p>
    <w:p w14:paraId="4B7C731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（2）项目建设期间，即使出现缓建或停建事件导致监理工期延长，不另增加监理服务费。</w:t>
      </w:r>
    </w:p>
    <w:p w14:paraId="17FC59C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（3）因工程规模、监理范围的变化导致监理人的正常工作量减少时，按减少工作量的比例从协议书约定的正常工作酬金中扣减相同比例的酬金。</w:t>
      </w:r>
    </w:p>
    <w:p w14:paraId="3CA26190">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snapToGrid w:val="0"/>
          <w:color w:val="auto"/>
          <w:kern w:val="0"/>
          <w:szCs w:val="24"/>
          <w:highlight w:val="none"/>
        </w:rPr>
      </w:pPr>
      <w:r>
        <w:rPr>
          <w:rFonts w:hint="eastAsia" w:ascii="宋体" w:hAnsi="宋体" w:eastAsia="宋体" w:cs="宋体"/>
          <w:b/>
          <w:bCs/>
          <w:snapToGrid w:val="0"/>
          <w:color w:val="auto"/>
          <w:kern w:val="0"/>
          <w:szCs w:val="24"/>
          <w:highlight w:val="none"/>
        </w:rPr>
        <w:t>2.3 监理服务费的支付：</w:t>
      </w:r>
    </w:p>
    <w:p w14:paraId="3AC46AB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（1）本项目支付监理服务费预付款，预付款支付比例为：合同价的30%；</w:t>
      </w:r>
    </w:p>
    <w:p w14:paraId="4FF87AA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（2）本项目根据施工阶段按施工进度分期支付监理服务费，具体分期支付方式如下：</w:t>
      </w:r>
    </w:p>
    <w:tbl>
      <w:tblPr>
        <w:tblStyle w:val="32"/>
        <w:tblW w:w="9204" w:type="dxa"/>
        <w:tblInd w:w="2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7779"/>
      </w:tblGrid>
      <w:tr w14:paraId="59D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25" w:type="dxa"/>
            <w:noWrap w:val="0"/>
            <w:vAlign w:val="center"/>
          </w:tcPr>
          <w:p w14:paraId="02EF632E">
            <w:pPr>
              <w:wordWrap w:val="0"/>
              <w:adjustRightInd w:val="0"/>
              <w:snapToGrid w:val="0"/>
              <w:spacing w:line="400" w:lineRule="exact"/>
              <w:jc w:val="center"/>
              <w:rPr>
                <w:rFonts w:hint="eastAsia" w:ascii="黑体" w:hAnsi="黑体" w:eastAsia="黑体"/>
                <w:snapToGrid w:val="0"/>
                <w:color w:val="auto"/>
                <w:kern w:val="0"/>
                <w:highlight w:val="none"/>
              </w:rPr>
            </w:pPr>
            <w:r>
              <w:rPr>
                <w:rFonts w:hint="eastAsia" w:ascii="黑体" w:hAnsi="黑体" w:eastAsia="黑体"/>
                <w:snapToGrid w:val="0"/>
                <w:color w:val="auto"/>
                <w:kern w:val="0"/>
                <w:highlight w:val="none"/>
              </w:rPr>
              <w:t>支付次数</w:t>
            </w:r>
          </w:p>
        </w:tc>
        <w:tc>
          <w:tcPr>
            <w:tcW w:w="7779" w:type="dxa"/>
            <w:noWrap w:val="0"/>
            <w:vAlign w:val="center"/>
          </w:tcPr>
          <w:p w14:paraId="1A8903F7">
            <w:pPr>
              <w:wordWrap w:val="0"/>
              <w:adjustRightInd w:val="0"/>
              <w:snapToGrid w:val="0"/>
              <w:spacing w:line="400" w:lineRule="exact"/>
              <w:jc w:val="center"/>
              <w:rPr>
                <w:rFonts w:hint="eastAsia" w:ascii="黑体" w:hAnsi="黑体" w:eastAsia="黑体"/>
                <w:snapToGrid w:val="0"/>
                <w:color w:val="auto"/>
                <w:kern w:val="0"/>
                <w:highlight w:val="none"/>
                <w:lang w:val="en-US" w:eastAsia="zh-CN"/>
              </w:rPr>
            </w:pPr>
            <w:r>
              <w:rPr>
                <w:rFonts w:hint="eastAsia" w:ascii="黑体" w:hAnsi="黑体" w:eastAsia="黑体"/>
                <w:snapToGrid w:val="0"/>
                <w:color w:val="auto"/>
                <w:kern w:val="0"/>
                <w:highlight w:val="none"/>
              </w:rPr>
              <w:t>支付时间</w:t>
            </w:r>
            <w:r>
              <w:rPr>
                <w:rFonts w:hint="eastAsia" w:ascii="黑体" w:hAnsi="黑体" w:eastAsia="黑体"/>
                <w:snapToGrid w:val="0"/>
                <w:color w:val="auto"/>
                <w:kern w:val="0"/>
                <w:highlight w:val="none"/>
                <w:lang w:val="en-US" w:eastAsia="zh-CN"/>
              </w:rPr>
              <w:t>及</w:t>
            </w:r>
            <w:r>
              <w:rPr>
                <w:rFonts w:hint="eastAsia" w:ascii="黑体" w:hAnsi="黑体" w:eastAsia="黑体"/>
                <w:snapToGrid w:val="0"/>
                <w:color w:val="auto"/>
                <w:kern w:val="0"/>
                <w:highlight w:val="none"/>
              </w:rPr>
              <w:t>支付比例</w:t>
            </w:r>
          </w:p>
        </w:tc>
      </w:tr>
      <w:tr w14:paraId="1B9E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rPr>
        <w:tc>
          <w:tcPr>
            <w:tcW w:w="1425" w:type="dxa"/>
            <w:noWrap w:val="0"/>
            <w:vAlign w:val="center"/>
          </w:tcPr>
          <w:p w14:paraId="71BAC85A">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第二次付款</w:t>
            </w:r>
          </w:p>
        </w:tc>
        <w:tc>
          <w:tcPr>
            <w:tcW w:w="7779" w:type="dxa"/>
            <w:noWrap w:val="0"/>
            <w:vAlign w:val="center"/>
          </w:tcPr>
          <w:p w14:paraId="45CDE68B">
            <w:pPr>
              <w:wordWrap w:val="0"/>
              <w:adjustRightInd w:val="0"/>
              <w:snapToGrid w:val="0"/>
              <w:spacing w:line="400" w:lineRule="exact"/>
              <w:jc w:val="left"/>
              <w:rPr>
                <w:rFonts w:hint="default" w:ascii="Times New Roman" w:eastAsia="宋体"/>
                <w:snapToGrid w:val="0"/>
                <w:color w:val="auto"/>
                <w:kern w:val="0"/>
                <w:highlight w:val="none"/>
                <w:lang w:val="en-US" w:eastAsia="zh-CN"/>
              </w:rPr>
            </w:pPr>
            <w:r>
              <w:rPr>
                <w:rFonts w:hint="eastAsia" w:ascii="Times New Roman"/>
                <w:snapToGrid w:val="0"/>
                <w:color w:val="auto"/>
                <w:kern w:val="0"/>
                <w:highlight w:val="none"/>
                <w:lang w:val="en-US" w:eastAsia="zh-CN"/>
              </w:rPr>
              <w:t>工程施工进度达到80%后30日内支付至合同价款的50%(含预付款30%)。</w:t>
            </w:r>
          </w:p>
        </w:tc>
      </w:tr>
      <w:tr w14:paraId="5889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exact"/>
        </w:trPr>
        <w:tc>
          <w:tcPr>
            <w:tcW w:w="1425" w:type="dxa"/>
            <w:noWrap w:val="0"/>
            <w:vAlign w:val="center"/>
          </w:tcPr>
          <w:p w14:paraId="40BAE9EE">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w:t>
            </w:r>
            <w:r>
              <w:rPr>
                <w:rFonts w:hint="eastAsia" w:ascii="Times New Roman"/>
                <w:snapToGrid w:val="0"/>
                <w:color w:val="auto"/>
                <w:kern w:val="0"/>
                <w:highlight w:val="none"/>
                <w:lang w:val="en-US" w:eastAsia="zh-CN"/>
              </w:rPr>
              <w:t>三</w:t>
            </w:r>
            <w:r>
              <w:rPr>
                <w:rFonts w:hint="eastAsia" w:ascii="Times New Roman"/>
                <w:snapToGrid w:val="0"/>
                <w:color w:val="auto"/>
                <w:kern w:val="0"/>
                <w:highlight w:val="none"/>
              </w:rPr>
              <w:t>次付款</w:t>
            </w:r>
          </w:p>
        </w:tc>
        <w:tc>
          <w:tcPr>
            <w:tcW w:w="7779" w:type="dxa"/>
            <w:noWrap w:val="0"/>
            <w:vAlign w:val="center"/>
          </w:tcPr>
          <w:p w14:paraId="6E8C3F2F">
            <w:pPr>
              <w:wordWrap w:val="0"/>
              <w:adjustRightInd w:val="0"/>
              <w:snapToGrid w:val="0"/>
              <w:spacing w:line="400" w:lineRule="exact"/>
              <w:jc w:val="left"/>
              <w:rPr>
                <w:rFonts w:hint="eastAsia" w:ascii="Times New Roman" w:eastAsia="宋体"/>
                <w:snapToGrid w:val="0"/>
                <w:color w:val="auto"/>
                <w:kern w:val="0"/>
                <w:sz w:val="24"/>
                <w:highlight w:val="none"/>
                <w:lang w:val="en-US" w:eastAsia="zh-CN" w:bidi="ar-SA"/>
              </w:rPr>
            </w:pPr>
            <w:r>
              <w:rPr>
                <w:rFonts w:hint="eastAsia" w:ascii="Times New Roman"/>
                <w:snapToGrid w:val="0"/>
                <w:color w:val="auto"/>
                <w:kern w:val="0"/>
                <w:highlight w:val="none"/>
              </w:rPr>
              <w:t>工程施工进度达到100%，项目完成完工验收后30日内支付至合同价款的80%</w:t>
            </w:r>
            <w:r>
              <w:rPr>
                <w:rFonts w:hint="eastAsia" w:ascii="Times New Roman"/>
                <w:snapToGrid w:val="0"/>
                <w:color w:val="auto"/>
                <w:kern w:val="0"/>
                <w:highlight w:val="none"/>
                <w:lang w:eastAsia="zh-CN"/>
              </w:rPr>
              <w:t>。</w:t>
            </w:r>
          </w:p>
        </w:tc>
      </w:tr>
      <w:tr w14:paraId="20E1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exact"/>
        </w:trPr>
        <w:tc>
          <w:tcPr>
            <w:tcW w:w="1425" w:type="dxa"/>
            <w:noWrap w:val="0"/>
            <w:vAlign w:val="center"/>
          </w:tcPr>
          <w:p w14:paraId="6E30D421">
            <w:pPr>
              <w:wordWrap w:val="0"/>
              <w:adjustRightInd w:val="0"/>
              <w:snapToGrid w:val="0"/>
              <w:spacing w:line="400" w:lineRule="exact"/>
              <w:jc w:val="center"/>
              <w:rPr>
                <w:rFonts w:hint="eastAsia" w:ascii="Times New Roman"/>
                <w:snapToGrid w:val="0"/>
                <w:color w:val="auto"/>
                <w:kern w:val="0"/>
                <w:highlight w:val="none"/>
              </w:rPr>
            </w:pPr>
            <w:r>
              <w:rPr>
                <w:rFonts w:hint="eastAsia" w:ascii="Times New Roman"/>
                <w:snapToGrid w:val="0"/>
                <w:color w:val="auto"/>
                <w:kern w:val="0"/>
                <w:highlight w:val="none"/>
              </w:rPr>
              <w:t>第</w:t>
            </w:r>
            <w:r>
              <w:rPr>
                <w:rFonts w:hint="eastAsia" w:ascii="Times New Roman"/>
                <w:snapToGrid w:val="0"/>
                <w:color w:val="auto"/>
                <w:kern w:val="0"/>
                <w:highlight w:val="none"/>
                <w:lang w:val="en-US" w:eastAsia="zh-CN"/>
              </w:rPr>
              <w:t>四</w:t>
            </w:r>
            <w:r>
              <w:rPr>
                <w:rFonts w:hint="eastAsia" w:ascii="Times New Roman"/>
                <w:snapToGrid w:val="0"/>
                <w:color w:val="auto"/>
                <w:kern w:val="0"/>
                <w:highlight w:val="none"/>
              </w:rPr>
              <w:t>次付款</w:t>
            </w:r>
          </w:p>
        </w:tc>
        <w:tc>
          <w:tcPr>
            <w:tcW w:w="7779" w:type="dxa"/>
            <w:noWrap w:val="0"/>
            <w:vAlign w:val="center"/>
          </w:tcPr>
          <w:p w14:paraId="68536663">
            <w:pPr>
              <w:wordWrap w:val="0"/>
              <w:adjustRightInd w:val="0"/>
              <w:snapToGrid w:val="0"/>
              <w:spacing w:line="400" w:lineRule="exact"/>
              <w:jc w:val="left"/>
              <w:rPr>
                <w:rFonts w:hint="eastAsia" w:ascii="Times New Roman" w:eastAsia="宋体"/>
                <w:snapToGrid w:val="0"/>
                <w:color w:val="auto"/>
                <w:kern w:val="0"/>
                <w:sz w:val="24"/>
                <w:highlight w:val="none"/>
                <w:lang w:val="en-US" w:eastAsia="zh-CN" w:bidi="ar-SA"/>
              </w:rPr>
            </w:pPr>
            <w:r>
              <w:rPr>
                <w:rFonts w:hint="eastAsia" w:ascii="Times New Roman"/>
                <w:snapToGrid w:val="0"/>
                <w:color w:val="auto"/>
                <w:kern w:val="0"/>
                <w:highlight w:val="none"/>
              </w:rPr>
              <w:t>竣工验收合格后，经委托人或委托人委托的第三方审核机构结算定案后支付至监理结算价的100%</w:t>
            </w:r>
            <w:r>
              <w:rPr>
                <w:rFonts w:hint="eastAsia" w:ascii="Times New Roman"/>
                <w:snapToGrid w:val="0"/>
                <w:color w:val="auto"/>
                <w:kern w:val="0"/>
                <w:highlight w:val="none"/>
                <w:lang w:eastAsia="zh-CN"/>
              </w:rPr>
              <w:t>。</w:t>
            </w:r>
          </w:p>
        </w:tc>
      </w:tr>
    </w:tbl>
    <w:p w14:paraId="2D07E2CE">
      <w:pPr>
        <w:keepNext w:val="0"/>
        <w:keepLines w:val="0"/>
        <w:pageBreakBefore w:val="0"/>
        <w:widowControl w:val="0"/>
        <w:kinsoku/>
        <w:wordWrap w:val="0"/>
        <w:overflowPunct/>
        <w:topLinePunct w:val="0"/>
        <w:autoSpaceDE/>
        <w:autoSpaceDN/>
        <w:bidi w:val="0"/>
        <w:adjustRightInd w:val="0"/>
        <w:snapToGrid w:val="0"/>
        <w:spacing w:before="165" w:beforeLines="50" w:line="360" w:lineRule="auto"/>
        <w:ind w:firstLine="482" w:firstLineChars="200"/>
        <w:textAlignment w:val="auto"/>
        <w:outlineLvl w:val="1"/>
        <w:rPr>
          <w:rFonts w:hint="eastAsia" w:ascii="宋体" w:hAnsi="宋体" w:eastAsia="宋体" w:cs="宋体"/>
          <w:b/>
          <w:bCs/>
          <w:snapToGrid w:val="0"/>
          <w:color w:val="auto"/>
          <w:kern w:val="0"/>
          <w:szCs w:val="24"/>
          <w:highlight w:val="none"/>
        </w:rPr>
      </w:pPr>
      <w:bookmarkStart w:id="199" w:name="_Toc12074"/>
      <w:bookmarkStart w:id="200" w:name="_Toc6221"/>
      <w:r>
        <w:rPr>
          <w:rFonts w:hint="eastAsia" w:ascii="宋体" w:hAnsi="宋体" w:eastAsia="宋体" w:cs="宋体"/>
          <w:b/>
          <w:bCs/>
          <w:snapToGrid w:val="0"/>
          <w:color w:val="auto"/>
          <w:kern w:val="0"/>
          <w:szCs w:val="24"/>
          <w:highlight w:val="none"/>
        </w:rPr>
        <w:t>3．监理服务费发票</w:t>
      </w:r>
      <w:bookmarkEnd w:id="194"/>
      <w:bookmarkEnd w:id="195"/>
      <w:bookmarkEnd w:id="196"/>
      <w:bookmarkEnd w:id="197"/>
      <w:bookmarkEnd w:id="198"/>
      <w:bookmarkEnd w:id="199"/>
      <w:bookmarkEnd w:id="200"/>
    </w:p>
    <w:p w14:paraId="429ED25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委托人每次支付监理服务费前，监理人均应提供有效的增值税</w:t>
      </w:r>
      <w:r>
        <w:rPr>
          <w:rFonts w:hint="eastAsia" w:hAnsi="宋体" w:cs="宋体"/>
          <w:snapToGrid w:val="0"/>
          <w:color w:val="auto"/>
          <w:kern w:val="0"/>
          <w:szCs w:val="24"/>
          <w:highlight w:val="none"/>
          <w:u w:val="single"/>
        </w:rPr>
        <w:t xml:space="preserve"> 普通 </w:t>
      </w:r>
      <w:r>
        <w:rPr>
          <w:rFonts w:hint="eastAsia" w:hAnsi="宋体" w:cs="宋体"/>
          <w:snapToGrid w:val="0"/>
          <w:color w:val="auto"/>
          <w:kern w:val="0"/>
          <w:szCs w:val="24"/>
          <w:highlight w:val="none"/>
        </w:rPr>
        <w:t xml:space="preserve">发票。如果监理人无法提供符合要求的监理服务费发票，由此造成的相应损失由监理人承担。 </w:t>
      </w:r>
    </w:p>
    <w:p w14:paraId="05F1438D">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napToGrid w:val="0"/>
          <w:color w:val="auto"/>
          <w:kern w:val="0"/>
          <w:szCs w:val="24"/>
          <w:highlight w:val="none"/>
        </w:rPr>
      </w:pPr>
      <w:bookmarkStart w:id="201" w:name="_Toc22603"/>
      <w:bookmarkStart w:id="202" w:name="_Toc25406"/>
      <w:bookmarkStart w:id="203" w:name="_Toc7557"/>
      <w:bookmarkStart w:id="204" w:name="_Toc32633"/>
      <w:bookmarkStart w:id="205" w:name="_Toc2147"/>
      <w:bookmarkStart w:id="206" w:name="_Toc32105"/>
      <w:bookmarkStart w:id="207" w:name="_Toc30294"/>
      <w:r>
        <w:rPr>
          <w:rFonts w:hint="eastAsia" w:hAnsi="宋体" w:cs="宋体"/>
          <w:b/>
          <w:bCs/>
          <w:snapToGrid w:val="0"/>
          <w:color w:val="auto"/>
          <w:kern w:val="0"/>
          <w:szCs w:val="24"/>
          <w:highlight w:val="none"/>
        </w:rPr>
        <w:t>4．违约责任</w:t>
      </w:r>
      <w:bookmarkEnd w:id="201"/>
      <w:bookmarkEnd w:id="202"/>
      <w:bookmarkEnd w:id="203"/>
      <w:bookmarkEnd w:id="204"/>
      <w:bookmarkEnd w:id="205"/>
      <w:bookmarkEnd w:id="206"/>
      <w:bookmarkEnd w:id="207"/>
    </w:p>
    <w:p w14:paraId="6CD4EE7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 若由于监理单位的过错或失职，对委托人造成损失的，监理人必须依法承担赔偿责任。</w:t>
      </w:r>
    </w:p>
    <w:p w14:paraId="2035E84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4.2 本工程质量必须达到合格标准。若因监理人原因，工程在竣工验收或分部工程验收时没有达到此标准，监理人按监理合同价款（指监理结算价款）的</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u w:val="single"/>
          <w:lang w:val="en-US" w:eastAsia="zh-CN"/>
        </w:rPr>
        <w:t>10</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％向委托人返纳质量违约金，并对委托人的损失依法承担赔偿责任。</w:t>
      </w:r>
    </w:p>
    <w:p w14:paraId="7CA39C9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4.3 监理人必须按投标文件中的服务承诺条款履行合同。</w:t>
      </w:r>
    </w:p>
    <w:p w14:paraId="626FA58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4.4 监理人若是韶关市以外的企业，则其提供的监理费发票必须是在本工程所在地的税务部门开具的，委托人收到符合要求的发票后方可支付监理费。</w:t>
      </w:r>
    </w:p>
    <w:p w14:paraId="7059E59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4.5 监理人在监理期间应严格遵守国家、省、市有关防火、爆破和监理安全以及文明监理、深夜监理、环卫城管等规定，建立规章制度和防护措施。否则，由此造成的经济和法律责任，均由监理人负责。</w:t>
      </w:r>
    </w:p>
    <w:p w14:paraId="7698C45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4.6 监理人应按安全监理的要求，采取严格科学的安全措施，确保监理安全和第三者的安全，承担由于自身安全措施不力所造成的事故责任和发生的费用。</w:t>
      </w:r>
    </w:p>
    <w:p w14:paraId="204D2C6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4.7 工程竣工验收后，监理人应向委托人提供符合现行《建设工程监理规范》（GB/t50319-2013）、《韶关市城市建设档案管理办法》及韶关市城市建设档案馆的要求（质量、数量），编制成册的监理档案资料（制作标准和相关要求按韶关市城市建设档案馆的有关规定执行），并承担档案涉及的所有费用。</w:t>
      </w:r>
    </w:p>
    <w:p w14:paraId="6663526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4.8 监理人须服从委托人及政府工程质量监督部门对监理工程全方位的监督，监理资料应及时报送委托人审查备案。</w:t>
      </w:r>
    </w:p>
    <w:p w14:paraId="5693189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4.9 监理人在施工过程中若发生</w:t>
      </w:r>
      <w:r>
        <w:rPr>
          <w:rFonts w:hint="eastAsia" w:ascii="Times New Roman"/>
          <w:snapToGrid w:val="0"/>
          <w:color w:val="auto"/>
          <w:kern w:val="0"/>
          <w:highlight w:val="none"/>
          <w:lang w:val="en-US" w:eastAsia="zh-CN"/>
        </w:rPr>
        <w:t>工程量变更时</w:t>
      </w:r>
      <w:r>
        <w:rPr>
          <w:rFonts w:hint="eastAsia" w:ascii="Times New Roman"/>
          <w:snapToGrid w:val="0"/>
          <w:color w:val="auto"/>
          <w:kern w:val="0"/>
          <w:highlight w:val="none"/>
        </w:rPr>
        <w:t>，按委托人</w:t>
      </w:r>
      <w:r>
        <w:rPr>
          <w:rFonts w:hint="eastAsia" w:ascii="Times New Roman"/>
          <w:snapToGrid w:val="0"/>
          <w:color w:val="auto"/>
          <w:kern w:val="0"/>
          <w:highlight w:val="none"/>
          <w:lang w:val="en-US" w:eastAsia="zh-CN"/>
        </w:rPr>
        <w:t>变更</w:t>
      </w:r>
      <w:r>
        <w:rPr>
          <w:rFonts w:hint="eastAsia" w:ascii="Times New Roman"/>
          <w:snapToGrid w:val="0"/>
          <w:color w:val="auto"/>
          <w:kern w:val="0"/>
          <w:highlight w:val="none"/>
        </w:rPr>
        <w:t>管理办法执行。</w:t>
      </w:r>
    </w:p>
    <w:p w14:paraId="779166C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4.10 招标文件、招标答疑书、投标文件和中标通知书是委托人与监理人双方签订的施工监理合同的主要组成部分，并与合同一样，具有相同的法律效力。如中标通知书发出后，发现监理人的投标文件中有与招标文件所述内容及要求不符的，按招标文件执行。</w:t>
      </w:r>
    </w:p>
    <w:p w14:paraId="22312BA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4.11 投标报价应充分考虑在施工中由于委托人造成停工或工期延误等因素所产生的相关费用，委托人不予另计费；停工发生后，若可复工时，监理人应在收到委托人发出的复工通知书的当日通知施工单位复工，并安排现场监理人员及时到场进行现场监理。</w:t>
      </w:r>
    </w:p>
    <w:p w14:paraId="30C1797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4.12 监理人若在韶关市无固定服务场所和固定专业负责人的，则在合同签订后尽快完成驻韶固定办公场所办理和安排固定项目负责人及其他相关监理人员驻韶办公。</w:t>
      </w:r>
    </w:p>
    <w:p w14:paraId="0394F5B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4.13 监理人拟派驻监理机构组成人员数量须符合《广东省建设厅转发建设部关于印发&lt;房屋建筑工程施工旁站监理管理办法（试行）&gt;的通知》（粤建管（2002）97号文》关于工程项目监理人数配置要求。同时，监理人派驻到工程所在地进行监理服务的监理人员，应能够胜任监理合同约定的监理服务工作。发包人有权以书面形式要求监理人更换不能按照监理合同的约定进行监理服务的派驻人员，若监理人拒不执行或无法在15个工作日内完成更换，则每发生一次扣除签约合同价的10%作为违约金。</w:t>
      </w:r>
    </w:p>
    <w:p w14:paraId="6A11306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4.14监理人必须保证严格遵守有关法律法规及廉政规定。如监理人及其工作人员违反本承诺规定，给发包人造成经济损失的，依法给予赔偿。</w:t>
      </w:r>
    </w:p>
    <w:p w14:paraId="26D6847F">
      <w:pPr>
        <w:wordWrap w:val="0"/>
        <w:adjustRightInd w:val="0"/>
        <w:snapToGrid w:val="0"/>
        <w:spacing w:line="440" w:lineRule="exact"/>
        <w:ind w:firstLine="560"/>
        <w:rPr>
          <w:rFonts w:hint="eastAsia" w:ascii="Times New Roman"/>
          <w:snapToGrid w:val="0"/>
          <w:color w:val="auto"/>
          <w:kern w:val="0"/>
          <w:highlight w:val="none"/>
          <w:lang w:val="en-US" w:eastAsia="zh-CN"/>
        </w:rPr>
      </w:pPr>
      <w:r>
        <w:rPr>
          <w:rFonts w:hint="eastAsia" w:ascii="Times New Roman"/>
          <w:snapToGrid w:val="0"/>
          <w:color w:val="auto"/>
          <w:kern w:val="0"/>
          <w:highlight w:val="none"/>
          <w:lang w:val="en-US" w:eastAsia="zh-CN"/>
        </w:rPr>
        <w:t>4.15因监理单位履职不到位引起的累计工程变更调整费用总额超过项目施工合同价(暂列金、预留金除外)的10%以上(含)，由项目建设单位按照合同扣减其30%的委托费用；超过项目施工合同价(暂列金、预留金除外)的20%以上(含),全额扣减相关费用，并由相关部门在市场诚信管理、市场准入资质管理等方面依法给予处理并进行通报。</w:t>
      </w:r>
    </w:p>
    <w:p w14:paraId="4CA087E1">
      <w:pPr>
        <w:wordWrap w:val="0"/>
        <w:adjustRightInd w:val="0"/>
        <w:snapToGrid w:val="0"/>
        <w:spacing w:line="440" w:lineRule="exact"/>
        <w:ind w:firstLine="560"/>
        <w:rPr>
          <w:rFonts w:hAnsi="宋体" w:cs="宋体"/>
          <w:snapToGrid w:val="0"/>
          <w:color w:val="auto"/>
          <w:kern w:val="0"/>
          <w:szCs w:val="24"/>
          <w:highlight w:val="none"/>
        </w:rPr>
      </w:pPr>
      <w:r>
        <w:rPr>
          <w:rFonts w:hint="eastAsia" w:ascii="Times New Roman"/>
          <w:snapToGrid w:val="0"/>
          <w:color w:val="auto"/>
          <w:kern w:val="0"/>
          <w:highlight w:val="none"/>
          <w:lang w:val="en-US" w:eastAsia="zh-CN"/>
        </w:rPr>
        <w:t>4.16项目总监理工程师或项目总监理工程师代表每月驻现场不少于28 天，未经招标人书面同意，每少1天，视为监理人发生监理不良行为一次，承担般违约责</w:t>
      </w:r>
      <w:r>
        <w:rPr>
          <w:rFonts w:hint="eastAsia"/>
          <w:color w:val="auto"/>
          <w:highlight w:val="none"/>
          <w:lang w:val="en-US" w:eastAsia="zh-CN"/>
        </w:rPr>
        <w:t>任一次，监理人向委托人交纳违约金 2000 元。</w:t>
      </w:r>
    </w:p>
    <w:p w14:paraId="66FF935F">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1"/>
        <w:rPr>
          <w:rFonts w:hAnsi="宋体" w:cs="宋体"/>
          <w:snapToGrid w:val="0"/>
          <w:color w:val="auto"/>
          <w:kern w:val="0"/>
          <w:szCs w:val="24"/>
          <w:highlight w:val="none"/>
        </w:rPr>
      </w:pPr>
      <w:bookmarkStart w:id="208" w:name="_Toc26193"/>
      <w:bookmarkStart w:id="209" w:name="_Toc8777"/>
      <w:bookmarkStart w:id="210" w:name="_Toc8823"/>
      <w:bookmarkStart w:id="211" w:name="_Toc17944"/>
      <w:bookmarkStart w:id="212" w:name="_Toc22865"/>
      <w:bookmarkStart w:id="213" w:name="_Toc29596"/>
      <w:bookmarkStart w:id="214" w:name="_Toc27702"/>
      <w:r>
        <w:rPr>
          <w:rFonts w:hint="eastAsia" w:hAnsi="宋体" w:cs="宋体"/>
          <w:b/>
          <w:bCs/>
          <w:snapToGrid w:val="0"/>
          <w:color w:val="auto"/>
          <w:kern w:val="0"/>
          <w:szCs w:val="24"/>
          <w:highlight w:val="none"/>
        </w:rPr>
        <w:t>5．</w:t>
      </w:r>
      <w:r>
        <w:rPr>
          <w:rFonts w:hint="eastAsia" w:hAnsi="宋体" w:cs="宋体"/>
          <w:b/>
          <w:bCs/>
          <w:snapToGrid w:val="0"/>
          <w:color w:val="auto"/>
          <w:kern w:val="0"/>
          <w:szCs w:val="24"/>
          <w:highlight w:val="none"/>
          <w:lang w:val="en-US" w:eastAsia="zh-CN"/>
        </w:rPr>
        <w:t>监理服务费的</w:t>
      </w:r>
      <w:r>
        <w:rPr>
          <w:rFonts w:hint="eastAsia" w:hAnsi="宋体" w:cs="宋体"/>
          <w:b/>
          <w:bCs/>
          <w:snapToGrid w:val="0"/>
          <w:color w:val="auto"/>
          <w:kern w:val="0"/>
          <w:szCs w:val="24"/>
          <w:highlight w:val="none"/>
        </w:rPr>
        <w:t>支付</w:t>
      </w:r>
      <w:bookmarkEnd w:id="208"/>
      <w:bookmarkEnd w:id="209"/>
      <w:bookmarkEnd w:id="210"/>
      <w:bookmarkEnd w:id="211"/>
      <w:bookmarkEnd w:id="212"/>
      <w:bookmarkEnd w:id="213"/>
      <w:bookmarkEnd w:id="214"/>
    </w:p>
    <w:p w14:paraId="6B1617B9">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outlineLvl w:val="9"/>
        <w:rPr>
          <w:rFonts w:hAnsi="宋体" w:cs="宋体"/>
          <w:snapToGrid w:val="0"/>
          <w:color w:val="auto"/>
          <w:kern w:val="0"/>
          <w:szCs w:val="24"/>
          <w:highlight w:val="none"/>
        </w:rPr>
      </w:pPr>
      <w:bookmarkStart w:id="215" w:name="_Toc624"/>
      <w:bookmarkStart w:id="216" w:name="_Toc13619"/>
      <w:bookmarkStart w:id="217" w:name="_Toc9024"/>
      <w:bookmarkStart w:id="218" w:name="_Toc26599"/>
      <w:r>
        <w:rPr>
          <w:rFonts w:hint="eastAsia" w:hAnsi="宋体" w:cs="宋体"/>
          <w:b/>
          <w:bCs/>
          <w:snapToGrid w:val="0"/>
          <w:color w:val="auto"/>
          <w:kern w:val="0"/>
          <w:szCs w:val="24"/>
          <w:highlight w:val="none"/>
        </w:rPr>
        <w:t>5.1</w:t>
      </w:r>
      <w:r>
        <w:rPr>
          <w:rFonts w:hint="eastAsia" w:hAnsi="宋体" w:cs="宋体"/>
          <w:snapToGrid w:val="0"/>
          <w:color w:val="auto"/>
          <w:kern w:val="0"/>
          <w:szCs w:val="24"/>
          <w:highlight w:val="none"/>
        </w:rPr>
        <w:t xml:space="preserve"> 支付货币</w:t>
      </w:r>
      <w:bookmarkEnd w:id="215"/>
      <w:bookmarkEnd w:id="216"/>
      <w:bookmarkEnd w:id="217"/>
      <w:bookmarkEnd w:id="218"/>
    </w:p>
    <w:p w14:paraId="7BF93147">
      <w:pPr>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酬金均以人民币支付。</w:t>
      </w:r>
    </w:p>
    <w:p w14:paraId="386EB357">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outlineLvl w:val="9"/>
        <w:rPr>
          <w:rFonts w:hAnsi="宋体" w:cs="宋体"/>
          <w:snapToGrid w:val="0"/>
          <w:color w:val="auto"/>
          <w:kern w:val="0"/>
          <w:szCs w:val="24"/>
          <w:highlight w:val="none"/>
        </w:rPr>
      </w:pPr>
      <w:bookmarkStart w:id="219" w:name="_Toc22466"/>
      <w:bookmarkStart w:id="220" w:name="_Toc7275"/>
      <w:bookmarkStart w:id="221" w:name="_Toc10949"/>
      <w:bookmarkStart w:id="222" w:name="_Toc3949"/>
      <w:r>
        <w:rPr>
          <w:rFonts w:hint="eastAsia" w:hAnsi="宋体" w:cs="宋体"/>
          <w:b/>
          <w:bCs/>
          <w:snapToGrid w:val="0"/>
          <w:color w:val="auto"/>
          <w:kern w:val="0"/>
          <w:szCs w:val="24"/>
          <w:highlight w:val="none"/>
        </w:rPr>
        <w:t>5.2</w:t>
      </w:r>
      <w:r>
        <w:rPr>
          <w:rFonts w:hint="eastAsia" w:hAnsi="宋体" w:cs="宋体"/>
          <w:snapToGrid w:val="0"/>
          <w:color w:val="auto"/>
          <w:kern w:val="0"/>
          <w:szCs w:val="24"/>
          <w:highlight w:val="none"/>
        </w:rPr>
        <w:t xml:space="preserve"> 支付申请</w:t>
      </w:r>
      <w:bookmarkEnd w:id="219"/>
      <w:bookmarkEnd w:id="220"/>
      <w:bookmarkEnd w:id="221"/>
      <w:bookmarkEnd w:id="222"/>
    </w:p>
    <w:p w14:paraId="3940F8C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s="宋体"/>
          <w:snapToGrid w:val="0"/>
          <w:color w:val="auto"/>
          <w:kern w:val="0"/>
          <w:szCs w:val="24"/>
          <w:highlight w:val="none"/>
        </w:rPr>
        <w:t>监理人应在本合同约定的每次应付款时间的7天前，向委托人提交支付申请书。支付申请书应当说明当期应付款总额，并列出当期应支付的款项及其金额。</w:t>
      </w:r>
    </w:p>
    <w:p w14:paraId="1080AE34">
      <w:pPr>
        <w:wordWrap w:val="0"/>
        <w:autoSpaceDE/>
        <w:autoSpaceDN/>
        <w:snapToGrid w:val="0"/>
        <w:spacing w:line="440" w:lineRule="exact"/>
        <w:ind w:firstLine="480"/>
        <w:jc w:val="both"/>
        <w:outlineLvl w:val="9"/>
        <w:rPr>
          <w:rFonts w:hint="eastAsia" w:ascii="Times New Roman"/>
          <w:b/>
          <w:snapToGrid w:val="0"/>
          <w:color w:val="auto"/>
          <w:szCs w:val="22"/>
          <w:highlight w:val="none"/>
        </w:rPr>
      </w:pPr>
      <w:bookmarkStart w:id="223" w:name="_Toc25652"/>
      <w:bookmarkStart w:id="224" w:name="_Toc17883"/>
      <w:bookmarkStart w:id="225" w:name="_Toc10664"/>
      <w:bookmarkStart w:id="226" w:name="_Toc6801"/>
      <w:r>
        <w:rPr>
          <w:rFonts w:hint="eastAsia" w:hAnsi="宋体" w:cs="宋体"/>
          <w:b/>
          <w:bCs/>
          <w:snapToGrid w:val="0"/>
          <w:color w:val="auto"/>
          <w:kern w:val="0"/>
          <w:szCs w:val="24"/>
          <w:highlight w:val="none"/>
        </w:rPr>
        <w:t xml:space="preserve">5.3 </w:t>
      </w:r>
      <w:bookmarkEnd w:id="223"/>
      <w:bookmarkEnd w:id="224"/>
      <w:bookmarkEnd w:id="225"/>
      <w:bookmarkEnd w:id="226"/>
      <w:r>
        <w:rPr>
          <w:rFonts w:hint="eastAsia" w:ascii="Times New Roman"/>
          <w:b/>
          <w:snapToGrid w:val="0"/>
          <w:color w:val="auto"/>
          <w:szCs w:val="22"/>
          <w:highlight w:val="none"/>
        </w:rPr>
        <w:t>监理人的服务内容</w:t>
      </w:r>
    </w:p>
    <w:p w14:paraId="167DB3B9">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5.1工程施工阶段服务内容</w:t>
      </w:r>
    </w:p>
    <w:p w14:paraId="2311810A">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本工程施工阶段工作，具体包括施工前期准备阶段，施工阶段，竣工验收阶段和工程保修阶段的监理工作。</w:t>
      </w:r>
    </w:p>
    <w:p w14:paraId="012A8D09">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5.1.1参与审阅施工图纸。</w:t>
      </w:r>
    </w:p>
    <w:p w14:paraId="7AD82EA2">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5.1.2协助招标人审核各项工程和设备质量，提出审核意见，并协助起草合同、完善合同条款。</w:t>
      </w:r>
    </w:p>
    <w:p w14:paraId="50AA25CE">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5.1.3协助招标人办理开工手续。</w:t>
      </w:r>
    </w:p>
    <w:p w14:paraId="319DDA2D">
      <w:pPr>
        <w:wordWrap w:val="0"/>
        <w:adjustRightInd w:val="0"/>
        <w:snapToGrid w:val="0"/>
        <w:spacing w:line="440" w:lineRule="exact"/>
        <w:ind w:firstLine="560"/>
        <w:rPr>
          <w:rFonts w:hint="eastAsia" w:hAnsi="宋体"/>
          <w:color w:val="auto"/>
          <w:highlight w:val="none"/>
        </w:rPr>
      </w:pPr>
      <w:r>
        <w:rPr>
          <w:rFonts w:hint="eastAsia" w:hAnsi="宋体"/>
          <w:color w:val="auto"/>
          <w:highlight w:val="none"/>
        </w:rPr>
        <w:t>5.1.4组织相关单位进行设计交底和施工图会审，负责做好会议记录和图纸会审记录。</w:t>
      </w:r>
    </w:p>
    <w:p w14:paraId="5E57D7FB">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5.1.5现场的移交：对现场的原始场地进行测量，作出书面记录，并在开工之前及时向施工单位移交，其次是测量放线定位的移交。</w:t>
      </w:r>
    </w:p>
    <w:p w14:paraId="7BED7C30">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5.1.6审查施工单位提出的施工组织设计、施工技术方案、施工进度计划、施工质量保证体系和施工安全保证体系。</w:t>
      </w:r>
    </w:p>
    <w:p w14:paraId="207E88DE">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5.1.7督促、检查施工单位严格执行工程承包合同和国家工程技术规范、标准，协调招标人和施工单位之间的关系。</w:t>
      </w:r>
    </w:p>
    <w:p w14:paraId="49AFA721">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5.1.8审核施工单位提供的材料、设备、构配件和实际的数量及质量，按照规范和质监站的要求，对相关的材料进行见证取样复验。</w:t>
      </w:r>
    </w:p>
    <w:p w14:paraId="583E1735">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5.1.9根据施工单位提交的施工进度计划协助招标人督促现场施工进度；审核经质量验收合格的工程量，协助招标人进行工程竣工验收工作。</w:t>
      </w:r>
    </w:p>
    <w:p w14:paraId="11E68582">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5.1.10结合工程特点，审批施工单位报送的施工总进度计划；审批施工单位编制季月度施工计划；分阶段协调施工进度计划，及时提出调整意见，督促施工单位实施进度计划，在实际控制中，对实际工期不断检查，发现偏离进度计划及时督促承包方采取措施，做到有效的动态控制。</w:t>
      </w:r>
    </w:p>
    <w:p w14:paraId="7DDE3BA3">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5.1.11督促施工单位严格按现行规范、规程、强制性质量控制标准和设计要求施工、控制工程质量。</w:t>
      </w:r>
    </w:p>
    <w:p w14:paraId="7F954DF9">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5.1.12在实施过程中，监理采取程序报验检查、平行检查、旁站检查、巡视检查、定期与不定期检查等各种手段，按照规范和施工组织设计的要求，克服施工过程中的质量通病。</w:t>
      </w:r>
    </w:p>
    <w:p w14:paraId="237A5C2C">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5.1.13督促、检查施工单位落实施工安全保证措施。</w:t>
      </w:r>
    </w:p>
    <w:p w14:paraId="37DED990">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5.1.14协调参建各方之间的争议和冲突，协调各专业施工单位之间的关系，协调各专业施工作业的交接。</w:t>
      </w:r>
    </w:p>
    <w:p w14:paraId="625DE742">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5.1.15组织分项工程和隐蔽工程的检查、验收，签发工程验收凭证。</w:t>
      </w:r>
    </w:p>
    <w:p w14:paraId="22C2FD43">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5.1.16督促承建商整理合同文件和技术档案资料。</w:t>
      </w:r>
    </w:p>
    <w:p w14:paraId="15A13B6C">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5.1.17组织招标人、施工单位、设计单位进行竣工预验收。</w:t>
      </w:r>
    </w:p>
    <w:p w14:paraId="72FF6359">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5.1.18提出工程质量评估报告。</w:t>
      </w:r>
    </w:p>
    <w:p w14:paraId="7DA4C858">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5.1.19检查工程状况，如发生质量事故，则参与事故的分析和处理，并鉴定质量责任。</w:t>
      </w:r>
    </w:p>
    <w:p w14:paraId="10F7523C">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5.1.20督促施工单位在工程竣工验收后，整理工程交工资料和竣工图纸。</w:t>
      </w:r>
    </w:p>
    <w:p w14:paraId="78AB5C68">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5.1.21督促完善签署工程保修协议，督促施工单位回访。</w:t>
      </w:r>
    </w:p>
    <w:p w14:paraId="18195740">
      <w:pPr>
        <w:wordWrap w:val="0"/>
        <w:adjustRightInd w:val="0"/>
        <w:snapToGrid w:val="0"/>
        <w:spacing w:line="440" w:lineRule="exact"/>
        <w:ind w:firstLine="480" w:firstLineChars="200"/>
        <w:rPr>
          <w:rFonts w:hint="eastAsia" w:hAnsi="宋体"/>
          <w:color w:val="auto"/>
          <w:highlight w:val="none"/>
        </w:rPr>
      </w:pPr>
      <w:r>
        <w:rPr>
          <w:rFonts w:hint="eastAsia" w:hAnsi="宋体"/>
          <w:color w:val="auto"/>
          <w:highlight w:val="none"/>
        </w:rPr>
        <w:t>5.1.22督促施工单位及时完成未完工程尾项，协助招标人督促施工单位按照国家有关规定和保修协议开展维修工作，维修工程出现的缺陷，保证维修工作顺利进行。</w:t>
      </w:r>
    </w:p>
    <w:p w14:paraId="0EDDE0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hAnsi="宋体"/>
          <w:color w:val="auto"/>
          <w:highlight w:val="none"/>
        </w:rPr>
        <w:t>5.1.23保修期间如出现工程质量问题，接招标人通知后参与调查、分析，确定发生工程质量问题的原因责任，共同研究修补措施，并负责监督责任单位修补工作。</w:t>
      </w:r>
    </w:p>
    <w:p w14:paraId="295521EB">
      <w:pPr>
        <w:pStyle w:val="5"/>
        <w:wordWrap w:val="0"/>
        <w:autoSpaceDE/>
        <w:autoSpaceDN/>
        <w:snapToGrid w:val="0"/>
        <w:spacing w:line="440" w:lineRule="exact"/>
        <w:ind w:firstLine="480"/>
        <w:jc w:val="both"/>
        <w:outlineLvl w:val="1"/>
        <w:rPr>
          <w:rFonts w:hint="eastAsia" w:ascii="Times New Roman"/>
          <w:b/>
          <w:snapToGrid w:val="0"/>
          <w:color w:val="auto"/>
          <w:szCs w:val="22"/>
          <w:highlight w:val="none"/>
        </w:rPr>
      </w:pPr>
      <w:bookmarkStart w:id="227" w:name="_Toc8398"/>
      <w:bookmarkStart w:id="228" w:name="_Toc878"/>
      <w:bookmarkStart w:id="229" w:name="_Toc12317"/>
      <w:bookmarkStart w:id="230" w:name="_Toc5107"/>
      <w:bookmarkStart w:id="231" w:name="_Toc11091"/>
      <w:bookmarkStart w:id="232" w:name="_Toc16162"/>
      <w:bookmarkStart w:id="233" w:name="_Toc163"/>
      <w:r>
        <w:rPr>
          <w:rFonts w:hint="eastAsia" w:hAnsi="宋体" w:cs="宋体"/>
          <w:b/>
          <w:bCs/>
          <w:snapToGrid w:val="0"/>
          <w:color w:val="auto"/>
          <w:kern w:val="0"/>
          <w:szCs w:val="24"/>
          <w:highlight w:val="none"/>
        </w:rPr>
        <w:t>6．</w:t>
      </w:r>
      <w:bookmarkEnd w:id="227"/>
      <w:bookmarkEnd w:id="228"/>
      <w:bookmarkEnd w:id="229"/>
      <w:bookmarkEnd w:id="230"/>
      <w:bookmarkEnd w:id="231"/>
      <w:r>
        <w:rPr>
          <w:rFonts w:hint="eastAsia" w:ascii="Times New Roman"/>
          <w:b/>
          <w:snapToGrid w:val="0"/>
          <w:color w:val="auto"/>
          <w:szCs w:val="22"/>
          <w:highlight w:val="none"/>
        </w:rPr>
        <w:t>监理人违约及违约责任</w:t>
      </w:r>
      <w:bookmarkEnd w:id="232"/>
      <w:bookmarkEnd w:id="233"/>
    </w:p>
    <w:p w14:paraId="2FAB8060">
      <w:pPr>
        <w:pStyle w:val="133"/>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通常情况下，监理人不能按合同履行其义务和职责，因工作过失或渎职而造成了工程的经济和工期损失，为监理人违约，监理人应当向委托人赔偿经济损失，并承担相关的行政、法律责任。在本监理合同中，双方约定将监理人违约范围适当扩大，增加两种视为监理人违约的情况，一是监理人未按约定履行其义务工作时，即使未造成损失，视为监理人违约；二是监理目标未能达标，无论主要原因是什么，视为监理人违约。所有的违约金在当期的监理服务费扣除。本附件将监理人违约分为监理不良行为、监理过失、监理渎职及监理不达标四大情形造成的违约，这四种违约情形及违约责任的承担作如下规定： </w:t>
      </w:r>
    </w:p>
    <w:p w14:paraId="40D5E07B">
      <w:pPr>
        <w:pStyle w:val="66"/>
        <w:spacing w:line="460" w:lineRule="exact"/>
        <w:ind w:firstLine="482" w:firstLineChars="200"/>
        <w:rPr>
          <w:rFonts w:hint="eastAsia" w:hAnsi="宋体"/>
          <w:b/>
          <w:bCs/>
          <w:color w:val="auto"/>
          <w:sz w:val="24"/>
          <w:highlight w:val="none"/>
        </w:rPr>
      </w:pPr>
      <w:r>
        <w:rPr>
          <w:rFonts w:hint="eastAsia" w:hAnsi="宋体"/>
          <w:b/>
          <w:bCs/>
          <w:color w:val="auto"/>
          <w:sz w:val="24"/>
          <w:highlight w:val="none"/>
        </w:rPr>
        <w:t>6.1监理不良行为违约</w:t>
      </w:r>
    </w:p>
    <w:p w14:paraId="26EE7AB6">
      <w:pPr>
        <w:pStyle w:val="66"/>
        <w:spacing w:line="460" w:lineRule="exact"/>
        <w:rPr>
          <w:rFonts w:hint="eastAsia" w:hAnsi="宋体"/>
          <w:color w:val="auto"/>
          <w:sz w:val="24"/>
          <w:highlight w:val="none"/>
        </w:rPr>
      </w:pPr>
      <w:r>
        <w:rPr>
          <w:rFonts w:hint="eastAsia" w:hAnsi="宋体"/>
          <w:color w:val="auto"/>
          <w:sz w:val="24"/>
          <w:highlight w:val="none"/>
        </w:rPr>
        <w:t xml:space="preserve">    6.1.1监理不良行为违约的认定</w:t>
      </w:r>
    </w:p>
    <w:p w14:paraId="64B2C5C7">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员一切不按相关法规规定和要求履行义务工作的行为均可视为监理不良行为。监理不良行为特征主要体现是：1、项目监理架构未按相关法规及投标文件承诺规定组建，监理人员未完全到位和未按规定在岗的情形；2、相关法律、法规、地方规范性文件、监理规范、本项目相关合同文件规定及委托人指明的监理人的义务工作，监理人却未能执行或执行不及时；3、委托人指出或发现监理人在实施监理行为过程中明显的签证错误、审批错误及指令错误。</w:t>
      </w:r>
    </w:p>
    <w:p w14:paraId="47D58650">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监理人的不良行为一旦被发现，由委托人管理人员在“监理行为记录档案”作记录，无论是否造成损失，即构成监理人违约。若该行为已造成实际损失，按本附件界定的监理过失违约规定处理。</w:t>
      </w:r>
    </w:p>
    <w:p w14:paraId="75D8593E">
      <w:pPr>
        <w:pStyle w:val="66"/>
        <w:spacing w:line="460" w:lineRule="exact"/>
        <w:ind w:firstLine="482" w:firstLineChars="200"/>
        <w:rPr>
          <w:rFonts w:hint="eastAsia" w:hAnsi="宋体"/>
          <w:b/>
          <w:color w:val="auto"/>
          <w:sz w:val="24"/>
          <w:highlight w:val="none"/>
        </w:rPr>
      </w:pPr>
      <w:r>
        <w:rPr>
          <w:rFonts w:hint="eastAsia" w:hAnsi="宋体"/>
          <w:b/>
          <w:color w:val="auto"/>
          <w:sz w:val="24"/>
          <w:highlight w:val="none"/>
        </w:rPr>
        <w:t>所有监理不良行为违约发生的违约金均从监理人进度款中扣除，监理服务费结算以扣除违约金总数后的金额为准。</w:t>
      </w:r>
    </w:p>
    <w:p w14:paraId="66B1E3D3">
      <w:pPr>
        <w:pStyle w:val="66"/>
        <w:spacing w:line="460" w:lineRule="exact"/>
        <w:rPr>
          <w:rFonts w:hint="eastAsia" w:hAnsi="宋体"/>
          <w:color w:val="auto"/>
          <w:sz w:val="24"/>
          <w:highlight w:val="none"/>
        </w:rPr>
      </w:pPr>
      <w:r>
        <w:rPr>
          <w:rFonts w:hint="eastAsia" w:hAnsi="宋体"/>
          <w:color w:val="auto"/>
          <w:sz w:val="24"/>
          <w:highlight w:val="none"/>
        </w:rPr>
        <w:t xml:space="preserve">    6.1.2 监理不良行为违约的责任承担</w:t>
      </w:r>
    </w:p>
    <w:p w14:paraId="570472B2">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监理人发生监理不良行为一次，承担一般违约责任一次，监理人向委托人交纳违约金1000元。</w:t>
      </w:r>
    </w:p>
    <w:p w14:paraId="7FDC0DEF">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6.1.2.1 总监每月驻现场不少于10天，未经招标人书面同意，每少1天，视为监理人发生监理不良行为一次，承担一般违约责任一次，监理人向委托人交纳违约金1000元。</w:t>
      </w:r>
    </w:p>
    <w:p w14:paraId="3509ED2A">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6.1.2.2  总监或总监代表如果无故缺席例会或招标人组织的会议，每次交纳违约金2000元。</w:t>
      </w:r>
    </w:p>
    <w:p w14:paraId="4C28DC13">
      <w:pPr>
        <w:pStyle w:val="66"/>
        <w:spacing w:line="460" w:lineRule="exact"/>
        <w:ind w:firstLine="480" w:firstLineChars="200"/>
        <w:rPr>
          <w:rFonts w:hint="eastAsia" w:hAnsi="宋体"/>
          <w:b/>
          <w:bCs/>
          <w:color w:val="auto"/>
          <w:sz w:val="24"/>
          <w:highlight w:val="none"/>
          <w:u w:val="single"/>
        </w:rPr>
      </w:pPr>
      <w:r>
        <w:rPr>
          <w:rFonts w:hint="eastAsia" w:hAnsi="宋体"/>
          <w:color w:val="auto"/>
          <w:sz w:val="24"/>
          <w:highlight w:val="none"/>
        </w:rPr>
        <w:t xml:space="preserve">6.1.2.3 </w:t>
      </w:r>
      <w:r>
        <w:rPr>
          <w:rFonts w:hint="eastAsia" w:hAnsi="宋体"/>
          <w:b/>
          <w:bCs/>
          <w:color w:val="auto"/>
          <w:sz w:val="24"/>
          <w:highlight w:val="none"/>
          <w:u w:val="single"/>
        </w:rPr>
        <w:t>其他监理人员必须按配备要求在现场驻场监理，离开项目现场必须经委托人书面同意，如委托人发现监理人员非正常离岗，监理人向委托人每人次交纳违约金1000元。</w:t>
      </w:r>
    </w:p>
    <w:p w14:paraId="40A07E9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6.1.2.4 不按规定委派专业人员，不按时、准时参加各项验收和抽查的，不及时签署检查、验收记录的，一次向建设（委托）单位交纳违约金¥1000元/次、项。</w:t>
      </w:r>
    </w:p>
    <w:p w14:paraId="00A919FE">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6.1.2.5 不按规定委派相关人员参加项目竣工验收的，一次向建设（委托）单位交纳违约金¥</w:t>
      </w:r>
      <w:r>
        <w:rPr>
          <w:rFonts w:hint="eastAsia" w:hAnsi="宋体"/>
          <w:color w:val="auto"/>
          <w:sz w:val="24"/>
          <w:highlight w:val="none"/>
          <w:lang w:val="en-US" w:eastAsia="zh-CN"/>
        </w:rPr>
        <w:t>5000</w:t>
      </w:r>
      <w:r>
        <w:rPr>
          <w:rFonts w:hint="eastAsia" w:hAnsi="宋体"/>
          <w:color w:val="auto"/>
          <w:sz w:val="24"/>
          <w:highlight w:val="none"/>
        </w:rPr>
        <w:t>元/项，不签署意见的交纳违约金¥</w:t>
      </w:r>
      <w:r>
        <w:rPr>
          <w:rFonts w:hint="eastAsia" w:hAnsi="宋体"/>
          <w:color w:val="auto"/>
          <w:sz w:val="24"/>
          <w:highlight w:val="none"/>
          <w:lang w:val="en-US" w:eastAsia="zh-CN"/>
        </w:rPr>
        <w:t>5000</w:t>
      </w:r>
      <w:r>
        <w:rPr>
          <w:rFonts w:hint="eastAsia" w:hAnsi="宋体"/>
          <w:color w:val="auto"/>
          <w:sz w:val="24"/>
          <w:highlight w:val="none"/>
        </w:rPr>
        <w:t>元；</w:t>
      </w:r>
    </w:p>
    <w:p w14:paraId="7F533DF8">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6.1.2.6 不按时交纳资料的，交纳违约金¥</w:t>
      </w:r>
      <w:r>
        <w:rPr>
          <w:rFonts w:hint="eastAsia" w:hAnsi="宋体"/>
          <w:color w:val="auto"/>
          <w:sz w:val="24"/>
          <w:highlight w:val="none"/>
          <w:lang w:val="en-US" w:eastAsia="zh-CN"/>
        </w:rPr>
        <w:t>5</w:t>
      </w:r>
      <w:r>
        <w:rPr>
          <w:rFonts w:hint="eastAsia" w:hAnsi="宋体"/>
          <w:color w:val="auto"/>
          <w:sz w:val="24"/>
          <w:highlight w:val="none"/>
        </w:rPr>
        <w:t>万元，造成损失的，承担相应责任；</w:t>
      </w:r>
    </w:p>
    <w:p w14:paraId="779688EC">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6.1.2.7 同一问题未能按时整改，每重复一次监理人向委托人缴纳违约金1000元。</w:t>
      </w:r>
    </w:p>
    <w:p w14:paraId="1B0FB72B">
      <w:pPr>
        <w:pStyle w:val="66"/>
        <w:spacing w:line="460" w:lineRule="exact"/>
        <w:ind w:firstLine="482" w:firstLineChars="200"/>
        <w:rPr>
          <w:rFonts w:hint="eastAsia" w:hAnsi="宋体"/>
          <w:color w:val="auto"/>
          <w:sz w:val="24"/>
          <w:highlight w:val="none"/>
        </w:rPr>
      </w:pPr>
      <w:r>
        <w:rPr>
          <w:rFonts w:hint="eastAsia" w:hAnsi="宋体"/>
          <w:b/>
          <w:bCs/>
          <w:color w:val="auto"/>
          <w:sz w:val="24"/>
          <w:highlight w:val="none"/>
        </w:rPr>
        <w:t>6.2 监理过失事件违约</w:t>
      </w:r>
    </w:p>
    <w:p w14:paraId="32F6D492">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6.2.1 监理过失事件违约的认定</w:t>
      </w:r>
    </w:p>
    <w:p w14:paraId="1A54557B">
      <w:pPr>
        <w:pStyle w:val="66"/>
        <w:spacing w:line="460" w:lineRule="exact"/>
        <w:rPr>
          <w:rFonts w:hint="eastAsia" w:hAnsi="宋体"/>
          <w:color w:val="auto"/>
          <w:sz w:val="24"/>
          <w:highlight w:val="none"/>
        </w:rPr>
      </w:pPr>
      <w:r>
        <w:rPr>
          <w:rFonts w:hint="eastAsia" w:hAnsi="宋体"/>
          <w:color w:val="auto"/>
          <w:sz w:val="24"/>
          <w:highlight w:val="none"/>
        </w:rPr>
        <w:t xml:space="preserve">    工程建设过程中，如发生以下情况：①委托人发现勘察（或设计或施工）中存在问题，而监理单位未发现的；②监理单位发现勘察（或设计或施工）中存在的问题，但未督促勘察（或设计或施工）单位整改或整改不到位的（以监理单位发出的整改通知和勘察（或设计或施工）单位回复及监理复查意见为准）；③监理单位三次及以上发出整改通知勘察（或设计或施工）单位未能给予响应的，但监理单位未能采取果断措施的；以上三种情况一旦委托人向监理单位发出整改通知，即认定为监理人监理过失事件违约，每发出一份整改通知即认定为监理过失事件违约一次。并由委托人管理人员在“监理行为记录档案”作记录。</w:t>
      </w:r>
    </w:p>
    <w:p w14:paraId="57136A0A">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6.2.2 监理过失事件违约的责任承担</w:t>
      </w:r>
    </w:p>
    <w:p w14:paraId="294B43C7">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6.2.2.1 监理人发生监理过失事件违约一次，承担严重违约责任一次，监理人向委托人交纳违约金</w:t>
      </w:r>
      <w:r>
        <w:rPr>
          <w:rFonts w:hint="eastAsia" w:hAnsi="宋体"/>
          <w:color w:val="auto"/>
          <w:sz w:val="24"/>
          <w:highlight w:val="none"/>
          <w:lang w:val="en-US" w:eastAsia="zh-CN"/>
        </w:rPr>
        <w:t>5</w:t>
      </w:r>
      <w:r>
        <w:rPr>
          <w:rFonts w:hint="eastAsia" w:hAnsi="宋体"/>
          <w:color w:val="auto"/>
          <w:sz w:val="24"/>
          <w:highlight w:val="none"/>
        </w:rPr>
        <w:t>000元。</w:t>
      </w:r>
    </w:p>
    <w:p w14:paraId="0E4E3FC4">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6.2.2.2 如因监理人的原因而造成的经济损失，按如下规定向委托人赔偿： </w:t>
      </w:r>
    </w:p>
    <w:p w14:paraId="499CCC9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1）根据损失额（或工程变更引起增加额）与本工程签订的施工合同金额的比例，按相应比例双倍扣减监理酬金；若增加工程投资比例超过施工合同金额的20%时，委托人有权单方解除合同，并要求监理人赔偿委托人由此遭受的实际损失中的50%，累计不超过监理服务费的70%。且不低于《关于加强县本级政府投资项目管理的通知》（始府办〔2021〕10号）规定的标准：：①因承包人责任引起变更造成投资规模增加10%以上的，由发包人扣减其20%委托费用；②因承包人责任引起变更造成投资规模增加15%以上的，由发包人扣减其30%委托费用；③因承包人责任引起变更造成投资规模增加20%以上的，由发包人扣减其40%委托费用。</w:t>
      </w:r>
    </w:p>
    <w:p w14:paraId="15E547A5">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2）因监理人责任导致工期延误，其中分项工期延误日数占该项总工期的30%时，则委托人有权扣除该分项工程监理酬金的60%；分项工期延误日数达到该项总工期的50%时，则委托人有权单方解除合同。因监理人责任导致工程竣工拖延的，依据拖延的日数，监理人应每日按监理酬金总额的1%向委托人支付违约金。由于监理人责任导致工期延误，致使委托人要承担赔偿第三方责任的，监理人必须承担赔偿委托人由此遭受的实际损失中的50%。</w:t>
      </w:r>
    </w:p>
    <w:p w14:paraId="34467435">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6.2.2.3 监理人发生监理过失违约后，当委托人认为监理人无正当理由而又未履行监理义务时，有权部分解除合同或完全解除合同。</w:t>
      </w:r>
    </w:p>
    <w:p w14:paraId="0316EAAD">
      <w:pPr>
        <w:pStyle w:val="66"/>
        <w:spacing w:line="460" w:lineRule="exact"/>
        <w:rPr>
          <w:rFonts w:hint="eastAsia" w:hAnsi="宋体"/>
          <w:b/>
          <w:bCs/>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6.3 监理渎职事件违约</w:t>
      </w:r>
    </w:p>
    <w:p w14:paraId="141FA06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6.3.1 监理渎职事件违约的认定</w:t>
      </w:r>
    </w:p>
    <w:p w14:paraId="717DA5B5">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监理人员不按监理合同履行职责，滥用监理职权，或与其他人故意串通，行为恶劣造成严重社会影响的，无论是否造成损失，一经发现并认定为监理渎职违约，并由委托人管理人员在“监理行为记录档案”作记录。</w:t>
      </w:r>
    </w:p>
    <w:p w14:paraId="667AA1D3">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 xml:space="preserve"> 6.3.2监理渎职事件违约的责任承担</w:t>
      </w:r>
    </w:p>
    <w:p w14:paraId="56249DD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6.3.2.1 监理人发生监理渎职违约一次，承担非常严重违约责任一次，扣除监理人违约金5000元。</w:t>
      </w:r>
    </w:p>
    <w:p w14:paraId="6BA85A70">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6.3.2.2 委托人勒令监理人更换监理人员，直至解除合同（合同解除办法同上）。</w:t>
      </w:r>
    </w:p>
    <w:p w14:paraId="134A9175">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6.3.2.3 如监理人的原因造成委托人或工程损失的，监理人承担全部赔偿责任。</w:t>
      </w:r>
    </w:p>
    <w:p w14:paraId="318F3568">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6.3.2.4 监理人必须加强对监理人员职业操守、廉政建设的培训和教育，本项目监理人员利用职业身份“吃、拿、卡、要”或有其他违反职业操守及廉政建设相关规定的，一经查实，监理人应立即清退该监理人员，并承担1次非常严重违约责任，扣除监理人违约金¥10000元。如监理人违背了以下7款的任何情况，视为非常严重的违约，直接解除合同，不做费用补偿，且对已完成的监理服务，不再支付监理费用，并通报建设行政主管部门：</w:t>
      </w:r>
    </w:p>
    <w:p w14:paraId="677CAEB7">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1）禁止向委托人及承包人推销材料、设备，或以倾向性、排他性变相推销；</w:t>
      </w:r>
    </w:p>
    <w:p w14:paraId="7330B46C">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2）禁止与承包人串通，对不合格材料、产品、工程进行包庇及验收；</w:t>
      </w:r>
    </w:p>
    <w:p w14:paraId="478DF63A">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3）禁止与承包人串通，对材料用量、工程量进行虚假签认；</w:t>
      </w:r>
    </w:p>
    <w:p w14:paraId="55CE4397">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4）禁止与承包人串通，不合理提高施工难度及增加材料用量，以增大施工费用，获取不正当收益。</w:t>
      </w:r>
    </w:p>
    <w:p w14:paraId="5BE7D934">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5）禁止接受承包人的请吃送礼或变相受礼；</w:t>
      </w:r>
    </w:p>
    <w:p w14:paraId="4958A28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6）禁止向承包人介绍分包或推销材料、设备等；</w:t>
      </w:r>
    </w:p>
    <w:p w14:paraId="63E59BA2">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7）禁止故意刁难承包人以谋取私利，损害委托人的合法利益。</w:t>
      </w:r>
    </w:p>
    <w:p w14:paraId="22A09CB1">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6.3.2.5 如监理人在投标时根据招标文件《综合评分表》“人员配置”作出了增加人员的承诺，而开工后，实际上没有增加，经发包人要求后，在10天内仍未能配齐增加的造价工程师和专业工程师，则视为非常严重的违约，直接解除合同。</w:t>
      </w:r>
    </w:p>
    <w:p w14:paraId="0C33A9D2">
      <w:pPr>
        <w:pStyle w:val="66"/>
        <w:spacing w:line="460" w:lineRule="exact"/>
        <w:ind w:firstLine="482" w:firstLineChars="200"/>
        <w:rPr>
          <w:rFonts w:hint="eastAsia" w:hAnsi="宋体"/>
          <w:b/>
          <w:bCs/>
          <w:color w:val="auto"/>
          <w:sz w:val="24"/>
          <w:highlight w:val="none"/>
        </w:rPr>
      </w:pPr>
      <w:r>
        <w:rPr>
          <w:rFonts w:hint="eastAsia" w:hAnsi="宋体"/>
          <w:b/>
          <w:bCs/>
          <w:color w:val="auto"/>
          <w:sz w:val="24"/>
          <w:highlight w:val="none"/>
        </w:rPr>
        <w:t>6.4 监理不达标造成的违约</w:t>
      </w:r>
    </w:p>
    <w:p w14:paraId="101F443B">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6.4.1 监理不达标违约的认定</w:t>
      </w:r>
    </w:p>
    <w:p w14:paraId="1771CB90">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工程竣工结算后，监理协议书第三项监理目标的任何一项目标的不达标，均视为监理人的监理目标违约。</w:t>
      </w:r>
    </w:p>
    <w:p w14:paraId="6DD59B5C">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6.4.2 监理目标违约的责任承担</w:t>
      </w:r>
    </w:p>
    <w:p w14:paraId="2EA8D557">
      <w:pPr>
        <w:pStyle w:val="66"/>
        <w:spacing w:line="460" w:lineRule="exact"/>
        <w:rPr>
          <w:rFonts w:hint="eastAsia" w:hAnsi="宋体"/>
          <w:color w:val="auto"/>
          <w:sz w:val="24"/>
          <w:highlight w:val="none"/>
        </w:rPr>
      </w:pPr>
      <w:r>
        <w:rPr>
          <w:rFonts w:hint="eastAsia" w:hAnsi="宋体"/>
          <w:color w:val="auto"/>
          <w:sz w:val="24"/>
          <w:highlight w:val="none"/>
        </w:rPr>
        <w:t xml:space="preserve">    6.4.2.1 质量控制不达标：工程竣工验收质量未达到施工合同等级要求的，不管任何原因，结算扣减监理合同价款的3％。</w:t>
      </w:r>
    </w:p>
    <w:p w14:paraId="1EFA036F">
      <w:pPr>
        <w:pStyle w:val="66"/>
        <w:spacing w:line="460" w:lineRule="exact"/>
        <w:ind w:firstLine="480"/>
        <w:rPr>
          <w:rFonts w:hint="eastAsia" w:hAnsi="宋体"/>
          <w:color w:val="auto"/>
          <w:sz w:val="24"/>
          <w:highlight w:val="none"/>
        </w:rPr>
      </w:pPr>
      <w:r>
        <w:rPr>
          <w:rFonts w:hint="eastAsia" w:hAnsi="宋体"/>
          <w:color w:val="auto"/>
          <w:sz w:val="24"/>
          <w:highlight w:val="none"/>
        </w:rPr>
        <w:t>6.4.2.2 投资控制不达标：由监理单位编制投资控制计划和投资控制措施，报建设单位审核，若监理单位未能落实控制措施，出现投资增加，工程建安费结算价突破投资控制值的，每突破1％，结算扣减监理合同价款的1％。</w:t>
      </w:r>
    </w:p>
    <w:p w14:paraId="1B05263D">
      <w:pPr>
        <w:pStyle w:val="66"/>
        <w:spacing w:line="460" w:lineRule="exact"/>
        <w:ind w:firstLine="480"/>
        <w:rPr>
          <w:rFonts w:hint="eastAsia" w:hAnsi="宋体"/>
          <w:color w:val="auto"/>
          <w:sz w:val="24"/>
          <w:highlight w:val="none"/>
        </w:rPr>
      </w:pPr>
      <w:r>
        <w:rPr>
          <w:rFonts w:hint="eastAsia" w:hAnsi="宋体"/>
          <w:color w:val="auto"/>
          <w:sz w:val="24"/>
          <w:highlight w:val="none"/>
        </w:rPr>
        <w:t>6.4.2.3 进度控制不达标：工程竣工验收通过日延误的，委托人视监理人的责任情况结算扣减监理合同价款的1％－3％。</w:t>
      </w:r>
    </w:p>
    <w:p w14:paraId="47EB0213">
      <w:pPr>
        <w:pStyle w:val="66"/>
        <w:spacing w:line="460" w:lineRule="exact"/>
        <w:rPr>
          <w:rFonts w:hint="eastAsia" w:hAnsi="宋体"/>
          <w:color w:val="auto"/>
          <w:sz w:val="24"/>
          <w:highlight w:val="none"/>
        </w:rPr>
      </w:pPr>
      <w:r>
        <w:rPr>
          <w:rFonts w:hint="eastAsia" w:hAnsi="宋体"/>
          <w:color w:val="auto"/>
          <w:sz w:val="24"/>
          <w:highlight w:val="none"/>
        </w:rPr>
        <w:t xml:space="preserve">    6.4.2.4 安全管理不达标：工程发生一般安全生产事故，或被上级主管部门通报批评、被新闻媒体曝光的，结算扣减监理合同价款的1％；发生较大以上安全质量事故（按国家及合同有关规定界定）的，结算扣减监理合同价款的3％。情节严重的，委托人有权部分或全部解除合同。</w:t>
      </w:r>
    </w:p>
    <w:p w14:paraId="7FAF4CC2">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6.4.2.5 监理人应保证每季度进度计量（价）数据的准确性，如发生计量（价）误差＞5%，则视为监理人违约一次，扣除监理人违约金2000/次。</w:t>
      </w:r>
    </w:p>
    <w:p w14:paraId="7BE26912">
      <w:pPr>
        <w:pStyle w:val="66"/>
        <w:spacing w:line="460" w:lineRule="exact"/>
        <w:ind w:firstLine="600" w:firstLineChars="250"/>
        <w:rPr>
          <w:rFonts w:hint="eastAsia" w:hAnsi="宋体"/>
          <w:color w:val="auto"/>
          <w:sz w:val="24"/>
          <w:highlight w:val="none"/>
        </w:rPr>
      </w:pPr>
      <w:r>
        <w:rPr>
          <w:rFonts w:hint="eastAsia" w:hAnsi="宋体"/>
          <w:color w:val="auto"/>
          <w:sz w:val="24"/>
          <w:highlight w:val="none"/>
        </w:rPr>
        <w:t>6.4.2.6 对监理人上述违约处罚，不免除追究当事人和监理人的法律责任和相关赔偿责任。</w:t>
      </w:r>
    </w:p>
    <w:p w14:paraId="5719897F">
      <w:pPr>
        <w:pStyle w:val="66"/>
        <w:spacing w:line="460" w:lineRule="exact"/>
        <w:rPr>
          <w:rFonts w:hint="eastAsia" w:hAnsi="宋体"/>
          <w:color w:val="auto"/>
          <w:sz w:val="24"/>
          <w:highlight w:val="none"/>
        </w:rPr>
      </w:pPr>
      <w:r>
        <w:rPr>
          <w:rFonts w:hint="eastAsia" w:hAnsi="宋体"/>
          <w:color w:val="auto"/>
          <w:sz w:val="24"/>
          <w:highlight w:val="none"/>
        </w:rPr>
        <w:t xml:space="preserve">    </w:t>
      </w:r>
      <w:r>
        <w:rPr>
          <w:rFonts w:hint="eastAsia" w:hAnsi="宋体"/>
          <w:b/>
          <w:bCs/>
          <w:color w:val="auto"/>
          <w:sz w:val="24"/>
          <w:highlight w:val="none"/>
        </w:rPr>
        <w:t>6.5 监理违约的处理程序</w:t>
      </w:r>
    </w:p>
    <w:p w14:paraId="6E748AA5">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6.5.1 由委托人管理人员在“监理行为记录档案”中将监理人的具体违约情况记录，并将记录内容书面告知监理人。</w:t>
      </w:r>
    </w:p>
    <w:p w14:paraId="12C07D29">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6.5.2 委托人不定期将有关监理人的违约情况以记录、通知、会议纪要等书面形式通知监理人，指明其未能履约的内容和委托人要求其承担违约责任的等级。</w:t>
      </w:r>
    </w:p>
    <w:p w14:paraId="2852DF01">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6.5.3 监理人收到书面处理通知后，如有足够证据证明不应由其承担违约责任的，应在收到违约处理决定后3天内以书面形式向委托人提出异议并附上有关证据，委托人在收到监理人的异议后15天内审核完毕且作出书面决定并通知监理人。否则书面通知则作为处理决定。</w:t>
      </w:r>
    </w:p>
    <w:p w14:paraId="3E03E0DD">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6.5.4 委托人将进一步将监理人执行国家强制性规范、标准和履行合同、招投标文件义务的情况（包括但不限于由委托人组织的考核、考评通报、违约责任处理决定等）再报当地建设行政主管部门并在媒体上公开披露。</w:t>
      </w:r>
    </w:p>
    <w:p w14:paraId="7BA36212">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6.5.5 部分解除合同：委托人向监理人发出部分解除合同的通知后，合同部分解除即生效，监理人必须在3日内停止被解除部分的工作，5日内配合委托人完成现场工作和有关资料的移交，所交接资料必须完整。监理人无特殊原因未在规定期限内完成移交和撤出，或交接资料不完整的，委托人有权处理其留在现场的材料、设备和其他物件，处理费用由监理人承担，委托人有权视情况全部解除合同。因监理人拒交或延误交接现场工作和有关资料而引致委托人工期延误及其他方面的损失，委托人有权要求监理人赔偿有关损失。委托人在发出部分解除合同的通知后，委托人即可委托新的监理人承接该部分工程，监理人不得影响或阻碍新的监理人办理进场手续和相关工作。</w:t>
      </w:r>
    </w:p>
    <w:p w14:paraId="51D4C68F">
      <w:pPr>
        <w:pStyle w:val="66"/>
        <w:spacing w:line="460" w:lineRule="exact"/>
        <w:ind w:firstLine="480" w:firstLineChars="200"/>
        <w:rPr>
          <w:rFonts w:hint="eastAsia" w:hAnsi="宋体"/>
          <w:color w:val="auto"/>
          <w:sz w:val="24"/>
          <w:highlight w:val="none"/>
        </w:rPr>
      </w:pPr>
      <w:r>
        <w:rPr>
          <w:rFonts w:hint="eastAsia" w:hAnsi="宋体"/>
          <w:color w:val="auto"/>
          <w:sz w:val="24"/>
          <w:highlight w:val="none"/>
        </w:rPr>
        <w:t>6.5.6 完全解除合同：委托人向监理人发出解除合同的通知后，合同即解除，监理人必须在3日内停止全部工作，5日内配合委托人完成现场工作和有关资料的移交，并于完成交接工作当日内离场。监理人应保证所移交的资料齐全完整，监理人无特殊原因未在规定期限内完成移交和离场或所移交的资料不完整的，委托人有权处理其留在现场的材料、设备和其他物件，处理费用由监理人承担，如果引致委托人工期延误和其他方面的损失，委托人将要求监理人赔偿有关损失。委托人在发出解除合同的通知后，委托人即可委托新的监理人承接该工程，监理人不得影响或阻碍新的监理人办理进场手续和相关工作。</w:t>
      </w:r>
    </w:p>
    <w:p w14:paraId="4BE14420">
      <w:pPr>
        <w:pStyle w:val="5"/>
        <w:wordWrap w:val="0"/>
        <w:autoSpaceDE/>
        <w:autoSpaceDN/>
        <w:snapToGrid w:val="0"/>
        <w:spacing w:line="440" w:lineRule="exact"/>
        <w:ind w:firstLine="480"/>
        <w:jc w:val="both"/>
        <w:outlineLvl w:val="1"/>
        <w:rPr>
          <w:rFonts w:hint="eastAsia" w:ascii="Times New Roman"/>
          <w:b/>
          <w:snapToGrid w:val="0"/>
          <w:color w:val="auto"/>
          <w:szCs w:val="22"/>
          <w:highlight w:val="none"/>
        </w:rPr>
      </w:pPr>
      <w:bookmarkStart w:id="234" w:name="_Toc18555"/>
      <w:bookmarkStart w:id="235" w:name="_Toc22285"/>
      <w:bookmarkStart w:id="236" w:name="_Toc21519"/>
      <w:bookmarkStart w:id="237" w:name="_Toc840"/>
      <w:r>
        <w:rPr>
          <w:rFonts w:hint="eastAsia" w:ascii="Times New Roman"/>
          <w:b/>
          <w:snapToGrid w:val="0"/>
          <w:color w:val="auto"/>
          <w:szCs w:val="22"/>
          <w:highlight w:val="none"/>
        </w:rPr>
        <w:t>7. 工程质量、造价、进度控制及安全生产管理</w:t>
      </w:r>
      <w:bookmarkEnd w:id="234"/>
      <w:bookmarkEnd w:id="235"/>
      <w:bookmarkEnd w:id="236"/>
      <w:bookmarkEnd w:id="237"/>
    </w:p>
    <w:p w14:paraId="052B440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 工程质量控制：</w:t>
      </w:r>
    </w:p>
    <w:p w14:paraId="17E18D6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 工程开工前，项目监理机构应审查施工单位现场的质量管理组织机构、管理制度及专职管理人员和特种作业人员的资格。</w:t>
      </w:r>
    </w:p>
    <w:p w14:paraId="455E7DB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 总监理工程师应组织专业监理工程师审查施工单位报审的施工方案，符合要求后应予以签认。施工方案审查应包括下列基本内容：</w:t>
      </w:r>
    </w:p>
    <w:p w14:paraId="12AD259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572728C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（2）工程质量保证措施应符合有关标准。</w:t>
      </w:r>
    </w:p>
    <w:p w14:paraId="5FD6D4F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7.1.3 施工方案报审表应按相应规范的要求填写。</w:t>
      </w:r>
    </w:p>
    <w:p w14:paraId="76AAFF2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7.1.4 专业监理工程师应审查施工单位报送的新材料、新工艺、新技术、新设备的质量认证材料和相关验收标准的适用性，必要时，应要求施工单位组织专题论证，审查合格后报总监理工程师签认。</w:t>
      </w:r>
    </w:p>
    <w:p w14:paraId="3D8D68E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7.1.5 专业监理工程师应检查、复核施工单位报送的施工控制测量成果及保护措施，签署意见。专业监理工程师应对施工单位在施工过程中报送的施工测量放线成果进行查验。施工控制测量成果及保护措施的检查、复核，应包括下列内容：</w:t>
      </w:r>
    </w:p>
    <w:p w14:paraId="62243F3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（1）施工单位测量人员的资格证书及测量设备检定证书。</w:t>
      </w:r>
    </w:p>
    <w:p w14:paraId="753C0AC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（2）施工平面控制网、高程控制网和临时水准点的测量成果及控制桩的保护措施。</w:t>
      </w:r>
    </w:p>
    <w:p w14:paraId="796848B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7.1.6 施工控制测量成果报验表应按相应规范的要求填写。</w:t>
      </w:r>
    </w:p>
    <w:p w14:paraId="2BC25C2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7.1.7 专业监理工程师应检查施工单位为工程提供服务的试验室。</w:t>
      </w:r>
    </w:p>
    <w:p w14:paraId="4A8D2A7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试验室的检查应包括下列内容：</w:t>
      </w:r>
    </w:p>
    <w:p w14:paraId="3F1D699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（1）试验室的资质等级及试验范围。</w:t>
      </w:r>
    </w:p>
    <w:p w14:paraId="083C22E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（2）法定计量部门对试验设备出具的计量检定证明。</w:t>
      </w:r>
    </w:p>
    <w:p w14:paraId="6188EF9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（3）试验室管理制度。</w:t>
      </w:r>
    </w:p>
    <w:p w14:paraId="7CDC8ED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（4）试验人员资格证书。</w:t>
      </w:r>
    </w:p>
    <w:p w14:paraId="1753896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7.1.8 施工单位的试验室报审表应按相应规范的要求填写。</w:t>
      </w:r>
    </w:p>
    <w:p w14:paraId="08372CD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7.1.9 项目监理机构应审查施工单位报送的用于工程的材料、构配件、设备的质量证明文件，并应按有关规定、建设工程监理合同约定，对用于工程的材料进行见证取样、平行检验。项目监理机构对已进场经检验不合格的工程材料、构配件、设备，应要求施工单位限期将其撤出施工现场。工程材料、构配件、设备报审表应按相应规范的要求填写。</w:t>
      </w:r>
    </w:p>
    <w:p w14:paraId="7181CE0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7.1.10 专业监理工程师应审查施工单位定期提交影响工程质量的计量设备的检查和检定报告。</w:t>
      </w:r>
    </w:p>
    <w:p w14:paraId="0A2DFDB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7.1.11 项目监理机构应根据工程特点和施工单位报送的施工组织设计，确定旁站的关键部位、关键工序，安排监理人员进行旁站，并应及时记录旁站情况。旁站记录应按相应规范的要求填写。</w:t>
      </w:r>
    </w:p>
    <w:p w14:paraId="2B9D76A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7.1.12 项目监理机构应安排监理人员对工程施工质量进行巡视。巡视应包括下列主要内容：</w:t>
      </w:r>
    </w:p>
    <w:p w14:paraId="61D012E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（1）施工单位是否按工程设计文件、工程建设标准和批准的施工组织设计、(专项)施工方案施工。</w:t>
      </w:r>
    </w:p>
    <w:p w14:paraId="52B6641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（2）使用的工程材料、构配件和设备是否合格。</w:t>
      </w:r>
    </w:p>
    <w:p w14:paraId="42E8248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（3）施工现场管理人员，特别是施工质量管理人员是否到位。</w:t>
      </w:r>
    </w:p>
    <w:p w14:paraId="13E44CD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（4）特种作业人员是否持证上岗。</w:t>
      </w:r>
    </w:p>
    <w:p w14:paraId="04FF7AB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7.1.13 项目监理机构应根据工程特点、专业要求，以及建设工程监理合同约定，对施工质量进行平行检验。</w:t>
      </w:r>
    </w:p>
    <w:p w14:paraId="5848EDA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7.1.14 项目监理机构应对施工单位报验的隐蔽工程、检验批、分项工程和分部工程进行验收，对验收合格的应给予签认；对验收不合格的应拒绝签认，同时应要求施工单位在指定的时间内整改并重新报验。对已同意覆盖的工程隐蔽部位质量有疑问的，或发现施工单位私自覆盖工程隐蔽部位的，项目监理机构应要求施工单位对该隐蔽部位进行钻孔探测、剥离或其他方法进行重新检验。隐蔽工程、检验批、分项工程报验表及分部工程报验表应按相应规范的要求填写。</w:t>
      </w:r>
    </w:p>
    <w:p w14:paraId="50897D6F">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7.1.15 项目监理机构发现施工存在质量问题的，或施工单位采用不适当的施工工艺，或施工不当，造成工程质量不合格的，应及时签发监理通知单，要求施工单位整改。整改完毕后，项目监理机构应根据施工单位报送的监理通知回复单对整改情况进行复查，提出复查意见。监理通知单及监理通知回复单应按相应规范的要求填写。</w:t>
      </w:r>
    </w:p>
    <w:p w14:paraId="3C86B22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7.1.16 对需要返工处理或加固补强的质量缺陷，项目监理机构应要求施工单位报送经设计等相关单位认可的处理方案，并应对质量缺陷的处理过程进行跟踪检查，同时应对处理结果进行验收。</w:t>
      </w:r>
    </w:p>
    <w:p w14:paraId="474DB2E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7.1.17 对需要返工处理或加固补强的质量事故，项目监理机构应要求施工单位报送质量事故调查报告和经设计等相关单位认可的处理方案，并应对质量事故的处理过程进行跟踪检查，同时应对处理结果进行验收。项目监理机构应及时向建设单位提交质量事故书面报告，并应将完整的质量事故处理记录整理归档。</w:t>
      </w:r>
    </w:p>
    <w:p w14:paraId="23CA89A8">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7.1.18 项目监理机构应审查施工单位提交的单位工程竣工验收报审表及竣工资料，组织工程竣工预验收。存在问题的，应要求施工单位及时整改；合格的，总监理工程师应签认单位工程竣工验收报审表。单位工程竣工验收报审表应按相应规范的要求填写。</w:t>
      </w:r>
    </w:p>
    <w:p w14:paraId="745CCB0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7.1.19 工程竣工预验收合格后，项目监理机构应编写工程质量评估报告，并应经总监理工程师和工程监理单位技术负责人审核签字后报建设单位。</w:t>
      </w:r>
    </w:p>
    <w:p w14:paraId="7D710A54">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7.1.20 项目监理机构应参加由建设单位组织的竣工验收，对验收中提出的整改问题，应督促施工单位及时整改。工程质量符合要求的，总监理工程师应在工程竣工验收报告中签署意见。</w:t>
      </w:r>
    </w:p>
    <w:p w14:paraId="74C6A597">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7.1.21 保修期满后，项目监理机构应参与保修期满质量复检，对复检中发现的问题提出整改意见并督促施工单位整改；整改合格后，总监理工程师在复检报告中签署意见。</w:t>
      </w:r>
    </w:p>
    <w:p w14:paraId="0A757B4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7.1.22 项目监理机构受招标人的委托对工程项目实施进行监督与管理，必须按照国家和广东省的有关施工技术规范及现行标准，保证工程达到合格标准，若因中标人原因，工程在竣工验收或分部工程验收时没有达到此标准，项目监理机构按监理按合同价款的</w:t>
      </w:r>
      <w:r>
        <w:rPr>
          <w:rFonts w:hint="eastAsia" w:ascii="Times New Roman"/>
          <w:snapToGrid w:val="0"/>
          <w:color w:val="auto"/>
          <w:kern w:val="0"/>
          <w:highlight w:val="none"/>
          <w:u w:val="single"/>
        </w:rPr>
        <w:t>3%</w:t>
      </w:r>
      <w:r>
        <w:rPr>
          <w:rFonts w:hint="eastAsia" w:ascii="Times New Roman"/>
          <w:snapToGrid w:val="0"/>
          <w:color w:val="auto"/>
          <w:kern w:val="0"/>
          <w:highlight w:val="none"/>
        </w:rPr>
        <w:t>向招标人返纳质量违约金，并无条件免费监理服务至工程质量达到合格止。</w:t>
      </w:r>
    </w:p>
    <w:p w14:paraId="3BCC4A52">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7.2 工程造价控制：</w:t>
      </w:r>
    </w:p>
    <w:p w14:paraId="09D5150C">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7.2.1 项目监理机构应按下列程序进行工程计量和付款签证：</w:t>
      </w:r>
    </w:p>
    <w:p w14:paraId="7BBE9D5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（1）专业监理工程师对施工单位在工程款支付报审表中提交的工程量和支付金额进行复核，确定实际完成的工程量，提出到期应支付给施工单位的金额，并提出相应的支持性材料。</w:t>
      </w:r>
    </w:p>
    <w:p w14:paraId="5DDC942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w:t>
      </w:r>
    </w:p>
    <w:p w14:paraId="10CB130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（3）总监理工程师根据建设单位的审批意见，向施工单位签发工程款支付证书。</w:t>
      </w:r>
    </w:p>
    <w:p w14:paraId="398555DB">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工程款支付报审表及工程款支付证书应按相应规范的要求填写。</w:t>
      </w:r>
    </w:p>
    <w:p w14:paraId="4F467416">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7.2.2项目监理机构应编制月完成工程量统计表，对实际完成量与计划完成量进行比较分析，发现偏差的，应提出调整建议，并应在监理月报中向建设单位报告。</w:t>
      </w:r>
    </w:p>
    <w:p w14:paraId="7F9C80F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7.2.3 项目监理机构应按下列程序进行竣工结算款审核：</w:t>
      </w:r>
    </w:p>
    <w:p w14:paraId="0440067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（1）专业监理工程师审查施工单位提交的竣工结算款支付申请，提出审查意见。</w:t>
      </w:r>
    </w:p>
    <w:p w14:paraId="60E9BF7E">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总监理工程师对专业监理工程师的审查意见进行审核，签认后报建设单位审批，同时抄送施工单位，并就工程竣工结算事宜与建设单位、施工单位协商；达成一致意见的，根据建设单位审批意见向施工单位签发竣工结算款支付证书；不能达成一致意见的，应按施工合同约定处理。工程竣工结算款支付报审表及竣工结算款支付证书应按相应规范的要求填写。</w:t>
      </w:r>
    </w:p>
    <w:p w14:paraId="2BE3A9F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7.2.4项目监理单位应按上述要求和有关规定控制本项目的工程造价，若由于项目监理单位的过失造成工程造价提高，招标人按所提高造价额的50%从监理服务费中扣除，扣除累计不超过监理服务费的70%。且不低于《关于加强县本级政府投资项目管理的通知》（始府办〔2021〕10号）规定的标准：：①因承包人责任引起变更造成投资规模增加10%以上的，由发包人扣减其20%委托费用；②因承包人责任引起变更造成投资规模增加15%以上的，由发包人扣减其30%委托费用；③因承包人责任引起变更造成投资规模增加20%以上的，由发包人扣减其40%委托费用。</w:t>
      </w:r>
    </w:p>
    <w:p w14:paraId="731AD45B">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7.3 工程进度控制：</w:t>
      </w:r>
    </w:p>
    <w:p w14:paraId="3E1AF65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7.3.1 项目监理机构应审查施工单位报审的施工总进度计划和阶段性施工进度计划，提出审查意见，并应由总监理工程师审核后报建设单位。</w:t>
      </w:r>
    </w:p>
    <w:p w14:paraId="2D59DBC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施工进度计划审查应包括下列基本内容：</w:t>
      </w:r>
    </w:p>
    <w:p w14:paraId="7E8FAB1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（1）施工进度计划应符合施工合同中工期的约定。</w:t>
      </w:r>
    </w:p>
    <w:p w14:paraId="00569D9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（2）施工进度计划中主要工程项目无遗漏，应满足分批投入试运、分批动用的需要，阶段性施工进度计划应满足总进度控制目标的要求。</w:t>
      </w:r>
    </w:p>
    <w:p w14:paraId="3C861E5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（3）施工顺序的安排应符合施工工艺要求。</w:t>
      </w:r>
    </w:p>
    <w:p w14:paraId="0BC42DF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（4）施工人员、工程材料、施工机械等资源供应计划应满足施工进度计划的需要。</w:t>
      </w:r>
    </w:p>
    <w:p w14:paraId="093B1C0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（5）施工进度计划应符合建设单位提供的资金、施工图纸、施工场地、物资等施工条件。</w:t>
      </w:r>
    </w:p>
    <w:p w14:paraId="04961962">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施工进度计划报审表应按相应规范的要求填写。</w:t>
      </w:r>
    </w:p>
    <w:p w14:paraId="32ACB63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7.3.2项目监理机构应检查施工进度计划的实施情况，发现实际进度严重滞后于计划进度且影响合同工期时，应签发监理通知单，要求施工单位采取调整措施加快施工进度。总监理工程师应向建设单位报告工期延误风险。</w:t>
      </w:r>
    </w:p>
    <w:p w14:paraId="36DEF7B3">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7.3.3 项目监理机构应比较分析工程施工实际进度与计划进度，预测实际进度对工程总工期的影响，并应在监理月报中向建设单位报告工程实际进展情况。</w:t>
      </w:r>
    </w:p>
    <w:p w14:paraId="5ABDE768">
      <w:pPr>
        <w:wordWrap w:val="0"/>
        <w:adjustRightInd w:val="0"/>
        <w:snapToGrid w:val="0"/>
        <w:spacing w:line="440" w:lineRule="exact"/>
        <w:ind w:firstLine="560"/>
        <w:rPr>
          <w:rFonts w:hint="eastAsia" w:ascii="Times New Roman"/>
          <w:b/>
          <w:bCs/>
          <w:snapToGrid w:val="0"/>
          <w:color w:val="auto"/>
          <w:kern w:val="0"/>
          <w:highlight w:val="none"/>
        </w:rPr>
      </w:pPr>
      <w:r>
        <w:rPr>
          <w:rFonts w:hint="eastAsia" w:ascii="Times New Roman"/>
          <w:b/>
          <w:bCs/>
          <w:snapToGrid w:val="0"/>
          <w:color w:val="auto"/>
          <w:kern w:val="0"/>
          <w:highlight w:val="none"/>
        </w:rPr>
        <w:t>7.4 工程安全生产管理：</w:t>
      </w:r>
    </w:p>
    <w:p w14:paraId="15D9AE4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7.4.1 项目监理机构应根据法律法规、工程建设强制性标准，履行建设工程安全生产管理的监理职责，并应将安全生产管理的监理工作内容、方法和措施纳入监理规划及监理实施细则。</w:t>
      </w:r>
    </w:p>
    <w:p w14:paraId="643B3E7D">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7.4.2 项目监理机构应审查施工单位现场安全生产规章制度的建立和实施情况，并应审查施工单位安全生产许可证及施工单位项目经理、专职安全生产管理人员和特种作业人员的资格，同时应核查施工机械和设施的安全许可验收手续。</w:t>
      </w:r>
    </w:p>
    <w:p w14:paraId="49A0F99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7.4.3 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p w14:paraId="7F579011">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专项施工方案审查应包括下列基本内容：</w:t>
      </w:r>
    </w:p>
    <w:p w14:paraId="489ED48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（1）编审程序应符合相关规定。</w:t>
      </w:r>
    </w:p>
    <w:p w14:paraId="202BF900">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（2）安全技术措施应符合工程建设强制性标准。</w:t>
      </w:r>
    </w:p>
    <w:p w14:paraId="15D61359">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专项施工方案报审表应按相应规范的要求填写。</w:t>
      </w:r>
    </w:p>
    <w:p w14:paraId="02665E5A">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7.4.4项目监理机构应巡视检查危险性较大的分部分项工程专项施工方案实施情况。发现未按专项施工方案实施时，应签发监理通知单，要求施工单位按专项施工方案实施。</w:t>
      </w:r>
    </w:p>
    <w:p w14:paraId="149AB135">
      <w:pPr>
        <w:wordWrap w:val="0"/>
        <w:adjustRightInd w:val="0"/>
        <w:snapToGrid w:val="0"/>
        <w:spacing w:line="440" w:lineRule="exact"/>
        <w:ind w:firstLine="560"/>
        <w:rPr>
          <w:rFonts w:hint="eastAsia" w:ascii="Times New Roman"/>
          <w:snapToGrid w:val="0"/>
          <w:color w:val="auto"/>
          <w:kern w:val="0"/>
          <w:highlight w:val="none"/>
        </w:rPr>
      </w:pPr>
      <w:r>
        <w:rPr>
          <w:rFonts w:hint="eastAsia" w:ascii="Times New Roman"/>
          <w:snapToGrid w:val="0"/>
          <w:color w:val="auto"/>
          <w:kern w:val="0"/>
          <w:highlight w:val="none"/>
        </w:rPr>
        <w:t>7.4.5 项目监理机构在实施监理过程中，发现工程存在安全事故隐患时，应签发监理通知单，要求施工单位整改；情况严重时，应签发工程暂停令，并应及时报告建设单位。施工单位拒不整改或不停止施工时，项目监理机构应及时向有关主管部门报送监理报告。</w:t>
      </w:r>
    </w:p>
    <w:p w14:paraId="3CBF63ED">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Ansi="宋体" w:cs="宋体"/>
          <w:snapToGrid w:val="0"/>
          <w:color w:val="auto"/>
          <w:kern w:val="0"/>
          <w:szCs w:val="24"/>
          <w:highlight w:val="none"/>
        </w:rPr>
      </w:pPr>
      <w:r>
        <w:rPr>
          <w:rFonts w:hint="eastAsia" w:ascii="Times New Roman"/>
          <w:snapToGrid w:val="0"/>
          <w:color w:val="auto"/>
          <w:kern w:val="0"/>
          <w:highlight w:val="none"/>
        </w:rPr>
        <w:t>监理报告应按相应规范的要求填写。</w:t>
      </w:r>
    </w:p>
    <w:p w14:paraId="06BFFCA1">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p w14:paraId="6D4094DE">
      <w:pPr>
        <w:pStyle w:val="40"/>
        <w:keepNext w:val="0"/>
        <w:keepLines w:val="0"/>
        <w:pageBreakBefore w:val="0"/>
        <w:kinsoku/>
        <w:overflowPunct/>
        <w:topLinePunct w:val="0"/>
        <w:autoSpaceDE/>
        <w:autoSpaceDN/>
        <w:bidi w:val="0"/>
        <w:spacing w:line="420" w:lineRule="exact"/>
        <w:textAlignment w:val="auto"/>
        <w:rPr>
          <w:rFonts w:ascii="宋体" w:hAnsi="宋体" w:cs="宋体"/>
          <w:snapToGrid w:val="0"/>
          <w:color w:val="auto"/>
          <w:highlight w:val="none"/>
        </w:rPr>
      </w:pPr>
    </w:p>
    <w:bookmarkEnd w:id="176"/>
    <w:p w14:paraId="00DFB3FB">
      <w:pPr>
        <w:pStyle w:val="4"/>
        <w:tabs>
          <w:tab w:val="left" w:pos="885"/>
        </w:tabs>
        <w:wordWrap w:val="0"/>
        <w:autoSpaceDE/>
        <w:autoSpaceDN/>
        <w:snapToGrid w:val="0"/>
        <w:spacing w:line="440" w:lineRule="exact"/>
        <w:ind w:left="885" w:hanging="885"/>
        <w:jc w:val="center"/>
        <w:rPr>
          <w:rFonts w:ascii="Times New Roman"/>
          <w:b/>
          <w:snapToGrid w:val="0"/>
          <w:color w:val="auto"/>
          <w:sz w:val="32"/>
          <w:szCs w:val="22"/>
          <w:highlight w:val="none"/>
        </w:rPr>
      </w:pPr>
      <w:bookmarkStart w:id="238" w:name="_Toc21669"/>
      <w:bookmarkStart w:id="239" w:name="_Toc3062"/>
      <w:bookmarkStart w:id="240" w:name="_Toc12650"/>
      <w:bookmarkStart w:id="241" w:name="_Hlt69698796"/>
      <w:r>
        <w:rPr>
          <w:rFonts w:hint="eastAsia" w:ascii="Times New Roman"/>
          <w:b/>
          <w:snapToGrid w:val="0"/>
          <w:color w:val="auto"/>
          <w:sz w:val="32"/>
          <w:szCs w:val="22"/>
          <w:highlight w:val="none"/>
        </w:rPr>
        <w:t>第四章</w:t>
      </w:r>
      <w:bookmarkStart w:id="242" w:name="_Hlt87793853"/>
      <w:bookmarkEnd w:id="242"/>
      <w:r>
        <w:rPr>
          <w:rFonts w:hint="eastAsia" w:ascii="Times New Roman"/>
          <w:b/>
          <w:snapToGrid w:val="0"/>
          <w:color w:val="auto"/>
          <w:sz w:val="32"/>
          <w:szCs w:val="22"/>
          <w:highlight w:val="none"/>
        </w:rPr>
        <w:t xml:space="preserve"> 技术要求</w:t>
      </w:r>
      <w:bookmarkEnd w:id="238"/>
      <w:bookmarkEnd w:id="239"/>
      <w:bookmarkEnd w:id="240"/>
    </w:p>
    <w:bookmarkEnd w:id="241"/>
    <w:p w14:paraId="69F644B1">
      <w:pPr>
        <w:wordWrap w:val="0"/>
        <w:adjustRightInd w:val="0"/>
        <w:snapToGrid w:val="0"/>
        <w:spacing w:line="440" w:lineRule="exact"/>
        <w:rPr>
          <w:rFonts w:hint="eastAsia" w:hAnsi="宋体" w:cs="宋体"/>
          <w:bCs/>
          <w:snapToGrid w:val="0"/>
          <w:color w:val="auto"/>
          <w:kern w:val="0"/>
          <w:highlight w:val="none"/>
        </w:rPr>
      </w:pPr>
      <w:bookmarkStart w:id="243" w:name="_Hlt69359335"/>
      <w:bookmarkEnd w:id="243"/>
      <w:bookmarkStart w:id="244" w:name="_Hlt66104926"/>
      <w:bookmarkEnd w:id="244"/>
      <w:bookmarkStart w:id="245" w:name="_Hlt69358207"/>
      <w:bookmarkEnd w:id="245"/>
      <w:bookmarkStart w:id="246" w:name="_Hlt75685840"/>
      <w:bookmarkEnd w:id="246"/>
      <w:bookmarkStart w:id="247" w:name="_Hlt69357851"/>
      <w:bookmarkEnd w:id="247"/>
      <w:bookmarkStart w:id="248" w:name="_Hlt69116854"/>
      <w:bookmarkEnd w:id="248"/>
      <w:bookmarkStart w:id="249" w:name="_Hlt80411122"/>
      <w:bookmarkEnd w:id="249"/>
      <w:bookmarkStart w:id="250" w:name="_Hlt69265216"/>
      <w:bookmarkEnd w:id="250"/>
      <w:bookmarkStart w:id="251" w:name="_Hlt87793370"/>
      <w:bookmarkEnd w:id="251"/>
      <w:bookmarkStart w:id="252" w:name="_Hlt68774758"/>
      <w:bookmarkEnd w:id="252"/>
      <w:bookmarkStart w:id="253" w:name="_Hlt87793346"/>
      <w:bookmarkEnd w:id="253"/>
      <w:bookmarkStart w:id="254" w:name="_Toc7515"/>
      <w:bookmarkStart w:id="255" w:name="_Toc2392"/>
    </w:p>
    <w:bookmarkEnd w:id="254"/>
    <w:bookmarkEnd w:id="255"/>
    <w:p w14:paraId="1ECFD6A4">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56" w:name="_Hlt69265207"/>
      <w:bookmarkEnd w:id="256"/>
      <w:bookmarkStart w:id="257" w:name="_Hlt69635247"/>
      <w:bookmarkEnd w:id="257"/>
      <w:bookmarkStart w:id="258" w:name="_Hlt66848640"/>
      <w:bookmarkEnd w:id="258"/>
      <w:bookmarkStart w:id="259" w:name="_Hlt69358336"/>
      <w:bookmarkEnd w:id="259"/>
      <w:bookmarkStart w:id="260" w:name="_Hlt69338190"/>
      <w:bookmarkEnd w:id="260"/>
      <w:bookmarkStart w:id="261" w:name="_Hlt69116863"/>
      <w:bookmarkEnd w:id="261"/>
      <w:bookmarkStart w:id="262" w:name="_Toc25992"/>
      <w:bookmarkStart w:id="263" w:name="_Toc29213"/>
      <w:bookmarkStart w:id="264" w:name="_Toc22126"/>
      <w:bookmarkStart w:id="265" w:name="_Toc29899"/>
      <w:bookmarkStart w:id="266" w:name="_Toc16011"/>
      <w:bookmarkStart w:id="267" w:name="_Hlt69698785"/>
      <w:r>
        <w:rPr>
          <w:rFonts w:hint="eastAsia" w:ascii="宋体" w:hAnsi="宋体" w:eastAsia="宋体" w:cs="宋体"/>
          <w:b/>
          <w:snapToGrid w:val="0"/>
          <w:color w:val="auto"/>
          <w:kern w:val="0"/>
          <w:highlight w:val="none"/>
        </w:rPr>
        <w:t>1．房屋建筑工程建设项目</w:t>
      </w:r>
      <w:bookmarkEnd w:id="262"/>
      <w:bookmarkEnd w:id="263"/>
      <w:bookmarkEnd w:id="264"/>
      <w:bookmarkEnd w:id="265"/>
    </w:p>
    <w:p w14:paraId="4B9FF91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bookmarkStart w:id="268" w:name="_Hlt69116858"/>
      <w:bookmarkEnd w:id="268"/>
      <w:bookmarkStart w:id="269" w:name="_Hlt69359245"/>
      <w:bookmarkEnd w:id="269"/>
      <w:bookmarkStart w:id="270" w:name="_Hlt69358458"/>
      <w:bookmarkEnd w:id="270"/>
      <w:bookmarkStart w:id="271" w:name="_Hlt78709799"/>
      <w:bookmarkEnd w:id="271"/>
      <w:bookmarkStart w:id="272" w:name="_Hlt69635252"/>
      <w:bookmarkEnd w:id="272"/>
      <w:bookmarkStart w:id="273" w:name="_Hlt69359243"/>
      <w:bookmarkEnd w:id="273"/>
      <w:bookmarkStart w:id="274" w:name="_Hlt69359086"/>
      <w:bookmarkEnd w:id="274"/>
      <w:r>
        <w:rPr>
          <w:rFonts w:hint="eastAsia" w:ascii="宋体" w:hAnsi="宋体" w:eastAsia="宋体" w:cs="宋体"/>
          <w:b w:val="0"/>
          <w:bCs/>
          <w:caps w:val="0"/>
          <w:smallCaps w:val="0"/>
          <w:snapToGrid w:val="0"/>
          <w:color w:val="auto"/>
          <w:spacing w:val="0"/>
          <w:kern w:val="0"/>
          <w:highlight w:val="none"/>
          <w:lang w:eastAsia="zh-CN"/>
        </w:rPr>
        <w:t>房屋建筑工程建设项目必须执行的现行技术规范，包括且不限于：</w:t>
      </w:r>
    </w:p>
    <w:p w14:paraId="6EFD45B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《建筑工程施工质量验收统一标准》；</w:t>
      </w:r>
    </w:p>
    <w:p w14:paraId="2AFE1AB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《建筑地基基础工程施工质量验收规范》；</w:t>
      </w:r>
    </w:p>
    <w:p w14:paraId="2382E13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《砌体工程施工质量验收规范》；</w:t>
      </w:r>
    </w:p>
    <w:p w14:paraId="2A76B62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《混凝土结构工程施工质量验收规范》；</w:t>
      </w:r>
    </w:p>
    <w:p w14:paraId="5ED1B4E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《屋面工程质量验收规范》；</w:t>
      </w:r>
    </w:p>
    <w:p w14:paraId="33A489D3">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《地下防水工程质量验收规范》；</w:t>
      </w:r>
    </w:p>
    <w:p w14:paraId="4E6FF6B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bookmarkStart w:id="275" w:name="_Hlt78795211"/>
      <w:bookmarkEnd w:id="275"/>
      <w:r>
        <w:rPr>
          <w:rFonts w:hint="eastAsia" w:ascii="宋体" w:hAnsi="宋体" w:eastAsia="宋体" w:cs="宋体"/>
          <w:b w:val="0"/>
          <w:bCs/>
          <w:caps w:val="0"/>
          <w:smallCaps w:val="0"/>
          <w:snapToGrid w:val="0"/>
          <w:color w:val="auto"/>
          <w:spacing w:val="0"/>
          <w:kern w:val="0"/>
          <w:highlight w:val="none"/>
        </w:rPr>
        <w:t>《建筑地面工程施工质量验收规范》；</w:t>
      </w:r>
    </w:p>
    <w:p w14:paraId="39CE731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《建筑装饰装修工程施工质量验收规范》；</w:t>
      </w:r>
    </w:p>
    <w:p w14:paraId="7C04B74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《建筑给排水及采暖工程施工质量验收规范》；</w:t>
      </w:r>
    </w:p>
    <w:p w14:paraId="1A832710">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《建筑电气工程施工质量验收规范》；</w:t>
      </w:r>
    </w:p>
    <w:p w14:paraId="3E48EFC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（11）《住建部绿色建筑评价标准》；</w:t>
      </w:r>
    </w:p>
    <w:p w14:paraId="51C413A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（12）《建筑节能与可再生能源利用通用规范》（GB55015-2021）；</w:t>
      </w:r>
    </w:p>
    <w:p w14:paraId="42DB23A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（13）《建筑环境通用规范》；</w:t>
      </w:r>
    </w:p>
    <w:p w14:paraId="37CBC5FF">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14</w:t>
      </w:r>
      <w:r>
        <w:rPr>
          <w:rFonts w:hint="eastAsia" w:ascii="宋体" w:hAnsi="宋体" w:eastAsia="宋体" w:cs="宋体"/>
          <w:b w:val="0"/>
          <w:bCs/>
          <w:caps w:val="0"/>
          <w:smallCaps w:val="0"/>
          <w:snapToGrid w:val="0"/>
          <w:color w:val="auto"/>
          <w:spacing w:val="0"/>
          <w:kern w:val="0"/>
          <w:highlight w:val="none"/>
          <w:lang w:eastAsia="zh-CN"/>
        </w:rPr>
        <w:t>）《广东省住房和城乡建设厅绿色施工导则》；</w:t>
      </w:r>
    </w:p>
    <w:p w14:paraId="45C9051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eastAsia="zh-CN"/>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15</w:t>
      </w:r>
      <w:r>
        <w:rPr>
          <w:rFonts w:hint="eastAsia" w:ascii="宋体" w:hAnsi="宋体" w:eastAsia="宋体" w:cs="宋体"/>
          <w:b w:val="0"/>
          <w:bCs/>
          <w:caps w:val="0"/>
          <w:smallCaps w:val="0"/>
          <w:snapToGrid w:val="0"/>
          <w:color w:val="auto"/>
          <w:spacing w:val="0"/>
          <w:kern w:val="0"/>
          <w:highlight w:val="none"/>
          <w:lang w:eastAsia="zh-CN"/>
        </w:rPr>
        <w:t>）《广东省建筑工程绿色施工评价标准》；</w:t>
      </w:r>
    </w:p>
    <w:p w14:paraId="56DD4586">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 w:val="0"/>
          <w:bCs/>
          <w:caps w:val="0"/>
          <w:smallCaps w:val="0"/>
          <w:snapToGrid w:val="0"/>
          <w:color w:val="auto"/>
          <w:spacing w:val="0"/>
          <w:kern w:val="0"/>
          <w:highlight w:val="none"/>
          <w:lang w:val="en-US" w:eastAsia="zh-CN"/>
        </w:rPr>
      </w:pPr>
      <w:r>
        <w:rPr>
          <w:rFonts w:hint="eastAsia" w:ascii="宋体" w:hAnsi="宋体" w:eastAsia="宋体" w:cs="宋体"/>
          <w:b w:val="0"/>
          <w:bCs/>
          <w:caps w:val="0"/>
          <w:smallCaps w:val="0"/>
          <w:snapToGrid w:val="0"/>
          <w:color w:val="auto"/>
          <w:spacing w:val="0"/>
          <w:kern w:val="0"/>
          <w:highlight w:val="none"/>
          <w:lang w:val="en-US" w:eastAsia="zh-CN"/>
        </w:rPr>
        <w:t>（16）《广东省建筑节能与绿色建筑工程施工质量验收规范》</w:t>
      </w:r>
    </w:p>
    <w:p w14:paraId="45654C5C">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jc w:val="both"/>
        <w:textAlignment w:val="auto"/>
        <w:outlineLvl w:val="9"/>
        <w:rPr>
          <w:rFonts w:hint="eastAsia" w:ascii="宋体" w:hAnsi="宋体" w:eastAsia="宋体" w:cs="宋体"/>
          <w:bCs/>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其他现行国家</w:t>
      </w:r>
      <w:r>
        <w:rPr>
          <w:rFonts w:hint="eastAsia" w:ascii="宋体" w:hAnsi="宋体" w:eastAsia="宋体" w:cs="宋体"/>
          <w:b w:val="0"/>
          <w:bCs/>
          <w:caps w:val="0"/>
          <w:smallCaps w:val="0"/>
          <w:snapToGrid w:val="0"/>
          <w:color w:val="auto"/>
          <w:spacing w:val="0"/>
          <w:kern w:val="0"/>
          <w:highlight w:val="none"/>
          <w:lang w:eastAsia="zh-CN"/>
        </w:rPr>
        <w:t>、广东省关于房建工程的</w:t>
      </w:r>
      <w:r>
        <w:rPr>
          <w:rFonts w:hint="eastAsia" w:ascii="宋体" w:hAnsi="宋体" w:eastAsia="宋体" w:cs="宋体"/>
          <w:b w:val="0"/>
          <w:bCs/>
          <w:caps w:val="0"/>
          <w:smallCaps w:val="0"/>
          <w:snapToGrid w:val="0"/>
          <w:color w:val="auto"/>
          <w:spacing w:val="0"/>
          <w:kern w:val="0"/>
          <w:highlight w:val="none"/>
        </w:rPr>
        <w:t>施工</w:t>
      </w:r>
      <w:r>
        <w:rPr>
          <w:rFonts w:hint="eastAsia" w:ascii="宋体" w:hAnsi="宋体" w:eastAsia="宋体" w:cs="宋体"/>
          <w:b w:val="0"/>
          <w:bCs/>
          <w:caps w:val="0"/>
          <w:smallCaps w:val="0"/>
          <w:snapToGrid w:val="0"/>
          <w:color w:val="auto"/>
          <w:spacing w:val="0"/>
          <w:kern w:val="0"/>
          <w:highlight w:val="none"/>
          <w:lang w:eastAsia="zh-CN"/>
        </w:rPr>
        <w:t>及验收</w:t>
      </w:r>
      <w:r>
        <w:rPr>
          <w:rFonts w:hint="eastAsia" w:ascii="宋体" w:hAnsi="宋体" w:eastAsia="宋体" w:cs="宋体"/>
          <w:b w:val="0"/>
          <w:bCs/>
          <w:caps w:val="0"/>
          <w:smallCaps w:val="0"/>
          <w:snapToGrid w:val="0"/>
          <w:color w:val="auto"/>
          <w:spacing w:val="0"/>
          <w:kern w:val="0"/>
          <w:highlight w:val="none"/>
        </w:rPr>
        <w:t>规范</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w:t>
      </w:r>
      <w:r>
        <w:rPr>
          <w:rFonts w:hint="eastAsia" w:ascii="宋体" w:hAnsi="宋体" w:eastAsia="宋体" w:cs="宋体"/>
          <w:b w:val="0"/>
          <w:bCs/>
          <w:caps w:val="0"/>
          <w:smallCaps w:val="0"/>
          <w:snapToGrid w:val="0"/>
          <w:color w:val="auto"/>
          <w:spacing w:val="0"/>
          <w:kern w:val="0"/>
          <w:highlight w:val="none"/>
        </w:rPr>
        <w:t>标准。</w:t>
      </w:r>
    </w:p>
    <w:p w14:paraId="019DA053">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Cs/>
          <w:snapToGrid w:val="0"/>
          <w:color w:val="auto"/>
          <w:kern w:val="0"/>
          <w:highlight w:val="none"/>
        </w:rPr>
      </w:pPr>
      <w:bookmarkStart w:id="276" w:name="_Toc3631"/>
      <w:bookmarkStart w:id="277" w:name="_Toc23789"/>
      <w:bookmarkStart w:id="278" w:name="_Toc16196"/>
      <w:bookmarkStart w:id="279" w:name="_Toc2706"/>
      <w:r>
        <w:rPr>
          <w:rFonts w:hint="eastAsia" w:ascii="宋体" w:hAnsi="宋体" w:eastAsia="宋体" w:cs="宋体"/>
          <w:b/>
          <w:snapToGrid w:val="0"/>
          <w:color w:val="auto"/>
          <w:kern w:val="0"/>
          <w:highlight w:val="none"/>
        </w:rPr>
        <w:t>2．市政基础设施工程建设项目</w:t>
      </w:r>
      <w:bookmarkEnd w:id="276"/>
      <w:bookmarkEnd w:id="277"/>
      <w:bookmarkEnd w:id="278"/>
      <w:bookmarkEnd w:id="279"/>
    </w:p>
    <w:p w14:paraId="499DBC66">
      <w:pPr>
        <w:keepNext w:val="0"/>
        <w:keepLines w:val="0"/>
        <w:pageBreakBefore w:val="0"/>
        <w:kinsoku/>
        <w:wordWrap w:val="0"/>
        <w:overflowPunct/>
        <w:topLinePunct w:val="0"/>
        <w:bidi w:val="0"/>
        <w:adjustRightInd w:val="0"/>
        <w:snapToGrid w:val="0"/>
        <w:spacing w:line="500" w:lineRule="exact"/>
        <w:ind w:firstLine="480" w:firstLineChars="200"/>
        <w:rPr>
          <w:rFonts w:hint="eastAsia" w:ascii="宋体" w:hAnsi="宋体" w:eastAsia="宋体" w:cs="宋体"/>
          <w:b w:val="0"/>
          <w:bCs/>
          <w:snapToGrid w:val="0"/>
          <w:color w:val="auto"/>
          <w:kern w:val="0"/>
          <w:szCs w:val="28"/>
          <w:highlight w:val="none"/>
        </w:rPr>
      </w:pPr>
      <w:r>
        <w:rPr>
          <w:rFonts w:hint="eastAsia" w:ascii="宋体" w:hAnsi="宋体" w:eastAsia="宋体" w:cs="宋体"/>
          <w:b w:val="0"/>
          <w:bCs/>
          <w:snapToGrid w:val="0"/>
          <w:color w:val="auto"/>
          <w:kern w:val="0"/>
          <w:highlight w:val="none"/>
        </w:rPr>
        <w:t>市政基础设施工程建设项目必须执行的现行技术规范，包括且不限于：</w:t>
      </w:r>
    </w:p>
    <w:p w14:paraId="444FEA1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lang w:val="en-US" w:eastAsia="zh-CN"/>
        </w:rPr>
        <w:t>1</w:t>
      </w:r>
      <w:r>
        <w:rPr>
          <w:rFonts w:hint="eastAsia" w:ascii="宋体" w:hAnsi="宋体" w:eastAsia="宋体" w:cs="宋体"/>
          <w:b w:val="0"/>
          <w:bCs/>
          <w:caps w:val="0"/>
          <w:smallCaps w:val="0"/>
          <w:snapToGrid w:val="0"/>
          <w:color w:val="auto"/>
          <w:spacing w:val="0"/>
          <w:kern w:val="0"/>
          <w:szCs w:val="28"/>
          <w:highlight w:val="none"/>
          <w:lang w:eastAsia="zh-CN"/>
        </w:rPr>
        <w:t>）</w:t>
      </w:r>
      <w:r>
        <w:rPr>
          <w:rFonts w:hint="eastAsia" w:ascii="宋体" w:hAnsi="宋体" w:eastAsia="宋体" w:cs="宋体"/>
          <w:b w:val="0"/>
          <w:bCs/>
          <w:caps w:val="0"/>
          <w:smallCaps w:val="0"/>
          <w:snapToGrid w:val="0"/>
          <w:color w:val="auto"/>
          <w:spacing w:val="0"/>
          <w:kern w:val="0"/>
          <w:szCs w:val="28"/>
          <w:highlight w:val="none"/>
        </w:rPr>
        <w:t>《公路路基施工技术规范》</w:t>
      </w:r>
      <w:r>
        <w:rPr>
          <w:rFonts w:hint="eastAsia" w:ascii="宋体" w:hAnsi="宋体" w:eastAsia="宋体" w:cs="宋体"/>
          <w:b w:val="0"/>
          <w:bCs/>
          <w:caps w:val="0"/>
          <w:smallCaps w:val="0"/>
          <w:snapToGrid w:val="0"/>
          <w:color w:val="auto"/>
          <w:spacing w:val="0"/>
          <w:kern w:val="0"/>
          <w:highlight w:val="none"/>
        </w:rPr>
        <w:t>；</w:t>
      </w:r>
    </w:p>
    <w:p w14:paraId="308030B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2</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《市政道路工程质量检验评定标准》；</w:t>
      </w:r>
    </w:p>
    <w:p w14:paraId="40CE13C2">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3</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《市政排水管渠工程质量检验评定标准》；</w:t>
      </w:r>
    </w:p>
    <w:p w14:paraId="0BBF4B9D">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4</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《给水排水管道工程施工及验收规范》；</w:t>
      </w:r>
    </w:p>
    <w:p w14:paraId="45EE277A">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5</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《城市道路路基工程施工及验收规范》；</w:t>
      </w:r>
    </w:p>
    <w:p w14:paraId="3F50DB65">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6</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《水泥砼路面施工及验收规范》；</w:t>
      </w:r>
    </w:p>
    <w:p w14:paraId="08D3BB4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7</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《公路水泥砼路面施工技术规范》；</w:t>
      </w:r>
    </w:p>
    <w:p w14:paraId="1D6C46CE">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8</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《埋地硬聚氯乙烯排水管道工程技术规程》；</w:t>
      </w:r>
    </w:p>
    <w:p w14:paraId="6CA9A664">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9</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《沥青路面施工及验收规范》；</w:t>
      </w:r>
    </w:p>
    <w:p w14:paraId="750FA0F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val="0"/>
          <w:bCs/>
          <w:caps w:val="0"/>
          <w:smallCaps w:val="0"/>
          <w:snapToGrid w:val="0"/>
          <w:color w:val="auto"/>
          <w:spacing w:val="0"/>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10</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rPr>
        <w:t>《广东省</w:t>
      </w:r>
      <w:r>
        <w:rPr>
          <w:rFonts w:hint="eastAsia" w:ascii="宋体" w:hAnsi="宋体" w:eastAsia="宋体" w:cs="宋体"/>
          <w:b w:val="0"/>
          <w:bCs/>
          <w:caps w:val="0"/>
          <w:smallCaps w:val="0"/>
          <w:snapToGrid w:val="0"/>
          <w:color w:val="auto"/>
          <w:spacing w:val="0"/>
          <w:kern w:val="0"/>
          <w:highlight w:val="none"/>
          <w:lang w:eastAsia="zh-CN"/>
        </w:rPr>
        <w:t>市政</w:t>
      </w:r>
      <w:r>
        <w:rPr>
          <w:rFonts w:hint="eastAsia" w:ascii="宋体" w:hAnsi="宋体" w:eastAsia="宋体" w:cs="宋体"/>
          <w:b w:val="0"/>
          <w:bCs/>
          <w:caps w:val="0"/>
          <w:smallCaps w:val="0"/>
          <w:snapToGrid w:val="0"/>
          <w:color w:val="auto"/>
          <w:spacing w:val="0"/>
          <w:kern w:val="0"/>
          <w:highlight w:val="none"/>
        </w:rPr>
        <w:t>工程施工质量技术资料统一用表》。</w:t>
      </w:r>
    </w:p>
    <w:p w14:paraId="27EDDC2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80" w:name="_Toc20464"/>
      <w:bookmarkStart w:id="281" w:name="_Toc8840"/>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11</w:t>
      </w: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i w:val="0"/>
          <w:iCs w:val="0"/>
          <w:color w:val="auto"/>
          <w:kern w:val="0"/>
          <w:szCs w:val="21"/>
          <w:highlight w:val="none"/>
        </w:rPr>
        <w:t>《城市道路照明设计标准》（CJJ45-2015）；</w:t>
      </w:r>
      <w:bookmarkEnd w:id="280"/>
      <w:bookmarkEnd w:id="281"/>
    </w:p>
    <w:p w14:paraId="01A36CBB">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szCs w:val="21"/>
          <w:highlight w:val="none"/>
        </w:rPr>
      </w:pPr>
      <w:bookmarkStart w:id="282" w:name="_Toc8828"/>
      <w:bookmarkStart w:id="283" w:name="_Toc12769"/>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12</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《低压配电设计规范》（GB50054-2011）；</w:t>
      </w:r>
      <w:bookmarkEnd w:id="282"/>
      <w:bookmarkEnd w:id="283"/>
    </w:p>
    <w:p w14:paraId="59EE4D3F">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rPr>
      </w:pPr>
      <w:bookmarkStart w:id="284" w:name="_Toc5338"/>
      <w:bookmarkStart w:id="285" w:name="_Toc17054"/>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13</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rPr>
        <w:t>《城市道路照明工程施工及验收规程》（CJJ89-2012）；</w:t>
      </w:r>
      <w:bookmarkEnd w:id="284"/>
      <w:bookmarkEnd w:id="285"/>
    </w:p>
    <w:p w14:paraId="17E5A6B8">
      <w:pPr>
        <w:keepNext w:val="0"/>
        <w:keepLines w:val="0"/>
        <w:pageBreakBefore w:val="0"/>
        <w:widowControl/>
        <w:tabs>
          <w:tab w:val="left" w:pos="567"/>
        </w:tabs>
        <w:kinsoku/>
        <w:overflowPunct/>
        <w:topLinePunct w:val="0"/>
        <w:autoSpaceDE w:val="0"/>
        <w:autoSpaceDN w:val="0"/>
        <w:bidi w:val="0"/>
        <w:spacing w:line="500" w:lineRule="exact"/>
        <w:ind w:firstLine="480" w:firstLineChars="200"/>
        <w:jc w:val="left"/>
        <w:textAlignment w:val="bottom"/>
        <w:outlineLvl w:val="9"/>
        <w:rPr>
          <w:rFonts w:hint="eastAsia" w:ascii="宋体" w:hAnsi="宋体" w:eastAsia="宋体" w:cs="宋体"/>
          <w:b w:val="0"/>
          <w:bCs/>
          <w:i w:val="0"/>
          <w:iCs w:val="0"/>
          <w:color w:val="auto"/>
          <w:kern w:val="0"/>
          <w:szCs w:val="21"/>
          <w:highlight w:val="none"/>
          <w:lang w:val="en-US" w:eastAsia="zh-CN"/>
        </w:rPr>
      </w:pPr>
      <w:bookmarkStart w:id="286" w:name="_Toc15704"/>
      <w:bookmarkStart w:id="287" w:name="_Toc17302"/>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14</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LED道路照明工程技术规范</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DB44/T 1898-2016</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bookmarkEnd w:id="286"/>
      <w:bookmarkEnd w:id="287"/>
    </w:p>
    <w:p w14:paraId="0F08A875">
      <w:pPr>
        <w:pStyle w:val="154"/>
        <w:keepNext w:val="0"/>
        <w:keepLines w:val="0"/>
        <w:pageBreakBefore w:val="0"/>
        <w:kinsoku/>
        <w:overflowPunct/>
        <w:topLinePunct w:val="0"/>
        <w:bidi w:val="0"/>
        <w:spacing w:line="500" w:lineRule="exact"/>
        <w:ind w:left="0" w:leftChars="0" w:firstLine="480" w:firstLineChars="200"/>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15</w:t>
      </w:r>
      <w:r>
        <w:rPr>
          <w:rFonts w:hint="eastAsia" w:ascii="宋体" w:hAnsi="宋体" w:eastAsia="宋体" w:cs="宋体"/>
          <w:b w:val="0"/>
          <w:bCs/>
          <w:i w:val="0"/>
          <w:iCs w:val="0"/>
          <w:color w:val="auto"/>
          <w:kern w:val="0"/>
          <w:szCs w:val="21"/>
          <w:highlight w:val="none"/>
          <w:lang w:eastAsia="zh-CN"/>
        </w:rPr>
        <w:t>）《灯具第</w:t>
      </w:r>
      <w:r>
        <w:rPr>
          <w:rFonts w:hint="eastAsia" w:ascii="宋体" w:hAnsi="宋体" w:eastAsia="宋体" w:cs="宋体"/>
          <w:b w:val="0"/>
          <w:bCs/>
          <w:i w:val="0"/>
          <w:iCs w:val="0"/>
          <w:color w:val="auto"/>
          <w:kern w:val="0"/>
          <w:szCs w:val="21"/>
          <w:highlight w:val="none"/>
          <w:lang w:val="en-US" w:eastAsia="zh-CN"/>
        </w:rPr>
        <w:t>1部分：一般要求与试验</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GB7000.1-2015</w:t>
      </w: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w:t>
      </w:r>
    </w:p>
    <w:p w14:paraId="64E0630B">
      <w:pPr>
        <w:keepNext w:val="0"/>
        <w:keepLines w:val="0"/>
        <w:pageBreakBefore w:val="0"/>
        <w:widowControl w:val="0"/>
        <w:kinsoku/>
        <w:wordWrap w:val="0"/>
        <w:overflowPunct/>
        <w:topLinePunct w:val="0"/>
        <w:autoSpaceDE/>
        <w:autoSpaceDN/>
        <w:bidi w:val="0"/>
        <w:adjustRightInd w:val="0"/>
        <w:snapToGrid w:val="0"/>
        <w:spacing w:before="0" w:after="0" w:line="500" w:lineRule="exact"/>
        <w:ind w:right="0" w:rightChars="0" w:firstLine="480" w:firstLineChars="200"/>
        <w:textAlignment w:val="auto"/>
        <w:rPr>
          <w:rFonts w:hint="eastAsia" w:ascii="宋体" w:hAnsi="宋体" w:eastAsia="宋体" w:cs="宋体"/>
          <w:b w:val="0"/>
          <w:bCs/>
          <w:i w:val="0"/>
          <w:iCs w:val="0"/>
          <w:color w:val="auto"/>
          <w:kern w:val="0"/>
          <w:szCs w:val="21"/>
          <w:highlight w:val="none"/>
          <w:lang w:val="en-US" w:eastAsia="zh-CN"/>
        </w:rPr>
      </w:pPr>
      <w:r>
        <w:rPr>
          <w:rFonts w:hint="eastAsia" w:ascii="宋体" w:hAnsi="宋体" w:eastAsia="宋体" w:cs="宋体"/>
          <w:b w:val="0"/>
          <w:bCs/>
          <w:i w:val="0"/>
          <w:iCs w:val="0"/>
          <w:color w:val="auto"/>
          <w:kern w:val="0"/>
          <w:szCs w:val="21"/>
          <w:highlight w:val="none"/>
          <w:lang w:eastAsia="zh-CN"/>
        </w:rPr>
        <w:t>（</w:t>
      </w:r>
      <w:r>
        <w:rPr>
          <w:rFonts w:hint="eastAsia" w:ascii="宋体" w:hAnsi="宋体" w:eastAsia="宋体" w:cs="宋体"/>
          <w:b w:val="0"/>
          <w:bCs/>
          <w:i w:val="0"/>
          <w:iCs w:val="0"/>
          <w:color w:val="auto"/>
          <w:kern w:val="0"/>
          <w:szCs w:val="21"/>
          <w:highlight w:val="none"/>
          <w:lang w:val="en-US" w:eastAsia="zh-CN"/>
        </w:rPr>
        <w:t>16</w:t>
      </w:r>
      <w:r>
        <w:rPr>
          <w:rFonts w:hint="eastAsia" w:ascii="宋体" w:hAnsi="宋体" w:eastAsia="宋体" w:cs="宋体"/>
          <w:b w:val="0"/>
          <w:bCs/>
          <w:i w:val="0"/>
          <w:iCs w:val="0"/>
          <w:color w:val="auto"/>
          <w:kern w:val="0"/>
          <w:szCs w:val="21"/>
          <w:highlight w:val="none"/>
          <w:lang w:eastAsia="zh-CN"/>
        </w:rPr>
        <w:t>）《电缆工程电缆设计标准》（</w:t>
      </w:r>
      <w:r>
        <w:rPr>
          <w:rFonts w:hint="eastAsia" w:ascii="宋体" w:hAnsi="宋体" w:eastAsia="宋体" w:cs="宋体"/>
          <w:b w:val="0"/>
          <w:bCs/>
          <w:i w:val="0"/>
          <w:iCs w:val="0"/>
          <w:color w:val="auto"/>
          <w:kern w:val="0"/>
          <w:szCs w:val="21"/>
          <w:highlight w:val="none"/>
          <w:lang w:val="en-US" w:eastAsia="zh-CN"/>
        </w:rPr>
        <w:t>GB50217-2018</w:t>
      </w:r>
      <w:r>
        <w:rPr>
          <w:rFonts w:hint="eastAsia" w:ascii="宋体" w:hAnsi="宋体" w:eastAsia="宋体" w:cs="宋体"/>
          <w:b w:val="0"/>
          <w:bCs/>
          <w:i w:val="0"/>
          <w:iCs w:val="0"/>
          <w:color w:val="auto"/>
          <w:kern w:val="0"/>
          <w:szCs w:val="21"/>
          <w:highlight w:val="none"/>
          <w:lang w:eastAsia="zh-CN"/>
        </w:rPr>
        <w:t>）；</w:t>
      </w:r>
    </w:p>
    <w:p w14:paraId="2BD73719">
      <w:pPr>
        <w:keepNext w:val="0"/>
        <w:keepLines w:val="0"/>
        <w:pageBreakBefore w:val="0"/>
        <w:widowControl w:val="0"/>
        <w:kinsoku/>
        <w:wordWrap w:val="0"/>
        <w:overflowPunct/>
        <w:topLinePunct w:val="0"/>
        <w:autoSpaceDE/>
        <w:autoSpaceDN/>
        <w:bidi w:val="0"/>
        <w:adjustRightInd w:val="0"/>
        <w:snapToGrid w:val="0"/>
        <w:spacing w:before="0" w:beforeLines="0" w:after="0" w:afterLines="0" w:line="500" w:lineRule="exact"/>
        <w:ind w:right="0" w:rightChars="0" w:firstLine="480" w:firstLineChars="200"/>
        <w:textAlignment w:val="auto"/>
        <w:rPr>
          <w:rFonts w:hint="eastAsia" w:ascii="宋体" w:hAnsi="宋体" w:eastAsia="宋体" w:cs="宋体"/>
          <w:b/>
          <w:snapToGrid w:val="0"/>
          <w:color w:val="auto"/>
          <w:kern w:val="0"/>
          <w:highlight w:val="none"/>
        </w:rPr>
      </w:pPr>
      <w:r>
        <w:rPr>
          <w:rFonts w:hint="eastAsia" w:ascii="宋体" w:hAnsi="宋体" w:eastAsia="宋体" w:cs="宋体"/>
          <w:b w:val="0"/>
          <w:bCs/>
          <w:caps w:val="0"/>
          <w:smallCaps w:val="0"/>
          <w:snapToGrid w:val="0"/>
          <w:color w:val="auto"/>
          <w:spacing w:val="0"/>
          <w:kern w:val="0"/>
          <w:highlight w:val="none"/>
          <w:lang w:eastAsia="zh-CN"/>
        </w:rPr>
        <w:t>（</w:t>
      </w:r>
      <w:r>
        <w:rPr>
          <w:rFonts w:hint="eastAsia" w:ascii="宋体" w:hAnsi="宋体" w:eastAsia="宋体" w:cs="宋体"/>
          <w:b w:val="0"/>
          <w:bCs/>
          <w:caps w:val="0"/>
          <w:smallCaps w:val="0"/>
          <w:snapToGrid w:val="0"/>
          <w:color w:val="auto"/>
          <w:spacing w:val="0"/>
          <w:kern w:val="0"/>
          <w:highlight w:val="none"/>
          <w:lang w:val="en-US" w:eastAsia="zh-CN"/>
        </w:rPr>
        <w:t>17</w:t>
      </w:r>
      <w:r>
        <w:rPr>
          <w:rFonts w:hint="eastAsia" w:ascii="宋体" w:hAnsi="宋体" w:eastAsia="宋体" w:cs="宋体"/>
          <w:b w:val="0"/>
          <w:bCs/>
          <w:caps w:val="0"/>
          <w:smallCaps w:val="0"/>
          <w:snapToGrid w:val="0"/>
          <w:color w:val="auto"/>
          <w:spacing w:val="0"/>
          <w:kern w:val="0"/>
          <w:highlight w:val="none"/>
          <w:lang w:eastAsia="zh-CN"/>
        </w:rPr>
        <w:t>）其他现行国家、广东省关于市政工程的技术及验收规范、</w:t>
      </w:r>
      <w:r>
        <w:rPr>
          <w:rFonts w:hint="eastAsia" w:ascii="宋体" w:hAnsi="宋体" w:eastAsia="宋体" w:cs="宋体"/>
          <w:b w:val="0"/>
          <w:bCs/>
          <w:caps w:val="0"/>
          <w:smallCaps w:val="0"/>
          <w:snapToGrid w:val="0"/>
          <w:color w:val="auto"/>
          <w:spacing w:val="0"/>
          <w:kern w:val="0"/>
          <w:highlight w:val="none"/>
          <w:lang w:val="en-US" w:eastAsia="zh-CN"/>
        </w:rPr>
        <w:t>定额、</w:t>
      </w:r>
      <w:r>
        <w:rPr>
          <w:rFonts w:hint="eastAsia" w:ascii="宋体" w:hAnsi="宋体" w:eastAsia="宋体" w:cs="宋体"/>
          <w:b w:val="0"/>
          <w:bCs/>
          <w:caps w:val="0"/>
          <w:smallCaps w:val="0"/>
          <w:snapToGrid w:val="0"/>
          <w:color w:val="auto"/>
          <w:spacing w:val="0"/>
          <w:kern w:val="0"/>
          <w:highlight w:val="none"/>
          <w:lang w:eastAsia="zh-CN"/>
        </w:rPr>
        <w:t>规程、标准。</w:t>
      </w:r>
    </w:p>
    <w:p w14:paraId="20839665">
      <w:pPr>
        <w:keepNext w:val="0"/>
        <w:keepLines w:val="0"/>
        <w:pageBreakBefore w:val="0"/>
        <w:kinsoku/>
        <w:wordWrap w:val="0"/>
        <w:overflowPunct/>
        <w:topLinePunct w:val="0"/>
        <w:bidi w:val="0"/>
        <w:adjustRightInd w:val="0"/>
        <w:snapToGrid w:val="0"/>
        <w:spacing w:line="500" w:lineRule="exact"/>
        <w:ind w:firstLine="482" w:firstLineChars="200"/>
        <w:outlineLvl w:val="9"/>
        <w:rPr>
          <w:rFonts w:hint="eastAsia" w:ascii="宋体" w:hAnsi="宋体" w:eastAsia="宋体" w:cs="宋体"/>
          <w:b/>
          <w:snapToGrid w:val="0"/>
          <w:color w:val="auto"/>
          <w:kern w:val="0"/>
          <w:highlight w:val="none"/>
        </w:rPr>
      </w:pPr>
      <w:bookmarkStart w:id="288" w:name="_Toc20571"/>
      <w:bookmarkStart w:id="289" w:name="_Toc5246"/>
      <w:r>
        <w:rPr>
          <w:rFonts w:hint="eastAsia" w:ascii="宋体" w:hAnsi="宋体" w:eastAsia="宋体" w:cs="宋体"/>
          <w:b/>
          <w:snapToGrid w:val="0"/>
          <w:color w:val="auto"/>
          <w:kern w:val="0"/>
          <w:highlight w:val="none"/>
        </w:rPr>
        <w:t>3．备查要求</w:t>
      </w:r>
      <w:bookmarkEnd w:id="288"/>
      <w:bookmarkEnd w:id="289"/>
    </w:p>
    <w:p w14:paraId="06C3D4AC">
      <w:pPr>
        <w:keepNext w:val="0"/>
        <w:keepLines w:val="0"/>
        <w:pageBreakBefore w:val="0"/>
        <w:kinsoku/>
        <w:wordWrap w:val="0"/>
        <w:overflowPunct/>
        <w:topLinePunct w:val="0"/>
        <w:bidi w:val="0"/>
        <w:adjustRightInd w:val="0"/>
        <w:snapToGrid w:val="0"/>
        <w:spacing w:line="500" w:lineRule="exact"/>
        <w:ind w:firstLine="560"/>
        <w:rPr>
          <w:rFonts w:hint="eastAsia" w:ascii="宋体" w:hAnsi="宋体" w:eastAsia="宋体" w:cs="宋体"/>
          <w:strike/>
          <w:snapToGrid w:val="0"/>
          <w:color w:val="auto"/>
          <w:kern w:val="0"/>
          <w:highlight w:val="none"/>
        </w:rPr>
        <w:sectPr>
          <w:endnotePr>
            <w:numFmt w:val="decimal"/>
          </w:endnotePr>
          <w:pgSz w:w="11906" w:h="16838"/>
          <w:pgMar w:top="1417" w:right="1417" w:bottom="1417" w:left="1417" w:header="850" w:footer="992" w:gutter="0"/>
          <w:pgNumType w:fmt="decimal"/>
          <w:cols w:space="0" w:num="1"/>
          <w:rtlGutter w:val="0"/>
          <w:docGrid w:linePitch="327" w:charSpace="0"/>
        </w:sectPr>
      </w:pPr>
      <w:r>
        <w:rPr>
          <w:rFonts w:hint="eastAsia" w:ascii="宋体" w:hAnsi="宋体" w:eastAsia="宋体" w:cs="宋体"/>
          <w:b w:val="0"/>
          <w:bCs/>
          <w:snapToGrid w:val="0"/>
          <w:color w:val="auto"/>
          <w:kern w:val="0"/>
          <w:highlight w:val="none"/>
        </w:rPr>
        <w:t>监理人必须在施工现场准备至少一套上述规范，委托人可随时检</w:t>
      </w:r>
      <w:r>
        <w:rPr>
          <w:rFonts w:hint="eastAsia" w:ascii="宋体" w:hAnsi="宋体" w:eastAsia="宋体" w:cs="宋体"/>
          <w:bCs/>
          <w:snapToGrid w:val="0"/>
          <w:color w:val="auto"/>
          <w:kern w:val="0"/>
          <w:highlight w:val="none"/>
        </w:rPr>
        <w:t>查监理人的上述规范，并监督监理人按规范要求执行。</w:t>
      </w:r>
      <w:bookmarkStart w:id="290" w:name="_Hlt69670335"/>
      <w:bookmarkEnd w:id="290"/>
    </w:p>
    <w:p w14:paraId="2C01AB53">
      <w:pPr>
        <w:pStyle w:val="4"/>
        <w:wordWrap w:val="0"/>
        <w:autoSpaceDE/>
        <w:autoSpaceDN/>
        <w:snapToGrid w:val="0"/>
        <w:spacing w:line="440" w:lineRule="exact"/>
        <w:jc w:val="center"/>
        <w:rPr>
          <w:rFonts w:ascii="Times New Roman"/>
          <w:b/>
          <w:snapToGrid w:val="0"/>
          <w:color w:val="auto"/>
          <w:sz w:val="32"/>
          <w:szCs w:val="22"/>
          <w:highlight w:val="none"/>
        </w:rPr>
      </w:pPr>
      <w:bookmarkStart w:id="291" w:name="_Toc4295"/>
      <w:r>
        <w:rPr>
          <w:rFonts w:hint="eastAsia" w:ascii="Times New Roman"/>
          <w:b/>
          <w:snapToGrid w:val="0"/>
          <w:color w:val="auto"/>
          <w:sz w:val="32"/>
          <w:szCs w:val="22"/>
          <w:highlight w:val="none"/>
        </w:rPr>
        <w:t xml:space="preserve">第五章 </w:t>
      </w:r>
      <w:bookmarkStart w:id="292" w:name="_Hlt75747044"/>
      <w:bookmarkEnd w:id="292"/>
      <w:r>
        <w:rPr>
          <w:rFonts w:hint="eastAsia" w:ascii="Times New Roman"/>
          <w:b/>
          <w:snapToGrid w:val="0"/>
          <w:color w:val="auto"/>
          <w:sz w:val="32"/>
          <w:szCs w:val="22"/>
          <w:highlight w:val="none"/>
        </w:rPr>
        <w:t>投标文件格式</w:t>
      </w:r>
      <w:bookmarkEnd w:id="266"/>
      <w:bookmarkEnd w:id="291"/>
    </w:p>
    <w:bookmarkEnd w:id="267"/>
    <w:p w14:paraId="7A6D8682">
      <w:pPr>
        <w:pStyle w:val="72"/>
        <w:keepNext w:val="0"/>
        <w:keepLines w:val="0"/>
        <w:widowControl w:val="0"/>
        <w:wordWrap w:val="0"/>
        <w:adjustRightInd w:val="0"/>
        <w:snapToGrid w:val="0"/>
        <w:spacing w:before="0" w:after="0" w:line="240" w:lineRule="auto"/>
        <w:ind w:left="3640" w:leftChars="15" w:hanging="3604" w:hangingChars="1496"/>
        <w:jc w:val="both"/>
        <w:outlineLvl w:val="9"/>
        <w:rPr>
          <w:rFonts w:ascii="Times New Roman"/>
          <w:b/>
          <w:snapToGrid w:val="0"/>
          <w:color w:val="auto"/>
          <w:highlight w:val="none"/>
        </w:rPr>
      </w:pPr>
      <w:bookmarkStart w:id="293" w:name="_附件二：工期承诺书"/>
      <w:bookmarkEnd w:id="293"/>
      <w:bookmarkStart w:id="294" w:name="_附件五：综合评审合理低价法"/>
      <w:bookmarkEnd w:id="294"/>
      <w:bookmarkStart w:id="295" w:name="_附件二：近三年度主要施工项目（竣工及在建）一览表"/>
      <w:bookmarkEnd w:id="295"/>
      <w:bookmarkStart w:id="296" w:name="_附件四：工期承诺书"/>
      <w:bookmarkEnd w:id="296"/>
      <w:bookmarkStart w:id="297" w:name="_附件一：投标函"/>
      <w:bookmarkEnd w:id="297"/>
      <w:bookmarkStart w:id="298" w:name="_附件一：对招标文件条款自愿接受承诺书"/>
      <w:bookmarkEnd w:id="298"/>
      <w:bookmarkStart w:id="299" w:name="_Toc66849200"/>
      <w:bookmarkStart w:id="300" w:name="_Hlt66847557"/>
      <w:bookmarkStart w:id="301" w:name="_Toc137621693"/>
      <w:bookmarkStart w:id="302" w:name="_Toc200338097"/>
    </w:p>
    <w:p w14:paraId="605BD047">
      <w:pPr>
        <w:pStyle w:val="72"/>
        <w:keepNext w:val="0"/>
        <w:keepLines w:val="0"/>
        <w:widowControl w:val="0"/>
        <w:wordWrap w:val="0"/>
        <w:adjustRightInd w:val="0"/>
        <w:snapToGrid w:val="0"/>
        <w:spacing w:before="0" w:after="0" w:line="240" w:lineRule="auto"/>
        <w:ind w:left="3640" w:leftChars="15" w:hanging="3604" w:hangingChars="1496"/>
        <w:jc w:val="both"/>
        <w:outlineLvl w:val="1"/>
        <w:rPr>
          <w:rFonts w:ascii="Times New Roman"/>
          <w:b/>
          <w:snapToGrid w:val="0"/>
          <w:color w:val="auto"/>
          <w:highlight w:val="none"/>
        </w:rPr>
      </w:pPr>
      <w:bookmarkStart w:id="303" w:name="_Toc63"/>
      <w:bookmarkStart w:id="304" w:name="_Toc29621"/>
      <w:r>
        <w:rPr>
          <w:rFonts w:hint="eastAsia" w:ascii="Times New Roman"/>
          <w:b/>
          <w:snapToGrid w:val="0"/>
          <w:color w:val="auto"/>
          <w:highlight w:val="none"/>
        </w:rPr>
        <w:t>格式一 封面</w:t>
      </w:r>
      <w:bookmarkEnd w:id="303"/>
      <w:bookmarkEnd w:id="304"/>
    </w:p>
    <w:p w14:paraId="5DF40F53">
      <w:pPr>
        <w:pStyle w:val="73"/>
        <w:widowControl w:val="0"/>
        <w:wordWrap w:val="0"/>
        <w:adjustRightInd w:val="0"/>
        <w:snapToGrid w:val="0"/>
        <w:spacing w:line="240" w:lineRule="auto"/>
        <w:rPr>
          <w:rFonts w:ascii="Times New Roman"/>
          <w:b/>
          <w:snapToGrid w:val="0"/>
          <w:color w:val="auto"/>
          <w:sz w:val="24"/>
          <w:highlight w:val="none"/>
        </w:rPr>
      </w:pPr>
    </w:p>
    <w:p w14:paraId="6FBB4A80">
      <w:pPr>
        <w:pStyle w:val="73"/>
        <w:widowControl w:val="0"/>
        <w:wordWrap w:val="0"/>
        <w:adjustRightInd w:val="0"/>
        <w:snapToGrid w:val="0"/>
        <w:spacing w:line="240" w:lineRule="auto"/>
        <w:jc w:val="right"/>
        <w:rPr>
          <w:rFonts w:ascii="Times New Roman"/>
          <w:b/>
          <w:snapToGrid w:val="0"/>
          <w:color w:val="auto"/>
          <w:sz w:val="24"/>
          <w:highlight w:val="none"/>
        </w:rPr>
      </w:pPr>
    </w:p>
    <w:p w14:paraId="59746A92">
      <w:pPr>
        <w:pStyle w:val="73"/>
        <w:widowControl w:val="0"/>
        <w:wordWrap w:val="0"/>
        <w:adjustRightInd w:val="0"/>
        <w:snapToGrid w:val="0"/>
        <w:spacing w:line="240" w:lineRule="auto"/>
        <w:rPr>
          <w:rFonts w:ascii="Times New Roman"/>
          <w:b/>
          <w:snapToGrid w:val="0"/>
          <w:color w:val="auto"/>
          <w:sz w:val="24"/>
          <w:highlight w:val="none"/>
        </w:rPr>
      </w:pPr>
    </w:p>
    <w:p w14:paraId="0294BCEE">
      <w:pPr>
        <w:pStyle w:val="73"/>
        <w:widowControl w:val="0"/>
        <w:wordWrap w:val="0"/>
        <w:adjustRightInd w:val="0"/>
        <w:snapToGrid w:val="0"/>
        <w:spacing w:line="240" w:lineRule="auto"/>
        <w:rPr>
          <w:rFonts w:ascii="Times New Roman"/>
          <w:b/>
          <w:snapToGrid w:val="0"/>
          <w:color w:val="auto"/>
          <w:sz w:val="24"/>
          <w:highlight w:val="none"/>
        </w:rPr>
      </w:pPr>
    </w:p>
    <w:p w14:paraId="7513099E">
      <w:pPr>
        <w:pStyle w:val="73"/>
        <w:widowControl w:val="0"/>
        <w:wordWrap w:val="0"/>
        <w:adjustRightInd w:val="0"/>
        <w:snapToGrid w:val="0"/>
        <w:spacing w:line="240" w:lineRule="auto"/>
        <w:rPr>
          <w:rFonts w:ascii="Times New Roman"/>
          <w:b/>
          <w:snapToGrid w:val="0"/>
          <w:color w:val="auto"/>
          <w:sz w:val="24"/>
          <w:highlight w:val="none"/>
        </w:rPr>
      </w:pPr>
    </w:p>
    <w:p w14:paraId="4875FFE9">
      <w:pPr>
        <w:pStyle w:val="73"/>
        <w:widowControl w:val="0"/>
        <w:wordWrap w:val="0"/>
        <w:adjustRightInd w:val="0"/>
        <w:snapToGrid w:val="0"/>
        <w:spacing w:line="240" w:lineRule="auto"/>
        <w:rPr>
          <w:rFonts w:ascii="Times New Roman"/>
          <w:b/>
          <w:snapToGrid w:val="0"/>
          <w:color w:val="auto"/>
          <w:sz w:val="24"/>
          <w:highlight w:val="none"/>
        </w:rPr>
      </w:pPr>
    </w:p>
    <w:p w14:paraId="2D9D39D4">
      <w:pPr>
        <w:pStyle w:val="73"/>
        <w:widowControl w:val="0"/>
        <w:wordWrap w:val="0"/>
        <w:adjustRightInd w:val="0"/>
        <w:snapToGrid w:val="0"/>
        <w:spacing w:line="240" w:lineRule="auto"/>
        <w:rPr>
          <w:rFonts w:ascii="Times New Roman"/>
          <w:b/>
          <w:snapToGrid w:val="0"/>
          <w:color w:val="auto"/>
          <w:sz w:val="24"/>
          <w:highlight w:val="none"/>
        </w:rPr>
      </w:pPr>
    </w:p>
    <w:p w14:paraId="5F4307BB">
      <w:pPr>
        <w:pStyle w:val="73"/>
        <w:widowControl w:val="0"/>
        <w:wordWrap w:val="0"/>
        <w:adjustRightInd w:val="0"/>
        <w:snapToGrid w:val="0"/>
        <w:spacing w:line="240" w:lineRule="auto"/>
        <w:rPr>
          <w:rFonts w:ascii="Times New Roman"/>
          <w:b/>
          <w:snapToGrid w:val="0"/>
          <w:color w:val="auto"/>
          <w:sz w:val="24"/>
          <w:highlight w:val="none"/>
        </w:rPr>
      </w:pPr>
    </w:p>
    <w:p w14:paraId="0005A7BA">
      <w:pPr>
        <w:pStyle w:val="73"/>
        <w:widowControl w:val="0"/>
        <w:wordWrap w:val="0"/>
        <w:adjustRightInd w:val="0"/>
        <w:snapToGrid w:val="0"/>
        <w:spacing w:line="240" w:lineRule="auto"/>
        <w:rPr>
          <w:rFonts w:ascii="Times New Roman"/>
          <w:b/>
          <w:snapToGrid w:val="0"/>
          <w:color w:val="auto"/>
          <w:sz w:val="24"/>
          <w:highlight w:val="none"/>
        </w:rPr>
      </w:pPr>
    </w:p>
    <w:p w14:paraId="38D03B0C">
      <w:pPr>
        <w:pStyle w:val="73"/>
        <w:widowControl w:val="0"/>
        <w:wordWrap w:val="0"/>
        <w:adjustRightInd w:val="0"/>
        <w:snapToGrid w:val="0"/>
        <w:spacing w:line="240" w:lineRule="auto"/>
        <w:rPr>
          <w:rFonts w:ascii="Times New Roman"/>
          <w:b/>
          <w:snapToGrid w:val="0"/>
          <w:color w:val="auto"/>
          <w:sz w:val="24"/>
          <w:highlight w:val="none"/>
        </w:rPr>
      </w:pPr>
    </w:p>
    <w:p w14:paraId="01F56212">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Cs/>
          <w:snapToGrid w:val="0"/>
          <w:color w:val="auto"/>
          <w:sz w:val="48"/>
          <w:szCs w:val="48"/>
          <w:highlight w:val="none"/>
          <w:u w:val="single"/>
        </w:rPr>
        <w:t xml:space="preserve">             </w:t>
      </w:r>
      <w:r>
        <w:rPr>
          <w:rFonts w:hint="eastAsia" w:ascii="Times New Roman"/>
          <w:b/>
          <w:snapToGrid w:val="0"/>
          <w:color w:val="auto"/>
          <w:sz w:val="48"/>
          <w:szCs w:val="48"/>
          <w:highlight w:val="none"/>
        </w:rPr>
        <w:t>（项目名称）招标</w:t>
      </w:r>
    </w:p>
    <w:p w14:paraId="3BD1E3C7">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3D2A6112">
      <w:pPr>
        <w:pStyle w:val="73"/>
        <w:widowControl w:val="0"/>
        <w:wordWrap w:val="0"/>
        <w:adjustRightInd w:val="0"/>
        <w:snapToGrid w:val="0"/>
        <w:spacing w:line="240" w:lineRule="auto"/>
        <w:ind w:firstLine="0"/>
        <w:jc w:val="center"/>
        <w:rPr>
          <w:rFonts w:ascii="Times New Roman"/>
          <w:b/>
          <w:snapToGrid w:val="0"/>
          <w:color w:val="auto"/>
          <w:sz w:val="72"/>
          <w:highlight w:val="none"/>
        </w:rPr>
      </w:pPr>
      <w:r>
        <w:rPr>
          <w:rFonts w:hint="eastAsia" w:ascii="Times New Roman"/>
          <w:b/>
          <w:snapToGrid w:val="0"/>
          <w:color w:val="auto"/>
          <w:sz w:val="72"/>
          <w:highlight w:val="none"/>
        </w:rPr>
        <w:t>投  标  文  件</w:t>
      </w:r>
    </w:p>
    <w:p w14:paraId="5A4D8E98">
      <w:pPr>
        <w:pStyle w:val="73"/>
        <w:widowControl w:val="0"/>
        <w:wordWrap w:val="0"/>
        <w:adjustRightInd w:val="0"/>
        <w:snapToGrid w:val="0"/>
        <w:spacing w:line="240" w:lineRule="auto"/>
        <w:ind w:firstLine="0"/>
        <w:jc w:val="center"/>
        <w:rPr>
          <w:rFonts w:ascii="Times New Roman"/>
          <w:b/>
          <w:snapToGrid w:val="0"/>
          <w:color w:val="auto"/>
          <w:sz w:val="32"/>
          <w:highlight w:val="none"/>
        </w:rPr>
      </w:pPr>
    </w:p>
    <w:p w14:paraId="189B292E">
      <w:pPr>
        <w:pStyle w:val="73"/>
        <w:widowControl w:val="0"/>
        <w:wordWrap w:val="0"/>
        <w:adjustRightInd w:val="0"/>
        <w:snapToGrid w:val="0"/>
        <w:spacing w:line="240" w:lineRule="auto"/>
        <w:ind w:firstLine="0"/>
        <w:jc w:val="center"/>
        <w:rPr>
          <w:rFonts w:ascii="Times New Roman"/>
          <w:b/>
          <w:snapToGrid w:val="0"/>
          <w:color w:val="auto"/>
          <w:sz w:val="48"/>
          <w:szCs w:val="48"/>
          <w:highlight w:val="none"/>
        </w:rPr>
      </w:pPr>
      <w:r>
        <w:rPr>
          <w:rFonts w:hint="eastAsia" w:ascii="Times New Roman"/>
          <w:b/>
          <w:snapToGrid w:val="0"/>
          <w:color w:val="auto"/>
          <w:sz w:val="48"/>
          <w:szCs w:val="48"/>
          <w:highlight w:val="none"/>
        </w:rPr>
        <w:t>（商务标书／监理大纲／</w:t>
      </w:r>
      <w:r>
        <w:rPr>
          <w:rFonts w:hint="eastAsia" w:ascii="Times New Roman"/>
          <w:b/>
          <w:snapToGrid w:val="0"/>
          <w:color w:val="auto"/>
          <w:sz w:val="48"/>
          <w:szCs w:val="48"/>
          <w:highlight w:val="none"/>
          <w:lang w:val="en-US" w:eastAsia="zh-CN"/>
        </w:rPr>
        <w:t>定标文件</w:t>
      </w:r>
      <w:r>
        <w:rPr>
          <w:rFonts w:hint="eastAsia" w:ascii="Times New Roman"/>
          <w:b/>
          <w:snapToGrid w:val="0"/>
          <w:color w:val="auto"/>
          <w:sz w:val="48"/>
          <w:szCs w:val="48"/>
          <w:highlight w:val="none"/>
        </w:rPr>
        <w:t>）</w:t>
      </w:r>
    </w:p>
    <w:p w14:paraId="21D0A39E">
      <w:pPr>
        <w:pStyle w:val="73"/>
        <w:widowControl w:val="0"/>
        <w:wordWrap w:val="0"/>
        <w:adjustRightInd w:val="0"/>
        <w:snapToGrid w:val="0"/>
        <w:spacing w:line="240" w:lineRule="auto"/>
        <w:rPr>
          <w:rFonts w:ascii="Times New Roman"/>
          <w:b/>
          <w:snapToGrid w:val="0"/>
          <w:color w:val="auto"/>
          <w:highlight w:val="none"/>
        </w:rPr>
      </w:pPr>
    </w:p>
    <w:p w14:paraId="47BA86B9">
      <w:pPr>
        <w:pStyle w:val="73"/>
        <w:widowControl w:val="0"/>
        <w:wordWrap w:val="0"/>
        <w:adjustRightInd w:val="0"/>
        <w:snapToGrid w:val="0"/>
        <w:spacing w:line="240" w:lineRule="auto"/>
        <w:rPr>
          <w:rFonts w:ascii="Times New Roman"/>
          <w:b/>
          <w:snapToGrid w:val="0"/>
          <w:color w:val="auto"/>
          <w:sz w:val="32"/>
          <w:highlight w:val="none"/>
        </w:rPr>
      </w:pPr>
    </w:p>
    <w:p w14:paraId="65C3F1D5">
      <w:pPr>
        <w:pStyle w:val="73"/>
        <w:widowControl w:val="0"/>
        <w:wordWrap w:val="0"/>
        <w:adjustRightInd w:val="0"/>
        <w:snapToGrid w:val="0"/>
        <w:spacing w:line="240" w:lineRule="auto"/>
        <w:rPr>
          <w:rFonts w:ascii="Times New Roman"/>
          <w:b/>
          <w:snapToGrid w:val="0"/>
          <w:color w:val="auto"/>
          <w:sz w:val="32"/>
          <w:highlight w:val="none"/>
        </w:rPr>
      </w:pPr>
    </w:p>
    <w:p w14:paraId="04CF17A0">
      <w:pPr>
        <w:pStyle w:val="73"/>
        <w:widowControl w:val="0"/>
        <w:wordWrap w:val="0"/>
        <w:adjustRightInd w:val="0"/>
        <w:snapToGrid w:val="0"/>
        <w:spacing w:line="240" w:lineRule="auto"/>
        <w:rPr>
          <w:rFonts w:ascii="Times New Roman"/>
          <w:b/>
          <w:snapToGrid w:val="0"/>
          <w:color w:val="auto"/>
          <w:sz w:val="32"/>
          <w:highlight w:val="none"/>
        </w:rPr>
      </w:pPr>
    </w:p>
    <w:p w14:paraId="70B9E93C">
      <w:pPr>
        <w:pStyle w:val="73"/>
        <w:widowControl w:val="0"/>
        <w:wordWrap w:val="0"/>
        <w:adjustRightInd w:val="0"/>
        <w:snapToGrid w:val="0"/>
        <w:spacing w:line="240" w:lineRule="auto"/>
        <w:rPr>
          <w:rFonts w:ascii="Times New Roman"/>
          <w:b/>
          <w:snapToGrid w:val="0"/>
          <w:color w:val="auto"/>
          <w:sz w:val="32"/>
          <w:highlight w:val="none"/>
        </w:rPr>
      </w:pPr>
    </w:p>
    <w:p w14:paraId="1ECCE2FB">
      <w:pPr>
        <w:pStyle w:val="73"/>
        <w:widowControl w:val="0"/>
        <w:wordWrap w:val="0"/>
        <w:adjustRightInd w:val="0"/>
        <w:snapToGrid w:val="0"/>
        <w:spacing w:line="240" w:lineRule="auto"/>
        <w:rPr>
          <w:rFonts w:ascii="Times New Roman"/>
          <w:b/>
          <w:snapToGrid w:val="0"/>
          <w:color w:val="auto"/>
          <w:sz w:val="32"/>
          <w:highlight w:val="none"/>
        </w:rPr>
      </w:pPr>
    </w:p>
    <w:p w14:paraId="1EB2808C">
      <w:pPr>
        <w:pStyle w:val="73"/>
        <w:widowControl w:val="0"/>
        <w:wordWrap w:val="0"/>
        <w:adjustRightInd w:val="0"/>
        <w:snapToGrid w:val="0"/>
        <w:spacing w:line="240" w:lineRule="auto"/>
        <w:rPr>
          <w:rFonts w:ascii="Times New Roman"/>
          <w:b/>
          <w:snapToGrid w:val="0"/>
          <w:color w:val="auto"/>
          <w:sz w:val="32"/>
          <w:highlight w:val="none"/>
        </w:rPr>
      </w:pPr>
    </w:p>
    <w:p w14:paraId="759F596E">
      <w:pPr>
        <w:pStyle w:val="73"/>
        <w:widowControl w:val="0"/>
        <w:wordWrap w:val="0"/>
        <w:adjustRightInd w:val="0"/>
        <w:snapToGrid w:val="0"/>
        <w:spacing w:line="240" w:lineRule="auto"/>
        <w:rPr>
          <w:rFonts w:ascii="Times New Roman"/>
          <w:b/>
          <w:snapToGrid w:val="0"/>
          <w:color w:val="auto"/>
          <w:sz w:val="32"/>
          <w:highlight w:val="none"/>
        </w:rPr>
      </w:pPr>
    </w:p>
    <w:p w14:paraId="146D5E17">
      <w:pPr>
        <w:pStyle w:val="73"/>
        <w:widowControl w:val="0"/>
        <w:wordWrap w:val="0"/>
        <w:adjustRightInd w:val="0"/>
        <w:snapToGrid w:val="0"/>
        <w:spacing w:line="240" w:lineRule="auto"/>
        <w:rPr>
          <w:rFonts w:ascii="Times New Roman"/>
          <w:b/>
          <w:snapToGrid w:val="0"/>
          <w:color w:val="auto"/>
          <w:sz w:val="32"/>
          <w:highlight w:val="none"/>
        </w:rPr>
      </w:pPr>
    </w:p>
    <w:p w14:paraId="6742C860">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投标人：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（盖单位章）</w:t>
      </w:r>
    </w:p>
    <w:p w14:paraId="4DAF0F5D">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0642C6A2">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60435907">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6A449385">
      <w:pPr>
        <w:pStyle w:val="73"/>
        <w:widowControl w:val="0"/>
        <w:wordWrap w:val="0"/>
        <w:adjustRightInd w:val="0"/>
        <w:snapToGrid w:val="0"/>
        <w:spacing w:line="240" w:lineRule="auto"/>
        <w:ind w:firstLine="0"/>
        <w:jc w:val="center"/>
        <w:rPr>
          <w:rFonts w:ascii="Times New Roman"/>
          <w:bCs/>
          <w:snapToGrid w:val="0"/>
          <w:color w:val="auto"/>
          <w:sz w:val="32"/>
          <w:highlight w:val="none"/>
        </w:rPr>
      </w:pPr>
      <w:r>
        <w:rPr>
          <w:rFonts w:hint="eastAsia" w:ascii="Times New Roman"/>
          <w:bCs/>
          <w:snapToGrid w:val="0"/>
          <w:color w:val="auto"/>
          <w:sz w:val="32"/>
          <w:highlight w:val="none"/>
        </w:rPr>
        <w:t>法定代表人或其委托代理人：</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（签字或盖章）</w:t>
      </w:r>
    </w:p>
    <w:p w14:paraId="234CEA92">
      <w:pPr>
        <w:pStyle w:val="73"/>
        <w:widowControl w:val="0"/>
        <w:wordWrap w:val="0"/>
        <w:adjustRightInd w:val="0"/>
        <w:snapToGrid w:val="0"/>
        <w:spacing w:line="240" w:lineRule="auto"/>
        <w:ind w:firstLine="0"/>
        <w:jc w:val="center"/>
        <w:rPr>
          <w:rFonts w:ascii="Times New Roman"/>
          <w:bCs/>
          <w:snapToGrid w:val="0"/>
          <w:color w:val="auto"/>
          <w:sz w:val="32"/>
          <w:highlight w:val="none"/>
        </w:rPr>
      </w:pPr>
    </w:p>
    <w:p w14:paraId="565FD46B">
      <w:pPr>
        <w:pStyle w:val="73"/>
        <w:widowControl w:val="0"/>
        <w:wordWrap w:val="0"/>
        <w:adjustRightInd w:val="0"/>
        <w:snapToGrid w:val="0"/>
        <w:spacing w:line="240" w:lineRule="auto"/>
        <w:ind w:firstLine="0"/>
        <w:jc w:val="center"/>
        <w:rPr>
          <w:rFonts w:ascii="Times New Roman"/>
          <w:bCs/>
          <w:snapToGrid w:val="0"/>
          <w:color w:val="auto"/>
          <w:sz w:val="32"/>
          <w:highlight w:val="none"/>
          <w:u w:val="single"/>
        </w:rPr>
      </w:pPr>
    </w:p>
    <w:p w14:paraId="1A771D3C">
      <w:pPr>
        <w:pStyle w:val="73"/>
        <w:widowControl w:val="0"/>
        <w:wordWrap w:val="0"/>
        <w:adjustRightInd w:val="0"/>
        <w:snapToGrid w:val="0"/>
        <w:spacing w:line="240" w:lineRule="auto"/>
        <w:ind w:firstLine="0"/>
        <w:jc w:val="center"/>
        <w:rPr>
          <w:rFonts w:ascii="Times New Roman"/>
          <w:b/>
          <w:snapToGrid w:val="0"/>
          <w:color w:val="auto"/>
          <w:highlight w:val="none"/>
        </w:rPr>
      </w:pP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年</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月</w:t>
      </w:r>
      <w:r>
        <w:rPr>
          <w:rFonts w:hint="eastAsia" w:ascii="Times New Roman"/>
          <w:bCs/>
          <w:snapToGrid w:val="0"/>
          <w:color w:val="auto"/>
          <w:sz w:val="32"/>
          <w:highlight w:val="none"/>
          <w:u w:val="single"/>
        </w:rPr>
        <w:t xml:space="preserve">      </w:t>
      </w:r>
      <w:r>
        <w:rPr>
          <w:rFonts w:hint="eastAsia" w:ascii="Times New Roman"/>
          <w:bCs/>
          <w:snapToGrid w:val="0"/>
          <w:color w:val="auto"/>
          <w:sz w:val="32"/>
          <w:highlight w:val="none"/>
        </w:rPr>
        <w:t>日</w:t>
      </w:r>
    </w:p>
    <w:p w14:paraId="2B7C22CA">
      <w:pPr>
        <w:pStyle w:val="73"/>
        <w:widowControl w:val="0"/>
        <w:wordWrap w:val="0"/>
        <w:adjustRightInd w:val="0"/>
        <w:snapToGrid w:val="0"/>
        <w:rPr>
          <w:rFonts w:ascii="Times New Roman"/>
          <w:b/>
          <w:snapToGrid w:val="0"/>
          <w:color w:val="auto"/>
          <w:highlight w:val="none"/>
        </w:rPr>
      </w:pPr>
    </w:p>
    <w:p w14:paraId="60968DD1">
      <w:pPr>
        <w:pStyle w:val="73"/>
        <w:widowControl w:val="0"/>
        <w:wordWrap w:val="0"/>
        <w:adjustRightInd w:val="0"/>
        <w:snapToGrid w:val="0"/>
        <w:rPr>
          <w:rFonts w:ascii="Times New Roman"/>
          <w:b/>
          <w:snapToGrid w:val="0"/>
          <w:color w:val="auto"/>
          <w:highlight w:val="none"/>
        </w:rPr>
      </w:pPr>
    </w:p>
    <w:p w14:paraId="20B8FB5C">
      <w:pPr>
        <w:pStyle w:val="73"/>
        <w:widowControl w:val="0"/>
        <w:wordWrap w:val="0"/>
        <w:adjustRightInd w:val="0"/>
        <w:snapToGrid w:val="0"/>
        <w:rPr>
          <w:rFonts w:ascii="Times New Roman"/>
          <w:b/>
          <w:snapToGrid w:val="0"/>
          <w:color w:val="auto"/>
          <w:highlight w:val="none"/>
        </w:rPr>
        <w:sectPr>
          <w:endnotePr>
            <w:numFmt w:val="decimal"/>
          </w:endnotePr>
          <w:pgSz w:w="11906" w:h="16838"/>
          <w:pgMar w:top="1417" w:right="1417" w:bottom="1417" w:left="1417" w:header="850" w:footer="992" w:gutter="0"/>
          <w:cols w:space="0" w:num="1"/>
          <w:docGrid w:linePitch="327" w:charSpace="0"/>
        </w:sectPr>
      </w:pPr>
    </w:p>
    <w:p w14:paraId="15A266C5">
      <w:pPr>
        <w:pStyle w:val="5"/>
        <w:wordWrap w:val="0"/>
        <w:autoSpaceDE/>
        <w:autoSpaceDN/>
        <w:snapToGrid w:val="0"/>
        <w:spacing w:line="440" w:lineRule="exact"/>
        <w:rPr>
          <w:rFonts w:ascii="Times New Roman"/>
          <w:b/>
          <w:snapToGrid w:val="0"/>
          <w:color w:val="auto"/>
          <w:highlight w:val="none"/>
        </w:rPr>
      </w:pPr>
      <w:bookmarkStart w:id="305" w:name="_Toc21838"/>
      <w:bookmarkStart w:id="306" w:name="_Toc19706"/>
      <w:bookmarkStart w:id="307" w:name="_Toc106418843"/>
      <w:bookmarkStart w:id="308" w:name="_Toc104711098"/>
      <w:r>
        <w:rPr>
          <w:rFonts w:hint="eastAsia" w:ascii="Times New Roman"/>
          <w:b/>
          <w:snapToGrid w:val="0"/>
          <w:color w:val="auto"/>
          <w:highlight w:val="none"/>
        </w:rPr>
        <w:t>格式</w:t>
      </w:r>
      <w:bookmarkStart w:id="309" w:name="_Hlt97526007"/>
      <w:bookmarkEnd w:id="309"/>
      <w:r>
        <w:rPr>
          <w:rFonts w:hint="eastAsia" w:ascii="Times New Roman"/>
          <w:b/>
          <w:snapToGrid w:val="0"/>
          <w:color w:val="auto"/>
          <w:highlight w:val="none"/>
        </w:rPr>
        <w:t>二 投标函</w:t>
      </w:r>
      <w:bookmarkEnd w:id="305"/>
      <w:bookmarkEnd w:id="306"/>
    </w:p>
    <w:p w14:paraId="47DFBF08">
      <w:pPr>
        <w:wordWrap w:val="0"/>
        <w:adjustRightInd w:val="0"/>
        <w:snapToGrid w:val="0"/>
        <w:spacing w:before="260" w:after="260" w:line="440" w:lineRule="exact"/>
        <w:jc w:val="center"/>
        <w:rPr>
          <w:rFonts w:ascii="Times New Roman"/>
          <w:b/>
          <w:snapToGrid w:val="0"/>
          <w:color w:val="auto"/>
          <w:kern w:val="0"/>
          <w:highlight w:val="none"/>
        </w:rPr>
      </w:pPr>
      <w:r>
        <w:rPr>
          <w:rFonts w:hint="eastAsia" w:ascii="Times New Roman"/>
          <w:b/>
          <w:snapToGrid w:val="0"/>
          <w:color w:val="auto"/>
          <w:kern w:val="0"/>
          <w:sz w:val="30"/>
          <w:highlight w:val="none"/>
        </w:rPr>
        <w:t>投</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标</w:t>
      </w:r>
      <w:r>
        <w:rPr>
          <w:rFonts w:ascii="Times New Roman"/>
          <w:b/>
          <w:snapToGrid w:val="0"/>
          <w:color w:val="auto"/>
          <w:kern w:val="0"/>
          <w:sz w:val="30"/>
          <w:highlight w:val="none"/>
        </w:rPr>
        <w:t xml:space="preserve">  </w:t>
      </w:r>
      <w:r>
        <w:rPr>
          <w:rFonts w:hint="eastAsia" w:ascii="Times New Roman"/>
          <w:b/>
          <w:snapToGrid w:val="0"/>
          <w:color w:val="auto"/>
          <w:kern w:val="0"/>
          <w:sz w:val="30"/>
          <w:highlight w:val="none"/>
        </w:rPr>
        <w:t>函</w:t>
      </w:r>
      <w:bookmarkEnd w:id="307"/>
      <w:bookmarkEnd w:id="308"/>
    </w:p>
    <w:p w14:paraId="7699421D">
      <w:pPr>
        <w:wordWrap w:val="0"/>
        <w:adjustRightInd w:val="0"/>
        <w:snapToGrid w:val="0"/>
        <w:spacing w:line="440" w:lineRule="exact"/>
        <w:jc w:val="center"/>
        <w:rPr>
          <w:rFonts w:ascii="Times New Roman"/>
          <w:b/>
          <w:snapToGrid w:val="0"/>
          <w:color w:val="auto"/>
          <w:kern w:val="0"/>
          <w:highlight w:val="none"/>
        </w:rPr>
      </w:pPr>
    </w:p>
    <w:p w14:paraId="6A37BA44">
      <w:pPr>
        <w:wordWrap w:val="0"/>
        <w:adjustRightInd w:val="0"/>
        <w:snapToGrid w:val="0"/>
        <w:spacing w:line="440" w:lineRule="exact"/>
        <w:rPr>
          <w:rFonts w:ascii="Times New Roman"/>
          <w:snapToGrid w:val="0"/>
          <w:color w:val="auto"/>
          <w:kern w:val="0"/>
          <w:highlight w:val="none"/>
        </w:rPr>
      </w:pPr>
      <w:r>
        <w:rPr>
          <w:rFonts w:hint="eastAsia" w:ascii="Times New Roman"/>
          <w:snapToGrid w:val="0"/>
          <w:color w:val="auto"/>
          <w:kern w:val="0"/>
          <w:highlight w:val="none"/>
        </w:rPr>
        <w:t>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（招标人名称）</w:t>
      </w:r>
    </w:p>
    <w:p w14:paraId="72F2551D">
      <w:pPr>
        <w:wordWrap w:val="0"/>
        <w:adjustRightInd w:val="0"/>
        <w:snapToGrid w:val="0"/>
        <w:spacing w:line="500" w:lineRule="exact"/>
        <w:ind w:firstLine="570"/>
        <w:rPr>
          <w:rFonts w:hAnsi="宋体" w:cs="宋体"/>
          <w:snapToGrid w:val="0"/>
          <w:color w:val="auto"/>
          <w:kern w:val="0"/>
          <w:highlight w:val="none"/>
          <w:u w:val="single"/>
        </w:rPr>
      </w:pPr>
      <w:r>
        <w:rPr>
          <w:rFonts w:hint="eastAsia" w:hAnsi="宋体" w:cs="宋体"/>
          <w:snapToGrid w:val="0"/>
          <w:color w:val="auto"/>
          <w:kern w:val="0"/>
          <w:highlight w:val="none"/>
        </w:rPr>
        <w:t xml:space="preserve">1. </w:t>
      </w:r>
      <w:r>
        <w:rPr>
          <w:rFonts w:hint="eastAsia" w:hAnsi="宋体" w:cs="宋体"/>
          <w:snapToGrid w:val="0"/>
          <w:color w:val="auto"/>
          <w:kern w:val="0"/>
          <w:szCs w:val="22"/>
          <w:highlight w:val="none"/>
        </w:rPr>
        <w:t>我方在仔细研究</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（项目名称）（以下简称“本项目”）监理招标文件的全部内容后，结合自身资质、能力和特点，愿意接受招标文件的全部内容和条件。兹以人民币（大写）：</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 xml:space="preserve">（小写）：（¥ </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）的投标总价（其中，增值税税率为</w:t>
      </w:r>
      <w:r>
        <w:rPr>
          <w:rFonts w:hint="eastAsia" w:hAnsi="宋体" w:cs="宋体"/>
          <w:snapToGrid w:val="0"/>
          <w:color w:val="auto"/>
          <w:kern w:val="0"/>
          <w:szCs w:val="22"/>
          <w:highlight w:val="none"/>
          <w:u w:val="single"/>
        </w:rPr>
        <w:t xml:space="preserve">    </w:t>
      </w:r>
      <w:r>
        <w:rPr>
          <w:rFonts w:hint="eastAsia" w:hAnsi="宋体" w:cs="宋体"/>
          <w:snapToGrid w:val="0"/>
          <w:color w:val="auto"/>
          <w:kern w:val="0"/>
          <w:szCs w:val="22"/>
          <w:highlight w:val="none"/>
        </w:rPr>
        <w:t>）竞投本项目监理及相关服务</w:t>
      </w:r>
      <w:r>
        <w:rPr>
          <w:rFonts w:hint="eastAsia" w:hAnsi="宋体" w:cs="宋体"/>
          <w:snapToGrid w:val="0"/>
          <w:color w:val="auto"/>
          <w:kern w:val="0"/>
          <w:szCs w:val="22"/>
          <w:highlight w:val="none"/>
          <w:lang w:eastAsia="zh-CN"/>
        </w:rPr>
        <w:t>，投标取费费率为</w:t>
      </w:r>
      <w:r>
        <w:rPr>
          <w:rFonts w:hint="eastAsia" w:hAnsi="宋体" w:cs="宋体"/>
          <w:snapToGrid w:val="0"/>
          <w:color w:val="auto"/>
          <w:kern w:val="0"/>
          <w:szCs w:val="22"/>
          <w:highlight w:val="none"/>
          <w:u w:val="single"/>
          <w:lang w:eastAsia="zh-CN"/>
        </w:rPr>
        <w:t xml:space="preserve">     </w:t>
      </w:r>
      <w:r>
        <w:rPr>
          <w:rFonts w:hint="eastAsia" w:hAnsi="宋体" w:cs="宋体"/>
          <w:snapToGrid w:val="0"/>
          <w:color w:val="auto"/>
          <w:kern w:val="0"/>
          <w:szCs w:val="22"/>
          <w:highlight w:val="none"/>
          <w:lang w:eastAsia="zh-CN"/>
        </w:rPr>
        <w:t>%</w:t>
      </w:r>
      <w:r>
        <w:rPr>
          <w:rFonts w:hint="eastAsia" w:hAnsi="宋体" w:cs="宋体"/>
          <w:snapToGrid w:val="0"/>
          <w:color w:val="auto"/>
          <w:kern w:val="0"/>
          <w:szCs w:val="22"/>
          <w:highlight w:val="none"/>
        </w:rPr>
        <w:t>。</w:t>
      </w:r>
    </w:p>
    <w:p w14:paraId="00F3B9EA">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2. 如果我方中标，我方保证按照委托人发出的开始监理通知中写明的日期开始本项目的</w:t>
      </w:r>
      <w:r>
        <w:rPr>
          <w:rFonts w:hint="eastAsia" w:hAnsi="宋体" w:cs="宋体"/>
          <w:snapToGrid w:val="0"/>
          <w:color w:val="auto"/>
          <w:kern w:val="0"/>
          <w:highlight w:val="none"/>
          <w:u w:val="single"/>
        </w:rPr>
        <w:t xml:space="preserve"> 监理及相关服务 </w:t>
      </w:r>
      <w:r>
        <w:rPr>
          <w:rFonts w:hint="eastAsia" w:hAnsi="宋体" w:cs="宋体"/>
          <w:snapToGrid w:val="0"/>
          <w:color w:val="auto"/>
          <w:kern w:val="0"/>
          <w:highlight w:val="none"/>
        </w:rPr>
        <w:t>，并在合同约定的服务期限内完成合同规定的全部义务。</w:t>
      </w:r>
    </w:p>
    <w:p w14:paraId="15BBEB3D">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3731041C">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4．我方在此声明，我方不存在本项目招标文件第一章第三节第</w:t>
      </w:r>
      <w:r>
        <w:rPr>
          <w:rFonts w:hint="eastAsia" w:hAnsi="宋体" w:cs="宋体"/>
          <w:b/>
          <w:bCs/>
          <w:snapToGrid w:val="0"/>
          <w:color w:val="auto"/>
          <w:kern w:val="0"/>
          <w:highlight w:val="none"/>
        </w:rPr>
        <w:t>2.4</w:t>
      </w:r>
      <w:r>
        <w:rPr>
          <w:rFonts w:hint="eastAsia" w:hAnsi="宋体" w:cs="宋体"/>
          <w:snapToGrid w:val="0"/>
          <w:color w:val="auto"/>
          <w:kern w:val="0"/>
          <w:highlight w:val="none"/>
        </w:rPr>
        <w:t>条“禁止投标条款”所列出的任何一种情形，并愿意承担因我方就此弄虚作假所引起的一切法律后果。</w:t>
      </w:r>
    </w:p>
    <w:p w14:paraId="50382544">
      <w:pPr>
        <w:wordWrap w:val="0"/>
        <w:adjustRightInd w:val="0"/>
        <w:snapToGrid w:val="0"/>
        <w:spacing w:line="440" w:lineRule="exact"/>
        <w:ind w:firstLine="570"/>
        <w:rPr>
          <w:rFonts w:hAnsi="宋体" w:cs="宋体"/>
          <w:snapToGrid w:val="0"/>
          <w:color w:val="auto"/>
          <w:kern w:val="0"/>
          <w:highlight w:val="none"/>
        </w:rPr>
      </w:pPr>
      <w:r>
        <w:rPr>
          <w:rFonts w:hint="eastAsia" w:hAnsi="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076EB960">
      <w:pPr>
        <w:wordWrap w:val="0"/>
        <w:adjustRightInd w:val="0"/>
        <w:snapToGrid w:val="0"/>
        <w:spacing w:line="440" w:lineRule="exact"/>
        <w:ind w:firstLine="570"/>
        <w:rPr>
          <w:rFonts w:hAnsi="宋体" w:cs="宋体"/>
          <w:snapToGrid w:val="0"/>
          <w:color w:val="auto"/>
          <w:kern w:val="0"/>
          <w:highlight w:val="none"/>
        </w:rPr>
      </w:pPr>
      <w:bookmarkStart w:id="310" w:name="_Hlt68771070"/>
      <w:bookmarkEnd w:id="310"/>
      <w:r>
        <w:rPr>
          <w:rFonts w:hint="eastAsia" w:hAnsi="宋体" w:cs="宋体"/>
          <w:snapToGrid w:val="0"/>
          <w:color w:val="auto"/>
          <w:kern w:val="0"/>
          <w:highlight w:val="none"/>
        </w:rPr>
        <w:t>6. 我方理解你方不一定要接纳收到的最低投标总价或任何投标总价的投标人中标，也不要求你方解释我方是否中标的原因。</w:t>
      </w:r>
    </w:p>
    <w:p w14:paraId="1AF7B45F">
      <w:pPr>
        <w:wordWrap w:val="0"/>
        <w:adjustRightInd w:val="0"/>
        <w:snapToGrid w:val="0"/>
        <w:spacing w:line="440" w:lineRule="exact"/>
        <w:ind w:firstLine="570"/>
        <w:rPr>
          <w:rFonts w:ascii="Times New Roman"/>
          <w:snapToGrid w:val="0"/>
          <w:color w:val="auto"/>
          <w:kern w:val="0"/>
          <w:highlight w:val="none"/>
        </w:rPr>
      </w:pPr>
      <w:r>
        <w:rPr>
          <w:rFonts w:hint="eastAsia" w:ascii="Times New Roman"/>
          <w:snapToGrid w:val="0"/>
          <w:color w:val="auto"/>
          <w:kern w:val="0"/>
          <w:highlight w:val="none"/>
        </w:rPr>
        <w:t xml:space="preserve">  </w:t>
      </w:r>
    </w:p>
    <w:p w14:paraId="428C057D">
      <w:pPr>
        <w:wordWrap w:val="0"/>
        <w:adjustRightInd w:val="0"/>
        <w:snapToGrid w:val="0"/>
        <w:spacing w:line="440" w:lineRule="exact"/>
        <w:rPr>
          <w:rFonts w:ascii="Times New Roman"/>
          <w:snapToGrid w:val="0"/>
          <w:color w:val="auto"/>
          <w:kern w:val="0"/>
          <w:highlight w:val="none"/>
        </w:rPr>
      </w:pPr>
    </w:p>
    <w:p w14:paraId="276EABA1">
      <w:pPr>
        <w:wordWrap w:val="0"/>
        <w:adjustRightInd w:val="0"/>
        <w:snapToGrid w:val="0"/>
        <w:spacing w:line="440" w:lineRule="exact"/>
        <w:jc w:val="right"/>
        <w:rPr>
          <w:rFonts w:ascii="Times New Roman"/>
          <w:snapToGrid w:val="0"/>
          <w:color w:val="auto"/>
          <w:kern w:val="0"/>
          <w:highlight w:val="none"/>
        </w:rPr>
      </w:pPr>
      <w:r>
        <w:rPr>
          <w:rFonts w:hint="eastAsia" w:ascii="Times New Roman"/>
          <w:snapToGrid w:val="0"/>
          <w:color w:val="auto"/>
          <w:kern w:val="0"/>
          <w:highlight w:val="none"/>
        </w:rPr>
        <w:t xml:space="preserve">    投标人：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（盖单位章）</w:t>
      </w:r>
    </w:p>
    <w:p w14:paraId="4CA7B314">
      <w:pPr>
        <w:wordWrap w:val="0"/>
        <w:adjustRightInd w:val="0"/>
        <w:snapToGrid w:val="0"/>
        <w:spacing w:line="440" w:lineRule="exact"/>
        <w:jc w:val="right"/>
        <w:rPr>
          <w:rFonts w:ascii="Times New Roman"/>
          <w:snapToGrid w:val="0"/>
          <w:color w:val="auto"/>
          <w:kern w:val="0"/>
          <w:highlight w:val="none"/>
        </w:rPr>
      </w:pPr>
    </w:p>
    <w:p w14:paraId="387ED88C">
      <w:pPr>
        <w:wordWrap w:val="0"/>
        <w:adjustRightInd w:val="0"/>
        <w:snapToGrid w:val="0"/>
        <w:spacing w:line="440" w:lineRule="exact"/>
        <w:ind w:firstLine="480" w:firstLineChars="200"/>
        <w:jc w:val="right"/>
        <w:rPr>
          <w:rFonts w:ascii="Times New Roman"/>
          <w:snapToGrid w:val="0"/>
          <w:color w:val="auto"/>
          <w:kern w:val="0"/>
          <w:highlight w:val="none"/>
        </w:rPr>
      </w:pPr>
      <w:r>
        <w:rPr>
          <w:rFonts w:hint="eastAsia" w:ascii="Times New Roman"/>
          <w:snapToGrid w:val="0"/>
          <w:color w:val="auto"/>
          <w:kern w:val="0"/>
          <w:highlight w:val="none"/>
        </w:rPr>
        <w:t>法定代表人或其委托代理人：</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（签字或盖章）</w:t>
      </w:r>
    </w:p>
    <w:p w14:paraId="54249B59">
      <w:pPr>
        <w:wordWrap w:val="0"/>
        <w:adjustRightInd w:val="0"/>
        <w:snapToGrid w:val="0"/>
        <w:spacing w:line="440" w:lineRule="exact"/>
        <w:ind w:firstLine="480" w:firstLineChars="200"/>
        <w:jc w:val="right"/>
        <w:rPr>
          <w:rFonts w:ascii="Times New Roman"/>
          <w:snapToGrid w:val="0"/>
          <w:color w:val="auto"/>
          <w:kern w:val="0"/>
          <w:highlight w:val="none"/>
        </w:rPr>
      </w:pPr>
    </w:p>
    <w:p w14:paraId="28DC9D94">
      <w:pPr>
        <w:wordWrap w:val="0"/>
        <w:adjustRightInd w:val="0"/>
        <w:snapToGrid w:val="0"/>
        <w:spacing w:line="440" w:lineRule="exact"/>
        <w:jc w:val="left"/>
        <w:rPr>
          <w:rFonts w:ascii="Times New Roman"/>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r>
        <w:rPr>
          <w:rFonts w:hint="eastAsia" w:ascii="Times New Roman"/>
          <w:snapToGrid w:val="0"/>
          <w:color w:val="auto"/>
          <w:kern w:val="0"/>
          <w:highlight w:val="none"/>
        </w:rPr>
        <w:t xml:space="preserve">                                       </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年</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月</w:t>
      </w:r>
      <w:r>
        <w:rPr>
          <w:rFonts w:hint="eastAsia" w:ascii="Times New Roman"/>
          <w:snapToGrid w:val="0"/>
          <w:color w:val="auto"/>
          <w:kern w:val="0"/>
          <w:highlight w:val="none"/>
          <w:u w:val="single"/>
        </w:rPr>
        <w:t xml:space="preserve">     </w:t>
      </w:r>
      <w:r>
        <w:rPr>
          <w:rFonts w:hint="eastAsia" w:ascii="Times New Roman"/>
          <w:snapToGrid w:val="0"/>
          <w:color w:val="auto"/>
          <w:kern w:val="0"/>
          <w:highlight w:val="none"/>
        </w:rPr>
        <w:t>日</w:t>
      </w:r>
    </w:p>
    <w:p w14:paraId="25B8347D">
      <w:pPr>
        <w:pStyle w:val="73"/>
        <w:widowControl w:val="0"/>
        <w:wordWrap w:val="0"/>
        <w:adjustRightInd w:val="0"/>
        <w:snapToGrid w:val="0"/>
        <w:spacing w:line="400" w:lineRule="exact"/>
        <w:ind w:firstLine="0"/>
        <w:outlineLvl w:val="1"/>
        <w:rPr>
          <w:rFonts w:hAnsi="宋体" w:cs="宋体"/>
          <w:b/>
          <w:snapToGrid w:val="0"/>
          <w:color w:val="auto"/>
          <w:sz w:val="24"/>
          <w:highlight w:val="none"/>
        </w:rPr>
      </w:pPr>
      <w:bookmarkStart w:id="311" w:name="_Toc30827"/>
      <w:r>
        <w:rPr>
          <w:rFonts w:hint="eastAsia" w:hAnsi="宋体" w:cs="宋体"/>
          <w:b/>
          <w:snapToGrid w:val="0"/>
          <w:color w:val="auto"/>
          <w:sz w:val="24"/>
          <w:highlight w:val="none"/>
        </w:rPr>
        <w:t>格式三 各项承诺一览表</w:t>
      </w:r>
      <w:bookmarkEnd w:id="311"/>
    </w:p>
    <w:p w14:paraId="20B05016">
      <w:pPr>
        <w:pStyle w:val="72"/>
        <w:keepNext w:val="0"/>
        <w:keepLines w:val="0"/>
        <w:widowControl w:val="0"/>
        <w:wordWrap w:val="0"/>
        <w:adjustRightInd w:val="0"/>
        <w:snapToGrid w:val="0"/>
        <w:spacing w:before="260" w:after="260" w:line="440" w:lineRule="exact"/>
        <w:ind w:firstLine="0"/>
        <w:outlineLvl w:val="9"/>
        <w:rPr>
          <w:rFonts w:hAnsi="宋体" w:cs="宋体"/>
          <w:b/>
          <w:snapToGrid w:val="0"/>
          <w:color w:val="auto"/>
          <w:highlight w:val="none"/>
        </w:rPr>
      </w:pPr>
      <w:bookmarkStart w:id="312" w:name="_Toc27092"/>
      <w:bookmarkStart w:id="313" w:name="_Toc7685"/>
      <w:bookmarkStart w:id="314" w:name="_Toc18253"/>
      <w:bookmarkStart w:id="315" w:name="_Toc24548"/>
      <w:bookmarkStart w:id="316" w:name="_Toc11270"/>
      <w:r>
        <w:rPr>
          <w:rFonts w:hint="eastAsia" w:hAnsi="宋体" w:cs="宋体"/>
          <w:b/>
          <w:snapToGrid w:val="0"/>
          <w:color w:val="auto"/>
          <w:sz w:val="30"/>
          <w:highlight w:val="none"/>
        </w:rPr>
        <w:t>各项承诺一览表</w:t>
      </w:r>
      <w:bookmarkEnd w:id="312"/>
      <w:bookmarkEnd w:id="313"/>
      <w:bookmarkEnd w:id="314"/>
      <w:bookmarkEnd w:id="315"/>
      <w:bookmarkEnd w:id="316"/>
    </w:p>
    <w:tbl>
      <w:tblPr>
        <w:tblStyle w:val="32"/>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4A97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16" w:type="dxa"/>
            <w:tcBorders>
              <w:tl2br w:val="nil"/>
              <w:tr2bl w:val="nil"/>
            </w:tcBorders>
            <w:vAlign w:val="center"/>
          </w:tcPr>
          <w:p w14:paraId="4B001337">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序号</w:t>
            </w:r>
          </w:p>
        </w:tc>
        <w:tc>
          <w:tcPr>
            <w:tcW w:w="1573" w:type="dxa"/>
            <w:tcBorders>
              <w:tl2br w:val="nil"/>
              <w:tr2bl w:val="nil"/>
            </w:tcBorders>
            <w:vAlign w:val="center"/>
          </w:tcPr>
          <w:p w14:paraId="0DD645C3">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承诺事项</w:t>
            </w:r>
          </w:p>
        </w:tc>
        <w:tc>
          <w:tcPr>
            <w:tcW w:w="2923" w:type="dxa"/>
            <w:tcBorders>
              <w:tl2br w:val="nil"/>
              <w:tr2bl w:val="nil"/>
            </w:tcBorders>
            <w:vAlign w:val="center"/>
          </w:tcPr>
          <w:p w14:paraId="286917BA">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承诺内容</w:t>
            </w:r>
          </w:p>
        </w:tc>
        <w:tc>
          <w:tcPr>
            <w:tcW w:w="4019" w:type="dxa"/>
            <w:tcBorders>
              <w:tl2br w:val="nil"/>
              <w:tr2bl w:val="nil"/>
            </w:tcBorders>
            <w:vAlign w:val="center"/>
          </w:tcPr>
          <w:p w14:paraId="5A051E55">
            <w:pPr>
              <w:pStyle w:val="74"/>
              <w:wordWrap w:val="0"/>
              <w:adjustRightInd w:val="0"/>
              <w:snapToGrid w:val="0"/>
              <w:spacing w:line="380" w:lineRule="exact"/>
              <w:jc w:val="center"/>
              <w:rPr>
                <w:rFonts w:hAnsi="宋体" w:cs="宋体"/>
                <w:b/>
                <w:bCs w:val="0"/>
                <w:snapToGrid w:val="0"/>
                <w:color w:val="auto"/>
                <w:kern w:val="0"/>
                <w:szCs w:val="21"/>
                <w:highlight w:val="none"/>
              </w:rPr>
            </w:pPr>
            <w:r>
              <w:rPr>
                <w:rFonts w:hint="eastAsia" w:hAnsi="宋体" w:cs="宋体"/>
                <w:b/>
                <w:bCs w:val="0"/>
                <w:snapToGrid w:val="0"/>
                <w:color w:val="auto"/>
                <w:kern w:val="0"/>
                <w:szCs w:val="21"/>
                <w:highlight w:val="none"/>
              </w:rPr>
              <w:t>违约承诺</w:t>
            </w:r>
          </w:p>
        </w:tc>
      </w:tr>
      <w:tr w14:paraId="26E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atLeast"/>
          <w:jc w:val="center"/>
        </w:trPr>
        <w:tc>
          <w:tcPr>
            <w:tcW w:w="716" w:type="dxa"/>
            <w:tcBorders>
              <w:tl2br w:val="nil"/>
              <w:tr2bl w:val="nil"/>
            </w:tcBorders>
            <w:vAlign w:val="center"/>
          </w:tcPr>
          <w:p w14:paraId="50B6AAF4">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573" w:type="dxa"/>
            <w:tcBorders>
              <w:tl2br w:val="nil"/>
              <w:tr2bl w:val="nil"/>
            </w:tcBorders>
            <w:vAlign w:val="center"/>
          </w:tcPr>
          <w:p w14:paraId="746B30D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自愿接受招标</w:t>
            </w:r>
          </w:p>
          <w:p w14:paraId="71ED28B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文件条款的承诺</w:t>
            </w:r>
          </w:p>
        </w:tc>
        <w:tc>
          <w:tcPr>
            <w:tcW w:w="2923" w:type="dxa"/>
            <w:tcBorders>
              <w:tl2br w:val="nil"/>
              <w:tr2bl w:val="nil"/>
            </w:tcBorders>
            <w:vAlign w:val="center"/>
          </w:tcPr>
          <w:p w14:paraId="2D30786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我方自愿接受招标文件的所有条款，所递交的投标文件已经充分响应招标文件的实质性要求。</w:t>
            </w:r>
          </w:p>
        </w:tc>
        <w:tc>
          <w:tcPr>
            <w:tcW w:w="4019" w:type="dxa"/>
            <w:tcBorders>
              <w:tl2br w:val="nil"/>
              <w:tr2bl w:val="nil"/>
            </w:tcBorders>
            <w:vAlign w:val="center"/>
          </w:tcPr>
          <w:p w14:paraId="7541C798">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2B88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5" w:hRule="atLeast"/>
          <w:jc w:val="center"/>
        </w:trPr>
        <w:tc>
          <w:tcPr>
            <w:tcW w:w="716" w:type="dxa"/>
            <w:tcBorders>
              <w:tl2br w:val="nil"/>
              <w:tr2bl w:val="nil"/>
            </w:tcBorders>
            <w:vAlign w:val="center"/>
          </w:tcPr>
          <w:p w14:paraId="12659488">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573" w:type="dxa"/>
            <w:tcBorders>
              <w:tl2br w:val="nil"/>
              <w:tr2bl w:val="nil"/>
            </w:tcBorders>
            <w:vAlign w:val="center"/>
          </w:tcPr>
          <w:p w14:paraId="4E13328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2E04458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2923" w:type="dxa"/>
            <w:tcBorders>
              <w:tl2br w:val="nil"/>
              <w:tr2bl w:val="nil"/>
            </w:tcBorders>
            <w:vAlign w:val="center"/>
          </w:tcPr>
          <w:p w14:paraId="6A2783C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019" w:type="dxa"/>
            <w:tcBorders>
              <w:tl2br w:val="nil"/>
              <w:tr2bl w:val="nil"/>
            </w:tcBorders>
            <w:vAlign w:val="center"/>
          </w:tcPr>
          <w:p w14:paraId="60B01B1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E90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0" w:hRule="atLeast"/>
          <w:jc w:val="center"/>
        </w:trPr>
        <w:tc>
          <w:tcPr>
            <w:tcW w:w="716" w:type="dxa"/>
            <w:tcBorders>
              <w:tl2br w:val="nil"/>
              <w:tr2bl w:val="nil"/>
            </w:tcBorders>
            <w:vAlign w:val="center"/>
          </w:tcPr>
          <w:p w14:paraId="04B047BD">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573" w:type="dxa"/>
            <w:tcBorders>
              <w:tl2br w:val="nil"/>
              <w:tr2bl w:val="nil"/>
            </w:tcBorders>
            <w:vAlign w:val="center"/>
          </w:tcPr>
          <w:p w14:paraId="7327796A">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w:t>
            </w:r>
          </w:p>
          <w:p w14:paraId="6537DAA0">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串标和弄虚</w:t>
            </w:r>
          </w:p>
          <w:p w14:paraId="3A865B06">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作假行为的承诺</w:t>
            </w:r>
          </w:p>
        </w:tc>
        <w:tc>
          <w:tcPr>
            <w:tcW w:w="2923" w:type="dxa"/>
            <w:tcBorders>
              <w:tl2br w:val="nil"/>
              <w:tr2bl w:val="nil"/>
            </w:tcBorders>
            <w:vAlign w:val="center"/>
          </w:tcPr>
          <w:p w14:paraId="1074D0F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019" w:type="dxa"/>
            <w:tcBorders>
              <w:tl2br w:val="nil"/>
              <w:tr2bl w:val="nil"/>
            </w:tcBorders>
            <w:vAlign w:val="center"/>
          </w:tcPr>
          <w:p w14:paraId="0E604D83">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1398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0" w:hRule="atLeast"/>
          <w:jc w:val="center"/>
        </w:trPr>
        <w:tc>
          <w:tcPr>
            <w:tcW w:w="716" w:type="dxa"/>
            <w:tcBorders>
              <w:tl2br w:val="nil"/>
              <w:tr2bl w:val="nil"/>
            </w:tcBorders>
            <w:vAlign w:val="center"/>
          </w:tcPr>
          <w:p w14:paraId="4E26FD04">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4</w:t>
            </w:r>
          </w:p>
        </w:tc>
        <w:tc>
          <w:tcPr>
            <w:tcW w:w="1573" w:type="dxa"/>
            <w:tcBorders>
              <w:tl2br w:val="nil"/>
              <w:tr2bl w:val="nil"/>
            </w:tcBorders>
            <w:vAlign w:val="center"/>
          </w:tcPr>
          <w:p w14:paraId="754EDB94">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总监理工程师</w:t>
            </w:r>
          </w:p>
          <w:p w14:paraId="4D5B47C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任职承诺</w:t>
            </w:r>
          </w:p>
        </w:tc>
        <w:tc>
          <w:tcPr>
            <w:tcW w:w="2923" w:type="dxa"/>
            <w:tcBorders>
              <w:tl2br w:val="nil"/>
              <w:tr2bl w:val="nil"/>
            </w:tcBorders>
            <w:vAlign w:val="center"/>
          </w:tcPr>
          <w:p w14:paraId="0015B20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我方拟派总监理工程师现阶段担任总监理工程师的在施（包括已中标未开工、已开工未竣工）建设工程项目不超过2个，经任职项目的建设单位同意，参加本项目投标。</w:t>
            </w:r>
          </w:p>
        </w:tc>
        <w:tc>
          <w:tcPr>
            <w:tcW w:w="4019" w:type="dxa"/>
            <w:tcBorders>
              <w:tl2br w:val="nil"/>
              <w:tr2bl w:val="nil"/>
            </w:tcBorders>
            <w:vAlign w:val="center"/>
          </w:tcPr>
          <w:p w14:paraId="25D3446D">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拟派总监理工程师在本项目招标投标活动期间担任总监理工程师的在施（包括已中标未开工、已开工未竣工）建设工程项目超过2个，或其参加本项目投标未得到任职项目的建设单位同意，我方接受招标人或其授权的招标代理机构或其组建的评标委员会依据招标文件作出的相应处理以及有关监督部门作出的行政处罚，并承担由此引起的一切法律后果。</w:t>
            </w:r>
          </w:p>
        </w:tc>
      </w:tr>
      <w:tr w14:paraId="5C95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5" w:hRule="atLeast"/>
          <w:jc w:val="center"/>
        </w:trPr>
        <w:tc>
          <w:tcPr>
            <w:tcW w:w="716" w:type="dxa"/>
            <w:tcBorders>
              <w:tl2br w:val="nil"/>
              <w:tr2bl w:val="nil"/>
            </w:tcBorders>
            <w:vAlign w:val="center"/>
          </w:tcPr>
          <w:p w14:paraId="6161C08F">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5</w:t>
            </w:r>
          </w:p>
        </w:tc>
        <w:tc>
          <w:tcPr>
            <w:tcW w:w="1573" w:type="dxa"/>
            <w:tcBorders>
              <w:tl2br w:val="nil"/>
              <w:tr2bl w:val="nil"/>
            </w:tcBorders>
            <w:vAlign w:val="center"/>
          </w:tcPr>
          <w:p w14:paraId="003F6C1C">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5656361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真实性承诺</w:t>
            </w:r>
          </w:p>
        </w:tc>
        <w:tc>
          <w:tcPr>
            <w:tcW w:w="2923" w:type="dxa"/>
            <w:tcBorders>
              <w:tl2br w:val="nil"/>
              <w:tr2bl w:val="nil"/>
            </w:tcBorders>
            <w:vAlign w:val="center"/>
          </w:tcPr>
          <w:p w14:paraId="3AAF78A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我方所递交投标文件的全部内容均为真实、有效、准确的。</w:t>
            </w:r>
          </w:p>
        </w:tc>
        <w:tc>
          <w:tcPr>
            <w:tcW w:w="4019" w:type="dxa"/>
            <w:tcBorders>
              <w:tl2br w:val="nil"/>
              <w:tr2bl w:val="nil"/>
            </w:tcBorders>
            <w:vAlign w:val="center"/>
          </w:tcPr>
          <w:p w14:paraId="537798B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4EF0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35D8F9CC">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6</w:t>
            </w:r>
          </w:p>
        </w:tc>
        <w:tc>
          <w:tcPr>
            <w:tcW w:w="1573" w:type="dxa"/>
            <w:tcBorders>
              <w:tl2br w:val="nil"/>
              <w:tr2bl w:val="nil"/>
            </w:tcBorders>
            <w:vAlign w:val="center"/>
          </w:tcPr>
          <w:p w14:paraId="4626B0C9">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投标文件</w:t>
            </w:r>
          </w:p>
          <w:p w14:paraId="3294E70E">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信息公开承诺</w:t>
            </w:r>
          </w:p>
        </w:tc>
        <w:tc>
          <w:tcPr>
            <w:tcW w:w="2923" w:type="dxa"/>
            <w:tcBorders>
              <w:tl2br w:val="nil"/>
              <w:tr2bl w:val="nil"/>
            </w:tcBorders>
            <w:vAlign w:val="center"/>
          </w:tcPr>
          <w:p w14:paraId="0BD5A69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我方提供完整的电子文件。如果我方成为本招标项目中标候选人，我方同意并授权招标人在评标结果公示期内公开我方商务标书的全部内容。</w:t>
            </w:r>
          </w:p>
        </w:tc>
        <w:tc>
          <w:tcPr>
            <w:tcW w:w="4019" w:type="dxa"/>
            <w:tcBorders>
              <w:tl2br w:val="nil"/>
              <w:tr2bl w:val="nil"/>
            </w:tcBorders>
            <w:vAlign w:val="center"/>
          </w:tcPr>
          <w:p w14:paraId="47B1FADB">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left"/>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    /</w:t>
            </w:r>
          </w:p>
        </w:tc>
      </w:tr>
      <w:tr w14:paraId="5131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tcBorders>
              <w:tl2br w:val="nil"/>
              <w:tr2bl w:val="nil"/>
            </w:tcBorders>
            <w:vAlign w:val="center"/>
          </w:tcPr>
          <w:p w14:paraId="4A4C9368">
            <w:pPr>
              <w:pStyle w:val="74"/>
              <w:keepNext w:val="0"/>
              <w:keepLines w:val="0"/>
              <w:pageBreakBefore w:val="0"/>
              <w:widowControl w:val="0"/>
              <w:kinsoku/>
              <w:wordWrap w:val="0"/>
              <w:overflowPunct/>
              <w:topLinePunct w:val="0"/>
              <w:autoSpaceDE/>
              <w:autoSpaceDN/>
              <w:bidi w:val="0"/>
              <w:adjustRightInd w:val="0"/>
              <w:snapToGrid w:val="0"/>
              <w:spacing w:line="420" w:lineRule="exact"/>
              <w:jc w:val="center"/>
              <w:textAlignment w:val="auto"/>
              <w:rPr>
                <w:rFonts w:hint="eastAsia" w:hAnsi="宋体" w:eastAsia="宋体" w:cs="宋体"/>
                <w:snapToGrid w:val="0"/>
                <w:color w:val="auto"/>
                <w:kern w:val="0"/>
                <w:sz w:val="21"/>
                <w:szCs w:val="21"/>
                <w:highlight w:val="none"/>
                <w:lang w:eastAsia="zh-CN"/>
              </w:rPr>
            </w:pPr>
            <w:r>
              <w:rPr>
                <w:rFonts w:hint="eastAsia" w:hAnsi="宋体" w:cs="宋体"/>
                <w:snapToGrid w:val="0"/>
                <w:color w:val="auto"/>
                <w:kern w:val="0"/>
                <w:sz w:val="21"/>
                <w:szCs w:val="21"/>
                <w:highlight w:val="none"/>
                <w:lang w:val="en-US" w:eastAsia="zh-CN"/>
              </w:rPr>
              <w:t>7</w:t>
            </w:r>
          </w:p>
        </w:tc>
        <w:tc>
          <w:tcPr>
            <w:tcW w:w="1573" w:type="dxa"/>
            <w:tcBorders>
              <w:tl2br w:val="nil"/>
              <w:tr2bl w:val="nil"/>
            </w:tcBorders>
            <w:vAlign w:val="center"/>
          </w:tcPr>
          <w:p w14:paraId="7E0FB442">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按时签订合同</w:t>
            </w:r>
          </w:p>
          <w:p w14:paraId="3DA8757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0" w:firstLineChars="0"/>
              <w:jc w:val="center"/>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的承诺</w:t>
            </w:r>
          </w:p>
        </w:tc>
        <w:tc>
          <w:tcPr>
            <w:tcW w:w="2923" w:type="dxa"/>
            <w:tcBorders>
              <w:tl2br w:val="nil"/>
              <w:tr2bl w:val="nil"/>
            </w:tcBorders>
            <w:vAlign w:val="center"/>
          </w:tcPr>
          <w:p w14:paraId="108034DD">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019" w:type="dxa"/>
            <w:tcBorders>
              <w:tl2br w:val="nil"/>
              <w:tr2bl w:val="nil"/>
            </w:tcBorders>
            <w:vAlign w:val="center"/>
          </w:tcPr>
          <w:p w14:paraId="244FAAC1">
            <w:pPr>
              <w:pStyle w:val="77"/>
              <w:keepNext w:val="0"/>
              <w:keepLines w:val="0"/>
              <w:pageBreakBefore w:val="0"/>
              <w:widowControl w:val="0"/>
              <w:kinsoku/>
              <w:wordWrap w:val="0"/>
              <w:overflowPunct/>
              <w:topLinePunct w:val="0"/>
              <w:autoSpaceDE/>
              <w:autoSpaceDN/>
              <w:bidi w:val="0"/>
              <w:adjustRightInd w:val="0"/>
              <w:snapToGrid w:val="0"/>
              <w:spacing w:line="420" w:lineRule="exact"/>
              <w:ind w:firstLine="420"/>
              <w:textAlignment w:val="auto"/>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7E4EC132">
      <w:pPr>
        <w:pStyle w:val="74"/>
        <w:wordWrap w:val="0"/>
        <w:adjustRightInd w:val="0"/>
        <w:snapToGrid w:val="0"/>
        <w:spacing w:line="420" w:lineRule="exact"/>
        <w:jc w:val="left"/>
        <w:rPr>
          <w:rFonts w:hAnsi="宋体" w:cs="宋体"/>
          <w:snapToGrid w:val="0"/>
          <w:color w:val="auto"/>
          <w:kern w:val="0"/>
          <w:highlight w:val="none"/>
        </w:rPr>
      </w:pPr>
    </w:p>
    <w:p w14:paraId="4B6FF6DB">
      <w:pPr>
        <w:pStyle w:val="74"/>
        <w:wordWrap w:val="0"/>
        <w:adjustRightInd w:val="0"/>
        <w:snapToGrid w:val="0"/>
        <w:spacing w:line="420" w:lineRule="exact"/>
        <w:jc w:val="left"/>
        <w:rPr>
          <w:rFonts w:hAnsi="宋体" w:cs="宋体"/>
          <w:snapToGrid w:val="0"/>
          <w:color w:val="auto"/>
          <w:kern w:val="0"/>
          <w:highlight w:val="none"/>
        </w:rPr>
      </w:pPr>
    </w:p>
    <w:p w14:paraId="148553C2">
      <w:pPr>
        <w:pStyle w:val="17"/>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投标人：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（盖单位章）</w:t>
      </w:r>
    </w:p>
    <w:p w14:paraId="28CA7502">
      <w:pPr>
        <w:pStyle w:val="17"/>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0BE8168B">
      <w:pPr>
        <w:pStyle w:val="17"/>
        <w:wordWrap w:val="0"/>
        <w:adjustRightInd w:val="0"/>
        <w:snapToGrid w:val="0"/>
        <w:spacing w:line="420" w:lineRule="exact"/>
        <w:ind w:firstLine="480" w:firstLineChars="200"/>
        <w:jc w:val="right"/>
        <w:rPr>
          <w:rFonts w:hAnsi="宋体" w:cs="宋体"/>
          <w:snapToGrid w:val="0"/>
          <w:color w:val="auto"/>
          <w:kern w:val="0"/>
          <w:szCs w:val="24"/>
          <w:highlight w:val="none"/>
        </w:rPr>
      </w:pPr>
    </w:p>
    <w:p w14:paraId="0172B28D">
      <w:pPr>
        <w:pStyle w:val="17"/>
        <w:wordWrap w:val="0"/>
        <w:adjustRightInd w:val="0"/>
        <w:snapToGrid w:val="0"/>
        <w:spacing w:line="420" w:lineRule="exact"/>
        <w:ind w:firstLine="480" w:firstLineChars="200"/>
        <w:jc w:val="right"/>
        <w:rPr>
          <w:rFonts w:hAnsi="宋体" w:cs="宋体"/>
          <w:snapToGrid w:val="0"/>
          <w:color w:val="auto"/>
          <w:kern w:val="0"/>
          <w:szCs w:val="24"/>
          <w:highlight w:val="none"/>
        </w:rPr>
      </w:pPr>
      <w:r>
        <w:rPr>
          <w:rFonts w:hint="eastAsia" w:hAnsi="宋体" w:cs="宋体"/>
          <w:snapToGrid w:val="0"/>
          <w:color w:val="auto"/>
          <w:kern w:val="0"/>
          <w:szCs w:val="24"/>
          <w:highlight w:val="none"/>
        </w:rPr>
        <w:t>法定代表人或其委托代理人：</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（签字或盖章）</w:t>
      </w:r>
    </w:p>
    <w:p w14:paraId="40FD3ED2">
      <w:pPr>
        <w:pStyle w:val="17"/>
        <w:wordWrap w:val="0"/>
        <w:adjustRightInd w:val="0"/>
        <w:snapToGrid w:val="0"/>
        <w:spacing w:line="420" w:lineRule="exact"/>
        <w:ind w:firstLine="480" w:firstLineChars="200"/>
        <w:rPr>
          <w:rFonts w:hAnsi="宋体" w:cs="宋体"/>
          <w:snapToGrid w:val="0"/>
          <w:color w:val="auto"/>
          <w:kern w:val="0"/>
          <w:szCs w:val="24"/>
          <w:highlight w:val="none"/>
        </w:rPr>
      </w:pPr>
    </w:p>
    <w:p w14:paraId="498998F1">
      <w:pPr>
        <w:pStyle w:val="17"/>
        <w:wordWrap w:val="0"/>
        <w:adjustRightInd w:val="0"/>
        <w:snapToGrid w:val="0"/>
        <w:spacing w:line="420" w:lineRule="exact"/>
        <w:ind w:firstLine="480" w:firstLineChars="200"/>
        <w:jc w:val="center"/>
        <w:rPr>
          <w:rFonts w:hAnsi="宋体" w:cs="宋体"/>
          <w:snapToGrid w:val="0"/>
          <w:color w:val="auto"/>
          <w:kern w:val="0"/>
          <w:szCs w:val="24"/>
          <w:highlight w:val="none"/>
        </w:rPr>
      </w:pPr>
      <w:r>
        <w:rPr>
          <w:rFonts w:hint="eastAsia" w:hAnsi="宋体" w:cs="宋体"/>
          <w:snapToGrid w:val="0"/>
          <w:color w:val="auto"/>
          <w:kern w:val="0"/>
          <w:szCs w:val="24"/>
          <w:highlight w:val="none"/>
        </w:rPr>
        <w:t xml:space="preserve">                      </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年</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月</w:t>
      </w:r>
      <w:r>
        <w:rPr>
          <w:rFonts w:hint="eastAsia" w:hAnsi="宋体" w:cs="宋体"/>
          <w:snapToGrid w:val="0"/>
          <w:color w:val="auto"/>
          <w:kern w:val="0"/>
          <w:szCs w:val="24"/>
          <w:highlight w:val="none"/>
          <w:u w:val="single"/>
        </w:rPr>
        <w:t xml:space="preserve">    </w:t>
      </w:r>
      <w:r>
        <w:rPr>
          <w:rFonts w:hint="eastAsia" w:hAnsi="宋体" w:cs="宋体"/>
          <w:snapToGrid w:val="0"/>
          <w:color w:val="auto"/>
          <w:kern w:val="0"/>
          <w:szCs w:val="24"/>
          <w:highlight w:val="none"/>
        </w:rPr>
        <w:t>日</w:t>
      </w:r>
    </w:p>
    <w:p w14:paraId="3E8D0F6D">
      <w:pPr>
        <w:wordWrap w:val="0"/>
        <w:adjustRightInd w:val="0"/>
        <w:snapToGrid w:val="0"/>
        <w:spacing w:line="420" w:lineRule="exact"/>
        <w:jc w:val="left"/>
        <w:rPr>
          <w:rFonts w:hAnsi="宋体" w:cs="宋体"/>
          <w:b/>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1E8EBA5D">
      <w:pPr>
        <w:wordWrap w:val="0"/>
        <w:adjustRightInd w:val="0"/>
        <w:snapToGrid w:val="0"/>
        <w:spacing w:line="440" w:lineRule="exact"/>
        <w:outlineLvl w:val="1"/>
        <w:rPr>
          <w:rFonts w:hAnsi="宋体" w:cs="宋体"/>
          <w:b/>
          <w:bCs/>
          <w:snapToGrid w:val="0"/>
          <w:color w:val="auto"/>
          <w:kern w:val="0"/>
          <w:szCs w:val="24"/>
          <w:highlight w:val="none"/>
        </w:rPr>
      </w:pPr>
      <w:bookmarkStart w:id="317" w:name="_Toc22542"/>
      <w:r>
        <w:rPr>
          <w:rFonts w:hint="eastAsia" w:hAnsi="宋体" w:cs="宋体"/>
          <w:b/>
          <w:bCs/>
          <w:snapToGrid w:val="0"/>
          <w:color w:val="auto"/>
          <w:kern w:val="0"/>
          <w:szCs w:val="24"/>
          <w:highlight w:val="none"/>
        </w:rPr>
        <w:t>格式四 授权委托书</w:t>
      </w:r>
      <w:bookmarkEnd w:id="317"/>
    </w:p>
    <w:p w14:paraId="759A7BEF">
      <w:pPr>
        <w:wordWrap w:val="0"/>
        <w:adjustRightInd w:val="0"/>
        <w:snapToGrid w:val="0"/>
        <w:spacing w:line="440" w:lineRule="exact"/>
        <w:rPr>
          <w:rFonts w:hAnsi="宋体" w:cs="宋体"/>
          <w:b/>
          <w:bCs/>
          <w:snapToGrid w:val="0"/>
          <w:color w:val="auto"/>
          <w:kern w:val="0"/>
          <w:szCs w:val="24"/>
          <w:highlight w:val="none"/>
        </w:rPr>
      </w:pPr>
    </w:p>
    <w:p w14:paraId="1D02247C">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授权委托书</w:t>
      </w:r>
    </w:p>
    <w:p w14:paraId="2077EBE8">
      <w:pPr>
        <w:wordWrap w:val="0"/>
        <w:adjustRightInd w:val="0"/>
        <w:snapToGrid w:val="0"/>
        <w:spacing w:line="440" w:lineRule="exact"/>
        <w:rPr>
          <w:rFonts w:hAnsi="宋体" w:cs="宋体"/>
          <w:snapToGrid w:val="0"/>
          <w:color w:val="auto"/>
          <w:kern w:val="0"/>
          <w:szCs w:val="28"/>
          <w:highlight w:val="none"/>
        </w:rPr>
      </w:pPr>
    </w:p>
    <w:p w14:paraId="30754A58">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本人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（投标人名称）的法定代表人，现委托</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（姓名）为我方代理人。代理人根据授权，以我方名义签署、澄清、说明、补正、递交、撤回、修改</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（项目名称）监理投标文件、签订合同和处理有关事宜，其法律后果由我方承担。</w:t>
      </w:r>
    </w:p>
    <w:p w14:paraId="3A2A096D">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委托期限：至</w:t>
      </w:r>
      <w:r>
        <w:rPr>
          <w:rFonts w:hint="eastAsia" w:hAnsi="宋体" w:cs="宋体"/>
          <w:snapToGrid w:val="0"/>
          <w:color w:val="auto"/>
          <w:kern w:val="0"/>
          <w:szCs w:val="21"/>
          <w:highlight w:val="none"/>
          <w:u w:val="single"/>
        </w:rPr>
        <w:t xml:space="preserve">     年   月   日</w:t>
      </w:r>
      <w:r>
        <w:rPr>
          <w:rFonts w:hint="eastAsia" w:hAnsi="宋体" w:cs="宋体"/>
          <w:i/>
          <w:iCs/>
          <w:snapToGrid w:val="0"/>
          <w:color w:val="auto"/>
          <w:kern w:val="0"/>
          <w:szCs w:val="21"/>
          <w:highlight w:val="none"/>
          <w:u w:val="single"/>
        </w:rPr>
        <w:t>（不得短于招标文件规定的投标有效期）</w:t>
      </w:r>
      <w:r>
        <w:rPr>
          <w:rFonts w:hint="eastAsia" w:hAnsi="宋体" w:cs="宋体"/>
          <w:snapToGrid w:val="0"/>
          <w:color w:val="auto"/>
          <w:kern w:val="0"/>
          <w:szCs w:val="21"/>
          <w:highlight w:val="none"/>
        </w:rPr>
        <w:t xml:space="preserve"> 。</w:t>
      </w:r>
    </w:p>
    <w:p w14:paraId="58D17578">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代理人无转委托权。</w:t>
      </w:r>
    </w:p>
    <w:p w14:paraId="1B59B3DA">
      <w:pPr>
        <w:wordWrap w:val="0"/>
        <w:adjustRightInd w:val="0"/>
        <w:snapToGrid w:val="0"/>
        <w:spacing w:line="440" w:lineRule="exact"/>
        <w:ind w:firstLine="480" w:firstLineChars="200"/>
        <w:rPr>
          <w:rFonts w:hAnsi="宋体" w:cs="宋体"/>
          <w:snapToGrid w:val="0"/>
          <w:color w:val="auto"/>
          <w:kern w:val="0"/>
          <w:szCs w:val="21"/>
          <w:highlight w:val="none"/>
        </w:rPr>
      </w:pPr>
    </w:p>
    <w:p w14:paraId="2168011B">
      <w:pPr>
        <w:wordWrap w:val="0"/>
        <w:adjustRightInd w:val="0"/>
        <w:snapToGrid w:val="0"/>
        <w:spacing w:line="440" w:lineRule="exact"/>
        <w:ind w:firstLine="480" w:firstLineChars="200"/>
        <w:rPr>
          <w:rFonts w:hAnsi="宋体" w:cs="宋体"/>
          <w:snapToGrid w:val="0"/>
          <w:color w:val="auto"/>
          <w:kern w:val="0"/>
          <w:szCs w:val="21"/>
          <w:highlight w:val="none"/>
        </w:rPr>
      </w:pPr>
    </w:p>
    <w:p w14:paraId="5D117B02">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投  标  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657F48EA">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5A982326">
      <w:pPr>
        <w:wordWrap w:val="0"/>
        <w:adjustRightInd w:val="0"/>
        <w:snapToGrid w:val="0"/>
        <w:spacing w:line="440" w:lineRule="exact"/>
        <w:ind w:firstLine="480" w:firstLineChars="200"/>
        <w:rPr>
          <w:rFonts w:hAnsi="宋体" w:cs="宋体"/>
          <w:snapToGrid w:val="0"/>
          <w:color w:val="auto"/>
          <w:kern w:val="0"/>
          <w:szCs w:val="21"/>
          <w:highlight w:val="none"/>
        </w:rPr>
      </w:pPr>
    </w:p>
    <w:p w14:paraId="47DE65D3">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6F4080A1">
      <w:pPr>
        <w:wordWrap w:val="0"/>
        <w:adjustRightInd w:val="0"/>
        <w:snapToGrid w:val="0"/>
        <w:spacing w:line="440" w:lineRule="exact"/>
        <w:ind w:firstLine="480" w:firstLineChars="200"/>
        <w:rPr>
          <w:rFonts w:hAnsi="宋体" w:cs="宋体"/>
          <w:snapToGrid w:val="0"/>
          <w:color w:val="auto"/>
          <w:kern w:val="0"/>
          <w:szCs w:val="21"/>
          <w:highlight w:val="none"/>
        </w:rPr>
      </w:pPr>
    </w:p>
    <w:p w14:paraId="636F6053">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委托代理人：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516C980D">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p>
    <w:p w14:paraId="07FCA71E">
      <w:pPr>
        <w:wordWrap w:val="0"/>
        <w:adjustRightInd w:val="0"/>
        <w:snapToGrid w:val="0"/>
        <w:spacing w:line="440" w:lineRule="exact"/>
        <w:ind w:firstLine="480" w:firstLineChars="200"/>
        <w:rPr>
          <w:rFonts w:hAnsi="宋体" w:cs="宋体"/>
          <w:snapToGrid w:val="0"/>
          <w:color w:val="auto"/>
          <w:kern w:val="0"/>
          <w:szCs w:val="21"/>
          <w:highlight w:val="none"/>
        </w:rPr>
      </w:pPr>
      <w:r>
        <w:rPr>
          <w:rFonts w:hint="eastAsia" w:hAnsi="宋体" w:cs="宋体"/>
          <w:snapToGrid w:val="0"/>
          <w:color w:val="auto"/>
          <w:kern w:val="0"/>
          <w:szCs w:val="21"/>
          <w:highlight w:val="none"/>
        </w:rPr>
        <w:t>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日</w:t>
      </w:r>
    </w:p>
    <w:p w14:paraId="764F8561">
      <w:pPr>
        <w:wordWrap w:val="0"/>
        <w:adjustRightInd w:val="0"/>
        <w:snapToGrid w:val="0"/>
        <w:spacing w:line="440" w:lineRule="exact"/>
        <w:ind w:firstLine="480" w:firstLineChars="200"/>
        <w:rPr>
          <w:rFonts w:hAnsi="宋体" w:cs="宋体"/>
          <w:snapToGrid w:val="0"/>
          <w:color w:val="auto"/>
          <w:kern w:val="0"/>
          <w:szCs w:val="21"/>
          <w:highlight w:val="none"/>
        </w:rPr>
      </w:pPr>
    </w:p>
    <w:p w14:paraId="79AD2214">
      <w:pPr>
        <w:wordWrap w:val="0"/>
        <w:adjustRightInd w:val="0"/>
        <w:snapToGrid w:val="0"/>
        <w:spacing w:line="440" w:lineRule="exact"/>
        <w:ind w:firstLine="480" w:firstLineChars="200"/>
        <w:rPr>
          <w:rFonts w:hAnsi="宋体" w:cs="宋体"/>
          <w:snapToGrid w:val="0"/>
          <w:color w:val="auto"/>
          <w:kern w:val="0"/>
          <w:szCs w:val="21"/>
          <w:highlight w:val="none"/>
        </w:rPr>
      </w:pPr>
    </w:p>
    <w:p w14:paraId="523F244E">
      <w:pPr>
        <w:wordWrap w:val="0"/>
        <w:adjustRightInd w:val="0"/>
        <w:snapToGrid w:val="0"/>
        <w:ind w:firstLine="6440" w:firstLineChars="2300"/>
        <w:rPr>
          <w:rFonts w:hAnsi="宋体" w:cs="宋体"/>
          <w:snapToGrid w:val="0"/>
          <w:color w:val="auto"/>
          <w:kern w:val="0"/>
          <w:szCs w:val="24"/>
          <w:highlight w:val="none"/>
        </w:rPr>
      </w:pPr>
      <w:r>
        <w:rPr>
          <w:rFonts w:hint="eastAsia" w:hAnsi="宋体" w:cs="宋体"/>
          <w:snapToGrid w:val="0"/>
          <w:color w:val="auto"/>
          <w:kern w:val="0"/>
          <w:sz w:val="28"/>
          <w:szCs w:val="28"/>
          <w:highlight w:val="none"/>
          <w:u w:val="singl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3"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lEvVCYCAABUBAAADgAAAGRycy9lMm9Eb2MueG1srVRN&#10;rtMwEN4jcQfLe5qkpdBGTZ/QK2WD4EkPDjB1nMaS/7DdJt2xQ5yBHUvuALd5EtyCsVP6fmDRBV44&#10;Y3v8zXzfjLO46JUke+68MLqixSinhGtmaqG3FX3/bv1kRokPoGuQRvOKHrinF8vHjxadLfnYtEbW&#10;3BEE0b7sbEXbEGyZZZ61XIEfGcs1HjbGKQi4dNusdtAhupLZOM+fZZ1xtXWGce9xdzUc0iOiOwfQ&#10;NI1gfGXYTnEdBlTHJQSk5FthPV2mbJuGs/C2aTwPRFYUmYY0YxC0N3HOlgsotw5sK9gxBTgnhQec&#10;FAiNQU9QKwhAdk78BaUEc8abJoyYUdlAJCmCLIr8gTbXLVieuKDU3p5E9/8Plr3ZXzki6opOKNGg&#10;sOA/P3379fHzzZcfN9+/kmIeJeqsL9Hz2l6548qjGfn2jVPxi0xIn2Q9nGTlfSAMNyfFPJ89n1LC&#10;8KyYzp5OxtOImt1et86HV9woEo2KNtJ0ly248EIG7jQEfjU0TNIY9q99GO7/uRdT8EaKei2kTAu3&#10;3VxKR/aAhV+ncQx5z01q0lV0PsWECAPs5ga7CE1lURGvtynevRv+LnCexr+AY2Ir8O2QQEKIblAq&#10;gYyS1XKoX+qahINF1TU+NhqTUbymRHJ8m9FKngGEPMcTBZUadY3lGgoUrdBveoSJ5sbUByx3h/2O&#10;9D7swGHMnXVi26LqRSIS/bDZUnmODyN28911CnH7M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BaUS9UJgIAAFQEAAAOAAAAAAAAAAEAIAAAACcBAABkcnMvZTJvRG9jLnhtbFBLBQYAAAAA&#10;BgAGAFkBAAC/BQAAAAA=&#10;">
                <v:fill on="t" focussize="0,0"/>
                <v:stroke color="#000000" joinstyle="miter"/>
                <v:imagedata o:title=""/>
                <o:lock v:ext="edit" aspectratio="f"/>
                <v:textbox>
                  <w:txbxContent>
                    <w:p w14:paraId="609B45C8">
                      <w:pPr>
                        <w:jc w:val="center"/>
                        <w:rPr>
                          <w:szCs w:val="21"/>
                        </w:rPr>
                      </w:pPr>
                    </w:p>
                    <w:p w14:paraId="4D35F59F">
                      <w:pPr>
                        <w:jc w:val="center"/>
                        <w:rPr>
                          <w:szCs w:val="21"/>
                        </w:rPr>
                      </w:pPr>
                    </w:p>
                    <w:p w14:paraId="09C12398">
                      <w:pPr>
                        <w:jc w:val="center"/>
                        <w:rPr>
                          <w:szCs w:val="21"/>
                        </w:rPr>
                      </w:pPr>
                      <w:r>
                        <w:rPr>
                          <w:rFonts w:hint="eastAsia"/>
                          <w:szCs w:val="21"/>
                        </w:rPr>
                        <w:t>委托代理人身份证彩色扫描件正、反面</w:t>
                      </w:r>
                    </w:p>
                  </w:txbxContent>
                </v:textbox>
              </v:shape>
            </w:pict>
          </mc:Fallback>
        </mc:AlternateContent>
      </w:r>
    </w:p>
    <w:p w14:paraId="79563FD3">
      <w:pPr>
        <w:pStyle w:val="3"/>
        <w:wordWrap w:val="0"/>
        <w:adjustRightInd w:val="0"/>
        <w:snapToGrid w:val="0"/>
        <w:rPr>
          <w:rFonts w:hAnsi="宋体" w:cs="宋体"/>
          <w:snapToGrid w:val="0"/>
          <w:color w:val="auto"/>
          <w:kern w:val="0"/>
          <w:szCs w:val="24"/>
          <w:highlight w:val="none"/>
        </w:rPr>
      </w:pPr>
    </w:p>
    <w:p w14:paraId="3DEB4B42">
      <w:pPr>
        <w:bidi w:val="0"/>
        <w:rPr>
          <w:color w:val="auto"/>
          <w:highlight w:val="none"/>
        </w:rPr>
      </w:pPr>
    </w:p>
    <w:p w14:paraId="4EE63B06">
      <w:pPr>
        <w:wordWrap w:val="0"/>
        <w:adjustRightInd w:val="0"/>
        <w:snapToGrid w:val="0"/>
        <w:rPr>
          <w:rFonts w:hAnsi="宋体" w:cs="宋体"/>
          <w:snapToGrid w:val="0"/>
          <w:color w:val="auto"/>
          <w:kern w:val="0"/>
          <w:highlight w:val="none"/>
        </w:rPr>
        <w:sectPr>
          <w:endnotePr>
            <w:numFmt w:val="decimal"/>
          </w:endnotePr>
          <w:pgSz w:w="11906" w:h="16838"/>
          <w:pgMar w:top="1417" w:right="1417" w:bottom="1417" w:left="1417" w:header="850" w:footer="992" w:gutter="0"/>
          <w:cols w:space="0" w:num="1"/>
          <w:docGrid w:linePitch="327" w:charSpace="0"/>
        </w:sectPr>
      </w:pPr>
    </w:p>
    <w:p w14:paraId="047810DC">
      <w:pPr>
        <w:wordWrap w:val="0"/>
        <w:adjustRightInd w:val="0"/>
        <w:snapToGrid w:val="0"/>
        <w:spacing w:line="440" w:lineRule="exact"/>
        <w:outlineLvl w:val="1"/>
        <w:rPr>
          <w:rFonts w:hAnsi="宋体" w:cs="宋体"/>
          <w:b/>
          <w:snapToGrid w:val="0"/>
          <w:color w:val="auto"/>
          <w:kern w:val="0"/>
          <w:highlight w:val="none"/>
        </w:rPr>
      </w:pPr>
      <w:bookmarkStart w:id="318" w:name="_Toc15411"/>
      <w:r>
        <w:rPr>
          <w:rFonts w:hint="eastAsia" w:hAnsi="宋体" w:cs="宋体"/>
          <w:b/>
          <w:snapToGrid w:val="0"/>
          <w:color w:val="auto"/>
          <w:kern w:val="0"/>
          <w:highlight w:val="none"/>
        </w:rPr>
        <w:t>格式五 法定代表人身份证明</w:t>
      </w:r>
      <w:bookmarkEnd w:id="318"/>
    </w:p>
    <w:p w14:paraId="6BB79DDB">
      <w:pPr>
        <w:wordWrap w:val="0"/>
        <w:adjustRightInd w:val="0"/>
        <w:snapToGrid w:val="0"/>
        <w:spacing w:line="440" w:lineRule="exact"/>
        <w:rPr>
          <w:rFonts w:hAnsi="宋体" w:cs="宋体"/>
          <w:b/>
          <w:snapToGrid w:val="0"/>
          <w:color w:val="auto"/>
          <w:kern w:val="0"/>
          <w:highlight w:val="none"/>
        </w:rPr>
      </w:pPr>
    </w:p>
    <w:p w14:paraId="16729C42">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法定代表人身份证明</w:t>
      </w:r>
    </w:p>
    <w:p w14:paraId="2FF4BF41">
      <w:pPr>
        <w:wordWrap w:val="0"/>
        <w:adjustRightInd w:val="0"/>
        <w:snapToGrid w:val="0"/>
        <w:spacing w:line="440" w:lineRule="exact"/>
        <w:rPr>
          <w:rFonts w:hAnsi="宋体" w:cs="宋体"/>
          <w:snapToGrid w:val="0"/>
          <w:color w:val="auto"/>
          <w:kern w:val="0"/>
          <w:szCs w:val="21"/>
          <w:highlight w:val="none"/>
        </w:rPr>
      </w:pPr>
    </w:p>
    <w:p w14:paraId="7DB8BCD1">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投标人名称：</w:t>
      </w:r>
      <w:r>
        <w:rPr>
          <w:rFonts w:hint="eastAsia" w:hAnsi="宋体" w:cs="宋体"/>
          <w:snapToGrid w:val="0"/>
          <w:color w:val="auto"/>
          <w:kern w:val="0"/>
          <w:szCs w:val="21"/>
          <w:highlight w:val="none"/>
          <w:u w:val="single"/>
        </w:rPr>
        <w:t xml:space="preserve">                  </w:t>
      </w:r>
    </w:p>
    <w:p w14:paraId="5F87A2BE">
      <w:pPr>
        <w:wordWrap w:val="0"/>
        <w:adjustRightInd w:val="0"/>
        <w:snapToGrid w:val="0"/>
        <w:spacing w:line="440" w:lineRule="exact"/>
        <w:rPr>
          <w:rFonts w:hAnsi="宋体" w:cs="宋体"/>
          <w:snapToGrid w:val="0"/>
          <w:color w:val="auto"/>
          <w:kern w:val="0"/>
          <w:szCs w:val="21"/>
          <w:highlight w:val="none"/>
          <w:u w:val="single"/>
        </w:rPr>
      </w:pPr>
      <w:r>
        <w:rPr>
          <w:rFonts w:hint="eastAsia" w:hAnsi="宋体" w:cs="宋体"/>
          <w:snapToGrid w:val="0"/>
          <w:color w:val="auto"/>
          <w:kern w:val="0"/>
          <w:szCs w:val="21"/>
          <w:highlight w:val="none"/>
        </w:rPr>
        <w:t>姓名：</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性别：</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年龄：</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职务：</w:t>
      </w:r>
      <w:r>
        <w:rPr>
          <w:rFonts w:hint="eastAsia" w:hAnsi="宋体" w:cs="宋体"/>
          <w:snapToGrid w:val="0"/>
          <w:color w:val="auto"/>
          <w:kern w:val="0"/>
          <w:szCs w:val="21"/>
          <w:highlight w:val="none"/>
          <w:u w:val="single"/>
        </w:rPr>
        <w:t xml:space="preserve">           </w:t>
      </w:r>
    </w:p>
    <w:p w14:paraId="49E9994E">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系</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（投标人名称）的法定代表人。</w:t>
      </w:r>
    </w:p>
    <w:p w14:paraId="0EC840B0">
      <w:pPr>
        <w:wordWrap w:val="0"/>
        <w:adjustRightInd w:val="0"/>
        <w:snapToGrid w:val="0"/>
        <w:spacing w:line="440" w:lineRule="exac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特此证明。</w:t>
      </w:r>
    </w:p>
    <w:p w14:paraId="6BD5A741">
      <w:pPr>
        <w:wordWrap w:val="0"/>
        <w:adjustRightInd w:val="0"/>
        <w:snapToGrid w:val="0"/>
        <w:spacing w:line="440" w:lineRule="exact"/>
        <w:rPr>
          <w:rFonts w:hAnsi="宋体" w:cs="宋体"/>
          <w:snapToGrid w:val="0"/>
          <w:color w:val="auto"/>
          <w:kern w:val="0"/>
          <w:szCs w:val="21"/>
          <w:highlight w:val="none"/>
        </w:rPr>
      </w:pPr>
    </w:p>
    <w:p w14:paraId="2E95E920">
      <w:pPr>
        <w:wordWrap w:val="0"/>
        <w:adjustRightInd w:val="0"/>
        <w:snapToGrid w:val="0"/>
        <w:spacing w:line="440" w:lineRule="exact"/>
        <w:rPr>
          <w:rFonts w:hAnsi="宋体" w:cs="宋体"/>
          <w:snapToGrid w:val="0"/>
          <w:color w:val="auto"/>
          <w:kern w:val="0"/>
          <w:szCs w:val="21"/>
          <w:highlight w:val="none"/>
        </w:rPr>
      </w:pPr>
    </w:p>
    <w:p w14:paraId="2BAF37F3">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投标人：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（盖单位章）</w:t>
      </w:r>
    </w:p>
    <w:p w14:paraId="15931070">
      <w:pPr>
        <w:wordWrap w:val="0"/>
        <w:adjustRightInd w:val="0"/>
        <w:snapToGrid w:val="0"/>
        <w:spacing w:line="440" w:lineRule="exact"/>
        <w:jc w:val="right"/>
        <w:rPr>
          <w:rFonts w:hAnsi="宋体" w:cs="宋体"/>
          <w:snapToGrid w:val="0"/>
          <w:color w:val="auto"/>
          <w:kern w:val="0"/>
          <w:szCs w:val="21"/>
          <w:highlight w:val="none"/>
        </w:rPr>
      </w:pPr>
    </w:p>
    <w:p w14:paraId="4E9E006A">
      <w:pPr>
        <w:wordWrap w:val="0"/>
        <w:adjustRightInd w:val="0"/>
        <w:snapToGrid w:val="0"/>
        <w:spacing w:line="440" w:lineRule="exact"/>
        <w:jc w:val="right"/>
        <w:rPr>
          <w:rFonts w:hAnsi="宋体" w:cs="宋体"/>
          <w:snapToGrid w:val="0"/>
          <w:color w:val="auto"/>
          <w:kern w:val="0"/>
          <w:szCs w:val="21"/>
          <w:highlight w:val="none"/>
        </w:rPr>
      </w:pPr>
    </w:p>
    <w:p w14:paraId="6E1D2B4A">
      <w:pPr>
        <w:wordWrap w:val="0"/>
        <w:adjustRightInd w:val="0"/>
        <w:snapToGrid w:val="0"/>
        <w:spacing w:line="440" w:lineRule="exact"/>
        <w:jc w:val="right"/>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法定代表人：</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（签字或盖章）</w:t>
      </w:r>
    </w:p>
    <w:p w14:paraId="7C11D6D8">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4649928B">
      <w:pPr>
        <w:wordWrap w:val="0"/>
        <w:adjustRightInd w:val="0"/>
        <w:snapToGrid w:val="0"/>
        <w:spacing w:line="440" w:lineRule="exact"/>
        <w:jc w:val="center"/>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年</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月</w:t>
      </w:r>
      <w:r>
        <w:rPr>
          <w:rFonts w:hint="eastAsia" w:hAnsi="宋体" w:cs="宋体"/>
          <w:snapToGrid w:val="0"/>
          <w:color w:val="auto"/>
          <w:kern w:val="0"/>
          <w:szCs w:val="21"/>
          <w:highlight w:val="none"/>
          <w:u w:val="single"/>
        </w:rPr>
        <w:t xml:space="preserve">      </w:t>
      </w:r>
      <w:r>
        <w:rPr>
          <w:rFonts w:hint="eastAsia" w:hAnsi="宋体" w:cs="宋体"/>
          <w:snapToGrid w:val="0"/>
          <w:color w:val="auto"/>
          <w:kern w:val="0"/>
          <w:szCs w:val="21"/>
          <w:highlight w:val="none"/>
        </w:rPr>
        <w:t xml:space="preserve">日       </w:t>
      </w:r>
    </w:p>
    <w:p w14:paraId="5AC0A295">
      <w:pPr>
        <w:wordWrap w:val="0"/>
        <w:adjustRightInd w:val="0"/>
        <w:snapToGrid w:val="0"/>
        <w:spacing w:line="440" w:lineRule="exact"/>
        <w:ind w:firstLine="240" w:firstLineChars="100"/>
        <w:rPr>
          <w:rFonts w:hAnsi="宋体" w:cs="宋体"/>
          <w:snapToGrid w:val="0"/>
          <w:color w:val="auto"/>
          <w:kern w:val="0"/>
          <w:szCs w:val="21"/>
          <w:highlight w:val="none"/>
        </w:rPr>
      </w:pPr>
      <w:r>
        <w:rPr>
          <w:rFonts w:hint="eastAsia" w:hAnsi="宋体" w:cs="宋体"/>
          <w:snapToGrid w:val="0"/>
          <w:color w:val="auto"/>
          <w:kern w:val="0"/>
          <w:szCs w:val="21"/>
          <w:highlight w:val="none"/>
        </w:rPr>
        <w:t xml:space="preserve">     </w:t>
      </w:r>
    </w:p>
    <w:p w14:paraId="76CD658E">
      <w:pPr>
        <w:wordWrap w:val="0"/>
        <w:adjustRightInd w:val="0"/>
        <w:snapToGrid w:val="0"/>
        <w:spacing w:line="440" w:lineRule="exact"/>
        <w:ind w:firstLine="240" w:firstLineChars="100"/>
        <w:rPr>
          <w:rFonts w:hAnsi="宋体" w:cs="宋体"/>
          <w:snapToGrid w:val="0"/>
          <w:color w:val="auto"/>
          <w:kern w:val="0"/>
          <w:szCs w:val="21"/>
          <w:highlight w:val="none"/>
        </w:rPr>
      </w:pPr>
    </w:p>
    <w:p w14:paraId="658B356B">
      <w:pPr>
        <w:wordWrap w:val="0"/>
        <w:adjustRightInd w:val="0"/>
        <w:snapToGrid w:val="0"/>
        <w:spacing w:line="440" w:lineRule="exact"/>
        <w:ind w:firstLine="240" w:firstLineChars="100"/>
        <w:rPr>
          <w:rFonts w:hAnsi="宋体" w:cs="宋体"/>
          <w:snapToGrid w:val="0"/>
          <w:color w:val="auto"/>
          <w:kern w:val="0"/>
          <w:szCs w:val="21"/>
          <w:highlight w:val="none"/>
        </w:rPr>
      </w:pPr>
    </w:p>
    <w:p w14:paraId="5B344952">
      <w:pPr>
        <w:wordWrap w:val="0"/>
        <w:adjustRightInd w:val="0"/>
        <w:snapToGrid w:val="0"/>
        <w:spacing w:line="440" w:lineRule="exact"/>
        <w:ind w:firstLine="720" w:firstLineChars="300"/>
        <w:rPr>
          <w:rFonts w:hAnsi="宋体" w:cs="宋体"/>
          <w:b/>
          <w:snapToGrid w:val="0"/>
          <w:color w:val="auto"/>
          <w:kern w:val="0"/>
          <w:szCs w:val="21"/>
          <w:highlight w:val="none"/>
        </w:rPr>
      </w:pPr>
      <w:r>
        <w:rPr>
          <w:rFonts w:hint="eastAsia" w:hAnsi="宋体" w:cs="宋体"/>
          <w:snapToGrid w:val="0"/>
          <w:color w:val="auto"/>
          <w:kern w:val="0"/>
          <w:szCs w:val="21"/>
          <w:highlight w:val="none"/>
        </w:rPr>
        <w:t xml:space="preserve">  </w:t>
      </w:r>
      <w:r>
        <w:rPr>
          <w:rFonts w:hint="eastAsia" w:hAnsi="宋体" w:cs="宋体"/>
          <w:i/>
          <w:iCs/>
          <w:snapToGrid w:val="0"/>
          <w:color w:val="auto"/>
          <w:kern w:val="0"/>
          <w:szCs w:val="21"/>
          <w:highlight w:val="none"/>
        </w:rPr>
        <w:t xml:space="preserve"> </w:t>
      </w:r>
    </w:p>
    <w:p w14:paraId="1F32B462">
      <w:pPr>
        <w:wordWrap w:val="0"/>
        <w:adjustRightInd w:val="0"/>
        <w:snapToGrid w:val="0"/>
        <w:rPr>
          <w:rFonts w:hAnsi="宋体" w:cs="宋体"/>
          <w:b/>
          <w:snapToGrid w:val="0"/>
          <w:color w:val="auto"/>
          <w:kern w:val="0"/>
          <w:szCs w:val="21"/>
          <w:highlight w:val="none"/>
        </w:rPr>
      </w:pPr>
      <w:r>
        <w:rPr>
          <w:rFonts w:hint="eastAsia" w:hAnsi="宋体" w:cs="宋体"/>
          <w:b/>
          <w:snapToGrid w:val="0"/>
          <w:color w:val="auto"/>
          <w:kern w:val="0"/>
          <w:szCs w:val="21"/>
          <w:highlight w:val="none"/>
        </w:rPr>
        <mc:AlternateContent>
          <mc:Choice Requires="wps">
            <w:drawing>
              <wp:anchor distT="0" distB="0" distL="114300" distR="114300" simplePos="0" relativeHeight="251659264" behindDoc="0" locked="0" layoutInCell="1" allowOverlap="1">
                <wp:simplePos x="0" y="0"/>
                <wp:positionH relativeFrom="column">
                  <wp:posOffset>1191260</wp:posOffset>
                </wp:positionH>
                <wp:positionV relativeFrom="paragraph">
                  <wp:posOffset>20320</wp:posOffset>
                </wp:positionV>
                <wp:extent cx="3253105" cy="1584325"/>
                <wp:effectExtent l="4445" t="4445" r="19050" b="11430"/>
                <wp:wrapNone/>
                <wp:docPr id="1" name="自选图形 18"/>
                <wp:cNvGraphicFramePr/>
                <a:graphic xmlns:a="http://schemas.openxmlformats.org/drawingml/2006/main">
                  <a:graphicData uri="http://schemas.microsoft.com/office/word/2010/wordprocessingShape">
                    <wps:wsp>
                      <wps:cNvSpPr/>
                      <wps:spPr>
                        <a:xfrm>
                          <a:off x="0" y="0"/>
                          <a:ext cx="325310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wps:txbx>
                      <wps:bodyPr wrap="square" upright="1"/>
                    </wps:wsp>
                  </a:graphicData>
                </a:graphic>
              </wp:anchor>
            </w:drawing>
          </mc:Choice>
          <mc:Fallback>
            <w:pict>
              <v:shape id="自选图形 18" o:spid="_x0000_s1026" o:spt="176" type="#_x0000_t176" style="position:absolute;left:0pt;margin-left:93.8pt;margin-top:1.6pt;height:124.75pt;width:256.15pt;z-index:251659264;mso-width-relative:page;mso-height-relative:page;" fillcolor="#FFFFFF" filled="t" stroked="t" coordsize="21600,21600" o:gfxdata="UEsDBAoAAAAAAIdO4kAAAAAAAAAAAAAAAAAEAAAAZHJzL1BLAwQUAAAACACHTuJAoOzCbtcAAAAJ&#10;AQAADwAAAGRycy9kb3ducmV2LnhtbE2PT0+EMBTE7yZ+h+aZeHMLbOTfUjZGoycv4iZeC62ULH0l&#10;tLDop/d50uNkJjO/qY6bHdmqZz84FBDvImAaO6cG7AWc3p/vcmA+SFRydKgFfGkPx/r6qpKlchd8&#10;02sTekYl6EspwIQwlZz7zmgr/c5NGsn7dLOVgeTcczXLC5XbkSdRlHIrB6QFIyf9aHR3bhYrYHv9&#10;bovlJe6aYPI0+9ivTw8nLsTtTRwdgAW9hb8w/OITOtTE1LoFlWcj6TxLKSpgnwAjPy2KAlgrILlP&#10;MuB1xf8/qH8AUEsDBBQAAAAIAIdO4kCgE5luJAIAAFQEAAAOAAAAZHJzL2Uyb0RvYy54bWytVE2u&#10;0zAQ3iNxB8t7mqSPohI1fUKvlA2CSg8OMHWcxJL/sN0m3bFDnIEdS+4At3kS3IKxU/p+YNEFXjhj&#10;e/zNfN+Ms7gclCR77rwwuqLFJKeEa2ZqoduKvn+3fjKnxAfQNUijeUUP3NPL5eNHi96WfGo6I2vu&#10;CIJoX/a2ol0ItswyzzquwE+M5RoPG+MUBFy6Nqsd9IiuZDbN82dZb1xtnWHce9xdjYf0iOjOATRN&#10;IxhfGbZTXIcR1XEJASn5TlhPlynbpuEsvG0azwORFUWmIc0YBO1tnLPlAsrWge0EO6YA56TwgJMC&#10;oTHoCWoFAcjOib+glGDOeNOECTMqG4kkRZBFkT/Q5roDyxMXlNrbk+j+/8GyN/uNI6LGTqBEg8KC&#10;//z07dfHzzdfftx8/0qKeZSot75Ez2u7cceVRzPyHRqn4heZkCHJejjJyodAGG5eTGcXRT6jhOFZ&#10;MZs/xY2Imt1et86HV9woEo2KNtL0Vx248EIG7jQEvhkbJmkM+9c+jPf/3IspeCNFvRZSpoVrt1fS&#10;kT1g4ddpHEPec5Oa9BV9PsOECAPs5ga7CE1lURGv2xTv3g1/FzhP41/AMbEV+G5MICFENyiVQEbJ&#10;6jjUL3VNwsGi6hofG43JKF5TIjm+zWglzwBCnuOJgkqNusZyjQWKVhi2A8JEc2vqA5a7x35Heh92&#10;4DDmzjrRdqh6kYhEP2y2VJ7jw4jdfHedQtz+DJ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Ds&#10;wm7XAAAACQEAAA8AAAAAAAAAAQAgAAAAIgAAAGRycy9kb3ducmV2LnhtbFBLAQIUABQAAAAIAIdO&#10;4kCgE5luJAIAAFQEAAAOAAAAAAAAAAEAIAAAACYBAABkcnMvZTJvRG9jLnhtbFBLBQYAAAAABgAG&#10;AFkBAAC8BQAAAAA=&#10;">
                <v:fill on="t" focussize="0,0"/>
                <v:stroke color="#000000" joinstyle="miter"/>
                <v:imagedata o:title=""/>
                <o:lock v:ext="edit" aspectratio="f"/>
                <v:textbox>
                  <w:txbxContent>
                    <w:p w14:paraId="681BDD3D">
                      <w:pPr>
                        <w:jc w:val="center"/>
                        <w:rPr>
                          <w:szCs w:val="21"/>
                        </w:rPr>
                      </w:pPr>
                    </w:p>
                    <w:p w14:paraId="1920F1CC">
                      <w:pPr>
                        <w:jc w:val="center"/>
                        <w:rPr>
                          <w:szCs w:val="21"/>
                        </w:rPr>
                      </w:pPr>
                    </w:p>
                    <w:p w14:paraId="5C1C5126">
                      <w:pPr>
                        <w:jc w:val="center"/>
                        <w:rPr>
                          <w:szCs w:val="21"/>
                        </w:rPr>
                      </w:pPr>
                      <w:r>
                        <w:rPr>
                          <w:rFonts w:hint="eastAsia"/>
                          <w:szCs w:val="21"/>
                        </w:rPr>
                        <w:t>法定代表人身份证彩色扫描件正、反面</w:t>
                      </w:r>
                    </w:p>
                  </w:txbxContent>
                </v:textbox>
              </v:shape>
            </w:pict>
          </mc:Fallback>
        </mc:AlternateContent>
      </w:r>
    </w:p>
    <w:p w14:paraId="7B058A6C">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Ansi="宋体" w:cs="宋体"/>
          <w:snapToGrid w:val="0"/>
          <w:color w:val="auto"/>
          <w:kern w:val="0"/>
          <w:sz w:val="28"/>
          <w:szCs w:val="28"/>
          <w:highlight w:val="none"/>
        </w:rPr>
      </w:pPr>
    </w:p>
    <w:p w14:paraId="42859630">
      <w:pPr>
        <w:wordWrap w:val="0"/>
        <w:adjustRightInd w:val="0"/>
        <w:snapToGrid w:val="0"/>
        <w:spacing w:line="480" w:lineRule="exact"/>
        <w:jc w:val="center"/>
        <w:rPr>
          <w:rFonts w:hAnsi="宋体" w:cs="宋体"/>
          <w:b/>
          <w:snapToGrid w:val="0"/>
          <w:color w:val="auto"/>
          <w:kern w:val="0"/>
          <w:sz w:val="28"/>
          <w:szCs w:val="28"/>
          <w:highlight w:val="none"/>
        </w:rPr>
      </w:pPr>
    </w:p>
    <w:p w14:paraId="67FF2234">
      <w:pPr>
        <w:wordWrap w:val="0"/>
        <w:adjustRightInd w:val="0"/>
        <w:snapToGrid w:val="0"/>
        <w:spacing w:line="480" w:lineRule="exact"/>
        <w:jc w:val="center"/>
        <w:rPr>
          <w:rFonts w:hAnsi="宋体" w:cs="宋体"/>
          <w:b/>
          <w:snapToGrid w:val="0"/>
          <w:color w:val="auto"/>
          <w:kern w:val="0"/>
          <w:sz w:val="28"/>
          <w:szCs w:val="28"/>
          <w:highlight w:val="none"/>
        </w:rPr>
      </w:pPr>
    </w:p>
    <w:p w14:paraId="75D1150B">
      <w:pPr>
        <w:wordWrap w:val="0"/>
        <w:adjustRightInd w:val="0"/>
        <w:snapToGrid w:val="0"/>
        <w:spacing w:line="480" w:lineRule="exact"/>
        <w:jc w:val="center"/>
        <w:rPr>
          <w:rFonts w:hAnsi="宋体" w:cs="宋体"/>
          <w:b/>
          <w:snapToGrid w:val="0"/>
          <w:color w:val="auto"/>
          <w:kern w:val="0"/>
          <w:sz w:val="28"/>
          <w:szCs w:val="28"/>
          <w:highlight w:val="none"/>
        </w:rPr>
        <w:sectPr>
          <w:endnotePr>
            <w:numFmt w:val="decimal"/>
          </w:endnotePr>
          <w:pgSz w:w="11906" w:h="16838"/>
          <w:pgMar w:top="1417" w:right="1417" w:bottom="1417" w:left="1417" w:header="850" w:footer="992" w:gutter="0"/>
          <w:cols w:space="0" w:num="1"/>
          <w:docGrid w:linePitch="327" w:charSpace="0"/>
        </w:sectPr>
      </w:pPr>
    </w:p>
    <w:p w14:paraId="27DA5F30">
      <w:pPr>
        <w:wordWrap w:val="0"/>
        <w:adjustRightInd w:val="0"/>
        <w:snapToGrid w:val="0"/>
        <w:spacing w:line="440" w:lineRule="exact"/>
        <w:outlineLvl w:val="1"/>
        <w:rPr>
          <w:rFonts w:hAnsi="宋体" w:cs="宋体"/>
          <w:b/>
          <w:bCs/>
          <w:snapToGrid w:val="0"/>
          <w:color w:val="auto"/>
          <w:kern w:val="0"/>
          <w:szCs w:val="24"/>
          <w:highlight w:val="none"/>
        </w:rPr>
      </w:pPr>
      <w:bookmarkStart w:id="319" w:name="_Toc19398"/>
      <w:r>
        <w:rPr>
          <w:rFonts w:hint="eastAsia" w:hAnsi="宋体" w:cs="宋体"/>
          <w:b/>
          <w:bCs/>
          <w:snapToGrid w:val="0"/>
          <w:color w:val="auto"/>
          <w:kern w:val="0"/>
          <w:szCs w:val="24"/>
          <w:highlight w:val="none"/>
        </w:rPr>
        <w:t>格式六 投标人基本情况表</w:t>
      </w:r>
      <w:bookmarkEnd w:id="319"/>
    </w:p>
    <w:p w14:paraId="3C45457B">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投标人基本情况表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395D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0F3534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投标人名称</w:t>
            </w:r>
          </w:p>
        </w:tc>
        <w:tc>
          <w:tcPr>
            <w:tcW w:w="7020" w:type="dxa"/>
            <w:gridSpan w:val="8"/>
            <w:vAlign w:val="center"/>
          </w:tcPr>
          <w:p w14:paraId="29F5C9C3">
            <w:pPr>
              <w:pStyle w:val="137"/>
              <w:wordWrap w:val="0"/>
              <w:adjustRightInd w:val="0"/>
              <w:snapToGrid w:val="0"/>
              <w:jc w:val="center"/>
              <w:rPr>
                <w:rFonts w:ascii="宋体" w:hAnsi="宋体" w:cs="宋体"/>
                <w:snapToGrid w:val="0"/>
                <w:color w:val="auto"/>
                <w:kern w:val="0"/>
                <w:szCs w:val="21"/>
                <w:highlight w:val="none"/>
              </w:rPr>
            </w:pPr>
          </w:p>
        </w:tc>
      </w:tr>
      <w:tr w14:paraId="0C68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56E481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注册地址</w:t>
            </w:r>
          </w:p>
        </w:tc>
        <w:tc>
          <w:tcPr>
            <w:tcW w:w="3389" w:type="dxa"/>
            <w:gridSpan w:val="3"/>
            <w:vAlign w:val="center"/>
          </w:tcPr>
          <w:p w14:paraId="41522393">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0BEA5ED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邮政编码</w:t>
            </w:r>
          </w:p>
        </w:tc>
        <w:tc>
          <w:tcPr>
            <w:tcW w:w="2385" w:type="dxa"/>
            <w:gridSpan w:val="3"/>
            <w:vAlign w:val="center"/>
          </w:tcPr>
          <w:p w14:paraId="515E2314">
            <w:pPr>
              <w:pStyle w:val="137"/>
              <w:wordWrap w:val="0"/>
              <w:adjustRightInd w:val="0"/>
              <w:snapToGrid w:val="0"/>
              <w:jc w:val="center"/>
              <w:rPr>
                <w:rFonts w:ascii="宋体" w:hAnsi="宋体" w:cs="宋体"/>
                <w:snapToGrid w:val="0"/>
                <w:color w:val="auto"/>
                <w:kern w:val="0"/>
                <w:szCs w:val="21"/>
                <w:highlight w:val="none"/>
              </w:rPr>
            </w:pPr>
          </w:p>
        </w:tc>
      </w:tr>
      <w:tr w14:paraId="53D3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70B2C20F">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联系方式</w:t>
            </w:r>
          </w:p>
        </w:tc>
        <w:tc>
          <w:tcPr>
            <w:tcW w:w="897" w:type="dxa"/>
            <w:vAlign w:val="center"/>
          </w:tcPr>
          <w:p w14:paraId="7594670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联系人</w:t>
            </w:r>
          </w:p>
        </w:tc>
        <w:tc>
          <w:tcPr>
            <w:tcW w:w="2492" w:type="dxa"/>
            <w:gridSpan w:val="2"/>
            <w:vAlign w:val="center"/>
          </w:tcPr>
          <w:p w14:paraId="164B535F">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7B9898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  话</w:t>
            </w:r>
          </w:p>
        </w:tc>
        <w:tc>
          <w:tcPr>
            <w:tcW w:w="2385" w:type="dxa"/>
            <w:gridSpan w:val="3"/>
            <w:vAlign w:val="center"/>
          </w:tcPr>
          <w:p w14:paraId="137FBF1E">
            <w:pPr>
              <w:pStyle w:val="137"/>
              <w:wordWrap w:val="0"/>
              <w:adjustRightInd w:val="0"/>
              <w:snapToGrid w:val="0"/>
              <w:jc w:val="center"/>
              <w:rPr>
                <w:rFonts w:ascii="宋体" w:hAnsi="宋体" w:cs="宋体"/>
                <w:snapToGrid w:val="0"/>
                <w:color w:val="auto"/>
                <w:kern w:val="0"/>
                <w:szCs w:val="21"/>
                <w:highlight w:val="none"/>
              </w:rPr>
            </w:pPr>
          </w:p>
        </w:tc>
      </w:tr>
      <w:tr w14:paraId="7908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7C95A589">
            <w:pPr>
              <w:pStyle w:val="137"/>
              <w:wordWrap w:val="0"/>
              <w:adjustRightInd w:val="0"/>
              <w:snapToGrid w:val="0"/>
              <w:jc w:val="center"/>
              <w:rPr>
                <w:rFonts w:ascii="宋体" w:hAnsi="宋体" w:cs="宋体"/>
                <w:snapToGrid w:val="0"/>
                <w:color w:val="auto"/>
                <w:kern w:val="0"/>
                <w:szCs w:val="21"/>
                <w:highlight w:val="none"/>
              </w:rPr>
            </w:pPr>
          </w:p>
        </w:tc>
        <w:tc>
          <w:tcPr>
            <w:tcW w:w="897" w:type="dxa"/>
            <w:vAlign w:val="center"/>
          </w:tcPr>
          <w:p w14:paraId="321DEB8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传  真</w:t>
            </w:r>
          </w:p>
        </w:tc>
        <w:tc>
          <w:tcPr>
            <w:tcW w:w="2492" w:type="dxa"/>
            <w:gridSpan w:val="2"/>
            <w:vAlign w:val="center"/>
          </w:tcPr>
          <w:p w14:paraId="4DCC7DF0">
            <w:pPr>
              <w:pStyle w:val="137"/>
              <w:wordWrap w:val="0"/>
              <w:adjustRightInd w:val="0"/>
              <w:snapToGrid w:val="0"/>
              <w:jc w:val="center"/>
              <w:rPr>
                <w:rFonts w:ascii="宋体" w:hAnsi="宋体" w:cs="宋体"/>
                <w:snapToGrid w:val="0"/>
                <w:color w:val="auto"/>
                <w:kern w:val="0"/>
                <w:szCs w:val="21"/>
                <w:highlight w:val="none"/>
              </w:rPr>
            </w:pPr>
          </w:p>
        </w:tc>
        <w:tc>
          <w:tcPr>
            <w:tcW w:w="1246" w:type="dxa"/>
            <w:gridSpan w:val="2"/>
            <w:vAlign w:val="center"/>
          </w:tcPr>
          <w:p w14:paraId="60A861B3">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电子邮箱</w:t>
            </w:r>
          </w:p>
        </w:tc>
        <w:tc>
          <w:tcPr>
            <w:tcW w:w="2385" w:type="dxa"/>
            <w:gridSpan w:val="3"/>
            <w:vAlign w:val="center"/>
          </w:tcPr>
          <w:p w14:paraId="2B81EB7B">
            <w:pPr>
              <w:pStyle w:val="137"/>
              <w:wordWrap w:val="0"/>
              <w:adjustRightInd w:val="0"/>
              <w:snapToGrid w:val="0"/>
              <w:jc w:val="center"/>
              <w:rPr>
                <w:rFonts w:ascii="宋体" w:hAnsi="宋体" w:cs="宋体"/>
                <w:snapToGrid w:val="0"/>
                <w:color w:val="auto"/>
                <w:kern w:val="0"/>
                <w:szCs w:val="21"/>
                <w:highlight w:val="none"/>
              </w:rPr>
            </w:pPr>
          </w:p>
        </w:tc>
      </w:tr>
      <w:tr w14:paraId="2879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1DA3CA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法定代表人</w:t>
            </w:r>
          </w:p>
        </w:tc>
        <w:tc>
          <w:tcPr>
            <w:tcW w:w="897" w:type="dxa"/>
            <w:vAlign w:val="center"/>
          </w:tcPr>
          <w:p w14:paraId="7308E28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01032AE9">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0722914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7AD6FF43">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6E7CBB9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44831199">
            <w:pPr>
              <w:pStyle w:val="137"/>
              <w:wordWrap w:val="0"/>
              <w:adjustRightInd w:val="0"/>
              <w:snapToGrid w:val="0"/>
              <w:jc w:val="center"/>
              <w:rPr>
                <w:rFonts w:ascii="宋体" w:hAnsi="宋体" w:cs="宋体"/>
                <w:snapToGrid w:val="0"/>
                <w:color w:val="auto"/>
                <w:kern w:val="0"/>
                <w:szCs w:val="21"/>
                <w:highlight w:val="none"/>
              </w:rPr>
            </w:pPr>
          </w:p>
        </w:tc>
      </w:tr>
      <w:tr w14:paraId="220E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5C530F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技术负责人</w:t>
            </w:r>
          </w:p>
        </w:tc>
        <w:tc>
          <w:tcPr>
            <w:tcW w:w="897" w:type="dxa"/>
            <w:vAlign w:val="center"/>
          </w:tcPr>
          <w:p w14:paraId="2CF4033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姓名</w:t>
            </w:r>
          </w:p>
        </w:tc>
        <w:tc>
          <w:tcPr>
            <w:tcW w:w="1689" w:type="dxa"/>
            <w:vAlign w:val="center"/>
          </w:tcPr>
          <w:p w14:paraId="4F32A38E">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Align w:val="center"/>
          </w:tcPr>
          <w:p w14:paraId="76373BE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技术职称</w:t>
            </w:r>
          </w:p>
        </w:tc>
        <w:tc>
          <w:tcPr>
            <w:tcW w:w="1220" w:type="dxa"/>
            <w:gridSpan w:val="2"/>
            <w:vAlign w:val="center"/>
          </w:tcPr>
          <w:p w14:paraId="414D5E8B">
            <w:pPr>
              <w:pStyle w:val="137"/>
              <w:wordWrap w:val="0"/>
              <w:adjustRightInd w:val="0"/>
              <w:snapToGrid w:val="0"/>
              <w:jc w:val="center"/>
              <w:rPr>
                <w:rFonts w:ascii="宋体" w:hAnsi="宋体" w:cs="宋体"/>
                <w:snapToGrid w:val="0"/>
                <w:color w:val="auto"/>
                <w:kern w:val="0"/>
                <w:szCs w:val="21"/>
                <w:highlight w:val="none"/>
              </w:rPr>
            </w:pPr>
          </w:p>
        </w:tc>
        <w:tc>
          <w:tcPr>
            <w:tcW w:w="709" w:type="dxa"/>
            <w:vAlign w:val="center"/>
          </w:tcPr>
          <w:p w14:paraId="25D8523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电话</w:t>
            </w:r>
          </w:p>
        </w:tc>
        <w:tc>
          <w:tcPr>
            <w:tcW w:w="1416" w:type="dxa"/>
            <w:vAlign w:val="center"/>
          </w:tcPr>
          <w:p w14:paraId="300E4877">
            <w:pPr>
              <w:pStyle w:val="137"/>
              <w:wordWrap w:val="0"/>
              <w:adjustRightInd w:val="0"/>
              <w:snapToGrid w:val="0"/>
              <w:jc w:val="center"/>
              <w:rPr>
                <w:rFonts w:ascii="宋体" w:hAnsi="宋体" w:cs="宋体"/>
                <w:snapToGrid w:val="0"/>
                <w:color w:val="auto"/>
                <w:kern w:val="0"/>
                <w:szCs w:val="21"/>
                <w:highlight w:val="none"/>
              </w:rPr>
            </w:pPr>
          </w:p>
        </w:tc>
      </w:tr>
      <w:tr w14:paraId="16E5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116ADC6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成立日期</w:t>
            </w:r>
          </w:p>
        </w:tc>
        <w:tc>
          <w:tcPr>
            <w:tcW w:w="2586" w:type="dxa"/>
            <w:gridSpan w:val="2"/>
            <w:vAlign w:val="center"/>
          </w:tcPr>
          <w:p w14:paraId="31845C08">
            <w:pPr>
              <w:pStyle w:val="137"/>
              <w:wordWrap w:val="0"/>
              <w:adjustRightInd w:val="0"/>
              <w:snapToGrid w:val="0"/>
              <w:jc w:val="center"/>
              <w:rPr>
                <w:rFonts w:ascii="宋体" w:hAnsi="宋体" w:cs="宋体"/>
                <w:snapToGrid w:val="0"/>
                <w:color w:val="auto"/>
                <w:kern w:val="0"/>
                <w:szCs w:val="21"/>
                <w:highlight w:val="none"/>
              </w:rPr>
            </w:pPr>
          </w:p>
        </w:tc>
        <w:tc>
          <w:tcPr>
            <w:tcW w:w="4434" w:type="dxa"/>
            <w:gridSpan w:val="6"/>
            <w:vAlign w:val="center"/>
          </w:tcPr>
          <w:p w14:paraId="5488CAE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员工总人数（个）：</w:t>
            </w:r>
          </w:p>
        </w:tc>
      </w:tr>
      <w:tr w14:paraId="24FF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F649C4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企业资质</w:t>
            </w:r>
          </w:p>
          <w:p w14:paraId="70FDE49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类型和等级</w:t>
            </w:r>
          </w:p>
        </w:tc>
        <w:tc>
          <w:tcPr>
            <w:tcW w:w="2586" w:type="dxa"/>
            <w:gridSpan w:val="2"/>
            <w:vAlign w:val="center"/>
          </w:tcPr>
          <w:p w14:paraId="3FBBCF9F">
            <w:pPr>
              <w:pStyle w:val="137"/>
              <w:wordWrap w:val="0"/>
              <w:adjustRightInd w:val="0"/>
              <w:snapToGrid w:val="0"/>
              <w:jc w:val="left"/>
              <w:rPr>
                <w:rFonts w:ascii="宋体" w:hAnsi="宋体" w:cs="宋体"/>
                <w:snapToGrid w:val="0"/>
                <w:color w:val="auto"/>
                <w:kern w:val="0"/>
                <w:szCs w:val="21"/>
                <w:highlight w:val="none"/>
              </w:rPr>
            </w:pPr>
          </w:p>
        </w:tc>
        <w:tc>
          <w:tcPr>
            <w:tcW w:w="1089" w:type="dxa"/>
            <w:gridSpan w:val="2"/>
            <w:vMerge w:val="restart"/>
            <w:vAlign w:val="center"/>
          </w:tcPr>
          <w:p w14:paraId="53F8BA9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其中</w:t>
            </w:r>
          </w:p>
        </w:tc>
        <w:tc>
          <w:tcPr>
            <w:tcW w:w="1929" w:type="dxa"/>
            <w:gridSpan w:val="3"/>
            <w:vAlign w:val="center"/>
          </w:tcPr>
          <w:p w14:paraId="13106D9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各类注册人员</w:t>
            </w:r>
          </w:p>
        </w:tc>
        <w:tc>
          <w:tcPr>
            <w:tcW w:w="1416" w:type="dxa"/>
            <w:vAlign w:val="center"/>
          </w:tcPr>
          <w:p w14:paraId="66A45836">
            <w:pPr>
              <w:pStyle w:val="137"/>
              <w:wordWrap w:val="0"/>
              <w:adjustRightInd w:val="0"/>
              <w:snapToGrid w:val="0"/>
              <w:jc w:val="center"/>
              <w:rPr>
                <w:rFonts w:ascii="宋体" w:hAnsi="宋体" w:cs="宋体"/>
                <w:snapToGrid w:val="0"/>
                <w:color w:val="auto"/>
                <w:kern w:val="0"/>
                <w:szCs w:val="21"/>
                <w:highlight w:val="none"/>
              </w:rPr>
            </w:pPr>
          </w:p>
        </w:tc>
      </w:tr>
      <w:tr w14:paraId="1356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5484E1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营业执照号</w:t>
            </w:r>
          </w:p>
        </w:tc>
        <w:tc>
          <w:tcPr>
            <w:tcW w:w="2586" w:type="dxa"/>
            <w:gridSpan w:val="2"/>
            <w:vAlign w:val="center"/>
          </w:tcPr>
          <w:p w14:paraId="537F167F">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2FE95C77">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58F77C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高级职称人员</w:t>
            </w:r>
          </w:p>
        </w:tc>
        <w:tc>
          <w:tcPr>
            <w:tcW w:w="1416" w:type="dxa"/>
            <w:vAlign w:val="center"/>
          </w:tcPr>
          <w:p w14:paraId="6727EBCF">
            <w:pPr>
              <w:pStyle w:val="137"/>
              <w:wordWrap w:val="0"/>
              <w:adjustRightInd w:val="0"/>
              <w:snapToGrid w:val="0"/>
              <w:jc w:val="center"/>
              <w:rPr>
                <w:rFonts w:ascii="宋体" w:hAnsi="宋体" w:cs="宋体"/>
                <w:snapToGrid w:val="0"/>
                <w:color w:val="auto"/>
                <w:kern w:val="0"/>
                <w:szCs w:val="21"/>
                <w:highlight w:val="none"/>
              </w:rPr>
            </w:pPr>
          </w:p>
        </w:tc>
      </w:tr>
      <w:tr w14:paraId="5AFA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70FF269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注册资金</w:t>
            </w:r>
          </w:p>
        </w:tc>
        <w:tc>
          <w:tcPr>
            <w:tcW w:w="2586" w:type="dxa"/>
            <w:gridSpan w:val="2"/>
            <w:vAlign w:val="center"/>
          </w:tcPr>
          <w:p w14:paraId="6B4F28EE">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339F6456">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099C1C60">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中级职称人员</w:t>
            </w:r>
          </w:p>
        </w:tc>
        <w:tc>
          <w:tcPr>
            <w:tcW w:w="1416" w:type="dxa"/>
            <w:vAlign w:val="center"/>
          </w:tcPr>
          <w:p w14:paraId="5467645F">
            <w:pPr>
              <w:pStyle w:val="137"/>
              <w:wordWrap w:val="0"/>
              <w:adjustRightInd w:val="0"/>
              <w:snapToGrid w:val="0"/>
              <w:jc w:val="center"/>
              <w:rPr>
                <w:rFonts w:ascii="宋体" w:hAnsi="宋体" w:cs="宋体"/>
                <w:snapToGrid w:val="0"/>
                <w:color w:val="auto"/>
                <w:kern w:val="0"/>
                <w:szCs w:val="21"/>
                <w:highlight w:val="none"/>
              </w:rPr>
            </w:pPr>
          </w:p>
        </w:tc>
      </w:tr>
      <w:tr w14:paraId="2979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55C3C131">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66D9813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开户银行</w:t>
            </w:r>
          </w:p>
        </w:tc>
        <w:tc>
          <w:tcPr>
            <w:tcW w:w="2586" w:type="dxa"/>
            <w:gridSpan w:val="2"/>
            <w:vAlign w:val="center"/>
          </w:tcPr>
          <w:p w14:paraId="531EB950">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6FB92093">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7786B5B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初级职称人员</w:t>
            </w:r>
          </w:p>
        </w:tc>
        <w:tc>
          <w:tcPr>
            <w:tcW w:w="1416" w:type="dxa"/>
            <w:vAlign w:val="center"/>
          </w:tcPr>
          <w:p w14:paraId="5AAF3BA2">
            <w:pPr>
              <w:pStyle w:val="137"/>
              <w:wordWrap w:val="0"/>
              <w:adjustRightInd w:val="0"/>
              <w:snapToGrid w:val="0"/>
              <w:jc w:val="center"/>
              <w:rPr>
                <w:rFonts w:ascii="宋体" w:hAnsi="宋体" w:cs="宋体"/>
                <w:snapToGrid w:val="0"/>
                <w:color w:val="auto"/>
                <w:kern w:val="0"/>
                <w:szCs w:val="21"/>
                <w:highlight w:val="none"/>
              </w:rPr>
            </w:pPr>
          </w:p>
        </w:tc>
      </w:tr>
      <w:tr w14:paraId="5D7F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5" w:type="dxa"/>
            <w:vAlign w:val="center"/>
          </w:tcPr>
          <w:p w14:paraId="01ACC4B2">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基本账户</w:t>
            </w:r>
          </w:p>
          <w:p w14:paraId="41FAD386">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银行账号</w:t>
            </w:r>
          </w:p>
        </w:tc>
        <w:tc>
          <w:tcPr>
            <w:tcW w:w="2586" w:type="dxa"/>
            <w:gridSpan w:val="2"/>
            <w:vAlign w:val="center"/>
          </w:tcPr>
          <w:p w14:paraId="5F82E5BB">
            <w:pPr>
              <w:pStyle w:val="137"/>
              <w:wordWrap w:val="0"/>
              <w:adjustRightInd w:val="0"/>
              <w:snapToGrid w:val="0"/>
              <w:jc w:val="center"/>
              <w:rPr>
                <w:rFonts w:ascii="宋体" w:hAnsi="宋体" w:cs="宋体"/>
                <w:snapToGrid w:val="0"/>
                <w:color w:val="auto"/>
                <w:kern w:val="0"/>
                <w:szCs w:val="21"/>
                <w:highlight w:val="none"/>
              </w:rPr>
            </w:pPr>
          </w:p>
        </w:tc>
        <w:tc>
          <w:tcPr>
            <w:tcW w:w="1089" w:type="dxa"/>
            <w:gridSpan w:val="2"/>
            <w:vMerge w:val="continue"/>
            <w:vAlign w:val="center"/>
          </w:tcPr>
          <w:p w14:paraId="4376DF60">
            <w:pPr>
              <w:pStyle w:val="137"/>
              <w:wordWrap w:val="0"/>
              <w:adjustRightInd w:val="0"/>
              <w:snapToGrid w:val="0"/>
              <w:jc w:val="center"/>
              <w:rPr>
                <w:rFonts w:ascii="宋体" w:hAnsi="宋体" w:cs="宋体"/>
                <w:snapToGrid w:val="0"/>
                <w:color w:val="auto"/>
                <w:kern w:val="0"/>
                <w:szCs w:val="21"/>
                <w:highlight w:val="none"/>
              </w:rPr>
            </w:pPr>
          </w:p>
        </w:tc>
        <w:tc>
          <w:tcPr>
            <w:tcW w:w="1929" w:type="dxa"/>
            <w:gridSpan w:val="3"/>
            <w:vAlign w:val="center"/>
          </w:tcPr>
          <w:p w14:paraId="4671252B">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技术员</w:t>
            </w:r>
          </w:p>
        </w:tc>
        <w:tc>
          <w:tcPr>
            <w:tcW w:w="1416" w:type="dxa"/>
            <w:vAlign w:val="center"/>
          </w:tcPr>
          <w:p w14:paraId="5F52F934">
            <w:pPr>
              <w:pStyle w:val="137"/>
              <w:wordWrap w:val="0"/>
              <w:adjustRightInd w:val="0"/>
              <w:snapToGrid w:val="0"/>
              <w:jc w:val="center"/>
              <w:rPr>
                <w:rFonts w:ascii="宋体" w:hAnsi="宋体" w:cs="宋体"/>
                <w:snapToGrid w:val="0"/>
                <w:color w:val="auto"/>
                <w:kern w:val="0"/>
                <w:szCs w:val="21"/>
                <w:highlight w:val="none"/>
              </w:rPr>
            </w:pPr>
          </w:p>
        </w:tc>
      </w:tr>
      <w:tr w14:paraId="1615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exact"/>
          <w:jc w:val="center"/>
        </w:trPr>
        <w:tc>
          <w:tcPr>
            <w:tcW w:w="1485" w:type="dxa"/>
            <w:vAlign w:val="center"/>
          </w:tcPr>
          <w:p w14:paraId="6E2692A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经营范围</w:t>
            </w:r>
          </w:p>
        </w:tc>
        <w:tc>
          <w:tcPr>
            <w:tcW w:w="7020" w:type="dxa"/>
            <w:gridSpan w:val="8"/>
            <w:vAlign w:val="center"/>
          </w:tcPr>
          <w:p w14:paraId="28B3173C">
            <w:pPr>
              <w:pStyle w:val="137"/>
              <w:wordWrap w:val="0"/>
              <w:adjustRightInd w:val="0"/>
              <w:snapToGrid w:val="0"/>
              <w:jc w:val="center"/>
              <w:rPr>
                <w:rFonts w:ascii="宋体" w:hAnsi="宋体" w:cs="宋体"/>
                <w:snapToGrid w:val="0"/>
                <w:color w:val="auto"/>
                <w:kern w:val="0"/>
                <w:szCs w:val="21"/>
                <w:highlight w:val="none"/>
              </w:rPr>
            </w:pPr>
          </w:p>
        </w:tc>
      </w:tr>
      <w:tr w14:paraId="3CF2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exact"/>
          <w:jc w:val="center"/>
        </w:trPr>
        <w:tc>
          <w:tcPr>
            <w:tcW w:w="1485" w:type="dxa"/>
            <w:vAlign w:val="center"/>
          </w:tcPr>
          <w:p w14:paraId="6F334C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关联企业情况</w:t>
            </w:r>
          </w:p>
        </w:tc>
        <w:tc>
          <w:tcPr>
            <w:tcW w:w="7020" w:type="dxa"/>
            <w:gridSpan w:val="8"/>
            <w:vAlign w:val="center"/>
          </w:tcPr>
          <w:p w14:paraId="627CBE37">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包括但不限于与投标人存在以下关系的不同单位：</w:t>
            </w:r>
          </w:p>
          <w:p w14:paraId="78866B0F">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1．法定代表人为同一人的。</w:t>
            </w:r>
          </w:p>
          <w:p w14:paraId="2B8DF13B">
            <w:pPr>
              <w:pStyle w:val="137"/>
              <w:wordWrap w:val="0"/>
              <w:adjustRightInd w:val="0"/>
              <w:snapToGrid w:val="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2．存在控股、管理关系的。</w:t>
            </w:r>
          </w:p>
          <w:p w14:paraId="78C5A631">
            <w:pPr>
              <w:pStyle w:val="137"/>
              <w:wordWrap w:val="0"/>
              <w:adjustRightInd w:val="0"/>
              <w:snapToGrid w:val="0"/>
              <w:jc w:val="lef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3．主要人员相互任职的。</w:t>
            </w:r>
          </w:p>
        </w:tc>
      </w:tr>
      <w:tr w14:paraId="0DFF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5" w:type="dxa"/>
            <w:vAlign w:val="center"/>
          </w:tcPr>
          <w:p w14:paraId="66B1DD7A">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备注</w:t>
            </w:r>
          </w:p>
        </w:tc>
        <w:tc>
          <w:tcPr>
            <w:tcW w:w="7020" w:type="dxa"/>
            <w:gridSpan w:val="8"/>
            <w:vAlign w:val="center"/>
          </w:tcPr>
          <w:p w14:paraId="0B7A9410">
            <w:pPr>
              <w:pStyle w:val="137"/>
              <w:wordWrap w:val="0"/>
              <w:adjustRightInd w:val="0"/>
              <w:snapToGrid w:val="0"/>
              <w:jc w:val="center"/>
              <w:rPr>
                <w:rFonts w:ascii="宋体" w:hAnsi="宋体" w:cs="宋体"/>
                <w:snapToGrid w:val="0"/>
                <w:color w:val="auto"/>
                <w:kern w:val="0"/>
                <w:szCs w:val="21"/>
                <w:highlight w:val="none"/>
              </w:rPr>
            </w:pPr>
          </w:p>
        </w:tc>
      </w:tr>
    </w:tbl>
    <w:p w14:paraId="31CF04E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48B0DF88">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1．《投标人基本情况表》后应附以下资料：</w:t>
      </w:r>
    </w:p>
    <w:p w14:paraId="77700285">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（1）企业营业执照、资质证书</w:t>
      </w:r>
      <w:r>
        <w:rPr>
          <w:rFonts w:hint="eastAsia" w:ascii="宋体" w:hAnsi="宋体" w:cs="宋体"/>
          <w:snapToGrid w:val="0"/>
          <w:color w:val="auto"/>
          <w:kern w:val="0"/>
          <w:szCs w:val="21"/>
          <w:highlight w:val="none"/>
          <w:lang w:val="en-US" w:eastAsia="zh-CN"/>
        </w:rPr>
        <w:t>彩色</w:t>
      </w:r>
      <w:r>
        <w:rPr>
          <w:rFonts w:hint="eastAsia" w:ascii="宋体" w:hAnsi="宋体" w:cs="宋体"/>
          <w:snapToGrid w:val="0"/>
          <w:color w:val="auto"/>
          <w:kern w:val="0"/>
          <w:szCs w:val="21"/>
          <w:highlight w:val="none"/>
        </w:rPr>
        <w:t>扫描件（因推行电子证照，企业的营业执照、资质证书等可以提供电子证照）；</w:t>
      </w:r>
    </w:p>
    <w:p w14:paraId="3B9DB170">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highlight w:val="none"/>
        </w:rPr>
        <w:t>“进粤企业和人员诚信信息登记平台”企业信息情况打印页。（适用于省外企业）</w:t>
      </w:r>
      <w:r>
        <w:rPr>
          <w:rFonts w:hint="eastAsia" w:ascii="宋体" w:hAnsi="宋体" w:cs="宋体"/>
          <w:snapToGrid w:val="0"/>
          <w:color w:val="auto"/>
          <w:kern w:val="0"/>
          <w:szCs w:val="21"/>
          <w:highlight w:val="none"/>
        </w:rPr>
        <w:t>。</w:t>
      </w:r>
    </w:p>
    <w:p w14:paraId="6A573612">
      <w:pPr>
        <w:pStyle w:val="73"/>
        <w:widowControl w:val="0"/>
        <w:wordWrap w:val="0"/>
        <w:adjustRightInd w:val="0"/>
        <w:snapToGrid w:val="0"/>
        <w:spacing w:line="400" w:lineRule="exact"/>
        <w:rPr>
          <w:rFonts w:hAnsi="宋体" w:cs="宋体"/>
          <w:snapToGrid w:val="0"/>
          <w:color w:val="auto"/>
          <w:sz w:val="21"/>
          <w:szCs w:val="21"/>
          <w:highlight w:val="none"/>
        </w:rPr>
      </w:pPr>
      <w:r>
        <w:rPr>
          <w:rFonts w:hint="eastAsia" w:hAnsi="宋体" w:cs="宋体"/>
          <w:snapToGrid w:val="0"/>
          <w:color w:val="auto"/>
          <w:sz w:val="21"/>
          <w:szCs w:val="21"/>
          <w:highlight w:val="none"/>
        </w:rPr>
        <w:t>（3）《法人和非法人组织公共信用信息报告》打印件(在“信用中国”网站企业查询界面中下载) 。</w:t>
      </w:r>
    </w:p>
    <w:p w14:paraId="286E4BB9">
      <w:pPr>
        <w:wordWrap w:val="0"/>
        <w:adjustRightInd w:val="0"/>
        <w:snapToGrid w:val="0"/>
        <w:spacing w:line="440" w:lineRule="exact"/>
        <w:jc w:val="left"/>
        <w:outlineLvl w:val="1"/>
        <w:rPr>
          <w:rFonts w:hAnsi="宋体" w:cs="宋体"/>
          <w:b/>
          <w:snapToGrid w:val="0"/>
          <w:color w:val="auto"/>
          <w:kern w:val="0"/>
          <w:highlight w:val="none"/>
        </w:rPr>
      </w:pPr>
      <w:bookmarkStart w:id="320" w:name="_Toc22906"/>
      <w:r>
        <w:rPr>
          <w:rFonts w:hint="eastAsia" w:hAnsi="宋体" w:cs="宋体"/>
          <w:b/>
          <w:snapToGrid w:val="0"/>
          <w:color w:val="auto"/>
          <w:kern w:val="0"/>
          <w:highlight w:val="none"/>
        </w:rPr>
        <w:t>格式七 总监理工程师任职声明（适用于无任职项目）</w:t>
      </w:r>
      <w:bookmarkEnd w:id="320"/>
    </w:p>
    <w:p w14:paraId="6FD021E2">
      <w:pPr>
        <w:wordWrap w:val="0"/>
        <w:adjustRightInd w:val="0"/>
        <w:snapToGrid w:val="0"/>
        <w:spacing w:line="440" w:lineRule="exact"/>
        <w:jc w:val="left"/>
        <w:rPr>
          <w:rFonts w:hAnsi="宋体" w:cs="宋体"/>
          <w:b/>
          <w:snapToGrid w:val="0"/>
          <w:color w:val="auto"/>
          <w:kern w:val="0"/>
          <w:highlight w:val="none"/>
        </w:rPr>
      </w:pPr>
    </w:p>
    <w:p w14:paraId="7734BDAC">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2F3A4633">
      <w:pPr>
        <w:wordWrap w:val="0"/>
        <w:adjustRightInd w:val="0"/>
        <w:snapToGrid w:val="0"/>
        <w:spacing w:line="440" w:lineRule="exact"/>
        <w:jc w:val="center"/>
        <w:rPr>
          <w:rFonts w:hAnsi="宋体" w:cs="宋体"/>
          <w:snapToGrid w:val="0"/>
          <w:color w:val="auto"/>
          <w:kern w:val="0"/>
          <w:szCs w:val="28"/>
          <w:highlight w:val="none"/>
        </w:rPr>
      </w:pPr>
    </w:p>
    <w:p w14:paraId="14B6B195">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392868E0">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（总监理工程师姓名）现阶段未担任任何在施（包括已中标未开工、已开工未竣工）建设工程项目的总监理工程师。</w:t>
      </w:r>
    </w:p>
    <w:p w14:paraId="5C57411E">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568537D9">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36EB755F">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特此承诺　　</w:t>
      </w:r>
    </w:p>
    <w:p w14:paraId="699B7C56">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244A9EE">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5FB105EA">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2A604D50">
      <w:pPr>
        <w:wordWrap w:val="0"/>
        <w:adjustRightInd w:val="0"/>
        <w:snapToGrid w:val="0"/>
        <w:spacing w:line="440" w:lineRule="exact"/>
        <w:jc w:val="right"/>
        <w:rPr>
          <w:rFonts w:hAnsi="宋体" w:cs="宋体"/>
          <w:snapToGrid w:val="0"/>
          <w:color w:val="auto"/>
          <w:kern w:val="0"/>
          <w:szCs w:val="28"/>
          <w:highlight w:val="none"/>
        </w:rPr>
      </w:pPr>
    </w:p>
    <w:p w14:paraId="71BB53AD">
      <w:pPr>
        <w:wordWrap w:val="0"/>
        <w:adjustRightInd w:val="0"/>
        <w:snapToGrid w:val="0"/>
        <w:spacing w:line="440" w:lineRule="exact"/>
        <w:jc w:val="right"/>
        <w:rPr>
          <w:rFonts w:hAnsi="宋体" w:cs="宋体"/>
          <w:snapToGrid w:val="0"/>
          <w:color w:val="auto"/>
          <w:kern w:val="0"/>
          <w:szCs w:val="28"/>
          <w:highlight w:val="none"/>
        </w:rPr>
      </w:pPr>
    </w:p>
    <w:p w14:paraId="0C3A73EA">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7AE6CC90">
      <w:pPr>
        <w:wordWrap w:val="0"/>
        <w:adjustRightInd w:val="0"/>
        <w:snapToGrid w:val="0"/>
        <w:spacing w:line="440" w:lineRule="exact"/>
        <w:jc w:val="right"/>
        <w:rPr>
          <w:rFonts w:hAnsi="宋体" w:cs="宋体"/>
          <w:snapToGrid w:val="0"/>
          <w:color w:val="auto"/>
          <w:kern w:val="0"/>
          <w:szCs w:val="28"/>
          <w:highlight w:val="none"/>
        </w:rPr>
      </w:pPr>
    </w:p>
    <w:p w14:paraId="3C9B11CD">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7BA2FE9F">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44A5B4BF">
      <w:pPr>
        <w:wordWrap w:val="0"/>
        <w:adjustRightInd w:val="0"/>
        <w:snapToGrid w:val="0"/>
        <w:spacing w:line="440" w:lineRule="exact"/>
        <w:jc w:val="left"/>
        <w:outlineLvl w:val="1"/>
        <w:rPr>
          <w:rFonts w:hAnsi="宋体" w:cs="宋体"/>
          <w:b/>
          <w:snapToGrid w:val="0"/>
          <w:color w:val="auto"/>
          <w:kern w:val="0"/>
          <w:highlight w:val="none"/>
        </w:rPr>
      </w:pPr>
      <w:bookmarkStart w:id="321" w:name="_Toc27081"/>
      <w:r>
        <w:rPr>
          <w:rFonts w:hint="eastAsia" w:hAnsi="宋体" w:cs="宋体"/>
          <w:b/>
          <w:snapToGrid w:val="0"/>
          <w:color w:val="auto"/>
          <w:kern w:val="0"/>
          <w:highlight w:val="none"/>
        </w:rPr>
        <w:t>格式八 总监理工程师任职声明（适用于有任职项目）</w:t>
      </w:r>
      <w:bookmarkEnd w:id="321"/>
    </w:p>
    <w:p w14:paraId="449B4FD5">
      <w:pPr>
        <w:wordWrap w:val="0"/>
        <w:adjustRightInd w:val="0"/>
        <w:snapToGrid w:val="0"/>
        <w:spacing w:line="440" w:lineRule="exact"/>
        <w:jc w:val="left"/>
        <w:rPr>
          <w:rFonts w:hAnsi="宋体" w:cs="宋体"/>
          <w:b/>
          <w:snapToGrid w:val="0"/>
          <w:color w:val="auto"/>
          <w:kern w:val="0"/>
          <w:highlight w:val="none"/>
        </w:rPr>
      </w:pPr>
    </w:p>
    <w:p w14:paraId="14A50C1D">
      <w:pPr>
        <w:wordWrap w:val="0"/>
        <w:adjustRightInd w:val="0"/>
        <w:snapToGrid w:val="0"/>
        <w:spacing w:before="260" w:after="260" w:line="440" w:lineRule="exact"/>
        <w:jc w:val="center"/>
        <w:rPr>
          <w:rFonts w:hAnsi="宋体" w:cs="宋体"/>
          <w:snapToGrid w:val="0"/>
          <w:color w:val="auto"/>
          <w:kern w:val="0"/>
          <w:szCs w:val="28"/>
          <w:highlight w:val="none"/>
        </w:rPr>
      </w:pPr>
      <w:r>
        <w:rPr>
          <w:rFonts w:hint="eastAsia" w:hAnsi="宋体" w:cs="宋体"/>
          <w:b/>
          <w:snapToGrid w:val="0"/>
          <w:color w:val="auto"/>
          <w:kern w:val="0"/>
          <w:sz w:val="30"/>
          <w:highlight w:val="none"/>
        </w:rPr>
        <w:t>总监理工程师任职声明</w:t>
      </w:r>
    </w:p>
    <w:p w14:paraId="2B3ED8C9">
      <w:pPr>
        <w:wordWrap w:val="0"/>
        <w:adjustRightInd w:val="0"/>
        <w:snapToGrid w:val="0"/>
        <w:spacing w:line="440" w:lineRule="exact"/>
        <w:jc w:val="center"/>
        <w:rPr>
          <w:rFonts w:hAnsi="宋体" w:cs="宋体"/>
          <w:snapToGrid w:val="0"/>
          <w:color w:val="auto"/>
          <w:kern w:val="0"/>
          <w:szCs w:val="28"/>
          <w:highlight w:val="none"/>
        </w:rPr>
      </w:pPr>
    </w:p>
    <w:p w14:paraId="45489580">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（招标人名称）：</w:t>
      </w:r>
    </w:p>
    <w:p w14:paraId="191C5186">
      <w:pPr>
        <w:wordWrap w:val="0"/>
        <w:adjustRightInd w:val="0"/>
        <w:snapToGrid w:val="0"/>
        <w:spacing w:line="440" w:lineRule="exact"/>
        <w:ind w:firstLine="480" w:firstLineChars="200"/>
        <w:rPr>
          <w:rFonts w:hAnsi="宋体" w:cs="宋体"/>
          <w:snapToGrid w:val="0"/>
          <w:color w:val="auto"/>
          <w:kern w:val="0"/>
          <w:szCs w:val="28"/>
          <w:highlight w:val="none"/>
        </w:rPr>
      </w:pPr>
      <w:r>
        <w:rPr>
          <w:rFonts w:hint="eastAsia" w:hAnsi="宋体" w:cs="宋体"/>
          <w:snapToGrid w:val="0"/>
          <w:color w:val="auto"/>
          <w:kern w:val="0"/>
          <w:szCs w:val="28"/>
          <w:highlight w:val="none"/>
        </w:rPr>
        <w:t>我方在此声明，我方拟派往</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（项目名称）的总监理工程师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（总监理工程师姓名）现阶段正在担任</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个在施（包括已中标未开工、已开工未竣工）建设工程项目的总监理工程师，具体情况详见《总监理工程师任职项目情况表》。</w:t>
      </w:r>
    </w:p>
    <w:p w14:paraId="7C6A7DE6">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我方保证上述信息的真实和准确，并愿意承担因我方就此弄虚作假所引起的一切法律后果。</w:t>
      </w:r>
    </w:p>
    <w:p w14:paraId="5683D055">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1FA625A2">
      <w:pPr>
        <w:wordWrap w:val="0"/>
        <w:adjustRightInd w:val="0"/>
        <w:snapToGrid w:val="0"/>
        <w:spacing w:line="440" w:lineRule="exact"/>
        <w:ind w:firstLine="480"/>
        <w:rPr>
          <w:rFonts w:hAnsi="宋体" w:cs="宋体"/>
          <w:snapToGrid w:val="0"/>
          <w:color w:val="auto"/>
          <w:kern w:val="0"/>
          <w:szCs w:val="28"/>
          <w:highlight w:val="none"/>
        </w:rPr>
      </w:pPr>
      <w:r>
        <w:rPr>
          <w:rFonts w:hint="eastAsia" w:hAnsi="宋体" w:cs="宋体"/>
          <w:snapToGrid w:val="0"/>
          <w:color w:val="auto"/>
          <w:kern w:val="0"/>
          <w:szCs w:val="28"/>
          <w:highlight w:val="none"/>
        </w:rPr>
        <w:t>特此承诺</w:t>
      </w:r>
    </w:p>
    <w:p w14:paraId="46BFCB72">
      <w:pPr>
        <w:wordWrap w:val="0"/>
        <w:adjustRightInd w:val="0"/>
        <w:snapToGrid w:val="0"/>
        <w:spacing w:line="440" w:lineRule="exact"/>
        <w:ind w:firstLine="480"/>
        <w:rPr>
          <w:rFonts w:hAnsi="宋体" w:cs="宋体"/>
          <w:snapToGrid w:val="0"/>
          <w:color w:val="auto"/>
          <w:kern w:val="0"/>
          <w:szCs w:val="28"/>
          <w:highlight w:val="none"/>
        </w:rPr>
      </w:pPr>
    </w:p>
    <w:p w14:paraId="627F814D">
      <w:pPr>
        <w:wordWrap w:val="0"/>
        <w:adjustRightInd w:val="0"/>
        <w:snapToGrid w:val="0"/>
        <w:spacing w:line="440" w:lineRule="exact"/>
        <w:rPr>
          <w:rFonts w:hAnsi="宋体" w:cs="宋体"/>
          <w:snapToGrid w:val="0"/>
          <w:color w:val="auto"/>
          <w:kern w:val="0"/>
          <w:szCs w:val="28"/>
          <w:highlight w:val="none"/>
        </w:rPr>
      </w:pPr>
      <w:r>
        <w:rPr>
          <w:rFonts w:hint="eastAsia" w:hAnsi="宋体" w:cs="宋体"/>
          <w:snapToGrid w:val="0"/>
          <w:color w:val="auto"/>
          <w:kern w:val="0"/>
          <w:szCs w:val="28"/>
          <w:highlight w:val="none"/>
        </w:rPr>
        <w:t>　　</w:t>
      </w:r>
    </w:p>
    <w:p w14:paraId="47D291EC">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投标人：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（盖单位章）</w:t>
      </w:r>
    </w:p>
    <w:p w14:paraId="1B4B0533">
      <w:pPr>
        <w:wordWrap w:val="0"/>
        <w:adjustRightInd w:val="0"/>
        <w:snapToGrid w:val="0"/>
        <w:spacing w:line="440" w:lineRule="exact"/>
        <w:jc w:val="right"/>
        <w:rPr>
          <w:rFonts w:hAnsi="宋体" w:cs="宋体"/>
          <w:snapToGrid w:val="0"/>
          <w:color w:val="auto"/>
          <w:kern w:val="0"/>
          <w:szCs w:val="28"/>
          <w:highlight w:val="none"/>
        </w:rPr>
      </w:pPr>
    </w:p>
    <w:p w14:paraId="487F86BE">
      <w:pPr>
        <w:wordWrap w:val="0"/>
        <w:adjustRightInd w:val="0"/>
        <w:snapToGrid w:val="0"/>
        <w:spacing w:line="440" w:lineRule="exact"/>
        <w:jc w:val="right"/>
        <w:rPr>
          <w:rFonts w:hAnsi="宋体" w:cs="宋体"/>
          <w:snapToGrid w:val="0"/>
          <w:color w:val="auto"/>
          <w:kern w:val="0"/>
          <w:szCs w:val="28"/>
          <w:highlight w:val="none"/>
        </w:rPr>
      </w:pPr>
    </w:p>
    <w:p w14:paraId="7D65E6AD">
      <w:pPr>
        <w:wordWrap w:val="0"/>
        <w:adjustRightInd w:val="0"/>
        <w:snapToGrid w:val="0"/>
        <w:spacing w:line="440" w:lineRule="exact"/>
        <w:jc w:val="right"/>
        <w:rPr>
          <w:rFonts w:hAnsi="宋体" w:cs="宋体"/>
          <w:snapToGrid w:val="0"/>
          <w:color w:val="auto"/>
          <w:kern w:val="0"/>
          <w:szCs w:val="28"/>
          <w:highlight w:val="none"/>
        </w:rPr>
      </w:pPr>
      <w:r>
        <w:rPr>
          <w:rFonts w:hint="eastAsia" w:hAnsi="宋体" w:cs="宋体"/>
          <w:snapToGrid w:val="0"/>
          <w:color w:val="auto"/>
          <w:kern w:val="0"/>
          <w:szCs w:val="28"/>
          <w:highlight w:val="none"/>
        </w:rPr>
        <w:t>法定代表人或其委托代理人：</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（签字或盖章）</w:t>
      </w:r>
    </w:p>
    <w:p w14:paraId="029F2B4C">
      <w:pPr>
        <w:wordWrap w:val="0"/>
        <w:adjustRightInd w:val="0"/>
        <w:snapToGrid w:val="0"/>
        <w:spacing w:line="440" w:lineRule="exact"/>
        <w:jc w:val="right"/>
        <w:rPr>
          <w:rFonts w:hAnsi="宋体" w:cs="宋体"/>
          <w:snapToGrid w:val="0"/>
          <w:color w:val="auto"/>
          <w:kern w:val="0"/>
          <w:szCs w:val="28"/>
          <w:highlight w:val="none"/>
        </w:rPr>
      </w:pPr>
    </w:p>
    <w:p w14:paraId="1E734F3E">
      <w:pPr>
        <w:wordWrap w:val="0"/>
        <w:adjustRightInd w:val="0"/>
        <w:snapToGrid w:val="0"/>
        <w:spacing w:line="440" w:lineRule="exact"/>
        <w:jc w:val="center"/>
        <w:rPr>
          <w:rFonts w:hAnsi="宋体" w:cs="宋体"/>
          <w:snapToGrid w:val="0"/>
          <w:color w:val="auto"/>
          <w:kern w:val="0"/>
          <w:szCs w:val="28"/>
          <w:highlight w:val="none"/>
        </w:rPr>
      </w:pPr>
      <w:r>
        <w:rPr>
          <w:rFonts w:hint="eastAsia" w:hAnsi="宋体" w:cs="宋体"/>
          <w:snapToGrid w:val="0"/>
          <w:color w:val="auto"/>
          <w:kern w:val="0"/>
          <w:szCs w:val="28"/>
          <w:highlight w:val="none"/>
        </w:rPr>
        <w:t xml:space="preserve">                            </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年</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月</w:t>
      </w:r>
      <w:r>
        <w:rPr>
          <w:rFonts w:hint="eastAsia" w:hAnsi="宋体" w:cs="宋体"/>
          <w:snapToGrid w:val="0"/>
          <w:color w:val="auto"/>
          <w:kern w:val="0"/>
          <w:szCs w:val="28"/>
          <w:highlight w:val="none"/>
          <w:u w:val="single"/>
        </w:rPr>
        <w:t xml:space="preserve">        </w:t>
      </w:r>
      <w:r>
        <w:rPr>
          <w:rFonts w:hint="eastAsia" w:hAnsi="宋体" w:cs="宋体"/>
          <w:snapToGrid w:val="0"/>
          <w:color w:val="auto"/>
          <w:kern w:val="0"/>
          <w:szCs w:val="28"/>
          <w:highlight w:val="none"/>
        </w:rPr>
        <w:t>日</w:t>
      </w:r>
    </w:p>
    <w:p w14:paraId="19DAFB93">
      <w:pPr>
        <w:wordWrap w:val="0"/>
        <w:adjustRightInd w:val="0"/>
        <w:snapToGrid w:val="0"/>
        <w:spacing w:line="440" w:lineRule="exact"/>
        <w:jc w:val="center"/>
        <w:rPr>
          <w:rFonts w:hAnsi="宋体" w:cs="宋体"/>
          <w:snapToGrid w:val="0"/>
          <w:color w:val="auto"/>
          <w:kern w:val="0"/>
          <w:szCs w:val="28"/>
          <w:highlight w:val="none"/>
        </w:rPr>
      </w:pPr>
    </w:p>
    <w:p w14:paraId="77D57279">
      <w:pPr>
        <w:wordWrap w:val="0"/>
        <w:adjustRightInd w:val="0"/>
        <w:snapToGrid w:val="0"/>
        <w:spacing w:line="400" w:lineRule="exact"/>
        <w:ind w:firstLine="420"/>
        <w:rPr>
          <w:rFonts w:hAnsi="宋体" w:cs="宋体"/>
          <w:snapToGrid w:val="0"/>
          <w:color w:val="auto"/>
          <w:kern w:val="0"/>
          <w:sz w:val="21"/>
          <w:szCs w:val="28"/>
          <w:highlight w:val="none"/>
        </w:rPr>
        <w:sectPr>
          <w:endnotePr>
            <w:numFmt w:val="decimal"/>
          </w:endnotePr>
          <w:pgSz w:w="11906" w:h="16838"/>
          <w:pgMar w:top="1417" w:right="1417" w:bottom="1417" w:left="1417" w:header="850" w:footer="992" w:gutter="0"/>
          <w:cols w:space="0" w:num="1"/>
          <w:docGrid w:linePitch="327" w:charSpace="0"/>
        </w:sectPr>
      </w:pPr>
    </w:p>
    <w:p w14:paraId="3488CF33">
      <w:pPr>
        <w:wordWrap w:val="0"/>
        <w:adjustRightInd w:val="0"/>
        <w:snapToGrid w:val="0"/>
        <w:spacing w:line="440" w:lineRule="exact"/>
        <w:outlineLvl w:val="1"/>
        <w:rPr>
          <w:rFonts w:hAnsi="宋体" w:cs="宋体"/>
          <w:b/>
          <w:bCs/>
          <w:snapToGrid w:val="0"/>
          <w:color w:val="auto"/>
          <w:kern w:val="0"/>
          <w:szCs w:val="24"/>
          <w:highlight w:val="none"/>
        </w:rPr>
      </w:pPr>
      <w:bookmarkStart w:id="322" w:name="_Toc136"/>
      <w:r>
        <w:rPr>
          <w:rFonts w:hint="eastAsia" w:hAnsi="宋体" w:cs="宋体"/>
          <w:b/>
          <w:bCs/>
          <w:snapToGrid w:val="0"/>
          <w:color w:val="auto"/>
          <w:kern w:val="0"/>
          <w:szCs w:val="24"/>
          <w:highlight w:val="none"/>
        </w:rPr>
        <w:t>格式九 总监理工程师任职项目情况表</w:t>
      </w:r>
      <w:bookmarkEnd w:id="322"/>
    </w:p>
    <w:p w14:paraId="1C05E0FA">
      <w:pPr>
        <w:wordWrap w:val="0"/>
        <w:adjustRightInd w:val="0"/>
        <w:snapToGrid w:val="0"/>
        <w:spacing w:line="440" w:lineRule="exact"/>
        <w:rPr>
          <w:rFonts w:hAnsi="宋体" w:cs="宋体"/>
          <w:b/>
          <w:bCs/>
          <w:snapToGrid w:val="0"/>
          <w:color w:val="auto"/>
          <w:kern w:val="0"/>
          <w:szCs w:val="24"/>
          <w:highlight w:val="none"/>
        </w:rPr>
      </w:pPr>
    </w:p>
    <w:p w14:paraId="1E110BE9">
      <w:pPr>
        <w:pStyle w:val="73"/>
        <w:widowControl w:val="0"/>
        <w:wordWrap w:val="0"/>
        <w:adjustRightInd w:val="0"/>
        <w:snapToGrid w:val="0"/>
        <w:spacing w:before="260" w:after="260" w:line="400" w:lineRule="exact"/>
        <w:ind w:firstLine="0"/>
        <w:jc w:val="center"/>
        <w:rPr>
          <w:rFonts w:hAnsi="宋体" w:cs="宋体"/>
          <w:snapToGrid w:val="0"/>
          <w:color w:val="auto"/>
          <w:sz w:val="24"/>
          <w:highlight w:val="none"/>
        </w:rPr>
      </w:pPr>
      <w:r>
        <w:rPr>
          <w:rFonts w:hint="eastAsia" w:hAnsi="宋体" w:cs="宋体"/>
          <w:b/>
          <w:snapToGrid w:val="0"/>
          <w:color w:val="auto"/>
          <w:sz w:val="30"/>
          <w:highlight w:val="none"/>
        </w:rPr>
        <w:t xml:space="preserve"> 总监理工程师任职项目情况表（）</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771"/>
        <w:gridCol w:w="1635"/>
        <w:gridCol w:w="2594"/>
      </w:tblGrid>
      <w:tr w14:paraId="665D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007620D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项目名称</w:t>
            </w:r>
          </w:p>
        </w:tc>
        <w:tc>
          <w:tcPr>
            <w:tcW w:w="2771" w:type="dxa"/>
            <w:vAlign w:val="center"/>
          </w:tcPr>
          <w:p w14:paraId="2DFCFA84">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6AC2BA1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项目所在地</w:t>
            </w:r>
          </w:p>
        </w:tc>
        <w:tc>
          <w:tcPr>
            <w:tcW w:w="2594" w:type="dxa"/>
            <w:vAlign w:val="center"/>
          </w:tcPr>
          <w:p w14:paraId="24CD9F05">
            <w:pPr>
              <w:pStyle w:val="137"/>
              <w:wordWrap w:val="0"/>
              <w:adjustRightInd w:val="0"/>
              <w:snapToGrid w:val="0"/>
              <w:jc w:val="center"/>
              <w:rPr>
                <w:rFonts w:ascii="宋体" w:hAnsi="宋体" w:cs="宋体"/>
                <w:snapToGrid w:val="0"/>
                <w:color w:val="auto"/>
                <w:kern w:val="0"/>
                <w:szCs w:val="21"/>
                <w:highlight w:val="none"/>
              </w:rPr>
            </w:pPr>
          </w:p>
        </w:tc>
      </w:tr>
      <w:tr w14:paraId="2AA23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28E74488">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委托人名称</w:t>
            </w:r>
          </w:p>
        </w:tc>
        <w:tc>
          <w:tcPr>
            <w:tcW w:w="2771" w:type="dxa"/>
            <w:vAlign w:val="center"/>
          </w:tcPr>
          <w:p w14:paraId="5F8E80CE">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1BC9377E">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委托人地址</w:t>
            </w:r>
          </w:p>
        </w:tc>
        <w:tc>
          <w:tcPr>
            <w:tcW w:w="2594" w:type="dxa"/>
            <w:vAlign w:val="center"/>
          </w:tcPr>
          <w:p w14:paraId="334897D3">
            <w:pPr>
              <w:pStyle w:val="137"/>
              <w:wordWrap w:val="0"/>
              <w:adjustRightInd w:val="0"/>
              <w:snapToGrid w:val="0"/>
              <w:jc w:val="center"/>
              <w:rPr>
                <w:rFonts w:ascii="宋体" w:hAnsi="宋体" w:cs="宋体"/>
                <w:snapToGrid w:val="0"/>
                <w:color w:val="auto"/>
                <w:kern w:val="0"/>
                <w:szCs w:val="21"/>
                <w:highlight w:val="none"/>
              </w:rPr>
            </w:pPr>
          </w:p>
        </w:tc>
      </w:tr>
      <w:tr w14:paraId="7B36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14D7961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委托人电话</w:t>
            </w:r>
          </w:p>
        </w:tc>
        <w:tc>
          <w:tcPr>
            <w:tcW w:w="2771" w:type="dxa"/>
            <w:vAlign w:val="center"/>
          </w:tcPr>
          <w:p w14:paraId="2AAC336B">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530B3B45">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总监理工程师</w:t>
            </w:r>
          </w:p>
        </w:tc>
        <w:tc>
          <w:tcPr>
            <w:tcW w:w="2594" w:type="dxa"/>
            <w:vAlign w:val="center"/>
          </w:tcPr>
          <w:p w14:paraId="2993C8DD">
            <w:pPr>
              <w:pStyle w:val="137"/>
              <w:wordWrap w:val="0"/>
              <w:adjustRightInd w:val="0"/>
              <w:snapToGrid w:val="0"/>
              <w:jc w:val="center"/>
              <w:rPr>
                <w:rFonts w:ascii="宋体" w:hAnsi="宋体" w:cs="宋体"/>
                <w:snapToGrid w:val="0"/>
                <w:color w:val="auto"/>
                <w:kern w:val="0"/>
                <w:szCs w:val="21"/>
                <w:highlight w:val="none"/>
              </w:rPr>
            </w:pPr>
          </w:p>
        </w:tc>
      </w:tr>
      <w:tr w14:paraId="43D0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505" w:type="dxa"/>
            <w:vAlign w:val="center"/>
          </w:tcPr>
          <w:p w14:paraId="5120285D">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监理服务期限</w:t>
            </w:r>
          </w:p>
        </w:tc>
        <w:tc>
          <w:tcPr>
            <w:tcW w:w="2771" w:type="dxa"/>
            <w:vAlign w:val="center"/>
          </w:tcPr>
          <w:p w14:paraId="253ECA3C">
            <w:pPr>
              <w:pStyle w:val="137"/>
              <w:wordWrap w:val="0"/>
              <w:adjustRightInd w:val="0"/>
              <w:snapToGrid w:val="0"/>
              <w:jc w:val="center"/>
              <w:rPr>
                <w:rFonts w:ascii="宋体" w:hAnsi="宋体" w:cs="宋体"/>
                <w:snapToGrid w:val="0"/>
                <w:color w:val="auto"/>
                <w:kern w:val="0"/>
                <w:szCs w:val="21"/>
                <w:highlight w:val="none"/>
              </w:rPr>
            </w:pPr>
          </w:p>
        </w:tc>
        <w:tc>
          <w:tcPr>
            <w:tcW w:w="1635" w:type="dxa"/>
            <w:vAlign w:val="center"/>
          </w:tcPr>
          <w:p w14:paraId="5379C804">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监理内容</w:t>
            </w:r>
          </w:p>
        </w:tc>
        <w:tc>
          <w:tcPr>
            <w:tcW w:w="2594" w:type="dxa"/>
            <w:vAlign w:val="center"/>
          </w:tcPr>
          <w:p w14:paraId="1EEFB69A">
            <w:pPr>
              <w:pStyle w:val="137"/>
              <w:wordWrap w:val="0"/>
              <w:adjustRightInd w:val="0"/>
              <w:snapToGrid w:val="0"/>
              <w:jc w:val="center"/>
              <w:rPr>
                <w:rFonts w:ascii="宋体" w:hAnsi="宋体" w:cs="宋体"/>
                <w:snapToGrid w:val="0"/>
                <w:color w:val="auto"/>
                <w:kern w:val="0"/>
                <w:szCs w:val="21"/>
                <w:highlight w:val="none"/>
              </w:rPr>
            </w:pPr>
          </w:p>
        </w:tc>
      </w:tr>
      <w:tr w14:paraId="0C3C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exact"/>
          <w:jc w:val="center"/>
        </w:trPr>
        <w:tc>
          <w:tcPr>
            <w:tcW w:w="1505" w:type="dxa"/>
            <w:vAlign w:val="center"/>
          </w:tcPr>
          <w:p w14:paraId="700B107C">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项目描述</w:t>
            </w:r>
          </w:p>
        </w:tc>
        <w:tc>
          <w:tcPr>
            <w:tcW w:w="7000" w:type="dxa"/>
            <w:gridSpan w:val="3"/>
            <w:vAlign w:val="center"/>
          </w:tcPr>
          <w:p w14:paraId="21A54D72">
            <w:pPr>
              <w:pStyle w:val="137"/>
              <w:wordWrap w:val="0"/>
              <w:adjustRightInd w:val="0"/>
              <w:snapToGrid w:val="0"/>
              <w:jc w:val="left"/>
              <w:rPr>
                <w:rFonts w:ascii="宋体" w:hAnsi="宋体" w:cs="宋体"/>
                <w:snapToGrid w:val="0"/>
                <w:color w:val="auto"/>
                <w:kern w:val="0"/>
                <w:szCs w:val="21"/>
                <w:highlight w:val="none"/>
              </w:rPr>
            </w:pPr>
          </w:p>
        </w:tc>
      </w:tr>
      <w:tr w14:paraId="0194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5" w:type="dxa"/>
            <w:vAlign w:val="center"/>
          </w:tcPr>
          <w:p w14:paraId="055191C9">
            <w:pPr>
              <w:pStyle w:val="137"/>
              <w:wordWrap w:val="0"/>
              <w:adjustRightInd w:val="0"/>
              <w:snapToGrid w:val="0"/>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委托人声明</w:t>
            </w:r>
          </w:p>
        </w:tc>
        <w:tc>
          <w:tcPr>
            <w:tcW w:w="7000" w:type="dxa"/>
            <w:gridSpan w:val="3"/>
            <w:vAlign w:val="center"/>
          </w:tcPr>
          <w:p w14:paraId="418BE4BE">
            <w:pPr>
              <w:pStyle w:val="137"/>
              <w:adjustRightInd w:val="0"/>
              <w:snapToGrid w:val="0"/>
              <w:spacing w:line="360" w:lineRule="auto"/>
              <w:rPr>
                <w:rFonts w:ascii="宋体" w:hAnsi="宋体" w:cs="宋体"/>
                <w:snapToGrid w:val="0"/>
                <w:color w:val="auto"/>
                <w:kern w:val="0"/>
                <w:szCs w:val="21"/>
                <w:highlight w:val="none"/>
              </w:rPr>
            </w:pPr>
          </w:p>
          <w:p w14:paraId="602D8050">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致：</w:t>
            </w:r>
            <w:r>
              <w:rPr>
                <w:rFonts w:hint="eastAsia" w:ascii="宋体" w:hAnsi="宋体" w:cs="宋体"/>
                <w:snapToGrid w:val="0"/>
                <w:color w:val="auto"/>
                <w:kern w:val="0"/>
                <w:szCs w:val="21"/>
                <w:highlight w:val="none"/>
                <w:u w:val="single"/>
              </w:rPr>
              <w:t>（本招标项目招标人名称）</w:t>
            </w:r>
          </w:p>
          <w:p w14:paraId="37F7ABA7">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我方在此声明：</w:t>
            </w:r>
          </w:p>
          <w:p w14:paraId="221BF42B">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一、在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同志任我方在施项目总监理工程师期间，如果</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中标你方招标项目监理业务，在</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同志目前担任总监理工程师职务的项目总数不超过两个（含我方在施项目）的前提下，我方同意其同时担任你方招标项目的总监理工程师；如果未中标，以上声明自动失效。</w:t>
            </w:r>
          </w:p>
          <w:p w14:paraId="6DBCA6A9">
            <w:pPr>
              <w:pStyle w:val="137"/>
              <w:adjustRightInd w:val="0"/>
              <w:snapToGrid w:val="0"/>
              <w:spacing w:line="360" w:lineRule="auto"/>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二、无论</w:t>
            </w:r>
            <w:r>
              <w:rPr>
                <w:rFonts w:hint="eastAsia" w:ascii="宋体" w:hAnsi="宋体" w:cs="宋体"/>
                <w:snapToGrid w:val="0"/>
                <w:color w:val="auto"/>
                <w:kern w:val="0"/>
                <w:szCs w:val="21"/>
                <w:highlight w:val="none"/>
                <w:u w:val="single"/>
              </w:rPr>
              <w:t xml:space="preserve"> （拟派总监姓名） </w:t>
            </w:r>
            <w:r>
              <w:rPr>
                <w:rFonts w:hint="eastAsia" w:ascii="宋体" w:hAnsi="宋体" w:cs="宋体"/>
                <w:snapToGrid w:val="0"/>
                <w:color w:val="auto"/>
                <w:kern w:val="0"/>
                <w:szCs w:val="21"/>
                <w:highlight w:val="none"/>
              </w:rPr>
              <w:t>同志是否担任其他建设项目的总监理工程师，</w:t>
            </w:r>
            <w:r>
              <w:rPr>
                <w:rFonts w:hint="eastAsia" w:ascii="宋体" w:hAnsi="宋体" w:cs="宋体"/>
                <w:snapToGrid w:val="0"/>
                <w:color w:val="auto"/>
                <w:kern w:val="0"/>
                <w:szCs w:val="21"/>
                <w:highlight w:val="none"/>
                <w:u w:val="single"/>
              </w:rPr>
              <w:t xml:space="preserve"> （投标人名称） </w:t>
            </w:r>
            <w:r>
              <w:rPr>
                <w:rFonts w:hint="eastAsia" w:ascii="宋体" w:hAnsi="宋体" w:cs="宋体"/>
                <w:snapToGrid w:val="0"/>
                <w:color w:val="auto"/>
                <w:kern w:val="0"/>
                <w:szCs w:val="21"/>
                <w:highlight w:val="none"/>
              </w:rPr>
              <w:t>都必须完全、严格履行我方在施项目监理合同中约定的所有义务，并确保服务内容、服务质量不得有任何减少或降低。</w:t>
            </w:r>
          </w:p>
          <w:p w14:paraId="092F9495">
            <w:pPr>
              <w:pStyle w:val="137"/>
              <w:adjustRightInd w:val="0"/>
              <w:snapToGrid w:val="0"/>
              <w:spacing w:line="360" w:lineRule="auto"/>
              <w:rPr>
                <w:rFonts w:ascii="宋体" w:hAnsi="宋体" w:cs="宋体"/>
                <w:snapToGrid w:val="0"/>
                <w:color w:val="auto"/>
                <w:kern w:val="0"/>
                <w:szCs w:val="21"/>
                <w:highlight w:val="none"/>
              </w:rPr>
            </w:pPr>
          </w:p>
          <w:p w14:paraId="2DED7437">
            <w:pPr>
              <w:pStyle w:val="137"/>
              <w:adjustRightInd w:val="0"/>
              <w:snapToGrid w:val="0"/>
              <w:spacing w:line="360" w:lineRule="auto"/>
              <w:rPr>
                <w:rFonts w:ascii="宋体" w:hAnsi="宋体" w:cs="宋体"/>
                <w:snapToGrid w:val="0"/>
                <w:color w:val="auto"/>
                <w:kern w:val="0"/>
                <w:szCs w:val="21"/>
                <w:highlight w:val="none"/>
              </w:rPr>
            </w:pPr>
          </w:p>
          <w:p w14:paraId="599D977E">
            <w:pPr>
              <w:pStyle w:val="137"/>
              <w:adjustRightInd w:val="0"/>
              <w:snapToGrid w:val="0"/>
              <w:spacing w:line="360" w:lineRule="auto"/>
              <w:jc w:val="right"/>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建设单位名称：</w:t>
            </w:r>
            <w:r>
              <w:rPr>
                <w:rFonts w:hint="eastAsia" w:ascii="宋体" w:hAnsi="宋体" w:cs="宋体"/>
                <w:snapToGrid w:val="0"/>
                <w:color w:val="auto"/>
                <w:kern w:val="0"/>
                <w:szCs w:val="21"/>
                <w:highlight w:val="none"/>
                <w:u w:val="single"/>
              </w:rPr>
              <w:t xml:space="preserve">                </w:t>
            </w:r>
            <w:r>
              <w:rPr>
                <w:rFonts w:hint="eastAsia" w:ascii="宋体" w:hAnsi="宋体" w:cs="宋体"/>
                <w:snapToGrid w:val="0"/>
                <w:color w:val="auto"/>
                <w:kern w:val="0"/>
                <w:szCs w:val="21"/>
                <w:highlight w:val="none"/>
              </w:rPr>
              <w:t>（盖单位章）</w:t>
            </w:r>
          </w:p>
          <w:p w14:paraId="1047DB8F">
            <w:pPr>
              <w:pStyle w:val="137"/>
              <w:adjustRightInd w:val="0"/>
              <w:snapToGrid w:val="0"/>
              <w:spacing w:line="360" w:lineRule="auto"/>
              <w:jc w:val="right"/>
              <w:rPr>
                <w:rFonts w:ascii="宋体" w:hAnsi="宋体" w:cs="宋体"/>
                <w:snapToGrid w:val="0"/>
                <w:color w:val="auto"/>
                <w:kern w:val="0"/>
                <w:szCs w:val="21"/>
                <w:highlight w:val="none"/>
              </w:rPr>
            </w:pPr>
          </w:p>
          <w:p w14:paraId="36196D25">
            <w:pPr>
              <w:pStyle w:val="137"/>
              <w:adjustRightInd w:val="0"/>
              <w:snapToGrid w:val="0"/>
              <w:spacing w:line="360" w:lineRule="auto"/>
              <w:jc w:val="center"/>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 xml:space="preserve">                            XXXX年XX月XX日</w:t>
            </w:r>
          </w:p>
        </w:tc>
      </w:tr>
    </w:tbl>
    <w:p w14:paraId="01E57326">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说明：</w:t>
      </w:r>
    </w:p>
    <w:p w14:paraId="4621617A">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1</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“任职项目”指拟派总监理工程师正在担任总监理工程师职务的在施（包括已中标未开工、已开工未竣工）建设工程项目。任职项目多于一宗的，一项目一表，并标明序号。</w:t>
      </w:r>
    </w:p>
    <w:p w14:paraId="3AD580BD">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2</w:t>
      </w:r>
      <w:r>
        <w:rPr>
          <w:rFonts w:hint="eastAsia" w:ascii="宋体" w:hAnsi="宋体" w:cs="宋体"/>
          <w:snapToGrid w:val="0"/>
          <w:color w:val="auto"/>
          <w:kern w:val="0"/>
          <w:szCs w:val="28"/>
          <w:highlight w:val="none"/>
        </w:rPr>
        <w:t>．</w:t>
      </w:r>
      <w:r>
        <w:rPr>
          <w:rFonts w:hint="eastAsia" w:ascii="宋体" w:hAnsi="宋体" w:cs="宋体"/>
          <w:snapToGrid w:val="0"/>
          <w:color w:val="auto"/>
          <w:kern w:val="0"/>
          <w:szCs w:val="21"/>
          <w:highlight w:val="none"/>
        </w:rPr>
        <w:t>每份情况表后应附该项目的合同协议书彩色扫描件。</w:t>
      </w:r>
    </w:p>
    <w:p w14:paraId="5D509C1C">
      <w:pPr>
        <w:pStyle w:val="137"/>
        <w:wordWrap w:val="0"/>
        <w:adjustRightInd w:val="0"/>
        <w:snapToGrid w:val="0"/>
        <w:spacing w:line="400" w:lineRule="exact"/>
        <w:ind w:firstLine="420" w:firstLineChars="20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3</w:t>
      </w:r>
      <w:r>
        <w:rPr>
          <w:rFonts w:hint="eastAsia" w:ascii="宋体" w:hAnsi="宋体" w:cs="宋体"/>
          <w:snapToGrid w:val="0"/>
          <w:color w:val="auto"/>
          <w:kern w:val="0"/>
          <w:szCs w:val="28"/>
          <w:highlight w:val="none"/>
        </w:rPr>
        <w:t>．投标人填写本</w:t>
      </w:r>
      <w:r>
        <w:rPr>
          <w:rFonts w:hint="eastAsia" w:ascii="宋体" w:hAnsi="宋体" w:cs="宋体"/>
          <w:snapToGrid w:val="0"/>
          <w:color w:val="auto"/>
          <w:kern w:val="0"/>
          <w:szCs w:val="21"/>
          <w:highlight w:val="none"/>
        </w:rPr>
        <w:t>表后交任职项目建设单位审核同意后盖章。任职项目建设单位另行出具书面同意意见的，投标人应将该书面意见附在本表后，同时在“委托人声明”栏目注明“另附”即可。</w:t>
      </w:r>
    </w:p>
    <w:p w14:paraId="2E6E0BBD">
      <w:pPr>
        <w:wordWrap w:val="0"/>
        <w:adjustRightInd w:val="0"/>
        <w:snapToGrid w:val="0"/>
        <w:spacing w:line="400" w:lineRule="exact"/>
        <w:rPr>
          <w:rFonts w:hAnsi="宋体" w:cs="宋体"/>
          <w:snapToGrid w:val="0"/>
          <w:color w:val="auto"/>
          <w:kern w:val="0"/>
          <w:sz w:val="21"/>
          <w:szCs w:val="21"/>
          <w:highlight w:val="none"/>
        </w:rPr>
        <w:sectPr>
          <w:endnotePr>
            <w:numFmt w:val="decimal"/>
          </w:endnotePr>
          <w:pgSz w:w="11906" w:h="16838"/>
          <w:pgMar w:top="1417" w:right="1417" w:bottom="1417" w:left="1417" w:header="850" w:footer="992" w:gutter="0"/>
          <w:cols w:space="0" w:num="1"/>
          <w:docGrid w:linePitch="327" w:charSpace="0"/>
        </w:sectPr>
      </w:pPr>
    </w:p>
    <w:p w14:paraId="248A4AB0">
      <w:pPr>
        <w:wordWrap w:val="0"/>
        <w:adjustRightInd w:val="0"/>
        <w:snapToGrid w:val="0"/>
        <w:spacing w:line="440" w:lineRule="exact"/>
        <w:ind w:left="2609" w:leftChars="15" w:hanging="2573" w:hangingChars="1068"/>
        <w:outlineLvl w:val="1"/>
        <w:rPr>
          <w:rFonts w:hAnsi="宋体" w:cs="宋体"/>
          <w:b/>
          <w:bCs/>
          <w:snapToGrid w:val="0"/>
          <w:color w:val="auto"/>
          <w:kern w:val="0"/>
          <w:szCs w:val="24"/>
          <w:highlight w:val="none"/>
        </w:rPr>
      </w:pPr>
      <w:bookmarkStart w:id="323" w:name="_Toc18807"/>
      <w:bookmarkStart w:id="324" w:name="_Toc8264"/>
      <w:bookmarkStart w:id="325" w:name="_Toc200338098"/>
      <w:r>
        <w:rPr>
          <w:rFonts w:hint="eastAsia" w:hAnsi="宋体" w:cs="宋体"/>
          <w:b/>
          <w:snapToGrid w:val="0"/>
          <w:color w:val="auto"/>
          <w:kern w:val="0"/>
          <w:highlight w:val="none"/>
        </w:rPr>
        <w:t>格式</w:t>
      </w:r>
      <w:bookmarkStart w:id="326" w:name="_Hlt287950384"/>
      <w:bookmarkEnd w:id="326"/>
      <w:r>
        <w:rPr>
          <w:rFonts w:hint="eastAsia" w:hAnsi="宋体" w:cs="宋体"/>
          <w:b/>
          <w:bCs/>
          <w:snapToGrid w:val="0"/>
          <w:color w:val="auto"/>
          <w:kern w:val="0"/>
          <w:szCs w:val="24"/>
          <w:highlight w:val="none"/>
        </w:rPr>
        <w:t>十 项目监理机构组成人员汇总表</w:t>
      </w:r>
      <w:bookmarkEnd w:id="323"/>
    </w:p>
    <w:p w14:paraId="58540D5A">
      <w:pPr>
        <w:wordWrap w:val="0"/>
        <w:adjustRightInd w:val="0"/>
        <w:snapToGrid w:val="0"/>
        <w:spacing w:before="260" w:after="260" w:line="440" w:lineRule="exact"/>
        <w:jc w:val="center"/>
        <w:rPr>
          <w:rFonts w:hAnsi="宋体" w:cs="宋体"/>
          <w:b/>
          <w:snapToGrid w:val="0"/>
          <w:color w:val="auto"/>
          <w:kern w:val="0"/>
          <w:highlight w:val="none"/>
        </w:rPr>
      </w:pPr>
      <w:r>
        <w:rPr>
          <w:rFonts w:hint="eastAsia" w:hAnsi="宋体" w:cs="宋体"/>
          <w:b/>
          <w:snapToGrid w:val="0"/>
          <w:color w:val="auto"/>
          <w:kern w:val="0"/>
          <w:sz w:val="30"/>
          <w:highlight w:val="none"/>
        </w:rPr>
        <w:t xml:space="preserve"> 项目监理机构组成人员汇总表</w:t>
      </w:r>
    </w:p>
    <w:tbl>
      <w:tblPr>
        <w:tblStyle w:val="3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326"/>
        <w:gridCol w:w="1425"/>
        <w:gridCol w:w="840"/>
        <w:gridCol w:w="1485"/>
        <w:gridCol w:w="615"/>
        <w:gridCol w:w="1680"/>
        <w:gridCol w:w="1425"/>
        <w:gridCol w:w="660"/>
        <w:gridCol w:w="1695"/>
        <w:gridCol w:w="1455"/>
        <w:gridCol w:w="645"/>
        <w:gridCol w:w="1680"/>
      </w:tblGrid>
      <w:tr w14:paraId="43CBDA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restart"/>
            <w:tcBorders>
              <w:top w:val="single" w:color="auto" w:sz="6" w:space="0"/>
              <w:left w:val="single" w:color="auto" w:sz="6" w:space="0"/>
              <w:right w:val="single" w:color="auto" w:sz="6" w:space="0"/>
            </w:tcBorders>
            <w:vAlign w:val="center"/>
          </w:tcPr>
          <w:p w14:paraId="232B9A9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1425" w:type="dxa"/>
            <w:vMerge w:val="restart"/>
            <w:tcBorders>
              <w:top w:val="single" w:color="auto" w:sz="6" w:space="0"/>
              <w:left w:val="single" w:color="auto" w:sz="6" w:space="0"/>
              <w:right w:val="single" w:color="auto" w:sz="6" w:space="0"/>
            </w:tcBorders>
            <w:vAlign w:val="center"/>
          </w:tcPr>
          <w:p w14:paraId="1520B1B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拟担任职务</w:t>
            </w:r>
          </w:p>
        </w:tc>
        <w:tc>
          <w:tcPr>
            <w:tcW w:w="840" w:type="dxa"/>
            <w:vMerge w:val="restart"/>
            <w:tcBorders>
              <w:top w:val="single" w:color="auto" w:sz="6" w:space="0"/>
              <w:left w:val="single" w:color="auto" w:sz="6" w:space="0"/>
              <w:right w:val="single" w:color="auto" w:sz="4" w:space="0"/>
            </w:tcBorders>
            <w:vAlign w:val="center"/>
          </w:tcPr>
          <w:p w14:paraId="33D419C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3780" w:type="dxa"/>
            <w:gridSpan w:val="3"/>
            <w:tcBorders>
              <w:top w:val="single" w:color="auto" w:sz="4" w:space="0"/>
              <w:left w:val="single" w:color="auto" w:sz="4" w:space="0"/>
              <w:bottom w:val="single" w:color="auto" w:sz="4" w:space="0"/>
              <w:right w:val="single" w:color="auto" w:sz="4" w:space="0"/>
            </w:tcBorders>
            <w:vAlign w:val="center"/>
          </w:tcPr>
          <w:p w14:paraId="116ADF2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职称证书</w:t>
            </w:r>
          </w:p>
        </w:tc>
        <w:tc>
          <w:tcPr>
            <w:tcW w:w="3780" w:type="dxa"/>
            <w:gridSpan w:val="3"/>
            <w:tcBorders>
              <w:top w:val="single" w:color="auto" w:sz="6" w:space="0"/>
              <w:left w:val="single" w:color="auto" w:sz="4" w:space="0"/>
              <w:bottom w:val="single" w:color="auto" w:sz="6" w:space="0"/>
              <w:right w:val="single" w:color="auto" w:sz="6" w:space="0"/>
            </w:tcBorders>
            <w:vAlign w:val="center"/>
          </w:tcPr>
          <w:p w14:paraId="42F7B6B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3780" w:type="dxa"/>
            <w:gridSpan w:val="3"/>
            <w:tcBorders>
              <w:top w:val="single" w:color="auto" w:sz="6" w:space="0"/>
              <w:left w:val="single" w:color="auto" w:sz="6" w:space="0"/>
              <w:bottom w:val="single" w:color="auto" w:sz="6" w:space="0"/>
              <w:right w:val="single" w:color="auto" w:sz="6" w:space="0"/>
            </w:tcBorders>
            <w:vAlign w:val="center"/>
          </w:tcPr>
          <w:p w14:paraId="039926B7">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岗位证书</w:t>
            </w:r>
          </w:p>
        </w:tc>
      </w:tr>
      <w:tr w14:paraId="535A2E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exact"/>
        </w:trPr>
        <w:tc>
          <w:tcPr>
            <w:tcW w:w="326" w:type="dxa"/>
            <w:vMerge w:val="continue"/>
            <w:tcBorders>
              <w:left w:val="single" w:color="auto" w:sz="6" w:space="0"/>
              <w:bottom w:val="single" w:color="auto" w:sz="6" w:space="0"/>
              <w:right w:val="single" w:color="auto" w:sz="6" w:space="0"/>
            </w:tcBorders>
            <w:vAlign w:val="center"/>
          </w:tcPr>
          <w:p w14:paraId="6546614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vMerge w:val="continue"/>
            <w:tcBorders>
              <w:left w:val="single" w:color="auto" w:sz="6" w:space="0"/>
              <w:bottom w:val="single" w:color="auto" w:sz="6" w:space="0"/>
              <w:right w:val="single" w:color="auto" w:sz="6" w:space="0"/>
            </w:tcBorders>
            <w:vAlign w:val="center"/>
          </w:tcPr>
          <w:p w14:paraId="6731DA81">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vMerge w:val="continue"/>
            <w:tcBorders>
              <w:left w:val="single" w:color="auto" w:sz="6" w:space="0"/>
              <w:bottom w:val="single" w:color="auto" w:sz="6" w:space="0"/>
              <w:right w:val="single" w:color="auto" w:sz="4" w:space="0"/>
            </w:tcBorders>
            <w:vAlign w:val="center"/>
          </w:tcPr>
          <w:p w14:paraId="6EA10DF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6FEC0E5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专业名称</w:t>
            </w:r>
          </w:p>
        </w:tc>
        <w:tc>
          <w:tcPr>
            <w:tcW w:w="615" w:type="dxa"/>
            <w:tcBorders>
              <w:top w:val="single" w:color="auto" w:sz="4" w:space="0"/>
              <w:left w:val="single" w:color="auto" w:sz="4" w:space="0"/>
              <w:bottom w:val="single" w:color="auto" w:sz="4" w:space="0"/>
              <w:right w:val="single" w:color="auto" w:sz="4" w:space="0"/>
            </w:tcBorders>
            <w:vAlign w:val="center"/>
          </w:tcPr>
          <w:p w14:paraId="7005911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4" w:space="0"/>
              <w:left w:val="single" w:color="auto" w:sz="4" w:space="0"/>
              <w:bottom w:val="single" w:color="auto" w:sz="4" w:space="0"/>
              <w:right w:val="single" w:color="auto" w:sz="4" w:space="0"/>
            </w:tcBorders>
            <w:vAlign w:val="center"/>
          </w:tcPr>
          <w:p w14:paraId="4DD93C5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25" w:type="dxa"/>
            <w:tcBorders>
              <w:top w:val="single" w:color="auto" w:sz="6" w:space="0"/>
              <w:left w:val="single" w:color="auto" w:sz="4" w:space="0"/>
              <w:bottom w:val="single" w:color="auto" w:sz="6" w:space="0"/>
              <w:right w:val="single" w:color="auto" w:sz="6" w:space="0"/>
            </w:tcBorders>
            <w:vAlign w:val="center"/>
          </w:tcPr>
          <w:p w14:paraId="6EF8DFE9">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资格名称</w:t>
            </w:r>
          </w:p>
        </w:tc>
        <w:tc>
          <w:tcPr>
            <w:tcW w:w="660" w:type="dxa"/>
            <w:tcBorders>
              <w:top w:val="single" w:color="auto" w:sz="6" w:space="0"/>
              <w:left w:val="single" w:color="auto" w:sz="6" w:space="0"/>
              <w:bottom w:val="single" w:color="auto" w:sz="6" w:space="0"/>
              <w:right w:val="single" w:color="auto" w:sz="6" w:space="0"/>
            </w:tcBorders>
            <w:vAlign w:val="center"/>
          </w:tcPr>
          <w:p w14:paraId="7D190E1F">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95" w:type="dxa"/>
            <w:tcBorders>
              <w:top w:val="single" w:color="auto" w:sz="6" w:space="0"/>
              <w:left w:val="single" w:color="auto" w:sz="6" w:space="0"/>
              <w:bottom w:val="single" w:color="auto" w:sz="6" w:space="0"/>
              <w:right w:val="single" w:color="auto" w:sz="6" w:space="0"/>
            </w:tcBorders>
            <w:vAlign w:val="center"/>
          </w:tcPr>
          <w:p w14:paraId="18ED206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c>
          <w:tcPr>
            <w:tcW w:w="1455" w:type="dxa"/>
            <w:tcBorders>
              <w:top w:val="single" w:color="auto" w:sz="6" w:space="0"/>
              <w:left w:val="single" w:color="auto" w:sz="6" w:space="0"/>
              <w:bottom w:val="single" w:color="auto" w:sz="6" w:space="0"/>
              <w:right w:val="single" w:color="auto" w:sz="6" w:space="0"/>
            </w:tcBorders>
            <w:vAlign w:val="center"/>
          </w:tcPr>
          <w:p w14:paraId="74F8933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岗位名称</w:t>
            </w:r>
          </w:p>
        </w:tc>
        <w:tc>
          <w:tcPr>
            <w:tcW w:w="645" w:type="dxa"/>
            <w:tcBorders>
              <w:top w:val="single" w:color="auto" w:sz="6" w:space="0"/>
              <w:left w:val="single" w:color="auto" w:sz="6" w:space="0"/>
              <w:bottom w:val="single" w:color="auto" w:sz="6" w:space="0"/>
              <w:right w:val="single" w:color="auto" w:sz="6" w:space="0"/>
            </w:tcBorders>
            <w:vAlign w:val="center"/>
          </w:tcPr>
          <w:p w14:paraId="07D4D1F8">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级别</w:t>
            </w:r>
          </w:p>
        </w:tc>
        <w:tc>
          <w:tcPr>
            <w:tcW w:w="1680" w:type="dxa"/>
            <w:tcBorders>
              <w:top w:val="single" w:color="auto" w:sz="6" w:space="0"/>
              <w:left w:val="single" w:color="auto" w:sz="6" w:space="0"/>
              <w:bottom w:val="single" w:color="auto" w:sz="6" w:space="0"/>
              <w:right w:val="single" w:color="auto" w:sz="6" w:space="0"/>
            </w:tcBorders>
            <w:vAlign w:val="center"/>
          </w:tcPr>
          <w:p w14:paraId="28797E4B">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证号</w:t>
            </w:r>
          </w:p>
        </w:tc>
      </w:tr>
      <w:tr w14:paraId="29DEF0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1E46582">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1425" w:type="dxa"/>
            <w:tcBorders>
              <w:top w:val="single" w:color="auto" w:sz="6" w:space="0"/>
              <w:left w:val="single" w:color="auto" w:sz="6" w:space="0"/>
              <w:bottom w:val="single" w:color="auto" w:sz="6" w:space="0"/>
              <w:right w:val="single" w:color="auto" w:sz="6" w:space="0"/>
            </w:tcBorders>
            <w:vAlign w:val="center"/>
          </w:tcPr>
          <w:p w14:paraId="50FB5A1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C40A15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4" w:space="0"/>
              <w:left w:val="single" w:color="auto" w:sz="6" w:space="0"/>
              <w:bottom w:val="single" w:color="auto" w:sz="6" w:space="0"/>
              <w:right w:val="single" w:color="auto" w:sz="6" w:space="0"/>
            </w:tcBorders>
            <w:vAlign w:val="center"/>
          </w:tcPr>
          <w:p w14:paraId="5DB6D1A2">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4" w:space="0"/>
              <w:left w:val="single" w:color="auto" w:sz="6" w:space="0"/>
              <w:bottom w:val="single" w:color="auto" w:sz="6" w:space="0"/>
              <w:right w:val="single" w:color="auto" w:sz="6" w:space="0"/>
            </w:tcBorders>
            <w:vAlign w:val="center"/>
          </w:tcPr>
          <w:p w14:paraId="2552F990">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4" w:space="0"/>
              <w:left w:val="single" w:color="auto" w:sz="6" w:space="0"/>
              <w:bottom w:val="single" w:color="auto" w:sz="6" w:space="0"/>
              <w:right w:val="single" w:color="auto" w:sz="6" w:space="0"/>
            </w:tcBorders>
            <w:vAlign w:val="center"/>
          </w:tcPr>
          <w:p w14:paraId="578170FF">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A67664B">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4816533">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4FC128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53BC87CD">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45B3595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0775D7B">
            <w:pPr>
              <w:wordWrap w:val="0"/>
              <w:adjustRightInd w:val="0"/>
              <w:snapToGrid w:val="0"/>
              <w:spacing w:line="240" w:lineRule="auto"/>
              <w:jc w:val="center"/>
              <w:rPr>
                <w:rFonts w:hAnsi="宋体" w:cs="宋体"/>
                <w:snapToGrid w:val="0"/>
                <w:color w:val="auto"/>
                <w:kern w:val="0"/>
                <w:sz w:val="21"/>
                <w:szCs w:val="21"/>
                <w:highlight w:val="none"/>
              </w:rPr>
            </w:pPr>
          </w:p>
        </w:tc>
      </w:tr>
      <w:tr w14:paraId="4D922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0B1CFCD">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1425" w:type="dxa"/>
            <w:tcBorders>
              <w:top w:val="single" w:color="auto" w:sz="6" w:space="0"/>
              <w:left w:val="single" w:color="auto" w:sz="6" w:space="0"/>
              <w:bottom w:val="single" w:color="auto" w:sz="6" w:space="0"/>
              <w:right w:val="single" w:color="auto" w:sz="6" w:space="0"/>
            </w:tcBorders>
            <w:vAlign w:val="center"/>
          </w:tcPr>
          <w:p w14:paraId="7FAA5B27">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68953DB">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BCA321C">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B53456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1994C2F">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AFA912F">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5D46B34">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E7A2D61">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7DC31AA9">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31F537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D0FE30B">
            <w:pPr>
              <w:wordWrap w:val="0"/>
              <w:adjustRightInd w:val="0"/>
              <w:snapToGrid w:val="0"/>
              <w:spacing w:line="240" w:lineRule="auto"/>
              <w:jc w:val="center"/>
              <w:rPr>
                <w:rFonts w:hAnsi="宋体" w:cs="宋体"/>
                <w:snapToGrid w:val="0"/>
                <w:color w:val="auto"/>
                <w:kern w:val="0"/>
                <w:sz w:val="21"/>
                <w:szCs w:val="21"/>
                <w:highlight w:val="none"/>
              </w:rPr>
            </w:pPr>
          </w:p>
        </w:tc>
      </w:tr>
      <w:tr w14:paraId="648ABE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5839C53">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1425" w:type="dxa"/>
            <w:tcBorders>
              <w:top w:val="single" w:color="auto" w:sz="6" w:space="0"/>
              <w:left w:val="single" w:color="auto" w:sz="6" w:space="0"/>
              <w:bottom w:val="single" w:color="auto" w:sz="6" w:space="0"/>
              <w:right w:val="single" w:color="auto" w:sz="6" w:space="0"/>
            </w:tcBorders>
            <w:vAlign w:val="center"/>
          </w:tcPr>
          <w:p w14:paraId="6E40533F">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ACC7D38">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3D760FF3">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0F0374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964376">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3BFE75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326C746">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EB51504">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63854FC">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C477ED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37F231A9">
            <w:pPr>
              <w:wordWrap w:val="0"/>
              <w:adjustRightInd w:val="0"/>
              <w:snapToGrid w:val="0"/>
              <w:spacing w:line="240" w:lineRule="auto"/>
              <w:jc w:val="center"/>
              <w:rPr>
                <w:rFonts w:hAnsi="宋体" w:cs="宋体"/>
                <w:snapToGrid w:val="0"/>
                <w:color w:val="auto"/>
                <w:kern w:val="0"/>
                <w:sz w:val="21"/>
                <w:szCs w:val="21"/>
                <w:highlight w:val="none"/>
              </w:rPr>
            </w:pPr>
          </w:p>
        </w:tc>
      </w:tr>
      <w:tr w14:paraId="083ABF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3DE8433C">
            <w:pPr>
              <w:wordWrap w:val="0"/>
              <w:adjustRightInd w:val="0"/>
              <w:snapToGrid w:val="0"/>
              <w:spacing w:line="240" w:lineRule="auto"/>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1425" w:type="dxa"/>
            <w:tcBorders>
              <w:top w:val="single" w:color="auto" w:sz="6" w:space="0"/>
              <w:left w:val="single" w:color="auto" w:sz="6" w:space="0"/>
              <w:bottom w:val="single" w:color="auto" w:sz="6" w:space="0"/>
              <w:right w:val="single" w:color="auto" w:sz="6" w:space="0"/>
            </w:tcBorders>
            <w:vAlign w:val="center"/>
          </w:tcPr>
          <w:p w14:paraId="4A0831D5">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5BE5AF8">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771BB2E9">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1C314B1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E47D727">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9BF5F50">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C098BA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0041B8DE">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6E293F8F">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1B3AECF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BB2043">
            <w:pPr>
              <w:wordWrap w:val="0"/>
              <w:adjustRightInd w:val="0"/>
              <w:snapToGrid w:val="0"/>
              <w:spacing w:line="240" w:lineRule="auto"/>
              <w:jc w:val="center"/>
              <w:rPr>
                <w:rFonts w:hAnsi="宋体" w:cs="宋体"/>
                <w:snapToGrid w:val="0"/>
                <w:color w:val="auto"/>
                <w:kern w:val="0"/>
                <w:sz w:val="21"/>
                <w:szCs w:val="21"/>
                <w:highlight w:val="none"/>
              </w:rPr>
            </w:pPr>
          </w:p>
        </w:tc>
      </w:tr>
      <w:tr w14:paraId="1D6E3F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566A7951">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27FAF32">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2DA9183E">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8B29535">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FEC53F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180C744">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188DE9D1">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19400136">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4245C62B">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B535828">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185989E">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AA32920">
            <w:pPr>
              <w:wordWrap w:val="0"/>
              <w:adjustRightInd w:val="0"/>
              <w:snapToGrid w:val="0"/>
              <w:spacing w:line="240" w:lineRule="auto"/>
              <w:jc w:val="center"/>
              <w:rPr>
                <w:rFonts w:hAnsi="宋体" w:cs="宋体"/>
                <w:snapToGrid w:val="0"/>
                <w:color w:val="auto"/>
                <w:kern w:val="0"/>
                <w:sz w:val="21"/>
                <w:szCs w:val="21"/>
                <w:highlight w:val="none"/>
              </w:rPr>
            </w:pPr>
          </w:p>
        </w:tc>
      </w:tr>
      <w:tr w14:paraId="6F1EB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6226C860">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28E1B4A">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49D48576">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478252E">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89289E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29D46CBE">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79E9517">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533CF4AB">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7592978">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08B63551">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73FF7F2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79E56F7">
            <w:pPr>
              <w:wordWrap w:val="0"/>
              <w:adjustRightInd w:val="0"/>
              <w:snapToGrid w:val="0"/>
              <w:spacing w:line="240" w:lineRule="auto"/>
              <w:jc w:val="center"/>
              <w:rPr>
                <w:rFonts w:hAnsi="宋体" w:cs="宋体"/>
                <w:snapToGrid w:val="0"/>
                <w:color w:val="auto"/>
                <w:kern w:val="0"/>
                <w:sz w:val="21"/>
                <w:szCs w:val="21"/>
                <w:highlight w:val="none"/>
              </w:rPr>
            </w:pPr>
          </w:p>
        </w:tc>
      </w:tr>
      <w:tr w14:paraId="280CD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7C972988">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8A282E3">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5974B3F3">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2A2B134E">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71A5BB15">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7A98FA8">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FA57914">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6DD6E784">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7644D406">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736D6A4">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60CEDD32">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7F5906">
            <w:pPr>
              <w:wordWrap w:val="0"/>
              <w:adjustRightInd w:val="0"/>
              <w:snapToGrid w:val="0"/>
              <w:spacing w:line="240" w:lineRule="auto"/>
              <w:jc w:val="center"/>
              <w:rPr>
                <w:rFonts w:hAnsi="宋体" w:cs="宋体"/>
                <w:snapToGrid w:val="0"/>
                <w:color w:val="auto"/>
                <w:kern w:val="0"/>
                <w:sz w:val="21"/>
                <w:szCs w:val="21"/>
                <w:highlight w:val="none"/>
              </w:rPr>
            </w:pPr>
          </w:p>
        </w:tc>
      </w:tr>
      <w:tr w14:paraId="48111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8F6C1C0">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92D3C87">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654313CB">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1E2E75C3">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45A8FCEB">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736602F3">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6FD1D704">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76AAE4C0">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665F9C85">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23F55A54">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45EF5F7">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7E678E5">
            <w:pPr>
              <w:wordWrap w:val="0"/>
              <w:adjustRightInd w:val="0"/>
              <w:snapToGrid w:val="0"/>
              <w:spacing w:line="240" w:lineRule="auto"/>
              <w:jc w:val="center"/>
              <w:rPr>
                <w:rFonts w:hAnsi="宋体" w:cs="宋体"/>
                <w:snapToGrid w:val="0"/>
                <w:color w:val="auto"/>
                <w:kern w:val="0"/>
                <w:sz w:val="21"/>
                <w:szCs w:val="21"/>
                <w:highlight w:val="none"/>
              </w:rPr>
            </w:pPr>
          </w:p>
        </w:tc>
      </w:tr>
      <w:tr w14:paraId="61BDB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24A0F4A4">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2EADA8AC">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3E7675E7">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58A43BCF">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5BE6A579">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51CAA2EC">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465C2A10">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20151DCC">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FBC0F77">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44A991E">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0097658A">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0A6010BD">
            <w:pPr>
              <w:wordWrap w:val="0"/>
              <w:adjustRightInd w:val="0"/>
              <w:snapToGrid w:val="0"/>
              <w:spacing w:line="240" w:lineRule="auto"/>
              <w:jc w:val="center"/>
              <w:rPr>
                <w:rFonts w:hAnsi="宋体" w:cs="宋体"/>
                <w:snapToGrid w:val="0"/>
                <w:color w:val="auto"/>
                <w:kern w:val="0"/>
                <w:sz w:val="21"/>
                <w:szCs w:val="21"/>
                <w:highlight w:val="none"/>
              </w:rPr>
            </w:pPr>
          </w:p>
        </w:tc>
        <w:bookmarkStart w:id="327" w:name="_Hlt68774664"/>
        <w:bookmarkStart w:id="328" w:name="_附件二十五：综合评审合理低价法"/>
        <w:bookmarkStart w:id="329" w:name="_Hlt69116778"/>
        <w:bookmarkStart w:id="330" w:name="_附件十：单项工程费汇总表"/>
        <w:bookmarkStart w:id="331" w:name="_附件二十四：技术标提问单"/>
      </w:tr>
      <w:bookmarkEnd w:id="324"/>
      <w:bookmarkEnd w:id="325"/>
      <w:bookmarkEnd w:id="327"/>
      <w:bookmarkEnd w:id="328"/>
      <w:bookmarkEnd w:id="329"/>
      <w:bookmarkEnd w:id="330"/>
      <w:bookmarkEnd w:id="331"/>
      <w:tr w14:paraId="25576D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trPr>
        <w:tc>
          <w:tcPr>
            <w:tcW w:w="326" w:type="dxa"/>
            <w:tcBorders>
              <w:top w:val="single" w:color="auto" w:sz="6" w:space="0"/>
              <w:left w:val="single" w:color="auto" w:sz="6" w:space="0"/>
              <w:bottom w:val="single" w:color="auto" w:sz="6" w:space="0"/>
              <w:right w:val="single" w:color="auto" w:sz="6" w:space="0"/>
            </w:tcBorders>
            <w:vAlign w:val="center"/>
          </w:tcPr>
          <w:p w14:paraId="1BC0ADF5">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035DC0E9">
            <w:pPr>
              <w:wordWrap w:val="0"/>
              <w:adjustRightInd w:val="0"/>
              <w:snapToGrid w:val="0"/>
              <w:spacing w:line="240" w:lineRule="auto"/>
              <w:jc w:val="center"/>
              <w:rPr>
                <w:rFonts w:hAnsi="宋体" w:cs="宋体"/>
                <w:snapToGrid w:val="0"/>
                <w:color w:val="auto"/>
                <w:kern w:val="0"/>
                <w:sz w:val="21"/>
                <w:szCs w:val="21"/>
                <w:highlight w:val="none"/>
              </w:rPr>
            </w:pPr>
          </w:p>
        </w:tc>
        <w:tc>
          <w:tcPr>
            <w:tcW w:w="840" w:type="dxa"/>
            <w:tcBorders>
              <w:top w:val="single" w:color="auto" w:sz="6" w:space="0"/>
              <w:left w:val="single" w:color="auto" w:sz="6" w:space="0"/>
              <w:bottom w:val="single" w:color="auto" w:sz="6" w:space="0"/>
              <w:right w:val="single" w:color="auto" w:sz="6" w:space="0"/>
            </w:tcBorders>
            <w:vAlign w:val="center"/>
          </w:tcPr>
          <w:p w14:paraId="08ED7E0F">
            <w:pPr>
              <w:wordWrap w:val="0"/>
              <w:adjustRightInd w:val="0"/>
              <w:snapToGrid w:val="0"/>
              <w:spacing w:line="240" w:lineRule="auto"/>
              <w:jc w:val="center"/>
              <w:rPr>
                <w:rFonts w:hAnsi="宋体" w:cs="宋体"/>
                <w:snapToGrid w:val="0"/>
                <w:color w:val="auto"/>
                <w:kern w:val="0"/>
                <w:sz w:val="21"/>
                <w:szCs w:val="21"/>
                <w:highlight w:val="none"/>
              </w:rPr>
            </w:pPr>
          </w:p>
        </w:tc>
        <w:tc>
          <w:tcPr>
            <w:tcW w:w="1485" w:type="dxa"/>
            <w:tcBorders>
              <w:top w:val="single" w:color="auto" w:sz="6" w:space="0"/>
              <w:left w:val="single" w:color="auto" w:sz="6" w:space="0"/>
              <w:bottom w:val="single" w:color="auto" w:sz="6" w:space="0"/>
              <w:right w:val="single" w:color="auto" w:sz="6" w:space="0"/>
            </w:tcBorders>
            <w:vAlign w:val="center"/>
          </w:tcPr>
          <w:p w14:paraId="6B799806">
            <w:pPr>
              <w:wordWrap w:val="0"/>
              <w:adjustRightInd w:val="0"/>
              <w:snapToGrid w:val="0"/>
              <w:spacing w:line="240" w:lineRule="auto"/>
              <w:jc w:val="center"/>
              <w:rPr>
                <w:rFonts w:hAnsi="宋体" w:cs="宋体"/>
                <w:snapToGrid w:val="0"/>
                <w:color w:val="auto"/>
                <w:kern w:val="0"/>
                <w:sz w:val="21"/>
                <w:szCs w:val="21"/>
                <w:highlight w:val="none"/>
              </w:rPr>
            </w:pPr>
          </w:p>
        </w:tc>
        <w:tc>
          <w:tcPr>
            <w:tcW w:w="615" w:type="dxa"/>
            <w:tcBorders>
              <w:top w:val="single" w:color="auto" w:sz="6" w:space="0"/>
              <w:left w:val="single" w:color="auto" w:sz="6" w:space="0"/>
              <w:bottom w:val="single" w:color="auto" w:sz="6" w:space="0"/>
              <w:right w:val="single" w:color="auto" w:sz="6" w:space="0"/>
            </w:tcBorders>
            <w:vAlign w:val="center"/>
          </w:tcPr>
          <w:p w14:paraId="2BCCEEAC">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406920C7">
            <w:pPr>
              <w:wordWrap w:val="0"/>
              <w:adjustRightInd w:val="0"/>
              <w:snapToGrid w:val="0"/>
              <w:spacing w:line="240" w:lineRule="auto"/>
              <w:jc w:val="center"/>
              <w:rPr>
                <w:rFonts w:hAnsi="宋体" w:cs="宋体"/>
                <w:snapToGrid w:val="0"/>
                <w:color w:val="auto"/>
                <w:kern w:val="0"/>
                <w:sz w:val="21"/>
                <w:szCs w:val="21"/>
                <w:highlight w:val="none"/>
              </w:rPr>
            </w:pPr>
          </w:p>
        </w:tc>
        <w:tc>
          <w:tcPr>
            <w:tcW w:w="1425" w:type="dxa"/>
            <w:tcBorders>
              <w:top w:val="single" w:color="auto" w:sz="6" w:space="0"/>
              <w:left w:val="single" w:color="auto" w:sz="6" w:space="0"/>
              <w:bottom w:val="single" w:color="auto" w:sz="6" w:space="0"/>
              <w:right w:val="single" w:color="auto" w:sz="6" w:space="0"/>
            </w:tcBorders>
            <w:vAlign w:val="center"/>
          </w:tcPr>
          <w:p w14:paraId="3E455E13">
            <w:pPr>
              <w:wordWrap w:val="0"/>
              <w:adjustRightInd w:val="0"/>
              <w:snapToGrid w:val="0"/>
              <w:spacing w:line="240" w:lineRule="auto"/>
              <w:jc w:val="center"/>
              <w:rPr>
                <w:rFonts w:hAnsi="宋体" w:cs="宋体"/>
                <w:snapToGrid w:val="0"/>
                <w:color w:val="auto"/>
                <w:kern w:val="0"/>
                <w:sz w:val="21"/>
                <w:szCs w:val="21"/>
                <w:highlight w:val="none"/>
              </w:rPr>
            </w:pPr>
          </w:p>
        </w:tc>
        <w:tc>
          <w:tcPr>
            <w:tcW w:w="660" w:type="dxa"/>
            <w:tcBorders>
              <w:top w:val="single" w:color="auto" w:sz="6" w:space="0"/>
              <w:left w:val="single" w:color="auto" w:sz="6" w:space="0"/>
              <w:bottom w:val="single" w:color="auto" w:sz="6" w:space="0"/>
              <w:right w:val="single" w:color="auto" w:sz="6" w:space="0"/>
            </w:tcBorders>
            <w:vAlign w:val="center"/>
          </w:tcPr>
          <w:p w14:paraId="4ABBFD3E">
            <w:pPr>
              <w:wordWrap w:val="0"/>
              <w:adjustRightInd w:val="0"/>
              <w:snapToGrid w:val="0"/>
              <w:spacing w:line="240" w:lineRule="auto"/>
              <w:jc w:val="center"/>
              <w:rPr>
                <w:rFonts w:hAnsi="宋体" w:cs="宋体"/>
                <w:snapToGrid w:val="0"/>
                <w:color w:val="auto"/>
                <w:kern w:val="0"/>
                <w:sz w:val="21"/>
                <w:szCs w:val="21"/>
                <w:highlight w:val="none"/>
              </w:rPr>
            </w:pPr>
          </w:p>
        </w:tc>
        <w:tc>
          <w:tcPr>
            <w:tcW w:w="1695" w:type="dxa"/>
            <w:tcBorders>
              <w:top w:val="single" w:color="auto" w:sz="6" w:space="0"/>
              <w:left w:val="single" w:color="auto" w:sz="6" w:space="0"/>
              <w:bottom w:val="single" w:color="auto" w:sz="6" w:space="0"/>
              <w:right w:val="single" w:color="auto" w:sz="6" w:space="0"/>
            </w:tcBorders>
            <w:vAlign w:val="center"/>
          </w:tcPr>
          <w:p w14:paraId="59416CFA">
            <w:pPr>
              <w:wordWrap w:val="0"/>
              <w:adjustRightInd w:val="0"/>
              <w:snapToGrid w:val="0"/>
              <w:spacing w:line="240" w:lineRule="auto"/>
              <w:jc w:val="center"/>
              <w:rPr>
                <w:rFonts w:hAnsi="宋体" w:cs="宋体"/>
                <w:snapToGrid w:val="0"/>
                <w:color w:val="auto"/>
                <w:kern w:val="0"/>
                <w:sz w:val="21"/>
                <w:szCs w:val="21"/>
                <w:highlight w:val="none"/>
              </w:rPr>
            </w:pPr>
          </w:p>
        </w:tc>
        <w:tc>
          <w:tcPr>
            <w:tcW w:w="1455" w:type="dxa"/>
            <w:tcBorders>
              <w:top w:val="single" w:color="auto" w:sz="6" w:space="0"/>
              <w:left w:val="single" w:color="auto" w:sz="6" w:space="0"/>
              <w:bottom w:val="single" w:color="auto" w:sz="6" w:space="0"/>
              <w:right w:val="single" w:color="auto" w:sz="6" w:space="0"/>
            </w:tcBorders>
            <w:vAlign w:val="center"/>
          </w:tcPr>
          <w:p w14:paraId="35A86BC7">
            <w:pPr>
              <w:wordWrap w:val="0"/>
              <w:adjustRightInd w:val="0"/>
              <w:snapToGrid w:val="0"/>
              <w:spacing w:line="240" w:lineRule="auto"/>
              <w:jc w:val="center"/>
              <w:rPr>
                <w:rFonts w:hAnsi="宋体" w:cs="宋体"/>
                <w:snapToGrid w:val="0"/>
                <w:color w:val="auto"/>
                <w:kern w:val="0"/>
                <w:sz w:val="21"/>
                <w:szCs w:val="21"/>
                <w:highlight w:val="none"/>
              </w:rPr>
            </w:pPr>
          </w:p>
        </w:tc>
        <w:tc>
          <w:tcPr>
            <w:tcW w:w="645" w:type="dxa"/>
            <w:tcBorders>
              <w:top w:val="single" w:color="auto" w:sz="6" w:space="0"/>
              <w:left w:val="single" w:color="auto" w:sz="6" w:space="0"/>
              <w:bottom w:val="single" w:color="auto" w:sz="6" w:space="0"/>
              <w:right w:val="single" w:color="auto" w:sz="6" w:space="0"/>
            </w:tcBorders>
            <w:vAlign w:val="center"/>
          </w:tcPr>
          <w:p w14:paraId="591BD45D">
            <w:pPr>
              <w:wordWrap w:val="0"/>
              <w:adjustRightInd w:val="0"/>
              <w:snapToGrid w:val="0"/>
              <w:spacing w:line="240" w:lineRule="auto"/>
              <w:jc w:val="center"/>
              <w:rPr>
                <w:rFonts w:hAnsi="宋体" w:cs="宋体"/>
                <w:snapToGrid w:val="0"/>
                <w:color w:val="auto"/>
                <w:kern w:val="0"/>
                <w:sz w:val="21"/>
                <w:szCs w:val="21"/>
                <w:highlight w:val="none"/>
              </w:rPr>
            </w:pPr>
          </w:p>
        </w:tc>
        <w:tc>
          <w:tcPr>
            <w:tcW w:w="1680" w:type="dxa"/>
            <w:tcBorders>
              <w:top w:val="single" w:color="auto" w:sz="6" w:space="0"/>
              <w:left w:val="single" w:color="auto" w:sz="6" w:space="0"/>
              <w:bottom w:val="single" w:color="auto" w:sz="6" w:space="0"/>
              <w:right w:val="single" w:color="auto" w:sz="6" w:space="0"/>
            </w:tcBorders>
            <w:vAlign w:val="center"/>
          </w:tcPr>
          <w:p w14:paraId="108EF558">
            <w:pPr>
              <w:wordWrap w:val="0"/>
              <w:adjustRightInd w:val="0"/>
              <w:snapToGrid w:val="0"/>
              <w:spacing w:line="240" w:lineRule="auto"/>
              <w:jc w:val="center"/>
              <w:rPr>
                <w:rFonts w:hAnsi="宋体" w:cs="宋体"/>
                <w:snapToGrid w:val="0"/>
                <w:color w:val="auto"/>
                <w:kern w:val="0"/>
                <w:sz w:val="21"/>
                <w:szCs w:val="21"/>
                <w:highlight w:val="none"/>
              </w:rPr>
            </w:pPr>
          </w:p>
        </w:tc>
      </w:tr>
    </w:tbl>
    <w:p w14:paraId="4CDFA701">
      <w:pPr>
        <w:pStyle w:val="73"/>
        <w:widowControl w:val="0"/>
        <w:wordWrap w:val="0"/>
        <w:adjustRightInd w:val="0"/>
        <w:snapToGrid w:val="0"/>
        <w:spacing w:line="400" w:lineRule="exact"/>
        <w:rPr>
          <w:rFonts w:hAnsi="宋体" w:cs="宋体"/>
          <w:snapToGrid w:val="0"/>
          <w:color w:val="auto"/>
          <w:sz w:val="21"/>
          <w:highlight w:val="none"/>
        </w:rPr>
      </w:pPr>
      <w:r>
        <w:rPr>
          <w:rFonts w:hint="eastAsia" w:hAnsi="宋体" w:cs="宋体"/>
          <w:snapToGrid w:val="0"/>
          <w:color w:val="auto"/>
          <w:sz w:val="21"/>
          <w:highlight w:val="none"/>
        </w:rPr>
        <w:t>说明：</w:t>
      </w:r>
    </w:p>
    <w:p w14:paraId="24312D3D">
      <w:pPr>
        <w:pStyle w:val="73"/>
        <w:widowControl w:val="0"/>
        <w:wordWrap w:val="0"/>
        <w:adjustRightInd w:val="0"/>
        <w:snapToGrid w:val="0"/>
        <w:spacing w:line="400" w:lineRule="exact"/>
        <w:rPr>
          <w:rFonts w:hAnsi="宋体" w:cs="宋体"/>
          <w:snapToGrid w:val="0"/>
          <w:color w:val="auto"/>
          <w:sz w:val="21"/>
          <w:highlight w:val="none"/>
        </w:rPr>
        <w:sectPr>
          <w:endnotePr>
            <w:numFmt w:val="decimal"/>
          </w:endnotePr>
          <w:pgSz w:w="16838" w:h="11906" w:orient="landscape"/>
          <w:pgMar w:top="1417" w:right="1417" w:bottom="1417" w:left="1417" w:header="850" w:footer="992" w:gutter="0"/>
          <w:cols w:space="0" w:num="1"/>
          <w:docGrid w:linePitch="327" w:charSpace="0"/>
        </w:sectPr>
      </w:pPr>
      <w:r>
        <w:rPr>
          <w:rFonts w:hint="eastAsia" w:hAnsi="宋体" w:cs="宋体"/>
          <w:snapToGrid w:val="0"/>
          <w:color w:val="auto"/>
          <w:sz w:val="21"/>
          <w:highlight w:val="none"/>
        </w:rPr>
        <w:t>1</w:t>
      </w:r>
      <w:r>
        <w:rPr>
          <w:rFonts w:hint="eastAsia" w:hAnsi="宋体" w:cs="宋体"/>
          <w:snapToGrid w:val="0"/>
          <w:color w:val="auto"/>
          <w:sz w:val="21"/>
          <w:szCs w:val="28"/>
          <w:highlight w:val="none"/>
        </w:rPr>
        <w:t>．表中没有或无法填写的栏目，用</w:t>
      </w:r>
      <w:r>
        <w:rPr>
          <w:rFonts w:hint="eastAsia" w:hAnsi="宋体" w:cs="宋体"/>
          <w:snapToGrid w:val="0"/>
          <w:color w:val="auto"/>
          <w:sz w:val="21"/>
          <w:highlight w:val="none"/>
        </w:rPr>
        <w:t>“/”示意。</w:t>
      </w:r>
      <w:bookmarkEnd w:id="299"/>
      <w:bookmarkEnd w:id="300"/>
      <w:bookmarkEnd w:id="301"/>
      <w:bookmarkEnd w:id="302"/>
    </w:p>
    <w:p w14:paraId="63F60130">
      <w:pPr>
        <w:pStyle w:val="149"/>
        <w:keepNext/>
        <w:keepLines/>
        <w:snapToGrid w:val="0"/>
        <w:spacing w:line="400" w:lineRule="exact"/>
        <w:jc w:val="both"/>
        <w:rPr>
          <w:rFonts w:ascii="宋体" w:hAnsi="宋体" w:cs="宋体"/>
          <w:b/>
          <w:bCs/>
          <w:snapToGrid w:val="0"/>
          <w:color w:val="auto"/>
          <w:highlight w:val="none"/>
        </w:rPr>
      </w:pPr>
      <w:bookmarkStart w:id="332" w:name="_Toc24916"/>
      <w:bookmarkStart w:id="333" w:name="_Toc23185"/>
      <w:r>
        <w:rPr>
          <w:rFonts w:hint="eastAsia" w:ascii="宋体" w:hAnsi="宋体" w:cs="宋体"/>
          <w:b/>
          <w:bCs/>
          <w:snapToGrid w:val="0"/>
          <w:color w:val="auto"/>
          <w:highlight w:val="none"/>
        </w:rPr>
        <w:t>格式十一 总监理工程师简历表</w:t>
      </w:r>
      <w:bookmarkEnd w:id="332"/>
      <w:bookmarkEnd w:id="333"/>
    </w:p>
    <w:p w14:paraId="6461E15D">
      <w:pPr>
        <w:adjustRightInd w:val="0"/>
        <w:snapToGrid w:val="0"/>
        <w:spacing w:line="400" w:lineRule="exact"/>
        <w:jc w:val="center"/>
        <w:rPr>
          <w:rFonts w:hAnsi="宋体" w:cs="宋体"/>
          <w:b/>
          <w:bCs/>
          <w:color w:val="auto"/>
          <w:sz w:val="32"/>
          <w:szCs w:val="22"/>
          <w:highlight w:val="none"/>
        </w:rPr>
      </w:pPr>
    </w:p>
    <w:p w14:paraId="13A99F0A">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总监理工程师简历表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512"/>
        <w:gridCol w:w="1288"/>
        <w:gridCol w:w="547"/>
        <w:gridCol w:w="1798"/>
      </w:tblGrid>
      <w:tr w14:paraId="16D4ED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0981BF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70B35A23">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306BA3A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6C204639">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3136A5C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074C000A">
            <w:pPr>
              <w:wordWrap w:val="0"/>
              <w:adjustRightInd w:val="0"/>
              <w:snapToGrid w:val="0"/>
              <w:spacing w:line="400" w:lineRule="exact"/>
              <w:jc w:val="center"/>
              <w:rPr>
                <w:rFonts w:hAnsi="宋体" w:cs="宋体"/>
                <w:snapToGrid w:val="0"/>
                <w:color w:val="auto"/>
                <w:kern w:val="0"/>
                <w:sz w:val="21"/>
                <w:szCs w:val="21"/>
                <w:highlight w:val="none"/>
              </w:rPr>
            </w:pPr>
          </w:p>
        </w:tc>
      </w:tr>
      <w:tr w14:paraId="328DDE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86330F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4B0AEB9A">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DAAA4C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200" w:type="dxa"/>
            <w:gridSpan w:val="2"/>
            <w:tcBorders>
              <w:top w:val="single" w:color="auto" w:sz="6" w:space="0"/>
              <w:left w:val="single" w:color="auto" w:sz="6" w:space="0"/>
              <w:bottom w:val="single" w:color="auto" w:sz="6" w:space="0"/>
              <w:right w:val="single" w:color="auto" w:sz="6" w:space="0"/>
            </w:tcBorders>
            <w:vAlign w:val="center"/>
          </w:tcPr>
          <w:p w14:paraId="578B0780">
            <w:pPr>
              <w:wordWrap w:val="0"/>
              <w:adjustRightInd w:val="0"/>
              <w:snapToGrid w:val="0"/>
              <w:spacing w:line="400" w:lineRule="exact"/>
              <w:jc w:val="center"/>
              <w:rPr>
                <w:rFonts w:hAnsi="宋体" w:cs="宋体"/>
                <w:snapToGrid w:val="0"/>
                <w:color w:val="auto"/>
                <w:kern w:val="0"/>
                <w:sz w:val="21"/>
                <w:szCs w:val="21"/>
                <w:highlight w:val="none"/>
              </w:rPr>
            </w:pPr>
          </w:p>
        </w:tc>
        <w:tc>
          <w:tcPr>
            <w:tcW w:w="1835" w:type="dxa"/>
            <w:gridSpan w:val="2"/>
            <w:tcBorders>
              <w:top w:val="single" w:color="auto" w:sz="6" w:space="0"/>
              <w:left w:val="single" w:color="auto" w:sz="6" w:space="0"/>
              <w:bottom w:val="single" w:color="auto" w:sz="6" w:space="0"/>
              <w:right w:val="single" w:color="auto" w:sz="6" w:space="0"/>
            </w:tcBorders>
            <w:vAlign w:val="center"/>
          </w:tcPr>
          <w:p w14:paraId="256FF53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405F3B81">
            <w:pPr>
              <w:wordWrap w:val="0"/>
              <w:adjustRightInd w:val="0"/>
              <w:snapToGrid w:val="0"/>
              <w:spacing w:line="400" w:lineRule="exact"/>
              <w:jc w:val="center"/>
              <w:rPr>
                <w:rFonts w:hAnsi="宋体" w:cs="宋体"/>
                <w:snapToGrid w:val="0"/>
                <w:color w:val="auto"/>
                <w:kern w:val="0"/>
                <w:sz w:val="21"/>
                <w:szCs w:val="21"/>
                <w:highlight w:val="none"/>
              </w:rPr>
            </w:pPr>
          </w:p>
        </w:tc>
      </w:tr>
      <w:tr w14:paraId="33141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029430F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67886849">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2C7D668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6467CA9A">
            <w:pPr>
              <w:wordWrap w:val="0"/>
              <w:adjustRightInd w:val="0"/>
              <w:snapToGrid w:val="0"/>
              <w:spacing w:line="400" w:lineRule="exact"/>
              <w:jc w:val="center"/>
              <w:rPr>
                <w:rFonts w:hAnsi="宋体" w:cs="宋体"/>
                <w:snapToGrid w:val="0"/>
                <w:color w:val="auto"/>
                <w:kern w:val="0"/>
                <w:sz w:val="21"/>
                <w:szCs w:val="21"/>
                <w:highlight w:val="none"/>
              </w:rPr>
            </w:pPr>
          </w:p>
        </w:tc>
      </w:tr>
      <w:tr w14:paraId="25E1A7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11E9169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注册证书</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4A07CADE">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名称：                               证书号：</w:t>
            </w:r>
          </w:p>
        </w:tc>
      </w:tr>
      <w:tr w14:paraId="7B257C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7274F2D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328A61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084BE2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770676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1FBBFB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8E4B6F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C15BA6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2635E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161232D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14367D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AAE9B8C">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5A32D0B">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F44C2FD">
            <w:pPr>
              <w:wordWrap w:val="0"/>
              <w:adjustRightInd w:val="0"/>
              <w:snapToGrid w:val="0"/>
              <w:spacing w:line="400" w:lineRule="exact"/>
              <w:jc w:val="center"/>
              <w:rPr>
                <w:rFonts w:hAnsi="宋体" w:cs="宋体"/>
                <w:snapToGrid w:val="0"/>
                <w:color w:val="auto"/>
                <w:kern w:val="0"/>
                <w:sz w:val="21"/>
                <w:szCs w:val="21"/>
                <w:highlight w:val="none"/>
              </w:rPr>
            </w:pPr>
          </w:p>
        </w:tc>
      </w:tr>
      <w:tr w14:paraId="49D524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90F5B25">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104D25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65650F">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1ABE292">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E1CAE1B">
            <w:pPr>
              <w:wordWrap w:val="0"/>
              <w:adjustRightInd w:val="0"/>
              <w:snapToGrid w:val="0"/>
              <w:spacing w:line="400" w:lineRule="exact"/>
              <w:jc w:val="center"/>
              <w:rPr>
                <w:rFonts w:hAnsi="宋体" w:cs="宋体"/>
                <w:snapToGrid w:val="0"/>
                <w:color w:val="auto"/>
                <w:kern w:val="0"/>
                <w:sz w:val="21"/>
                <w:szCs w:val="21"/>
                <w:highlight w:val="none"/>
              </w:rPr>
            </w:pPr>
          </w:p>
        </w:tc>
      </w:tr>
      <w:tr w14:paraId="74824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970B3C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22D89A97">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B798FFF">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53BCCB67">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3C040936">
            <w:pPr>
              <w:wordWrap w:val="0"/>
              <w:adjustRightInd w:val="0"/>
              <w:snapToGrid w:val="0"/>
              <w:spacing w:line="400" w:lineRule="exact"/>
              <w:jc w:val="center"/>
              <w:rPr>
                <w:rFonts w:hAnsi="宋体" w:cs="宋体"/>
                <w:snapToGrid w:val="0"/>
                <w:color w:val="auto"/>
                <w:kern w:val="0"/>
                <w:sz w:val="21"/>
                <w:szCs w:val="21"/>
                <w:highlight w:val="none"/>
              </w:rPr>
            </w:pPr>
          </w:p>
        </w:tc>
      </w:tr>
      <w:tr w14:paraId="46625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5975EB99">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E09880E">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66376A59">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7CD58919">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0A1A76F2">
            <w:pPr>
              <w:wordWrap w:val="0"/>
              <w:adjustRightInd w:val="0"/>
              <w:snapToGrid w:val="0"/>
              <w:spacing w:line="400" w:lineRule="exact"/>
              <w:jc w:val="center"/>
              <w:rPr>
                <w:rFonts w:hAnsi="宋体" w:cs="宋体"/>
                <w:snapToGrid w:val="0"/>
                <w:color w:val="auto"/>
                <w:kern w:val="0"/>
                <w:sz w:val="21"/>
                <w:szCs w:val="21"/>
                <w:highlight w:val="none"/>
              </w:rPr>
            </w:pPr>
          </w:p>
        </w:tc>
      </w:tr>
    </w:tbl>
    <w:p w14:paraId="05AF772E">
      <w:pPr>
        <w:adjustRightInd w:val="0"/>
        <w:snapToGrid w:val="0"/>
        <w:spacing w:line="400" w:lineRule="exact"/>
        <w:rPr>
          <w:rFonts w:hAnsi="宋体" w:cs="宋体"/>
          <w:color w:val="auto"/>
          <w:highlight w:val="none"/>
        </w:rPr>
      </w:pPr>
    </w:p>
    <w:p w14:paraId="55649CDC">
      <w:pPr>
        <w:pStyle w:val="74"/>
        <w:wordWrap w:val="0"/>
        <w:adjustRightInd w:val="0"/>
        <w:snapToGrid w:val="0"/>
        <w:spacing w:line="400" w:lineRule="exact"/>
        <w:jc w:val="right"/>
        <w:rPr>
          <w:rFonts w:hAnsi="宋体" w:cs="宋体"/>
          <w:snapToGrid w:val="0"/>
          <w:color w:val="auto"/>
          <w:kern w:val="0"/>
          <w:highlight w:val="none"/>
        </w:rPr>
      </w:pPr>
    </w:p>
    <w:p w14:paraId="5212B167">
      <w:pPr>
        <w:pStyle w:val="74"/>
        <w:wordWrap w:val="0"/>
        <w:adjustRightInd w:val="0"/>
        <w:snapToGrid w:val="0"/>
        <w:spacing w:line="400" w:lineRule="exact"/>
        <w:jc w:val="right"/>
        <w:rPr>
          <w:rFonts w:hAnsi="宋体" w:cs="宋体"/>
          <w:snapToGrid w:val="0"/>
          <w:color w:val="auto"/>
          <w:kern w:val="0"/>
          <w:highlight w:val="none"/>
        </w:rPr>
      </w:pPr>
      <w:r>
        <w:rPr>
          <w:rFonts w:hint="eastAsia" w:hAnsi="宋体" w:cs="宋体"/>
          <w:snapToGrid w:val="0"/>
          <w:color w:val="auto"/>
          <w:kern w:val="0"/>
          <w:highlight w:val="none"/>
        </w:rPr>
        <w:t>总监理工程师：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（签字）</w:t>
      </w:r>
    </w:p>
    <w:p w14:paraId="0C2580C4">
      <w:pPr>
        <w:pStyle w:val="74"/>
        <w:wordWrap w:val="0"/>
        <w:adjustRightInd w:val="0"/>
        <w:snapToGrid w:val="0"/>
        <w:spacing w:line="400" w:lineRule="exact"/>
        <w:jc w:val="center"/>
        <w:rPr>
          <w:rFonts w:hAnsi="宋体" w:cs="宋体"/>
          <w:snapToGrid w:val="0"/>
          <w:color w:val="auto"/>
          <w:kern w:val="0"/>
          <w:highlight w:val="none"/>
        </w:rPr>
      </w:pPr>
      <w:r>
        <w:rPr>
          <w:rFonts w:hint="eastAsia" w:hAnsi="宋体" w:cs="宋体"/>
          <w:snapToGrid w:val="0"/>
          <w:color w:val="auto"/>
          <w:kern w:val="0"/>
          <w:highlight w:val="none"/>
        </w:rPr>
        <w:t xml:space="preserve">                                     </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年</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月</w:t>
      </w:r>
      <w:r>
        <w:rPr>
          <w:rFonts w:hint="eastAsia" w:hAnsi="宋体" w:cs="宋体"/>
          <w:snapToGrid w:val="0"/>
          <w:color w:val="auto"/>
          <w:kern w:val="0"/>
          <w:highlight w:val="none"/>
          <w:u w:val="single"/>
        </w:rPr>
        <w:t xml:space="preserve">     </w:t>
      </w:r>
      <w:r>
        <w:rPr>
          <w:rFonts w:hint="eastAsia" w:hAnsi="宋体" w:cs="宋体"/>
          <w:snapToGrid w:val="0"/>
          <w:color w:val="auto"/>
          <w:kern w:val="0"/>
          <w:highlight w:val="none"/>
        </w:rPr>
        <w:t>日</w:t>
      </w:r>
    </w:p>
    <w:p w14:paraId="54D577A5">
      <w:pPr>
        <w:wordWrap w:val="0"/>
        <w:adjustRightInd w:val="0"/>
        <w:snapToGrid w:val="0"/>
        <w:spacing w:line="400" w:lineRule="exact"/>
        <w:ind w:firstLine="570"/>
        <w:rPr>
          <w:rFonts w:hAnsi="宋体" w:cs="宋体"/>
          <w:snapToGrid w:val="0"/>
          <w:color w:val="auto"/>
          <w:kern w:val="0"/>
          <w:szCs w:val="28"/>
          <w:highlight w:val="none"/>
        </w:rPr>
      </w:pPr>
    </w:p>
    <w:p w14:paraId="1CA52CB3">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说明：《总监理工程师简历表》后应附拟派总监理工程师以下资料：</w:t>
      </w:r>
    </w:p>
    <w:p w14:paraId="245C16B3">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6403A457">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2．监理工程师注册证书彩色扫描件（须彩色扫描至变更注册栏）</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hAnsi="宋体" w:cs="宋体"/>
          <w:snapToGrid w:val="0"/>
          <w:color w:val="auto"/>
          <w:kern w:val="0"/>
          <w:sz w:val="21"/>
          <w:szCs w:val="28"/>
          <w:highlight w:val="none"/>
        </w:rPr>
        <w:t>；</w:t>
      </w:r>
    </w:p>
    <w:p w14:paraId="4FD46B7A">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宋体" w:hAnsi="宋体" w:eastAsia="宋体" w:cs="宋体"/>
          <w:caps w:val="0"/>
          <w:smallCaps w:val="0"/>
          <w:snapToGrid w:val="0"/>
          <w:color w:val="auto"/>
          <w:spacing w:val="0"/>
          <w:kern w:val="0"/>
          <w:sz w:val="21"/>
          <w:szCs w:val="28"/>
          <w:highlight w:val="none"/>
          <w:lang w:val="en-US" w:eastAsia="zh-CN"/>
        </w:rPr>
        <w:t>在本单位缴纳社保的证明（至少一个月，其中必须有202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8</w:t>
      </w:r>
      <w:r>
        <w:rPr>
          <w:rFonts w:hint="eastAsia" w:ascii="宋体" w:hAnsi="宋体" w:eastAsia="宋体" w:cs="宋体"/>
          <w:caps w:val="0"/>
          <w:smallCaps w:val="0"/>
          <w:snapToGrid w:val="0"/>
          <w:color w:val="auto"/>
          <w:spacing w:val="0"/>
          <w:kern w:val="0"/>
          <w:sz w:val="21"/>
          <w:szCs w:val="28"/>
          <w:highlight w:val="none"/>
          <w:lang w:val="en-US" w:eastAsia="zh-CN"/>
        </w:rPr>
        <w:t>月）彩色扫描件。</w:t>
      </w:r>
    </w:p>
    <w:p w14:paraId="2DC2A311">
      <w:pPr>
        <w:pStyle w:val="11"/>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4.“进粤企业和人员诚信信息登记平台”个人（总监理工程师等）信息情况截图。（适用于省外建筑企业）</w:t>
      </w:r>
    </w:p>
    <w:p w14:paraId="1FF4E9EC">
      <w:pPr>
        <w:pStyle w:val="11"/>
        <w:snapToGrid w:val="0"/>
        <w:spacing w:line="400" w:lineRule="exact"/>
        <w:rPr>
          <w:rFonts w:hAnsi="宋体" w:cs="宋体"/>
          <w:snapToGrid w:val="0"/>
          <w:color w:val="auto"/>
          <w:sz w:val="21"/>
          <w:highlight w:val="none"/>
        </w:rPr>
      </w:pPr>
    </w:p>
    <w:p w14:paraId="1F51A155">
      <w:pPr>
        <w:adjustRightInd w:val="0"/>
        <w:snapToGrid w:val="0"/>
        <w:spacing w:line="400" w:lineRule="exact"/>
        <w:rPr>
          <w:rFonts w:hAnsi="宋体" w:cs="宋体"/>
          <w:b/>
          <w:bCs/>
          <w:snapToGrid w:val="0"/>
          <w:color w:val="auto"/>
          <w:kern w:val="0"/>
          <w:szCs w:val="24"/>
          <w:highlight w:val="none"/>
        </w:rPr>
      </w:pPr>
      <w:bookmarkStart w:id="334" w:name="_Toc19546"/>
      <w:r>
        <w:rPr>
          <w:rFonts w:hint="eastAsia" w:hAnsi="宋体" w:cs="宋体"/>
          <w:b/>
          <w:bCs/>
          <w:snapToGrid w:val="0"/>
          <w:color w:val="auto"/>
          <w:kern w:val="0"/>
          <w:szCs w:val="24"/>
          <w:highlight w:val="none"/>
        </w:rPr>
        <w:br w:type="page"/>
      </w:r>
    </w:p>
    <w:p w14:paraId="32B105E3">
      <w:pPr>
        <w:pStyle w:val="149"/>
        <w:keepNext/>
        <w:keepLines/>
        <w:snapToGrid w:val="0"/>
        <w:spacing w:line="400" w:lineRule="exact"/>
        <w:jc w:val="both"/>
        <w:rPr>
          <w:rFonts w:ascii="宋体" w:hAnsi="宋体" w:cs="宋体"/>
          <w:b/>
          <w:bCs/>
          <w:snapToGrid w:val="0"/>
          <w:color w:val="auto"/>
          <w:highlight w:val="none"/>
        </w:rPr>
      </w:pPr>
      <w:bookmarkStart w:id="335" w:name="_Toc26946"/>
      <w:r>
        <w:rPr>
          <w:rFonts w:hint="eastAsia" w:ascii="宋体" w:hAnsi="宋体" w:cs="宋体"/>
          <w:b/>
          <w:bCs/>
          <w:snapToGrid w:val="0"/>
          <w:color w:val="auto"/>
          <w:highlight w:val="none"/>
        </w:rPr>
        <w:t>格式十二 其他拟派人员简历表</w:t>
      </w:r>
      <w:bookmarkEnd w:id="334"/>
      <w:bookmarkEnd w:id="335"/>
    </w:p>
    <w:p w14:paraId="6BB2F130">
      <w:pPr>
        <w:adjustRightInd w:val="0"/>
        <w:snapToGrid w:val="0"/>
        <w:spacing w:line="400" w:lineRule="exact"/>
        <w:jc w:val="center"/>
        <w:rPr>
          <w:rFonts w:hAnsi="宋体" w:cs="宋体"/>
          <w:b/>
          <w:bCs/>
          <w:color w:val="auto"/>
          <w:sz w:val="32"/>
          <w:szCs w:val="22"/>
          <w:highlight w:val="none"/>
        </w:rPr>
      </w:pPr>
    </w:p>
    <w:p w14:paraId="3FF56886">
      <w:pPr>
        <w:adjustRightInd w:val="0"/>
        <w:snapToGrid w:val="0"/>
        <w:spacing w:line="400" w:lineRule="exact"/>
        <w:jc w:val="center"/>
        <w:rPr>
          <w:rFonts w:hAnsi="宋体" w:cs="宋体"/>
          <w:b/>
          <w:bCs/>
          <w:color w:val="auto"/>
          <w:sz w:val="32"/>
          <w:szCs w:val="22"/>
          <w:highlight w:val="none"/>
        </w:rPr>
      </w:pPr>
      <w:r>
        <w:rPr>
          <w:rFonts w:hint="eastAsia" w:hAnsi="宋体" w:cs="宋体"/>
          <w:b/>
          <w:bCs/>
          <w:color w:val="auto"/>
          <w:sz w:val="32"/>
          <w:szCs w:val="22"/>
          <w:highlight w:val="none"/>
        </w:rPr>
        <w:t>其他拟派人员简历表（）</w:t>
      </w:r>
    </w:p>
    <w:tbl>
      <w:tblPr>
        <w:tblStyle w:val="32"/>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970"/>
        <w:gridCol w:w="1130"/>
        <w:gridCol w:w="227"/>
        <w:gridCol w:w="1467"/>
        <w:gridCol w:w="688"/>
        <w:gridCol w:w="640"/>
        <w:gridCol w:w="1160"/>
        <w:gridCol w:w="547"/>
        <w:gridCol w:w="1798"/>
      </w:tblGrid>
      <w:tr w14:paraId="7E9C00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3"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234B96E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姓  名</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143FEB68">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4B527A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性  别</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6FC81615">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41E4271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年  龄</w:t>
            </w:r>
          </w:p>
        </w:tc>
        <w:tc>
          <w:tcPr>
            <w:tcW w:w="1798" w:type="dxa"/>
            <w:tcBorders>
              <w:top w:val="single" w:color="auto" w:sz="6" w:space="0"/>
              <w:left w:val="single" w:color="auto" w:sz="6" w:space="0"/>
              <w:bottom w:val="single" w:color="auto" w:sz="6" w:space="0"/>
              <w:right w:val="single" w:color="auto" w:sz="6" w:space="0"/>
            </w:tcBorders>
            <w:vAlign w:val="center"/>
          </w:tcPr>
          <w:p w14:paraId="3281224B">
            <w:pPr>
              <w:wordWrap w:val="0"/>
              <w:adjustRightInd w:val="0"/>
              <w:snapToGrid w:val="0"/>
              <w:spacing w:line="400" w:lineRule="exact"/>
              <w:jc w:val="center"/>
              <w:rPr>
                <w:rFonts w:hAnsi="宋体" w:cs="宋体"/>
                <w:snapToGrid w:val="0"/>
                <w:color w:val="auto"/>
                <w:kern w:val="0"/>
                <w:sz w:val="21"/>
                <w:szCs w:val="21"/>
                <w:highlight w:val="none"/>
              </w:rPr>
            </w:pPr>
          </w:p>
        </w:tc>
      </w:tr>
      <w:tr w14:paraId="762E1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365C7D3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职  称</w:t>
            </w:r>
          </w:p>
        </w:tc>
        <w:tc>
          <w:tcPr>
            <w:tcW w:w="1357" w:type="dxa"/>
            <w:gridSpan w:val="2"/>
            <w:tcBorders>
              <w:top w:val="single" w:color="auto" w:sz="6" w:space="0"/>
              <w:left w:val="single" w:color="auto" w:sz="6" w:space="0"/>
              <w:bottom w:val="single" w:color="auto" w:sz="6" w:space="0"/>
              <w:right w:val="single" w:color="auto" w:sz="6" w:space="0"/>
            </w:tcBorders>
            <w:vAlign w:val="center"/>
          </w:tcPr>
          <w:p w14:paraId="07600EDB">
            <w:pPr>
              <w:wordWrap w:val="0"/>
              <w:adjustRightInd w:val="0"/>
              <w:snapToGrid w:val="0"/>
              <w:spacing w:line="400" w:lineRule="exact"/>
              <w:jc w:val="center"/>
              <w:rPr>
                <w:rFonts w:hAnsi="宋体" w:cs="宋体"/>
                <w:snapToGrid w:val="0"/>
                <w:color w:val="auto"/>
                <w:kern w:val="0"/>
                <w:sz w:val="21"/>
                <w:szCs w:val="21"/>
                <w:highlight w:val="none"/>
              </w:rPr>
            </w:pPr>
          </w:p>
        </w:tc>
        <w:tc>
          <w:tcPr>
            <w:tcW w:w="1467" w:type="dxa"/>
            <w:tcBorders>
              <w:top w:val="single" w:color="auto" w:sz="6" w:space="0"/>
              <w:left w:val="single" w:color="auto" w:sz="6" w:space="0"/>
              <w:bottom w:val="single" w:color="auto" w:sz="6" w:space="0"/>
              <w:right w:val="single" w:color="auto" w:sz="6" w:space="0"/>
            </w:tcBorders>
            <w:vAlign w:val="center"/>
          </w:tcPr>
          <w:p w14:paraId="707B004D">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学  历</w:t>
            </w:r>
          </w:p>
        </w:tc>
        <w:tc>
          <w:tcPr>
            <w:tcW w:w="1328" w:type="dxa"/>
            <w:gridSpan w:val="2"/>
            <w:tcBorders>
              <w:top w:val="single" w:color="auto" w:sz="6" w:space="0"/>
              <w:left w:val="single" w:color="auto" w:sz="6" w:space="0"/>
              <w:bottom w:val="single" w:color="auto" w:sz="6" w:space="0"/>
              <w:right w:val="single" w:color="auto" w:sz="6" w:space="0"/>
            </w:tcBorders>
            <w:vAlign w:val="center"/>
          </w:tcPr>
          <w:p w14:paraId="0B474707">
            <w:pPr>
              <w:wordWrap w:val="0"/>
              <w:adjustRightInd w:val="0"/>
              <w:snapToGrid w:val="0"/>
              <w:spacing w:line="400" w:lineRule="exact"/>
              <w:jc w:val="center"/>
              <w:rPr>
                <w:rFonts w:hAnsi="宋体" w:cs="宋体"/>
                <w:snapToGrid w:val="0"/>
                <w:color w:val="auto"/>
                <w:kern w:val="0"/>
                <w:sz w:val="21"/>
                <w:szCs w:val="21"/>
                <w:highlight w:val="none"/>
              </w:rPr>
            </w:pPr>
          </w:p>
        </w:tc>
        <w:tc>
          <w:tcPr>
            <w:tcW w:w="1707" w:type="dxa"/>
            <w:gridSpan w:val="2"/>
            <w:tcBorders>
              <w:top w:val="single" w:color="auto" w:sz="6" w:space="0"/>
              <w:left w:val="single" w:color="auto" w:sz="6" w:space="0"/>
              <w:bottom w:val="single" w:color="auto" w:sz="6" w:space="0"/>
              <w:right w:val="single" w:color="auto" w:sz="6" w:space="0"/>
            </w:tcBorders>
            <w:vAlign w:val="center"/>
          </w:tcPr>
          <w:p w14:paraId="2614E82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拟在本项目任职</w:t>
            </w:r>
          </w:p>
        </w:tc>
        <w:tc>
          <w:tcPr>
            <w:tcW w:w="1798" w:type="dxa"/>
            <w:tcBorders>
              <w:top w:val="single" w:color="auto" w:sz="6" w:space="0"/>
              <w:left w:val="single" w:color="auto" w:sz="6" w:space="0"/>
              <w:bottom w:val="single" w:color="auto" w:sz="6" w:space="0"/>
              <w:right w:val="single" w:color="auto" w:sz="6" w:space="0"/>
            </w:tcBorders>
            <w:vAlign w:val="center"/>
          </w:tcPr>
          <w:p w14:paraId="6857EDE9">
            <w:pPr>
              <w:wordWrap w:val="0"/>
              <w:adjustRightInd w:val="0"/>
              <w:snapToGrid w:val="0"/>
              <w:spacing w:line="400" w:lineRule="exact"/>
              <w:jc w:val="center"/>
              <w:rPr>
                <w:rFonts w:hAnsi="宋体" w:cs="宋体"/>
                <w:snapToGrid w:val="0"/>
                <w:color w:val="auto"/>
                <w:kern w:val="0"/>
                <w:sz w:val="21"/>
                <w:szCs w:val="21"/>
                <w:highlight w:val="none"/>
              </w:rPr>
            </w:pPr>
          </w:p>
        </w:tc>
      </w:tr>
      <w:tr w14:paraId="5DADE4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619FBE74">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参加工作时间</w:t>
            </w:r>
          </w:p>
        </w:tc>
        <w:tc>
          <w:tcPr>
            <w:tcW w:w="2824" w:type="dxa"/>
            <w:gridSpan w:val="3"/>
            <w:tcBorders>
              <w:top w:val="single" w:color="auto" w:sz="6" w:space="0"/>
              <w:left w:val="single" w:color="auto" w:sz="6" w:space="0"/>
              <w:bottom w:val="single" w:color="auto" w:sz="6" w:space="0"/>
              <w:right w:val="single" w:color="auto" w:sz="6" w:space="0"/>
            </w:tcBorders>
            <w:vAlign w:val="center"/>
          </w:tcPr>
          <w:p w14:paraId="264C9C75">
            <w:pPr>
              <w:wordWrap w:val="0"/>
              <w:adjustRightInd w:val="0"/>
              <w:snapToGrid w:val="0"/>
              <w:spacing w:line="400" w:lineRule="exact"/>
              <w:jc w:val="center"/>
              <w:rPr>
                <w:rFonts w:hAnsi="宋体" w:cs="宋体"/>
                <w:snapToGrid w:val="0"/>
                <w:color w:val="auto"/>
                <w:kern w:val="0"/>
                <w:sz w:val="21"/>
                <w:szCs w:val="21"/>
                <w:highlight w:val="none"/>
              </w:rPr>
            </w:pPr>
          </w:p>
        </w:tc>
        <w:tc>
          <w:tcPr>
            <w:tcW w:w="3035" w:type="dxa"/>
            <w:gridSpan w:val="4"/>
            <w:tcBorders>
              <w:top w:val="single" w:color="auto" w:sz="6" w:space="0"/>
              <w:left w:val="single" w:color="auto" w:sz="6" w:space="0"/>
              <w:bottom w:val="single" w:color="auto" w:sz="6" w:space="0"/>
              <w:right w:val="single" w:color="auto" w:sz="6" w:space="0"/>
            </w:tcBorders>
            <w:vAlign w:val="center"/>
          </w:tcPr>
          <w:p w14:paraId="566C100A">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从事监理工作年限</w:t>
            </w:r>
          </w:p>
        </w:tc>
        <w:tc>
          <w:tcPr>
            <w:tcW w:w="1798" w:type="dxa"/>
            <w:tcBorders>
              <w:top w:val="single" w:color="auto" w:sz="6" w:space="0"/>
              <w:left w:val="single" w:color="auto" w:sz="6" w:space="0"/>
              <w:bottom w:val="single" w:color="auto" w:sz="6" w:space="0"/>
              <w:right w:val="single" w:color="auto" w:sz="6" w:space="0"/>
            </w:tcBorders>
            <w:vAlign w:val="center"/>
          </w:tcPr>
          <w:p w14:paraId="70F18B4F">
            <w:pPr>
              <w:wordWrap w:val="0"/>
              <w:adjustRightInd w:val="0"/>
              <w:snapToGrid w:val="0"/>
              <w:spacing w:line="400" w:lineRule="exact"/>
              <w:jc w:val="center"/>
              <w:rPr>
                <w:rFonts w:hAnsi="宋体" w:cs="宋体"/>
                <w:snapToGrid w:val="0"/>
                <w:color w:val="auto"/>
                <w:kern w:val="0"/>
                <w:sz w:val="21"/>
                <w:szCs w:val="21"/>
                <w:highlight w:val="none"/>
              </w:rPr>
            </w:pPr>
          </w:p>
        </w:tc>
      </w:tr>
      <w:tr w14:paraId="6DA6F4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2" w:hRule="exact"/>
        </w:trPr>
        <w:tc>
          <w:tcPr>
            <w:tcW w:w="1613" w:type="dxa"/>
            <w:gridSpan w:val="2"/>
            <w:tcBorders>
              <w:top w:val="single" w:color="auto" w:sz="6" w:space="0"/>
              <w:left w:val="single" w:color="auto" w:sz="6" w:space="0"/>
              <w:bottom w:val="single" w:color="auto" w:sz="6" w:space="0"/>
              <w:right w:val="single" w:color="auto" w:sz="6" w:space="0"/>
            </w:tcBorders>
            <w:vAlign w:val="center"/>
          </w:tcPr>
          <w:p w14:paraId="50945053">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持证情况</w:t>
            </w:r>
          </w:p>
        </w:tc>
        <w:tc>
          <w:tcPr>
            <w:tcW w:w="7657" w:type="dxa"/>
            <w:gridSpan w:val="8"/>
            <w:tcBorders>
              <w:top w:val="single" w:color="auto" w:sz="6" w:space="0"/>
              <w:left w:val="single" w:color="auto" w:sz="6" w:space="0"/>
              <w:bottom w:val="single" w:color="auto" w:sz="6" w:space="0"/>
              <w:right w:val="single" w:color="auto" w:sz="6" w:space="0"/>
            </w:tcBorders>
            <w:vAlign w:val="center"/>
          </w:tcPr>
          <w:p w14:paraId="62DD7135">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1AEF7FE9">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r>
              <w:rPr>
                <w:rFonts w:hint="eastAsia" w:hAnsi="宋体" w:cs="宋体"/>
                <w:snapToGrid w:val="0"/>
                <w:color w:val="auto"/>
                <w:kern w:val="0"/>
                <w:sz w:val="21"/>
                <w:szCs w:val="28"/>
                <w:highlight w:val="none"/>
              </w:rPr>
              <w:t>．</w:t>
            </w:r>
            <w:r>
              <w:rPr>
                <w:rFonts w:hint="eastAsia" w:hAnsi="宋体" w:cs="宋体"/>
                <w:snapToGrid w:val="0"/>
                <w:color w:val="auto"/>
                <w:kern w:val="0"/>
                <w:sz w:val="21"/>
                <w:szCs w:val="21"/>
                <w:highlight w:val="none"/>
              </w:rPr>
              <w:t>名称：                               证书号：</w:t>
            </w:r>
          </w:p>
          <w:p w14:paraId="6A8FC6B9">
            <w:pPr>
              <w:wordWrap w:val="0"/>
              <w:adjustRightInd w:val="0"/>
              <w:snapToGrid w:val="0"/>
              <w:spacing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r>
              <w:rPr>
                <w:rFonts w:hint="eastAsia" w:hAnsi="宋体" w:cs="宋体"/>
                <w:snapToGrid w:val="0"/>
                <w:color w:val="auto"/>
                <w:kern w:val="0"/>
                <w:sz w:val="21"/>
                <w:szCs w:val="28"/>
                <w:highlight w:val="none"/>
              </w:rPr>
              <w:t>．……</w:t>
            </w:r>
          </w:p>
        </w:tc>
      </w:tr>
      <w:tr w14:paraId="3A381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10"/>
            <w:tcBorders>
              <w:top w:val="single" w:color="auto" w:sz="6" w:space="0"/>
              <w:left w:val="single" w:color="auto" w:sz="6" w:space="0"/>
              <w:bottom w:val="single" w:color="auto" w:sz="6" w:space="0"/>
              <w:right w:val="single" w:color="auto" w:sz="6" w:space="0"/>
            </w:tcBorders>
            <w:vAlign w:val="center"/>
          </w:tcPr>
          <w:p w14:paraId="1E7D951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主要工作经历</w:t>
            </w:r>
          </w:p>
        </w:tc>
      </w:tr>
      <w:tr w14:paraId="31B26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1CF8EA0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序号</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0EB24DDF">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项目名称</w:t>
            </w: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3715346">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委托人</w:t>
            </w: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6E9FFC7">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担任职务</w:t>
            </w: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22935CFC">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起止时间</w:t>
            </w:r>
          </w:p>
        </w:tc>
      </w:tr>
      <w:tr w14:paraId="1CD13B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 w:hRule="exact"/>
        </w:trPr>
        <w:tc>
          <w:tcPr>
            <w:tcW w:w="643" w:type="dxa"/>
            <w:tcBorders>
              <w:top w:val="single" w:color="auto" w:sz="6" w:space="0"/>
              <w:left w:val="single" w:color="auto" w:sz="6" w:space="0"/>
              <w:bottom w:val="single" w:color="auto" w:sz="6" w:space="0"/>
              <w:right w:val="single" w:color="auto" w:sz="4" w:space="0"/>
            </w:tcBorders>
            <w:vAlign w:val="center"/>
          </w:tcPr>
          <w:p w14:paraId="2B8E3888">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630B57CD">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513161BA">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60BB2319">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69301531">
            <w:pPr>
              <w:wordWrap w:val="0"/>
              <w:adjustRightInd w:val="0"/>
              <w:snapToGrid w:val="0"/>
              <w:spacing w:line="400" w:lineRule="exact"/>
              <w:jc w:val="center"/>
              <w:rPr>
                <w:rFonts w:hAnsi="宋体" w:cs="宋体"/>
                <w:snapToGrid w:val="0"/>
                <w:color w:val="auto"/>
                <w:kern w:val="0"/>
                <w:sz w:val="21"/>
                <w:szCs w:val="21"/>
                <w:highlight w:val="none"/>
              </w:rPr>
            </w:pPr>
          </w:p>
        </w:tc>
      </w:tr>
      <w:tr w14:paraId="32683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4FE547E1">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2</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4F3C8C0F">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1D20D901">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08668C20">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452493A2">
            <w:pPr>
              <w:wordWrap w:val="0"/>
              <w:adjustRightInd w:val="0"/>
              <w:snapToGrid w:val="0"/>
              <w:spacing w:line="400" w:lineRule="exact"/>
              <w:jc w:val="center"/>
              <w:rPr>
                <w:rFonts w:hAnsi="宋体" w:cs="宋体"/>
                <w:snapToGrid w:val="0"/>
                <w:color w:val="auto"/>
                <w:kern w:val="0"/>
                <w:sz w:val="21"/>
                <w:szCs w:val="21"/>
                <w:highlight w:val="none"/>
              </w:rPr>
            </w:pPr>
          </w:p>
        </w:tc>
      </w:tr>
      <w:tr w14:paraId="6F133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204F3582">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D118068">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4DFEFB81">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1A9DB9BB">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1091CF41">
            <w:pPr>
              <w:wordWrap w:val="0"/>
              <w:adjustRightInd w:val="0"/>
              <w:snapToGrid w:val="0"/>
              <w:spacing w:line="400" w:lineRule="exact"/>
              <w:jc w:val="center"/>
              <w:rPr>
                <w:rFonts w:hAnsi="宋体" w:cs="宋体"/>
                <w:snapToGrid w:val="0"/>
                <w:color w:val="auto"/>
                <w:kern w:val="0"/>
                <w:sz w:val="21"/>
                <w:szCs w:val="21"/>
                <w:highlight w:val="none"/>
              </w:rPr>
            </w:pPr>
          </w:p>
        </w:tc>
      </w:tr>
      <w:tr w14:paraId="01F075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643" w:type="dxa"/>
            <w:tcBorders>
              <w:top w:val="single" w:color="auto" w:sz="6" w:space="0"/>
              <w:left w:val="single" w:color="auto" w:sz="6" w:space="0"/>
              <w:bottom w:val="single" w:color="auto" w:sz="6" w:space="0"/>
              <w:right w:val="single" w:color="auto" w:sz="4" w:space="0"/>
            </w:tcBorders>
            <w:vAlign w:val="center"/>
          </w:tcPr>
          <w:p w14:paraId="37D934DB">
            <w:pPr>
              <w:wordWrap w:val="0"/>
              <w:adjustRightInd w:val="0"/>
              <w:snapToGrid w:val="0"/>
              <w:spacing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p>
        </w:tc>
        <w:tc>
          <w:tcPr>
            <w:tcW w:w="2100" w:type="dxa"/>
            <w:gridSpan w:val="2"/>
            <w:tcBorders>
              <w:top w:val="single" w:color="auto" w:sz="6" w:space="0"/>
              <w:left w:val="single" w:color="auto" w:sz="4" w:space="0"/>
              <w:bottom w:val="single" w:color="auto" w:sz="6" w:space="0"/>
              <w:right w:val="single" w:color="auto" w:sz="6" w:space="0"/>
            </w:tcBorders>
            <w:vAlign w:val="center"/>
          </w:tcPr>
          <w:p w14:paraId="14C7A2D0">
            <w:pPr>
              <w:wordWrap w:val="0"/>
              <w:adjustRightInd w:val="0"/>
              <w:snapToGrid w:val="0"/>
              <w:spacing w:line="400" w:lineRule="exact"/>
              <w:jc w:val="center"/>
              <w:rPr>
                <w:rFonts w:hAnsi="宋体" w:cs="宋体"/>
                <w:snapToGrid w:val="0"/>
                <w:color w:val="auto"/>
                <w:kern w:val="0"/>
                <w:sz w:val="21"/>
                <w:szCs w:val="21"/>
                <w:highlight w:val="none"/>
              </w:rPr>
            </w:pPr>
          </w:p>
        </w:tc>
        <w:tc>
          <w:tcPr>
            <w:tcW w:w="2382" w:type="dxa"/>
            <w:gridSpan w:val="3"/>
            <w:tcBorders>
              <w:top w:val="single" w:color="auto" w:sz="6" w:space="0"/>
              <w:left w:val="single" w:color="auto" w:sz="6" w:space="0"/>
              <w:bottom w:val="single" w:color="auto" w:sz="6" w:space="0"/>
              <w:right w:val="single" w:color="auto" w:sz="6" w:space="0"/>
            </w:tcBorders>
            <w:vAlign w:val="center"/>
          </w:tcPr>
          <w:p w14:paraId="21F0F8E6">
            <w:pPr>
              <w:wordWrap w:val="0"/>
              <w:adjustRightInd w:val="0"/>
              <w:snapToGrid w:val="0"/>
              <w:spacing w:line="400" w:lineRule="exact"/>
              <w:jc w:val="center"/>
              <w:rPr>
                <w:rFonts w:hAnsi="宋体" w:cs="宋体"/>
                <w:snapToGrid w:val="0"/>
                <w:color w:val="auto"/>
                <w:kern w:val="0"/>
                <w:sz w:val="21"/>
                <w:szCs w:val="21"/>
                <w:highlight w:val="none"/>
              </w:rPr>
            </w:pPr>
          </w:p>
        </w:tc>
        <w:tc>
          <w:tcPr>
            <w:tcW w:w="1800" w:type="dxa"/>
            <w:gridSpan w:val="2"/>
            <w:tcBorders>
              <w:top w:val="single" w:color="auto" w:sz="6" w:space="0"/>
              <w:left w:val="single" w:color="auto" w:sz="6" w:space="0"/>
              <w:bottom w:val="single" w:color="auto" w:sz="6" w:space="0"/>
              <w:right w:val="single" w:color="auto" w:sz="6" w:space="0"/>
            </w:tcBorders>
            <w:vAlign w:val="center"/>
          </w:tcPr>
          <w:p w14:paraId="31ABB1E2">
            <w:pPr>
              <w:wordWrap w:val="0"/>
              <w:adjustRightInd w:val="0"/>
              <w:snapToGrid w:val="0"/>
              <w:spacing w:line="400" w:lineRule="exact"/>
              <w:jc w:val="center"/>
              <w:rPr>
                <w:rFonts w:hAnsi="宋体" w:cs="宋体"/>
                <w:snapToGrid w:val="0"/>
                <w:color w:val="auto"/>
                <w:kern w:val="0"/>
                <w:sz w:val="21"/>
                <w:szCs w:val="21"/>
                <w:highlight w:val="none"/>
              </w:rPr>
            </w:pPr>
          </w:p>
        </w:tc>
        <w:tc>
          <w:tcPr>
            <w:tcW w:w="2345" w:type="dxa"/>
            <w:gridSpan w:val="2"/>
            <w:tcBorders>
              <w:top w:val="single" w:color="auto" w:sz="6" w:space="0"/>
              <w:left w:val="single" w:color="auto" w:sz="6" w:space="0"/>
              <w:bottom w:val="single" w:color="auto" w:sz="6" w:space="0"/>
              <w:right w:val="single" w:color="auto" w:sz="6" w:space="0"/>
            </w:tcBorders>
            <w:vAlign w:val="center"/>
          </w:tcPr>
          <w:p w14:paraId="7266FC4C">
            <w:pPr>
              <w:wordWrap w:val="0"/>
              <w:adjustRightInd w:val="0"/>
              <w:snapToGrid w:val="0"/>
              <w:spacing w:line="400" w:lineRule="exact"/>
              <w:jc w:val="center"/>
              <w:rPr>
                <w:rFonts w:hAnsi="宋体" w:cs="宋体"/>
                <w:snapToGrid w:val="0"/>
                <w:color w:val="auto"/>
                <w:kern w:val="0"/>
                <w:sz w:val="21"/>
                <w:szCs w:val="21"/>
                <w:highlight w:val="none"/>
              </w:rPr>
            </w:pPr>
          </w:p>
        </w:tc>
      </w:tr>
    </w:tbl>
    <w:p w14:paraId="77C02387">
      <w:pPr>
        <w:pStyle w:val="74"/>
        <w:wordWrap w:val="0"/>
        <w:adjustRightInd w:val="0"/>
        <w:snapToGrid w:val="0"/>
        <w:spacing w:line="400" w:lineRule="exact"/>
        <w:rPr>
          <w:rFonts w:hAnsi="宋体" w:cs="宋体"/>
          <w:snapToGrid w:val="0"/>
          <w:color w:val="auto"/>
          <w:kern w:val="0"/>
          <w:highlight w:val="none"/>
        </w:rPr>
      </w:pPr>
    </w:p>
    <w:p w14:paraId="51FC9EC7">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说明：</w:t>
      </w:r>
    </w:p>
    <w:p w14:paraId="2C895D48">
      <w:pPr>
        <w:wordWrap w:val="0"/>
        <w:adjustRightInd w:val="0"/>
        <w:snapToGrid w:val="0"/>
        <w:spacing w:line="400" w:lineRule="exact"/>
        <w:ind w:firstLine="420"/>
        <w:rPr>
          <w:rFonts w:hAnsi="宋体" w:cs="宋体"/>
          <w:snapToGrid w:val="0"/>
          <w:color w:val="auto"/>
          <w:kern w:val="0"/>
          <w:sz w:val="21"/>
          <w:szCs w:val="21"/>
          <w:highlight w:val="none"/>
        </w:rPr>
      </w:pPr>
      <w:r>
        <w:rPr>
          <w:rFonts w:hint="eastAsia" w:hAnsi="宋体" w:cs="宋体"/>
          <w:snapToGrid w:val="0"/>
          <w:color w:val="auto"/>
          <w:kern w:val="0"/>
          <w:sz w:val="21"/>
          <w:szCs w:val="28"/>
          <w:highlight w:val="none"/>
        </w:rPr>
        <w:t>1．“其他拟派人员”指项目监理机构中除总监理工程师以外的拟派人员，包括专业监理工程师、监理员、相关服务人员等。以上拟派人员一人一表，</w:t>
      </w:r>
      <w:r>
        <w:rPr>
          <w:rFonts w:hint="eastAsia" w:hAnsi="宋体" w:cs="宋体"/>
          <w:snapToGrid w:val="0"/>
          <w:color w:val="auto"/>
          <w:kern w:val="0"/>
          <w:sz w:val="21"/>
          <w:szCs w:val="21"/>
          <w:highlight w:val="none"/>
        </w:rPr>
        <w:t>并标明序号。</w:t>
      </w:r>
    </w:p>
    <w:p w14:paraId="784C9BD9">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2．每份简历表后应附该拟派人员以下资料：</w:t>
      </w:r>
    </w:p>
    <w:p w14:paraId="1DCEBAA8">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（1）身份证彩色扫描件；</w:t>
      </w:r>
    </w:p>
    <w:p w14:paraId="15883648">
      <w:pPr>
        <w:wordWrap w:val="0"/>
        <w:adjustRightInd w:val="0"/>
        <w:snapToGrid w:val="0"/>
        <w:spacing w:line="400" w:lineRule="exact"/>
        <w:ind w:firstLine="420"/>
        <w:rPr>
          <w:rFonts w:hint="eastAsia" w:hAnsi="宋体" w:eastAsia="宋体" w:cs="宋体"/>
          <w:snapToGrid w:val="0"/>
          <w:color w:val="auto"/>
          <w:kern w:val="0"/>
          <w:sz w:val="21"/>
          <w:szCs w:val="28"/>
          <w:highlight w:val="none"/>
          <w:lang w:val="en-US" w:eastAsia="zh-CN"/>
        </w:rPr>
      </w:pPr>
      <w:r>
        <w:rPr>
          <w:rFonts w:hint="eastAsia" w:hAnsi="宋体" w:cs="宋体"/>
          <w:snapToGrid w:val="0"/>
          <w:color w:val="auto"/>
          <w:kern w:val="0"/>
          <w:sz w:val="21"/>
          <w:szCs w:val="28"/>
          <w:highlight w:val="none"/>
        </w:rPr>
        <w:t>（2）相关证书彩色扫描件</w:t>
      </w:r>
      <w:r>
        <w:rPr>
          <w:rFonts w:hint="eastAsia" w:hAnsi="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须彩色扫描至变更注册栏</w:t>
      </w:r>
      <w:r>
        <w:rPr>
          <w:rFonts w:hint="eastAsia" w:hAnsi="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或</w:t>
      </w:r>
      <w:r>
        <w:rPr>
          <w:rFonts w:hint="eastAsia" w:ascii="宋体" w:hAnsi="宋体" w:eastAsia="宋体" w:cs="宋体"/>
          <w:snapToGrid w:val="0"/>
          <w:color w:val="auto"/>
          <w:kern w:val="0"/>
          <w:sz w:val="21"/>
          <w:szCs w:val="28"/>
          <w:highlight w:val="none"/>
        </w:rPr>
        <w:t>有效期内的有效电子证书</w:t>
      </w:r>
      <w:r>
        <w:rPr>
          <w:rFonts w:hint="eastAsia" w:ascii="宋体" w:hAnsi="宋体" w:eastAsia="宋体" w:cs="宋体"/>
          <w:snapToGrid w:val="0"/>
          <w:color w:val="auto"/>
          <w:kern w:val="0"/>
          <w:sz w:val="21"/>
          <w:szCs w:val="28"/>
          <w:highlight w:val="none"/>
          <w:lang w:eastAsia="zh-CN"/>
        </w:rPr>
        <w:t>，</w:t>
      </w:r>
      <w:r>
        <w:rPr>
          <w:rFonts w:hint="eastAsia" w:hAnsi="宋体" w:cs="宋体"/>
          <w:snapToGrid w:val="0"/>
          <w:color w:val="auto"/>
          <w:kern w:val="0"/>
          <w:sz w:val="21"/>
          <w:szCs w:val="28"/>
          <w:highlight w:val="none"/>
        </w:rPr>
        <w:t>具体要求详见招标文件第一章第三节第</w:t>
      </w:r>
      <w:r>
        <w:rPr>
          <w:rFonts w:hint="eastAsia" w:hAnsi="宋体" w:cs="宋体"/>
          <w:b/>
          <w:bCs/>
          <w:snapToGrid w:val="0"/>
          <w:color w:val="auto"/>
          <w:kern w:val="0"/>
          <w:sz w:val="21"/>
          <w:szCs w:val="28"/>
          <w:highlight w:val="none"/>
        </w:rPr>
        <w:t>15.5</w:t>
      </w:r>
      <w:r>
        <w:rPr>
          <w:rFonts w:hint="eastAsia" w:hAnsi="宋体" w:cs="宋体"/>
          <w:snapToGrid w:val="0"/>
          <w:color w:val="auto"/>
          <w:kern w:val="0"/>
          <w:sz w:val="21"/>
          <w:szCs w:val="28"/>
          <w:highlight w:val="none"/>
        </w:rPr>
        <w:t>条表</w:t>
      </w:r>
      <w:r>
        <w:rPr>
          <w:rFonts w:hint="eastAsia" w:hAnsi="宋体" w:cs="宋体"/>
          <w:b/>
          <w:bCs/>
          <w:snapToGrid w:val="0"/>
          <w:color w:val="auto"/>
          <w:kern w:val="0"/>
          <w:sz w:val="21"/>
          <w:szCs w:val="28"/>
          <w:highlight w:val="none"/>
        </w:rPr>
        <w:t>2</w:t>
      </w:r>
      <w:r>
        <w:rPr>
          <w:rFonts w:hint="eastAsia" w:hAnsi="宋体" w:cs="宋体"/>
          <w:snapToGrid w:val="0"/>
          <w:color w:val="auto"/>
          <w:kern w:val="0"/>
          <w:sz w:val="21"/>
          <w:szCs w:val="28"/>
          <w:highlight w:val="none"/>
        </w:rPr>
        <w:t>《项目监理机构其他人员需求表》“持证要求”栏目</w:t>
      </w:r>
      <w:r>
        <w:rPr>
          <w:rFonts w:hint="eastAsia" w:hAnsi="宋体" w:cs="宋体"/>
          <w:snapToGrid w:val="0"/>
          <w:color w:val="auto"/>
          <w:kern w:val="0"/>
          <w:sz w:val="21"/>
          <w:szCs w:val="28"/>
          <w:highlight w:val="none"/>
          <w:lang w:val="en-US" w:eastAsia="zh-CN"/>
        </w:rPr>
        <w:t>；</w:t>
      </w:r>
    </w:p>
    <w:p w14:paraId="1BFF2D19">
      <w:pPr>
        <w:wordWrap w:val="0"/>
        <w:adjustRightInd w:val="0"/>
        <w:snapToGrid w:val="0"/>
        <w:spacing w:line="400" w:lineRule="exact"/>
        <w:ind w:firstLine="420"/>
        <w:rPr>
          <w:rFonts w:hAnsi="宋体" w:cs="宋体"/>
          <w:snapToGrid w:val="0"/>
          <w:color w:val="auto"/>
          <w:kern w:val="0"/>
          <w:sz w:val="21"/>
          <w:szCs w:val="28"/>
          <w:highlight w:val="none"/>
        </w:rPr>
      </w:pPr>
      <w:r>
        <w:rPr>
          <w:rFonts w:hint="eastAsia" w:hAnsi="宋体" w:cs="宋体"/>
          <w:snapToGrid w:val="0"/>
          <w:color w:val="auto"/>
          <w:kern w:val="0"/>
          <w:sz w:val="21"/>
          <w:szCs w:val="28"/>
          <w:highlight w:val="none"/>
        </w:rPr>
        <w:t>（3）</w:t>
      </w:r>
      <w:r>
        <w:rPr>
          <w:rFonts w:hint="eastAsia" w:ascii="Times New Roman"/>
          <w:snapToGrid w:val="0"/>
          <w:color w:val="auto"/>
          <w:kern w:val="0"/>
          <w:sz w:val="21"/>
          <w:szCs w:val="28"/>
          <w:highlight w:val="none"/>
        </w:rPr>
        <w:t>在本单位缴纳社保的证明</w:t>
      </w:r>
      <w:r>
        <w:rPr>
          <w:rFonts w:hint="eastAsia" w:ascii="宋体" w:hAnsi="宋体" w:eastAsia="宋体" w:cs="宋体"/>
          <w:caps w:val="0"/>
          <w:smallCaps w:val="0"/>
          <w:snapToGrid w:val="0"/>
          <w:color w:val="auto"/>
          <w:spacing w:val="0"/>
          <w:kern w:val="0"/>
          <w:sz w:val="21"/>
          <w:szCs w:val="28"/>
          <w:highlight w:val="none"/>
          <w:lang w:val="en-US" w:eastAsia="zh-CN"/>
        </w:rPr>
        <w:t>（至少一个月，其中必须有202</w:t>
      </w:r>
      <w:r>
        <w:rPr>
          <w:rFonts w:hint="eastAsia" w:hAnsi="宋体" w:cs="宋体"/>
          <w:caps w:val="0"/>
          <w:smallCaps w:val="0"/>
          <w:snapToGrid w:val="0"/>
          <w:color w:val="auto"/>
          <w:spacing w:val="0"/>
          <w:kern w:val="0"/>
          <w:sz w:val="21"/>
          <w:szCs w:val="28"/>
          <w:highlight w:val="none"/>
          <w:lang w:val="en-US" w:eastAsia="zh-CN"/>
        </w:rPr>
        <w:t>6</w:t>
      </w:r>
      <w:r>
        <w:rPr>
          <w:rFonts w:hint="eastAsia" w:ascii="宋体" w:hAnsi="宋体" w:eastAsia="宋体" w:cs="宋体"/>
          <w:caps w:val="0"/>
          <w:smallCaps w:val="0"/>
          <w:snapToGrid w:val="0"/>
          <w:color w:val="auto"/>
          <w:spacing w:val="0"/>
          <w:kern w:val="0"/>
          <w:sz w:val="21"/>
          <w:szCs w:val="28"/>
          <w:highlight w:val="none"/>
          <w:lang w:val="en-US" w:eastAsia="zh-CN"/>
        </w:rPr>
        <w:t>年</w:t>
      </w:r>
      <w:r>
        <w:rPr>
          <w:rFonts w:hint="eastAsia" w:hAnsi="宋体" w:cs="宋体"/>
          <w:caps w:val="0"/>
          <w:smallCaps w:val="0"/>
          <w:snapToGrid w:val="0"/>
          <w:color w:val="auto"/>
          <w:spacing w:val="0"/>
          <w:kern w:val="0"/>
          <w:sz w:val="21"/>
          <w:szCs w:val="28"/>
          <w:highlight w:val="none"/>
          <w:lang w:val="en-US" w:eastAsia="zh-CN"/>
        </w:rPr>
        <w:t>8</w:t>
      </w:r>
      <w:r>
        <w:rPr>
          <w:rFonts w:hint="eastAsia" w:ascii="宋体" w:hAnsi="宋体" w:eastAsia="宋体" w:cs="宋体"/>
          <w:caps w:val="0"/>
          <w:smallCaps w:val="0"/>
          <w:snapToGrid w:val="0"/>
          <w:color w:val="auto"/>
          <w:spacing w:val="0"/>
          <w:kern w:val="0"/>
          <w:sz w:val="21"/>
          <w:szCs w:val="28"/>
          <w:highlight w:val="none"/>
          <w:lang w:val="en-US" w:eastAsia="zh-CN"/>
        </w:rPr>
        <w:t>月）</w:t>
      </w:r>
      <w:r>
        <w:rPr>
          <w:rFonts w:hint="eastAsia" w:ascii="Times New Roman"/>
          <w:snapToGrid w:val="0"/>
          <w:color w:val="auto"/>
          <w:kern w:val="0"/>
          <w:sz w:val="21"/>
          <w:szCs w:val="28"/>
          <w:highlight w:val="none"/>
        </w:rPr>
        <w:t>彩色扫描件。</w:t>
      </w:r>
    </w:p>
    <w:p w14:paraId="14218DA9">
      <w:pPr>
        <w:pStyle w:val="11"/>
        <w:snapToGrid w:val="0"/>
        <w:spacing w:line="400" w:lineRule="exact"/>
        <w:ind w:firstLine="420" w:firstLineChars="200"/>
        <w:rPr>
          <w:rFonts w:hAnsi="宋体" w:cs="宋体"/>
          <w:snapToGrid w:val="0"/>
          <w:color w:val="auto"/>
          <w:sz w:val="21"/>
          <w:highlight w:val="none"/>
        </w:rPr>
      </w:pPr>
      <w:r>
        <w:rPr>
          <w:rFonts w:hint="eastAsia" w:hAnsi="宋体" w:cs="宋体"/>
          <w:snapToGrid w:val="0"/>
          <w:color w:val="auto"/>
          <w:sz w:val="21"/>
          <w:highlight w:val="none"/>
        </w:rPr>
        <w:t>3.“进粤企业和人员诚信信息登记平台”个人信息情况截图。（适用于省外建筑企业）</w:t>
      </w:r>
    </w:p>
    <w:p w14:paraId="16DC49F0">
      <w:pPr>
        <w:rPr>
          <w:color w:val="auto"/>
          <w:highlight w:val="none"/>
        </w:rPr>
      </w:pPr>
      <w:bookmarkStart w:id="336" w:name="_Toc25312"/>
      <w:bookmarkStart w:id="337" w:name="_Toc593"/>
    </w:p>
    <w:p w14:paraId="4F5701AB">
      <w:pPr>
        <w:rPr>
          <w:color w:val="auto"/>
          <w:highlight w:val="none"/>
        </w:rPr>
      </w:pPr>
    </w:p>
    <w:p w14:paraId="0B0CC3A8">
      <w:pPr>
        <w:rPr>
          <w:color w:val="auto"/>
          <w:highlight w:val="none"/>
        </w:rPr>
      </w:pPr>
    </w:p>
    <w:p w14:paraId="0887FC9D">
      <w:pPr>
        <w:rPr>
          <w:color w:val="auto"/>
          <w:highlight w:val="none"/>
        </w:rPr>
      </w:pPr>
    </w:p>
    <w:p w14:paraId="746FE86D">
      <w:pPr>
        <w:rPr>
          <w:color w:val="auto"/>
          <w:highlight w:val="none"/>
        </w:rPr>
      </w:pPr>
    </w:p>
    <w:p w14:paraId="4A3461BE">
      <w:pPr>
        <w:bidi w:val="0"/>
        <w:rPr>
          <w:color w:val="auto"/>
          <w:highlight w:val="none"/>
        </w:rPr>
      </w:pPr>
    </w:p>
    <w:p w14:paraId="20F0C669">
      <w:pPr>
        <w:pStyle w:val="5"/>
        <w:bidi w:val="0"/>
        <w:rPr>
          <w:rFonts w:hint="default"/>
          <w:b/>
          <w:bCs/>
          <w:color w:val="auto"/>
          <w:highlight w:val="none"/>
          <w:lang w:val="en-US" w:eastAsia="zh-CN"/>
        </w:rPr>
      </w:pPr>
      <w:bookmarkStart w:id="338" w:name="_Toc9763"/>
      <w:r>
        <w:rPr>
          <w:rFonts w:hint="eastAsia"/>
          <w:b/>
          <w:bCs/>
          <w:color w:val="auto"/>
          <w:highlight w:val="none"/>
          <w:lang w:val="en-US" w:eastAsia="zh-CN"/>
        </w:rPr>
        <w:t>格式十三 原件一览表</w:t>
      </w:r>
      <w:bookmarkEnd w:id="338"/>
      <w:r>
        <w:rPr>
          <w:rFonts w:hint="eastAsia"/>
          <w:b/>
          <w:bCs/>
          <w:color w:val="auto"/>
          <w:highlight w:val="none"/>
          <w:lang w:val="en-US" w:eastAsia="zh-CN"/>
        </w:rPr>
        <w:t>(如需）</w:t>
      </w:r>
    </w:p>
    <w:tbl>
      <w:tblPr>
        <w:tblStyle w:val="32"/>
        <w:tblpPr w:leftFromText="180" w:rightFromText="180" w:vertAnchor="text" w:horzAnchor="page" w:tblpX="1664" w:tblpY="4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 w:type="dxa"/>
          <w:bottom w:w="0" w:type="dxa"/>
          <w:right w:w="10" w:type="dxa"/>
        </w:tblCellMar>
      </w:tblPr>
      <w:tblGrid>
        <w:gridCol w:w="701"/>
        <w:gridCol w:w="1506"/>
        <w:gridCol w:w="601"/>
        <w:gridCol w:w="1393"/>
        <w:gridCol w:w="1625"/>
        <w:gridCol w:w="754"/>
        <w:gridCol w:w="958"/>
        <w:gridCol w:w="1570"/>
      </w:tblGrid>
      <w:tr w14:paraId="1D5F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463" w:hRule="atLeast"/>
        </w:trPr>
        <w:tc>
          <w:tcPr>
            <w:tcW w:w="9108" w:type="dxa"/>
            <w:gridSpan w:val="8"/>
            <w:shd w:val="clear" w:color="auto" w:fill="auto"/>
            <w:noWrap w:val="0"/>
            <w:tcMar>
              <w:left w:w="108" w:type="dxa"/>
              <w:right w:w="108" w:type="dxa"/>
            </w:tcMar>
            <w:vAlign w:val="center"/>
          </w:tcPr>
          <w:p w14:paraId="40EA71A6">
            <w:pPr>
              <w:jc w:val="center"/>
              <w:rPr>
                <w:rFonts w:hAnsi="宋体" w:cs="宋体"/>
                <w:color w:val="auto"/>
                <w:highlight w:val="none"/>
              </w:rPr>
            </w:pPr>
            <w:r>
              <w:rPr>
                <w:rFonts w:hAnsi="宋体" w:cs="宋体"/>
                <w:b/>
                <w:color w:val="auto"/>
                <w:highlight w:val="none"/>
              </w:rPr>
              <w:t>原件一览表</w:t>
            </w:r>
          </w:p>
        </w:tc>
      </w:tr>
      <w:tr w14:paraId="03FA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3EC5AAEE">
            <w:pPr>
              <w:jc w:val="center"/>
              <w:rPr>
                <w:rFonts w:hAnsi="宋体" w:cs="宋体"/>
                <w:color w:val="auto"/>
                <w:sz w:val="24"/>
                <w:szCs w:val="24"/>
                <w:highlight w:val="none"/>
              </w:rPr>
            </w:pPr>
            <w:r>
              <w:rPr>
                <w:rFonts w:hAnsi="宋体" w:cs="宋体"/>
                <w:color w:val="auto"/>
                <w:sz w:val="24"/>
                <w:szCs w:val="24"/>
                <w:highlight w:val="none"/>
              </w:rPr>
              <w:t>工程名称</w:t>
            </w:r>
          </w:p>
        </w:tc>
        <w:tc>
          <w:tcPr>
            <w:tcW w:w="6300" w:type="dxa"/>
            <w:gridSpan w:val="5"/>
            <w:shd w:val="clear" w:color="auto" w:fill="auto"/>
            <w:noWrap w:val="0"/>
            <w:tcMar>
              <w:left w:w="108" w:type="dxa"/>
              <w:right w:w="108" w:type="dxa"/>
            </w:tcMar>
            <w:vAlign w:val="center"/>
          </w:tcPr>
          <w:p w14:paraId="074CA825">
            <w:pPr>
              <w:jc w:val="center"/>
              <w:rPr>
                <w:rFonts w:hAnsi="宋体" w:cs="宋体"/>
                <w:color w:val="auto"/>
                <w:sz w:val="24"/>
                <w:szCs w:val="24"/>
                <w:highlight w:val="none"/>
              </w:rPr>
            </w:pPr>
            <w:r>
              <w:rPr>
                <w:rFonts w:hAnsi="宋体" w:cs="宋体"/>
                <w:color w:val="auto"/>
                <w:sz w:val="24"/>
                <w:szCs w:val="24"/>
                <w:highlight w:val="none"/>
              </w:rPr>
              <w:t xml:space="preserve"> </w:t>
            </w:r>
          </w:p>
        </w:tc>
      </w:tr>
      <w:tr w14:paraId="319D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71DB6D96">
            <w:pPr>
              <w:jc w:val="center"/>
              <w:rPr>
                <w:rFonts w:hAnsi="宋体" w:cs="宋体"/>
                <w:color w:val="auto"/>
                <w:sz w:val="24"/>
                <w:szCs w:val="24"/>
                <w:highlight w:val="none"/>
              </w:rPr>
            </w:pPr>
            <w:r>
              <w:rPr>
                <w:rFonts w:hAnsi="宋体" w:cs="宋体"/>
                <w:color w:val="auto"/>
                <w:sz w:val="24"/>
                <w:szCs w:val="24"/>
                <w:highlight w:val="none"/>
              </w:rPr>
              <w:t>投标人名称                (请务必填写单位全称)</w:t>
            </w:r>
          </w:p>
        </w:tc>
        <w:tc>
          <w:tcPr>
            <w:tcW w:w="6300" w:type="dxa"/>
            <w:gridSpan w:val="5"/>
            <w:shd w:val="clear" w:color="auto" w:fill="auto"/>
            <w:noWrap w:val="0"/>
            <w:tcMar>
              <w:left w:w="108" w:type="dxa"/>
              <w:right w:w="108" w:type="dxa"/>
            </w:tcMar>
            <w:vAlign w:val="center"/>
          </w:tcPr>
          <w:p w14:paraId="1613ACB8">
            <w:pPr>
              <w:jc w:val="center"/>
              <w:rPr>
                <w:rFonts w:hAnsi="宋体" w:cs="宋体"/>
                <w:color w:val="auto"/>
                <w:sz w:val="24"/>
                <w:szCs w:val="24"/>
                <w:highlight w:val="none"/>
              </w:rPr>
            </w:pPr>
            <w:r>
              <w:rPr>
                <w:rFonts w:hAnsi="宋体" w:cs="宋体"/>
                <w:color w:val="auto"/>
                <w:sz w:val="24"/>
                <w:szCs w:val="24"/>
                <w:highlight w:val="none"/>
              </w:rPr>
              <w:t>　</w:t>
            </w:r>
          </w:p>
        </w:tc>
      </w:tr>
      <w:tr w14:paraId="09FD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808" w:type="dxa"/>
            <w:gridSpan w:val="3"/>
            <w:shd w:val="clear" w:color="auto" w:fill="auto"/>
            <w:noWrap w:val="0"/>
            <w:tcMar>
              <w:left w:w="108" w:type="dxa"/>
              <w:right w:w="108" w:type="dxa"/>
            </w:tcMar>
            <w:vAlign w:val="center"/>
          </w:tcPr>
          <w:p w14:paraId="7C0A9E0C">
            <w:pPr>
              <w:jc w:val="center"/>
              <w:rPr>
                <w:rFonts w:hint="eastAsia" w:hAnsi="宋体" w:cs="宋体"/>
                <w:color w:val="auto"/>
                <w:sz w:val="24"/>
                <w:szCs w:val="24"/>
                <w:highlight w:val="none"/>
              </w:rPr>
            </w:pPr>
            <w:r>
              <w:rPr>
                <w:rFonts w:hAnsi="宋体" w:cs="宋体"/>
                <w:color w:val="auto"/>
                <w:sz w:val="24"/>
                <w:szCs w:val="24"/>
                <w:highlight w:val="none"/>
              </w:rPr>
              <w:t>投标人法定代表人或其</w:t>
            </w:r>
          </w:p>
          <w:p w14:paraId="77524DC3">
            <w:pPr>
              <w:jc w:val="center"/>
              <w:rPr>
                <w:rFonts w:hAnsi="宋体" w:cs="宋体"/>
                <w:color w:val="auto"/>
                <w:sz w:val="24"/>
                <w:szCs w:val="24"/>
                <w:highlight w:val="none"/>
              </w:rPr>
            </w:pPr>
            <w:r>
              <w:rPr>
                <w:rFonts w:hAnsi="宋体" w:cs="宋体"/>
                <w:color w:val="auto"/>
                <w:sz w:val="24"/>
                <w:szCs w:val="24"/>
                <w:highlight w:val="none"/>
              </w:rPr>
              <w:t>委托代理人签名</w:t>
            </w:r>
          </w:p>
        </w:tc>
        <w:tc>
          <w:tcPr>
            <w:tcW w:w="3018" w:type="dxa"/>
            <w:gridSpan w:val="2"/>
            <w:shd w:val="clear" w:color="auto" w:fill="auto"/>
            <w:noWrap w:val="0"/>
            <w:tcMar>
              <w:left w:w="108" w:type="dxa"/>
              <w:right w:w="108" w:type="dxa"/>
            </w:tcMar>
            <w:vAlign w:val="center"/>
          </w:tcPr>
          <w:p w14:paraId="36806628">
            <w:pPr>
              <w:jc w:val="center"/>
              <w:rPr>
                <w:rFonts w:hAnsi="宋体" w:cs="宋体"/>
                <w:color w:val="auto"/>
                <w:sz w:val="24"/>
                <w:szCs w:val="24"/>
                <w:highlight w:val="none"/>
              </w:rPr>
            </w:pPr>
            <w:r>
              <w:rPr>
                <w:rFonts w:hAnsi="宋体" w:cs="宋体"/>
                <w:color w:val="auto"/>
                <w:sz w:val="24"/>
                <w:szCs w:val="24"/>
                <w:highlight w:val="none"/>
              </w:rPr>
              <w:t>　</w:t>
            </w:r>
          </w:p>
        </w:tc>
        <w:tc>
          <w:tcPr>
            <w:tcW w:w="754" w:type="dxa"/>
            <w:shd w:val="clear" w:color="auto" w:fill="auto"/>
            <w:noWrap w:val="0"/>
            <w:tcMar>
              <w:left w:w="108" w:type="dxa"/>
              <w:right w:w="108" w:type="dxa"/>
            </w:tcMar>
            <w:vAlign w:val="center"/>
          </w:tcPr>
          <w:p w14:paraId="4060398A">
            <w:pPr>
              <w:jc w:val="center"/>
              <w:rPr>
                <w:rFonts w:hAnsi="宋体" w:cs="宋体"/>
                <w:color w:val="auto"/>
                <w:sz w:val="24"/>
                <w:szCs w:val="24"/>
                <w:highlight w:val="none"/>
              </w:rPr>
            </w:pPr>
            <w:r>
              <w:rPr>
                <w:rFonts w:hAnsi="宋体" w:cs="宋体"/>
                <w:color w:val="auto"/>
                <w:sz w:val="24"/>
                <w:szCs w:val="24"/>
                <w:highlight w:val="none"/>
              </w:rPr>
              <w:t>手机号码</w:t>
            </w:r>
          </w:p>
        </w:tc>
        <w:tc>
          <w:tcPr>
            <w:tcW w:w="2528" w:type="dxa"/>
            <w:gridSpan w:val="2"/>
            <w:shd w:val="clear" w:color="auto" w:fill="auto"/>
            <w:noWrap w:val="0"/>
            <w:tcMar>
              <w:left w:w="108" w:type="dxa"/>
              <w:right w:w="108" w:type="dxa"/>
            </w:tcMar>
            <w:vAlign w:val="center"/>
          </w:tcPr>
          <w:p w14:paraId="0AE79DB3">
            <w:pPr>
              <w:jc w:val="center"/>
              <w:rPr>
                <w:rFonts w:hAnsi="宋体" w:cs="宋体"/>
                <w:color w:val="auto"/>
                <w:sz w:val="24"/>
                <w:szCs w:val="24"/>
                <w:highlight w:val="none"/>
              </w:rPr>
            </w:pPr>
            <w:r>
              <w:rPr>
                <w:rFonts w:hAnsi="宋体" w:cs="宋体"/>
                <w:color w:val="auto"/>
                <w:sz w:val="24"/>
                <w:szCs w:val="24"/>
                <w:highlight w:val="none"/>
              </w:rPr>
              <w:t>　</w:t>
            </w:r>
          </w:p>
        </w:tc>
      </w:tr>
      <w:tr w14:paraId="599D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9108" w:type="dxa"/>
            <w:gridSpan w:val="8"/>
            <w:shd w:val="clear" w:color="auto" w:fill="auto"/>
            <w:noWrap w:val="0"/>
            <w:tcMar>
              <w:left w:w="108" w:type="dxa"/>
              <w:right w:w="108" w:type="dxa"/>
            </w:tcMar>
            <w:vAlign w:val="center"/>
          </w:tcPr>
          <w:p w14:paraId="6543325B">
            <w:pPr>
              <w:jc w:val="center"/>
              <w:rPr>
                <w:rFonts w:hAnsi="宋体" w:cs="宋体"/>
                <w:color w:val="auto"/>
                <w:sz w:val="24"/>
                <w:szCs w:val="24"/>
                <w:highlight w:val="none"/>
              </w:rPr>
            </w:pPr>
            <w:r>
              <w:rPr>
                <w:rFonts w:hAnsi="宋体" w:cs="宋体"/>
                <w:color w:val="auto"/>
                <w:sz w:val="24"/>
                <w:szCs w:val="24"/>
                <w:highlight w:val="none"/>
              </w:rPr>
              <w:t>递交的证明材料原件如下：</w:t>
            </w:r>
          </w:p>
        </w:tc>
      </w:tr>
      <w:tr w14:paraId="51D6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13EDF76C">
            <w:pPr>
              <w:jc w:val="center"/>
              <w:rPr>
                <w:rFonts w:hAnsi="宋体" w:cs="宋体"/>
                <w:color w:val="auto"/>
                <w:sz w:val="24"/>
                <w:szCs w:val="24"/>
                <w:highlight w:val="none"/>
              </w:rPr>
            </w:pPr>
            <w:r>
              <w:rPr>
                <w:rFonts w:hAnsi="宋体" w:cs="宋体"/>
                <w:color w:val="auto"/>
                <w:sz w:val="24"/>
                <w:szCs w:val="24"/>
                <w:highlight w:val="none"/>
              </w:rPr>
              <w:t>序号</w:t>
            </w:r>
          </w:p>
        </w:tc>
        <w:tc>
          <w:tcPr>
            <w:tcW w:w="5125" w:type="dxa"/>
            <w:gridSpan w:val="4"/>
            <w:shd w:val="clear" w:color="auto" w:fill="auto"/>
            <w:noWrap w:val="0"/>
            <w:tcMar>
              <w:left w:w="108" w:type="dxa"/>
              <w:right w:w="108" w:type="dxa"/>
            </w:tcMar>
            <w:vAlign w:val="center"/>
          </w:tcPr>
          <w:p w14:paraId="559D06ED">
            <w:pPr>
              <w:jc w:val="center"/>
              <w:rPr>
                <w:rFonts w:hAnsi="宋体" w:cs="宋体"/>
                <w:color w:val="auto"/>
                <w:sz w:val="24"/>
                <w:szCs w:val="24"/>
                <w:highlight w:val="none"/>
              </w:rPr>
            </w:pPr>
            <w:r>
              <w:rPr>
                <w:rFonts w:hAnsi="宋体" w:cs="宋体"/>
                <w:color w:val="auto"/>
                <w:sz w:val="24"/>
                <w:szCs w:val="24"/>
                <w:highlight w:val="none"/>
              </w:rPr>
              <w:t>证明材料原件名称</w:t>
            </w:r>
          </w:p>
        </w:tc>
        <w:tc>
          <w:tcPr>
            <w:tcW w:w="1712" w:type="dxa"/>
            <w:gridSpan w:val="2"/>
            <w:shd w:val="clear" w:color="auto" w:fill="auto"/>
            <w:noWrap w:val="0"/>
            <w:tcMar>
              <w:left w:w="108" w:type="dxa"/>
              <w:right w:w="108" w:type="dxa"/>
            </w:tcMar>
            <w:vAlign w:val="center"/>
          </w:tcPr>
          <w:p w14:paraId="51CCC957">
            <w:pPr>
              <w:jc w:val="center"/>
              <w:rPr>
                <w:rFonts w:hAnsi="宋体" w:cs="宋体"/>
                <w:color w:val="auto"/>
                <w:sz w:val="24"/>
                <w:szCs w:val="24"/>
                <w:highlight w:val="none"/>
              </w:rPr>
            </w:pPr>
            <w:r>
              <w:rPr>
                <w:rFonts w:hAnsi="宋体" w:cs="宋体"/>
                <w:color w:val="auto"/>
                <w:sz w:val="24"/>
                <w:szCs w:val="24"/>
                <w:highlight w:val="none"/>
              </w:rPr>
              <w:t>单位</w:t>
            </w:r>
          </w:p>
        </w:tc>
        <w:tc>
          <w:tcPr>
            <w:tcW w:w="1570" w:type="dxa"/>
            <w:shd w:val="clear" w:color="auto" w:fill="auto"/>
            <w:noWrap w:val="0"/>
            <w:tcMar>
              <w:left w:w="108" w:type="dxa"/>
              <w:right w:w="108" w:type="dxa"/>
            </w:tcMar>
            <w:vAlign w:val="center"/>
          </w:tcPr>
          <w:p w14:paraId="3D03BCF5">
            <w:pPr>
              <w:jc w:val="center"/>
              <w:rPr>
                <w:rFonts w:hAnsi="宋体" w:cs="宋体"/>
                <w:color w:val="auto"/>
                <w:sz w:val="24"/>
                <w:szCs w:val="24"/>
                <w:highlight w:val="none"/>
              </w:rPr>
            </w:pPr>
            <w:r>
              <w:rPr>
                <w:rFonts w:hAnsi="宋体" w:cs="宋体"/>
                <w:color w:val="auto"/>
                <w:sz w:val="24"/>
                <w:szCs w:val="24"/>
                <w:highlight w:val="none"/>
              </w:rPr>
              <w:t>数量</w:t>
            </w:r>
          </w:p>
        </w:tc>
      </w:tr>
      <w:tr w14:paraId="73B0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5CBD3CF3">
            <w:pPr>
              <w:jc w:val="center"/>
              <w:rPr>
                <w:rFonts w:hint="eastAsia" w:hAnsi="宋体" w:cs="宋体"/>
                <w:color w:val="auto"/>
                <w:sz w:val="24"/>
                <w:szCs w:val="24"/>
                <w:highlight w:val="none"/>
              </w:rPr>
            </w:pPr>
            <w:r>
              <w:rPr>
                <w:rFonts w:hint="eastAsia" w:hAnsi="宋体" w:cs="宋体"/>
                <w:color w:val="auto"/>
                <w:sz w:val="24"/>
                <w:szCs w:val="24"/>
                <w:highlight w:val="none"/>
              </w:rPr>
              <w:t>1</w:t>
            </w:r>
          </w:p>
        </w:tc>
        <w:tc>
          <w:tcPr>
            <w:tcW w:w="5125" w:type="dxa"/>
            <w:gridSpan w:val="4"/>
            <w:shd w:val="clear" w:color="auto" w:fill="auto"/>
            <w:noWrap w:val="0"/>
            <w:tcMar>
              <w:left w:w="108" w:type="dxa"/>
              <w:right w:w="108" w:type="dxa"/>
            </w:tcMar>
            <w:vAlign w:val="center"/>
          </w:tcPr>
          <w:p w14:paraId="16DA3A6D">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24AA5BA0">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0557B405">
            <w:pPr>
              <w:jc w:val="center"/>
              <w:rPr>
                <w:rFonts w:hAnsi="宋体" w:cs="宋体"/>
                <w:color w:val="auto"/>
                <w:sz w:val="24"/>
                <w:szCs w:val="24"/>
                <w:highlight w:val="none"/>
              </w:rPr>
            </w:pPr>
            <w:r>
              <w:rPr>
                <w:rFonts w:hAnsi="宋体" w:cs="宋体"/>
                <w:color w:val="auto"/>
                <w:sz w:val="24"/>
                <w:szCs w:val="24"/>
                <w:highlight w:val="none"/>
              </w:rPr>
              <w:t>　</w:t>
            </w:r>
          </w:p>
        </w:tc>
      </w:tr>
      <w:tr w14:paraId="0645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3564D036">
            <w:pPr>
              <w:jc w:val="center"/>
              <w:rPr>
                <w:rFonts w:hint="eastAsia" w:hAnsi="宋体" w:cs="宋体"/>
                <w:color w:val="auto"/>
                <w:sz w:val="24"/>
                <w:szCs w:val="24"/>
                <w:highlight w:val="none"/>
              </w:rPr>
            </w:pPr>
            <w:r>
              <w:rPr>
                <w:rFonts w:hint="eastAsia" w:hAnsi="宋体" w:cs="宋体"/>
                <w:color w:val="auto"/>
                <w:sz w:val="24"/>
                <w:szCs w:val="24"/>
                <w:highlight w:val="none"/>
              </w:rPr>
              <w:t>2</w:t>
            </w:r>
          </w:p>
        </w:tc>
        <w:tc>
          <w:tcPr>
            <w:tcW w:w="5125" w:type="dxa"/>
            <w:gridSpan w:val="4"/>
            <w:shd w:val="clear" w:color="auto" w:fill="auto"/>
            <w:noWrap w:val="0"/>
            <w:tcMar>
              <w:left w:w="108" w:type="dxa"/>
              <w:right w:w="108" w:type="dxa"/>
            </w:tcMar>
            <w:vAlign w:val="center"/>
          </w:tcPr>
          <w:p w14:paraId="0F8926A6">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37D88558">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65217A66">
            <w:pPr>
              <w:jc w:val="center"/>
              <w:rPr>
                <w:rFonts w:hAnsi="宋体" w:cs="宋体"/>
                <w:color w:val="auto"/>
                <w:sz w:val="24"/>
                <w:szCs w:val="24"/>
                <w:highlight w:val="none"/>
              </w:rPr>
            </w:pPr>
          </w:p>
        </w:tc>
      </w:tr>
      <w:tr w14:paraId="5CD0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6D922145">
            <w:pPr>
              <w:jc w:val="center"/>
              <w:rPr>
                <w:rFonts w:hint="eastAsia" w:hAnsi="宋体" w:cs="宋体"/>
                <w:color w:val="auto"/>
                <w:sz w:val="24"/>
                <w:szCs w:val="24"/>
                <w:highlight w:val="none"/>
              </w:rPr>
            </w:pPr>
            <w:r>
              <w:rPr>
                <w:rFonts w:hint="eastAsia" w:hAnsi="宋体" w:cs="宋体"/>
                <w:color w:val="auto"/>
                <w:sz w:val="24"/>
                <w:szCs w:val="24"/>
                <w:highlight w:val="none"/>
              </w:rPr>
              <w:t>3</w:t>
            </w:r>
          </w:p>
        </w:tc>
        <w:tc>
          <w:tcPr>
            <w:tcW w:w="5125" w:type="dxa"/>
            <w:gridSpan w:val="4"/>
            <w:shd w:val="clear" w:color="auto" w:fill="auto"/>
            <w:noWrap w:val="0"/>
            <w:tcMar>
              <w:left w:w="108" w:type="dxa"/>
              <w:right w:w="108" w:type="dxa"/>
            </w:tcMar>
            <w:vAlign w:val="center"/>
          </w:tcPr>
          <w:p w14:paraId="42248857">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375BF155">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624BA07C">
            <w:pPr>
              <w:jc w:val="center"/>
              <w:rPr>
                <w:rFonts w:hAnsi="宋体" w:cs="宋体"/>
                <w:color w:val="auto"/>
                <w:sz w:val="24"/>
                <w:szCs w:val="24"/>
                <w:highlight w:val="none"/>
              </w:rPr>
            </w:pPr>
          </w:p>
        </w:tc>
      </w:tr>
      <w:tr w14:paraId="6450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737" w:hRule="atLeast"/>
        </w:trPr>
        <w:tc>
          <w:tcPr>
            <w:tcW w:w="701" w:type="dxa"/>
            <w:shd w:val="clear" w:color="auto" w:fill="auto"/>
            <w:noWrap w:val="0"/>
            <w:tcMar>
              <w:left w:w="108" w:type="dxa"/>
              <w:right w:w="108" w:type="dxa"/>
            </w:tcMar>
            <w:vAlign w:val="center"/>
          </w:tcPr>
          <w:p w14:paraId="0824CEAD">
            <w:pPr>
              <w:jc w:val="center"/>
              <w:rPr>
                <w:rFonts w:hint="eastAsia" w:hAnsi="宋体" w:cs="宋体"/>
                <w:color w:val="auto"/>
                <w:sz w:val="24"/>
                <w:szCs w:val="24"/>
                <w:highlight w:val="none"/>
              </w:rPr>
            </w:pPr>
            <w:r>
              <w:rPr>
                <w:rFonts w:hint="eastAsia" w:hAnsi="宋体" w:cs="宋体"/>
                <w:color w:val="auto"/>
                <w:sz w:val="24"/>
                <w:szCs w:val="24"/>
                <w:highlight w:val="none"/>
              </w:rPr>
              <w:t>...</w:t>
            </w:r>
          </w:p>
        </w:tc>
        <w:tc>
          <w:tcPr>
            <w:tcW w:w="5125" w:type="dxa"/>
            <w:gridSpan w:val="4"/>
            <w:shd w:val="clear" w:color="auto" w:fill="auto"/>
            <w:noWrap w:val="0"/>
            <w:tcMar>
              <w:left w:w="108" w:type="dxa"/>
              <w:right w:w="108" w:type="dxa"/>
            </w:tcMar>
            <w:vAlign w:val="center"/>
          </w:tcPr>
          <w:p w14:paraId="6D22B6D5">
            <w:pPr>
              <w:jc w:val="center"/>
              <w:rPr>
                <w:rFonts w:hAnsi="宋体" w:cs="宋体"/>
                <w:color w:val="auto"/>
                <w:sz w:val="24"/>
                <w:szCs w:val="24"/>
                <w:highlight w:val="none"/>
              </w:rPr>
            </w:pPr>
          </w:p>
        </w:tc>
        <w:tc>
          <w:tcPr>
            <w:tcW w:w="1712" w:type="dxa"/>
            <w:gridSpan w:val="2"/>
            <w:shd w:val="clear" w:color="auto" w:fill="auto"/>
            <w:noWrap w:val="0"/>
            <w:tcMar>
              <w:left w:w="108" w:type="dxa"/>
              <w:right w:w="108" w:type="dxa"/>
            </w:tcMar>
            <w:vAlign w:val="center"/>
          </w:tcPr>
          <w:p w14:paraId="0D3863C3">
            <w:pPr>
              <w:jc w:val="center"/>
              <w:rPr>
                <w:rFonts w:hAnsi="宋体" w:cs="宋体"/>
                <w:color w:val="auto"/>
                <w:sz w:val="24"/>
                <w:szCs w:val="24"/>
                <w:highlight w:val="none"/>
              </w:rPr>
            </w:pPr>
          </w:p>
        </w:tc>
        <w:tc>
          <w:tcPr>
            <w:tcW w:w="1570" w:type="dxa"/>
            <w:shd w:val="clear" w:color="auto" w:fill="auto"/>
            <w:noWrap w:val="0"/>
            <w:tcMar>
              <w:left w:w="108" w:type="dxa"/>
              <w:right w:w="108" w:type="dxa"/>
            </w:tcMar>
            <w:vAlign w:val="center"/>
          </w:tcPr>
          <w:p w14:paraId="03487C6D">
            <w:pPr>
              <w:jc w:val="center"/>
              <w:rPr>
                <w:rFonts w:hAnsi="宋体" w:cs="宋体"/>
                <w:color w:val="auto"/>
                <w:sz w:val="24"/>
                <w:szCs w:val="24"/>
                <w:highlight w:val="none"/>
              </w:rPr>
            </w:pPr>
            <w:r>
              <w:rPr>
                <w:rFonts w:hAnsi="宋体" w:cs="宋体"/>
                <w:color w:val="auto"/>
                <w:sz w:val="24"/>
                <w:szCs w:val="24"/>
                <w:highlight w:val="none"/>
              </w:rPr>
              <w:t>　</w:t>
            </w:r>
          </w:p>
        </w:tc>
      </w:tr>
      <w:tr w14:paraId="5230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37" w:hRule="atLeast"/>
        </w:trPr>
        <w:tc>
          <w:tcPr>
            <w:tcW w:w="701" w:type="dxa"/>
            <w:shd w:val="clear" w:color="auto" w:fill="auto"/>
            <w:noWrap w:val="0"/>
            <w:tcMar>
              <w:left w:w="108" w:type="dxa"/>
              <w:right w:w="108" w:type="dxa"/>
            </w:tcMar>
            <w:vAlign w:val="center"/>
          </w:tcPr>
          <w:p w14:paraId="12E8323D">
            <w:pPr>
              <w:ind w:left="8" w:hanging="94"/>
              <w:jc w:val="center"/>
              <w:rPr>
                <w:rFonts w:hint="eastAsia" w:hAnsi="宋体" w:cs="宋体"/>
                <w:color w:val="auto"/>
                <w:sz w:val="24"/>
                <w:szCs w:val="24"/>
                <w:highlight w:val="none"/>
              </w:rPr>
            </w:pPr>
            <w:r>
              <w:rPr>
                <w:rFonts w:hint="eastAsia" w:hAnsi="宋体" w:cs="宋体"/>
                <w:color w:val="auto"/>
                <w:sz w:val="24"/>
                <w:szCs w:val="24"/>
                <w:highlight w:val="none"/>
              </w:rPr>
              <w:t>注意：</w:t>
            </w:r>
          </w:p>
        </w:tc>
        <w:tc>
          <w:tcPr>
            <w:tcW w:w="8407" w:type="dxa"/>
            <w:gridSpan w:val="7"/>
            <w:shd w:val="clear" w:color="auto" w:fill="auto"/>
            <w:noWrap w:val="0"/>
            <w:tcMar>
              <w:left w:w="108" w:type="dxa"/>
              <w:right w:w="108" w:type="dxa"/>
            </w:tcMar>
            <w:vAlign w:val="center"/>
          </w:tcPr>
          <w:p w14:paraId="2276CCD2">
            <w:pPr>
              <w:ind w:firstLine="480"/>
              <w:rPr>
                <w:rFonts w:hint="eastAsia" w:hAnsi="宋体" w:cs="宋体"/>
                <w:color w:val="auto"/>
                <w:sz w:val="24"/>
                <w:szCs w:val="24"/>
                <w:highlight w:val="none"/>
              </w:rPr>
            </w:pPr>
            <w:r>
              <w:rPr>
                <w:rFonts w:hint="eastAsia" w:hAnsi="宋体" w:cs="宋体"/>
                <w:color w:val="auto"/>
                <w:sz w:val="24"/>
                <w:szCs w:val="24"/>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2883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20" w:hRule="atLeast"/>
        </w:trPr>
        <w:tc>
          <w:tcPr>
            <w:tcW w:w="2207" w:type="dxa"/>
            <w:gridSpan w:val="2"/>
            <w:shd w:val="clear" w:color="auto" w:fill="auto"/>
            <w:noWrap w:val="0"/>
            <w:tcMar>
              <w:left w:w="108" w:type="dxa"/>
              <w:right w:w="108" w:type="dxa"/>
            </w:tcMar>
            <w:vAlign w:val="center"/>
          </w:tcPr>
          <w:p w14:paraId="3074F0EA">
            <w:pPr>
              <w:jc w:val="both"/>
              <w:rPr>
                <w:rFonts w:hint="eastAsia" w:hAnsi="宋体" w:cs="宋体"/>
                <w:color w:val="auto"/>
                <w:sz w:val="24"/>
                <w:szCs w:val="24"/>
                <w:highlight w:val="none"/>
              </w:rPr>
            </w:pPr>
            <w:r>
              <w:rPr>
                <w:rFonts w:hint="eastAsia" w:hAnsi="宋体" w:cs="宋体"/>
                <w:color w:val="auto"/>
                <w:sz w:val="24"/>
                <w:szCs w:val="24"/>
                <w:highlight w:val="none"/>
              </w:rPr>
              <w:t>接收原件经办人(招标代理)：</w:t>
            </w:r>
          </w:p>
        </w:tc>
        <w:tc>
          <w:tcPr>
            <w:tcW w:w="1994" w:type="dxa"/>
            <w:gridSpan w:val="2"/>
            <w:shd w:val="clear" w:color="auto" w:fill="auto"/>
            <w:noWrap w:val="0"/>
            <w:tcMar>
              <w:left w:w="108" w:type="dxa"/>
              <w:right w:w="108" w:type="dxa"/>
            </w:tcMar>
            <w:vAlign w:val="center"/>
          </w:tcPr>
          <w:p w14:paraId="7039FF5D">
            <w:pPr>
              <w:jc w:val="center"/>
              <w:rPr>
                <w:rFonts w:hint="eastAsia" w:hAnsi="宋体" w:cs="宋体"/>
                <w:color w:val="auto"/>
                <w:sz w:val="24"/>
                <w:szCs w:val="24"/>
                <w:highlight w:val="none"/>
              </w:rPr>
            </w:pPr>
          </w:p>
        </w:tc>
        <w:tc>
          <w:tcPr>
            <w:tcW w:w="1625" w:type="dxa"/>
            <w:shd w:val="clear" w:color="auto" w:fill="auto"/>
            <w:noWrap w:val="0"/>
            <w:tcMar>
              <w:left w:w="108" w:type="dxa"/>
              <w:right w:w="108" w:type="dxa"/>
            </w:tcMar>
            <w:vAlign w:val="center"/>
          </w:tcPr>
          <w:p w14:paraId="6CFCB42E">
            <w:pPr>
              <w:jc w:val="center"/>
              <w:rPr>
                <w:rFonts w:hint="eastAsia" w:hAnsi="宋体" w:cs="宋体"/>
                <w:color w:val="auto"/>
                <w:sz w:val="24"/>
                <w:szCs w:val="24"/>
                <w:highlight w:val="none"/>
              </w:rPr>
            </w:pPr>
            <w:r>
              <w:rPr>
                <w:rFonts w:hint="eastAsia" w:hAnsi="宋体" w:cs="宋体"/>
                <w:color w:val="auto"/>
                <w:sz w:val="24"/>
                <w:szCs w:val="24"/>
                <w:highlight w:val="none"/>
              </w:rPr>
              <w:t>接收时间：</w:t>
            </w:r>
          </w:p>
        </w:tc>
        <w:tc>
          <w:tcPr>
            <w:tcW w:w="3282" w:type="dxa"/>
            <w:gridSpan w:val="3"/>
            <w:shd w:val="clear" w:color="auto" w:fill="auto"/>
            <w:noWrap w:val="0"/>
            <w:tcMar>
              <w:left w:w="108" w:type="dxa"/>
              <w:right w:w="108" w:type="dxa"/>
            </w:tcMar>
            <w:vAlign w:val="center"/>
          </w:tcPr>
          <w:p w14:paraId="5F3DDF19">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r w14:paraId="03E3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 w:type="dxa"/>
            <w:bottom w:w="0" w:type="dxa"/>
            <w:right w:w="10" w:type="dxa"/>
          </w:tblCellMar>
        </w:tblPrEx>
        <w:trPr>
          <w:trHeight w:val="990" w:hRule="atLeast"/>
        </w:trPr>
        <w:tc>
          <w:tcPr>
            <w:tcW w:w="2207" w:type="dxa"/>
            <w:gridSpan w:val="2"/>
            <w:shd w:val="clear" w:color="auto" w:fill="auto"/>
            <w:noWrap w:val="0"/>
            <w:tcMar>
              <w:left w:w="108" w:type="dxa"/>
              <w:right w:w="108" w:type="dxa"/>
            </w:tcMar>
            <w:vAlign w:val="center"/>
          </w:tcPr>
          <w:p w14:paraId="50C35FD0">
            <w:pPr>
              <w:jc w:val="center"/>
              <w:rPr>
                <w:rFonts w:hint="eastAsia" w:hAnsi="宋体" w:cs="宋体"/>
                <w:color w:val="auto"/>
                <w:sz w:val="24"/>
                <w:szCs w:val="24"/>
                <w:highlight w:val="none"/>
              </w:rPr>
            </w:pPr>
            <w:r>
              <w:rPr>
                <w:rFonts w:hint="eastAsia" w:hAnsi="宋体" w:cs="宋体"/>
                <w:color w:val="auto"/>
                <w:sz w:val="24"/>
                <w:szCs w:val="24"/>
                <w:highlight w:val="none"/>
              </w:rPr>
              <w:t>退还原件接收人(投标人)：</w:t>
            </w:r>
          </w:p>
        </w:tc>
        <w:tc>
          <w:tcPr>
            <w:tcW w:w="1994" w:type="dxa"/>
            <w:gridSpan w:val="2"/>
            <w:shd w:val="clear" w:color="auto" w:fill="auto"/>
            <w:noWrap w:val="0"/>
            <w:tcMar>
              <w:left w:w="108" w:type="dxa"/>
              <w:right w:w="108" w:type="dxa"/>
            </w:tcMar>
            <w:vAlign w:val="center"/>
          </w:tcPr>
          <w:p w14:paraId="2E306509">
            <w:pPr>
              <w:jc w:val="center"/>
              <w:rPr>
                <w:rFonts w:hint="eastAsia" w:hAnsi="宋体" w:cs="宋体"/>
                <w:color w:val="auto"/>
                <w:sz w:val="24"/>
                <w:szCs w:val="24"/>
                <w:highlight w:val="none"/>
              </w:rPr>
            </w:pPr>
          </w:p>
        </w:tc>
        <w:tc>
          <w:tcPr>
            <w:tcW w:w="1625" w:type="dxa"/>
            <w:shd w:val="clear" w:color="auto" w:fill="auto"/>
            <w:noWrap w:val="0"/>
            <w:tcMar>
              <w:left w:w="108" w:type="dxa"/>
              <w:right w:w="108" w:type="dxa"/>
            </w:tcMar>
            <w:vAlign w:val="center"/>
          </w:tcPr>
          <w:p w14:paraId="330B90B6">
            <w:pPr>
              <w:jc w:val="center"/>
              <w:rPr>
                <w:rFonts w:hint="eastAsia" w:hAnsi="宋体" w:cs="宋体"/>
                <w:color w:val="auto"/>
                <w:sz w:val="24"/>
                <w:szCs w:val="24"/>
                <w:highlight w:val="none"/>
              </w:rPr>
            </w:pPr>
            <w:r>
              <w:rPr>
                <w:rFonts w:hint="eastAsia" w:hAnsi="宋体" w:cs="宋体"/>
                <w:color w:val="auto"/>
                <w:sz w:val="24"/>
                <w:szCs w:val="24"/>
                <w:highlight w:val="none"/>
              </w:rPr>
              <w:t>退还时间：</w:t>
            </w:r>
          </w:p>
        </w:tc>
        <w:tc>
          <w:tcPr>
            <w:tcW w:w="3282" w:type="dxa"/>
            <w:gridSpan w:val="3"/>
            <w:shd w:val="clear" w:color="auto" w:fill="auto"/>
            <w:noWrap w:val="0"/>
            <w:tcMar>
              <w:left w:w="108" w:type="dxa"/>
              <w:right w:w="108" w:type="dxa"/>
            </w:tcMar>
            <w:vAlign w:val="center"/>
          </w:tcPr>
          <w:p w14:paraId="1B2E0C0D">
            <w:pPr>
              <w:ind w:firstLine="720" w:firstLineChars="300"/>
              <w:jc w:val="left"/>
              <w:rPr>
                <w:rFonts w:hint="eastAsia" w:hAnsi="宋体" w:cs="宋体"/>
                <w:color w:val="auto"/>
                <w:sz w:val="24"/>
                <w:szCs w:val="24"/>
                <w:highlight w:val="none"/>
              </w:rPr>
            </w:pPr>
            <w:r>
              <w:rPr>
                <w:rFonts w:hint="eastAsia" w:hAnsi="宋体" w:cs="宋体"/>
                <w:color w:val="auto"/>
                <w:sz w:val="24"/>
                <w:szCs w:val="24"/>
                <w:highlight w:val="none"/>
              </w:rPr>
              <w:t>年   月   日   时   分</w:t>
            </w:r>
          </w:p>
        </w:tc>
      </w:tr>
    </w:tbl>
    <w:p w14:paraId="2043B9AC">
      <w:pPr>
        <w:bidi w:val="0"/>
        <w:rPr>
          <w:color w:val="auto"/>
          <w:highlight w:val="none"/>
        </w:rPr>
      </w:pPr>
    </w:p>
    <w:p w14:paraId="59158BD3">
      <w:pPr>
        <w:rPr>
          <w:color w:val="auto"/>
          <w:highlight w:val="none"/>
        </w:rPr>
      </w:pPr>
    </w:p>
    <w:p w14:paraId="65603D6D">
      <w:pPr>
        <w:bidi w:val="0"/>
        <w:rPr>
          <w:color w:val="auto"/>
          <w:highlight w:val="none"/>
        </w:rPr>
      </w:pPr>
    </w:p>
    <w:p w14:paraId="0A3C98D3">
      <w:pPr>
        <w:bidi w:val="0"/>
        <w:rPr>
          <w:color w:val="auto"/>
          <w:highlight w:val="none"/>
        </w:rPr>
      </w:pPr>
    </w:p>
    <w:p w14:paraId="1E5C483D">
      <w:pPr>
        <w:pStyle w:val="5"/>
        <w:bidi w:val="0"/>
        <w:rPr>
          <w:rFonts w:hint="default" w:ascii="宋体" w:hAnsi="Times New Roman" w:eastAsia="宋体" w:cs="Times New Roman"/>
          <w:b/>
          <w:bCs/>
          <w:color w:val="auto"/>
          <w:highlight w:val="none"/>
          <w:lang w:val="en-US" w:eastAsia="zh-CN"/>
        </w:rPr>
      </w:pPr>
      <w:bookmarkStart w:id="339" w:name="_Toc20950"/>
      <w:bookmarkStart w:id="340" w:name="_Toc26582"/>
      <w:r>
        <w:rPr>
          <w:rFonts w:hint="eastAsia" w:ascii="宋体" w:hAnsi="Times New Roman" w:eastAsia="宋体" w:cs="Times New Roman"/>
          <w:b/>
          <w:bCs/>
          <w:color w:val="auto"/>
          <w:highlight w:val="none"/>
          <w:lang w:val="en-US" w:eastAsia="zh-CN"/>
        </w:rPr>
        <w:t>格式十四 定标因素评审资料</w:t>
      </w:r>
      <w:bookmarkEnd w:id="339"/>
      <w:bookmarkEnd w:id="340"/>
    </w:p>
    <w:p w14:paraId="24D780F8">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5DDF89F2">
      <w:pPr>
        <w:jc w:val="left"/>
        <w:rPr>
          <w:rFonts w:hint="eastAsia" w:ascii="宋体" w:hAnsi="宋体" w:eastAsia="宋体" w:cs="宋体"/>
          <w:color w:val="auto"/>
          <w:sz w:val="24"/>
          <w:highlight w:val="none"/>
          <w:lang w:eastAsia="zh-CN"/>
        </w:rPr>
      </w:pPr>
    </w:p>
    <w:p w14:paraId="430FF920">
      <w:pPr>
        <w:bidi w:val="0"/>
        <w:ind w:firstLine="560" w:firstLineChars="200"/>
        <w:rPr>
          <w:rFonts w:hint="eastAsia"/>
          <w:color w:val="auto"/>
          <w:highlight w:val="none"/>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w:t>
      </w:r>
      <w:r>
        <w:rPr>
          <w:rFonts w:hint="eastAsia" w:ascii="宋体" w:hAnsi="宋体" w:eastAsia="宋体" w:cs="宋体"/>
          <w:b w:val="0"/>
          <w:bCs w:val="0"/>
          <w:color w:val="auto"/>
          <w:sz w:val="28"/>
          <w:szCs w:val="28"/>
          <w:highlight w:val="none"/>
          <w:lang w:val="en-US" w:eastAsia="zh-CN"/>
        </w:rPr>
        <w:t>一</w:t>
      </w:r>
      <w:r>
        <w:rPr>
          <w:rFonts w:hint="eastAsia" w:ascii="宋体" w:hAnsi="宋体" w:eastAsia="宋体" w:cs="宋体"/>
          <w:b w:val="0"/>
          <w:bCs w:val="0"/>
          <w:color w:val="auto"/>
          <w:sz w:val="28"/>
          <w:szCs w:val="28"/>
          <w:highlight w:val="none"/>
        </w:rPr>
        <w:t>章</w:t>
      </w:r>
      <w:r>
        <w:rPr>
          <w:rFonts w:hint="eastAsia" w:ascii="宋体" w:hAnsi="宋体" w:eastAsia="宋体" w:cs="宋体"/>
          <w:b w:val="0"/>
          <w:bCs w:val="0"/>
          <w:color w:val="auto"/>
          <w:sz w:val="28"/>
          <w:szCs w:val="28"/>
          <w:highlight w:val="none"/>
          <w:lang w:val="en-US" w:eastAsia="zh-CN"/>
        </w:rPr>
        <w:t xml:space="preserve"> 第五节 定标规定及细则”载明的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5CD5A7CC">
      <w:pPr>
        <w:bidi w:val="0"/>
        <w:rPr>
          <w:color w:val="auto"/>
          <w:highlight w:val="none"/>
        </w:rPr>
      </w:pPr>
    </w:p>
    <w:p w14:paraId="224DCC5B">
      <w:pPr>
        <w:bidi w:val="0"/>
        <w:rPr>
          <w:color w:val="auto"/>
          <w:highlight w:val="none"/>
        </w:rPr>
      </w:pPr>
    </w:p>
    <w:p w14:paraId="1B7B353C">
      <w:pPr>
        <w:bidi w:val="0"/>
        <w:rPr>
          <w:color w:val="auto"/>
          <w:highlight w:val="none"/>
        </w:rPr>
      </w:pPr>
    </w:p>
    <w:p w14:paraId="4DD504FF">
      <w:pPr>
        <w:bidi w:val="0"/>
        <w:rPr>
          <w:color w:val="auto"/>
          <w:highlight w:val="none"/>
        </w:rPr>
      </w:pPr>
    </w:p>
    <w:p w14:paraId="71F4DEB1">
      <w:pPr>
        <w:bidi w:val="0"/>
        <w:rPr>
          <w:color w:val="auto"/>
          <w:highlight w:val="none"/>
        </w:rPr>
      </w:pPr>
    </w:p>
    <w:p w14:paraId="541FF22D">
      <w:pPr>
        <w:bidi w:val="0"/>
        <w:rPr>
          <w:color w:val="auto"/>
          <w:highlight w:val="none"/>
        </w:rPr>
      </w:pPr>
    </w:p>
    <w:p w14:paraId="6EF12BDF">
      <w:pPr>
        <w:bidi w:val="0"/>
        <w:rPr>
          <w:color w:val="auto"/>
          <w:highlight w:val="none"/>
        </w:rPr>
      </w:pPr>
    </w:p>
    <w:p w14:paraId="3C3E4EA6">
      <w:pPr>
        <w:bidi w:val="0"/>
        <w:rPr>
          <w:color w:val="auto"/>
          <w:highlight w:val="none"/>
        </w:rPr>
      </w:pPr>
    </w:p>
    <w:p w14:paraId="25A54F8A">
      <w:pPr>
        <w:bidi w:val="0"/>
        <w:rPr>
          <w:color w:val="auto"/>
          <w:highlight w:val="none"/>
        </w:rPr>
      </w:pPr>
    </w:p>
    <w:p w14:paraId="7BB2E1BE">
      <w:pPr>
        <w:bidi w:val="0"/>
        <w:rPr>
          <w:color w:val="auto"/>
          <w:highlight w:val="none"/>
        </w:rPr>
      </w:pPr>
    </w:p>
    <w:p w14:paraId="6E900E51">
      <w:pPr>
        <w:bidi w:val="0"/>
        <w:rPr>
          <w:color w:val="auto"/>
          <w:highlight w:val="none"/>
        </w:rPr>
      </w:pPr>
    </w:p>
    <w:p w14:paraId="3F0B6F08">
      <w:pPr>
        <w:bidi w:val="0"/>
        <w:rPr>
          <w:color w:val="auto"/>
          <w:highlight w:val="none"/>
        </w:rPr>
      </w:pPr>
    </w:p>
    <w:p w14:paraId="5DCC874D">
      <w:pPr>
        <w:bidi w:val="0"/>
        <w:rPr>
          <w:color w:val="auto"/>
          <w:highlight w:val="none"/>
        </w:rPr>
      </w:pPr>
    </w:p>
    <w:p w14:paraId="6526A244">
      <w:pPr>
        <w:bidi w:val="0"/>
        <w:rPr>
          <w:color w:val="auto"/>
          <w:highlight w:val="none"/>
        </w:rPr>
      </w:pPr>
    </w:p>
    <w:p w14:paraId="4ED48908">
      <w:pPr>
        <w:bidi w:val="0"/>
        <w:rPr>
          <w:color w:val="auto"/>
          <w:highlight w:val="none"/>
        </w:rPr>
      </w:pPr>
    </w:p>
    <w:p w14:paraId="3B5B7986">
      <w:pPr>
        <w:bidi w:val="0"/>
        <w:rPr>
          <w:color w:val="auto"/>
          <w:highlight w:val="none"/>
        </w:rPr>
      </w:pPr>
    </w:p>
    <w:p w14:paraId="4F80CCBE">
      <w:pPr>
        <w:bidi w:val="0"/>
        <w:rPr>
          <w:color w:val="auto"/>
          <w:highlight w:val="none"/>
        </w:rPr>
      </w:pPr>
    </w:p>
    <w:p w14:paraId="6256CBCA">
      <w:pPr>
        <w:bidi w:val="0"/>
        <w:rPr>
          <w:color w:val="auto"/>
          <w:highlight w:val="none"/>
        </w:rPr>
      </w:pPr>
    </w:p>
    <w:p w14:paraId="04C2EBA6">
      <w:pPr>
        <w:bidi w:val="0"/>
        <w:rPr>
          <w:color w:val="auto"/>
          <w:highlight w:val="none"/>
        </w:rPr>
      </w:pPr>
    </w:p>
    <w:p w14:paraId="2F12E276">
      <w:pPr>
        <w:bidi w:val="0"/>
        <w:rPr>
          <w:color w:val="auto"/>
          <w:highlight w:val="none"/>
        </w:rPr>
      </w:pPr>
    </w:p>
    <w:p w14:paraId="08784C83">
      <w:pPr>
        <w:bidi w:val="0"/>
        <w:rPr>
          <w:color w:val="auto"/>
          <w:highlight w:val="none"/>
        </w:rPr>
      </w:pPr>
    </w:p>
    <w:p w14:paraId="6EBFC516">
      <w:pPr>
        <w:bidi w:val="0"/>
        <w:rPr>
          <w:color w:val="auto"/>
          <w:highlight w:val="none"/>
        </w:rPr>
      </w:pPr>
    </w:p>
    <w:p w14:paraId="674D797D">
      <w:pPr>
        <w:bidi w:val="0"/>
        <w:rPr>
          <w:color w:val="auto"/>
          <w:highlight w:val="none"/>
        </w:rPr>
      </w:pPr>
    </w:p>
    <w:p w14:paraId="7223BA5B">
      <w:pPr>
        <w:bidi w:val="0"/>
        <w:rPr>
          <w:color w:val="auto"/>
          <w:highlight w:val="none"/>
        </w:rPr>
      </w:pPr>
    </w:p>
    <w:bookmarkEnd w:id="336"/>
    <w:bookmarkEnd w:id="337"/>
    <w:p w14:paraId="6FEFA5B3">
      <w:pPr>
        <w:pStyle w:val="150"/>
        <w:keepNext/>
        <w:keepLines/>
        <w:snapToGrid w:val="0"/>
        <w:spacing w:line="400" w:lineRule="exact"/>
        <w:jc w:val="center"/>
        <w:rPr>
          <w:rFonts w:ascii="宋体" w:hAnsi="宋体" w:cs="宋体"/>
          <w:b/>
          <w:color w:val="auto"/>
          <w:kern w:val="44"/>
          <w:sz w:val="32"/>
          <w:szCs w:val="22"/>
          <w:highlight w:val="none"/>
        </w:rPr>
      </w:pPr>
      <w:bookmarkStart w:id="341" w:name="_Toc133160683"/>
      <w:bookmarkStart w:id="342" w:name="_Toc3174"/>
      <w:bookmarkStart w:id="343" w:name="_Toc24615"/>
      <w:bookmarkStart w:id="344" w:name="_Toc142468134"/>
      <w:bookmarkStart w:id="345" w:name="_Toc132687128"/>
      <w:bookmarkStart w:id="346" w:name="_Toc13722"/>
      <w:bookmarkStart w:id="347" w:name="_Toc137444778"/>
      <w:bookmarkStart w:id="348" w:name="_Toc133815902"/>
      <w:bookmarkStart w:id="349" w:name="_Toc78794873"/>
      <w:r>
        <w:rPr>
          <w:rFonts w:hint="eastAsia" w:ascii="宋体" w:hAnsi="宋体" w:cs="宋体"/>
          <w:b/>
          <w:color w:val="auto"/>
          <w:kern w:val="44"/>
          <w:sz w:val="32"/>
          <w:szCs w:val="22"/>
          <w:highlight w:val="none"/>
        </w:rPr>
        <w:t>第六章 建设工程监理合同</w:t>
      </w:r>
      <w:bookmarkEnd w:id="341"/>
      <w:bookmarkEnd w:id="342"/>
      <w:bookmarkEnd w:id="343"/>
      <w:bookmarkEnd w:id="344"/>
      <w:bookmarkEnd w:id="345"/>
      <w:bookmarkEnd w:id="346"/>
      <w:bookmarkEnd w:id="347"/>
    </w:p>
    <w:p w14:paraId="489A5B59">
      <w:pPr>
        <w:wordWrap w:val="0"/>
        <w:adjustRightInd w:val="0"/>
        <w:snapToGrid w:val="0"/>
        <w:spacing w:before="360" w:beforeLines="150" w:line="400" w:lineRule="exact"/>
        <w:rPr>
          <w:rFonts w:hAnsi="宋体" w:cs="宋体"/>
          <w:color w:val="auto"/>
          <w:highlight w:val="none"/>
        </w:rPr>
      </w:pPr>
      <w:r>
        <w:rPr>
          <w:rFonts w:hint="eastAsia" w:hAnsi="宋体" w:cs="宋体"/>
          <w:snapToGrid w:val="0"/>
          <w:color w:val="auto"/>
          <w:kern w:val="0"/>
          <w:highlight w:val="none"/>
        </w:rPr>
        <w:t xml:space="preserve">    （略），</w:t>
      </w:r>
      <w:bookmarkEnd w:id="348"/>
      <w:bookmarkEnd w:id="349"/>
      <w:r>
        <w:rPr>
          <w:rFonts w:hint="eastAsia" w:hAnsi="宋体" w:cs="宋体"/>
          <w:snapToGrid w:val="0"/>
          <w:color w:val="auto"/>
          <w:kern w:val="0"/>
          <w:highlight w:val="none"/>
        </w:rPr>
        <w:t>按</w:t>
      </w:r>
      <w:r>
        <w:rPr>
          <w:rFonts w:hint="eastAsia" w:hAnsi="宋体" w:cs="宋体"/>
          <w:b/>
          <w:bCs/>
          <w:snapToGrid w:val="0"/>
          <w:color w:val="auto"/>
          <w:kern w:val="0"/>
          <w:highlight w:val="none"/>
          <w:lang w:eastAsia="zh-CN"/>
        </w:rPr>
        <w:t>《</w:t>
      </w:r>
      <w:r>
        <w:rPr>
          <w:rFonts w:hint="eastAsia" w:hAnsi="宋体" w:cs="宋体"/>
          <w:b/>
          <w:bCs/>
          <w:snapToGrid w:val="0"/>
          <w:color w:val="auto"/>
          <w:kern w:val="0"/>
          <w:highlight w:val="none"/>
        </w:rPr>
        <w:t>建设工程监理合同示范文本</w:t>
      </w:r>
      <w:r>
        <w:rPr>
          <w:rFonts w:hint="eastAsia" w:hAnsi="宋体" w:cs="宋体"/>
          <w:b/>
          <w:bCs/>
          <w:snapToGrid w:val="0"/>
          <w:color w:val="auto"/>
          <w:kern w:val="0"/>
          <w:highlight w:val="none"/>
          <w:lang w:eastAsia="zh-CN"/>
        </w:rPr>
        <w:t>》（房屋建筑</w:t>
      </w:r>
      <w:r>
        <w:rPr>
          <w:rFonts w:hint="eastAsia" w:hAnsi="宋体" w:cs="宋体"/>
          <w:b/>
          <w:bCs/>
          <w:snapToGrid w:val="0"/>
          <w:color w:val="auto"/>
          <w:kern w:val="0"/>
          <w:highlight w:val="none"/>
          <w:lang w:val="en-US" w:eastAsia="zh-CN"/>
        </w:rPr>
        <w:t>和市政工程</w:t>
      </w:r>
      <w:r>
        <w:rPr>
          <w:rFonts w:hint="eastAsia" w:hAnsi="宋体" w:cs="宋体"/>
          <w:b/>
          <w:bCs/>
          <w:snapToGrid w:val="0"/>
          <w:color w:val="auto"/>
          <w:kern w:val="0"/>
          <w:highlight w:val="none"/>
        </w:rPr>
        <w:t>WJ-2025-0922</w:t>
      </w:r>
      <w:r>
        <w:rPr>
          <w:rFonts w:hint="eastAsia" w:hAnsi="宋体" w:cs="宋体"/>
          <w:b/>
          <w:bCs/>
          <w:snapToGrid w:val="0"/>
          <w:color w:val="auto"/>
          <w:kern w:val="0"/>
          <w:highlight w:val="none"/>
          <w:lang w:eastAsia="zh-CN"/>
        </w:rPr>
        <w:t>）</w:t>
      </w:r>
      <w:r>
        <w:rPr>
          <w:rFonts w:hint="eastAsia" w:hAnsi="宋体" w:cs="宋体"/>
          <w:snapToGrid w:val="0"/>
          <w:color w:val="auto"/>
          <w:kern w:val="0"/>
          <w:highlight w:val="none"/>
        </w:rPr>
        <w:t>执行。</w:t>
      </w:r>
    </w:p>
    <w:p w14:paraId="6CF11764">
      <w:pPr>
        <w:pStyle w:val="11"/>
        <w:snapToGrid w:val="0"/>
        <w:spacing w:line="400" w:lineRule="exact"/>
        <w:rPr>
          <w:rFonts w:hAnsi="宋体" w:cs="宋体"/>
          <w:snapToGrid w:val="0"/>
          <w:color w:val="auto"/>
          <w:highlight w:val="none"/>
        </w:rPr>
      </w:pPr>
    </w:p>
    <w:p w14:paraId="1A971CE4">
      <w:pPr>
        <w:pStyle w:val="73"/>
        <w:widowControl w:val="0"/>
        <w:wordWrap w:val="0"/>
        <w:adjustRightInd w:val="0"/>
        <w:snapToGrid w:val="0"/>
        <w:spacing w:line="400" w:lineRule="exact"/>
        <w:ind w:firstLine="0"/>
        <w:rPr>
          <w:rFonts w:hAnsi="宋体" w:cs="宋体"/>
          <w:snapToGrid w:val="0"/>
          <w:color w:val="auto"/>
          <w:sz w:val="21"/>
          <w:highlight w:val="none"/>
        </w:rPr>
      </w:pPr>
    </w:p>
    <w:sectPr>
      <w:footerReference r:id="rId7" w:type="default"/>
      <w:endnotePr>
        <w:numFmt w:val="decimal"/>
      </w:endnotePr>
      <w:pgSz w:w="11906" w:h="16838"/>
      <w:pgMar w:top="1134" w:right="1134" w:bottom="1134" w:left="1134" w:header="850" w:footer="850" w:gutter="0"/>
      <w:cols w:space="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3DB4A">
    <w:pPr>
      <w:pStyle w:val="19"/>
      <w:pBdr>
        <w:between w:val="none" w:color="auto" w:sz="0" w:space="0"/>
      </w:pBdr>
      <w:rPr>
        <w:rFonts w:hint="eastAsia"/>
      </w:rPr>
    </w:pPr>
  </w:p>
  <w:p w14:paraId="323B49D0">
    <w:pPr>
      <w:pStyle w:val="19"/>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D75B">
    <w:pPr>
      <w:pStyle w:val="1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60097F">
                          <w:pPr>
                            <w:pStyle w:val="19"/>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wps:txbx>
                    <wps:bodyPr vert="horz" wrap="none" lIns="0" tIns="0" rIns="0" bIns="0" anchor="t" anchorCtr="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iymp9cBAACyAwAADgAAAGRycy9lMm9Eb2MueG1srVPBjtMwEL0j8Q+W&#10;7zTZIq2qqOkKqBYhIUBa9gNcx2ks2R7LnjYpHwB/wIkLd76r38HYSbqwXPbAJRnPjN+8NzNe3wzW&#10;sKMKUYOr+dWi5Ew5CY12+5rff759seIsonCNMOBUzU8q8pvN82fr3ldqCR2YRgVGIC5Wva95h+ir&#10;ooiyU1bEBXjlKNhCsALpGPZFE0RP6NYUy7K8LnoIjQ8gVYzk3Y5BPiGGpwBC22qptiAPVjkcUYMy&#10;AklS7LSPfJPZtq2S+LFto0Jmak5KMX+pCNm79C02a1Htg/CdlhMF8RQKjzRZoR0VvUBtBQp2CPof&#10;KKtlgAgtLiTYYhSSO0IqrspHvbnrhFdZC7U6+kvT4/+DlR+OnwLTTc2vOXPC0sDP37+df/w6//zK&#10;Xqb29D5WlHXnKQ+H1zDQ0sz+SM6kemiDTX/SwyhOzT1dmqsGZDJdWi1Xq5JCkmLzgfCLh+s+RHyr&#10;wLJk1DzQ9HJTxfF9xDF1TknVHNxqY/IEjfvLQZjJUyTuI8dk4bAbJkE7aE6kh54B1ekgfOGspyWo&#10;uaOd58y8c9TjtC+zEWZjNxvCSbpYc+RsNN9g3qtEJPpXByR2mXQqPdabGNEos+xp7dKu/HnOWQ9P&#10;bfM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NospqfXAQAAsgMAAA4AAAAAAAAAAQAgAAAA&#10;HgEAAGRycy9lMm9Eb2MueG1sUEsFBgAAAAAGAAYAWQEAAGcFAAAAAA==&#10;">
              <v:fill on="f" focussize="0,0"/>
              <v:stroke on="f"/>
              <v:imagedata o:title=""/>
              <o:lock v:ext="edit" aspectratio="f"/>
              <v:textbox inset="0mm,0mm,0mm,0mm" style="mso-fit-shape-to-text:t;">
                <w:txbxContent>
                  <w:p w14:paraId="6360097F">
                    <w:pPr>
                      <w:pStyle w:val="19"/>
                    </w:pPr>
                    <w:r>
                      <w:rPr>
                        <w:rFonts w:hint="eastAsia" w:ascii="Times New Roman"/>
                        <w:sz w:val="21"/>
                      </w:rPr>
                      <w:t>—</w:t>
                    </w:r>
                    <w:r>
                      <w:rPr>
                        <w:rFonts w:hint="eastAsia" w:hAnsi="宋体" w:cs="宋体"/>
                        <w:sz w:val="21"/>
                      </w:rPr>
                      <w:fldChar w:fldCharType="begin"/>
                    </w:r>
                    <w:r>
                      <w:rPr>
                        <w:rFonts w:hint="eastAsia" w:hAnsi="宋体" w:cs="宋体"/>
                        <w:sz w:val="21"/>
                      </w:rPr>
                      <w:instrText xml:space="preserve"> PAGE  \* MERGEFORMAT </w:instrText>
                    </w:r>
                    <w:r>
                      <w:rPr>
                        <w:rFonts w:hint="eastAsia" w:hAnsi="宋体" w:cs="宋体"/>
                        <w:sz w:val="21"/>
                      </w:rPr>
                      <w:fldChar w:fldCharType="separate"/>
                    </w:r>
                    <w:r>
                      <w:rPr>
                        <w:rFonts w:hAnsi="宋体" w:cs="宋体"/>
                      </w:rPr>
                      <w:t>45</w:t>
                    </w:r>
                    <w:r>
                      <w:rPr>
                        <w:rFonts w:hint="eastAsia" w:hAnsi="宋体" w:cs="宋体"/>
                        <w:sz w:val="21"/>
                      </w:rPr>
                      <w:fldChar w:fldCharType="end"/>
                    </w:r>
                    <w:r>
                      <w:rPr>
                        <w:rFonts w:hint="eastAsia" w:ascii="Times New Roman"/>
                        <w:sz w:val="21"/>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E6401">
    <w:pPr>
      <w:pStyle w:val="1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A73AE3">
                          <w:pPr>
                            <w:pStyle w:val="19"/>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QxTN8ABAACN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2cg0Ib44JC5d+MuoENRfDKRVG80blNXh8L1kPf9H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CdDFM3wAEAAI0DAAAOAAAAAAAAAAEAIAAAAB4BAABkcnMvZTJvRG9jLnhtbFBLBQYA&#10;AAAABgAGAFkBAABQBQAAAAA=&#10;">
              <v:fill on="f" focussize="0,0"/>
              <v:stroke on="f"/>
              <v:imagedata o:title=""/>
              <o:lock v:ext="edit" aspectratio="f"/>
              <v:textbox inset="0mm,0mm,0mm,0mm" style="mso-fit-shape-to-text:t;">
                <w:txbxContent>
                  <w:p w14:paraId="75A73AE3">
                    <w:pPr>
                      <w:pStyle w:val="19"/>
                    </w:pP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57</w:t>
                    </w:r>
                    <w:r>
                      <w:rPr>
                        <w:rFonts w:ascii="Times New Roman"/>
                        <w:sz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xZDA0NTY0Yzc5OGVjODYxNjc1ZjJjYjI0MTIwNjIifQ=="/>
  </w:docVars>
  <w:rsids>
    <w:rsidRoot w:val="00172A27"/>
    <w:rsid w:val="00041C36"/>
    <w:rsid w:val="00050F86"/>
    <w:rsid w:val="000C1D2D"/>
    <w:rsid w:val="00153E0E"/>
    <w:rsid w:val="00172A27"/>
    <w:rsid w:val="001F053E"/>
    <w:rsid w:val="002543A6"/>
    <w:rsid w:val="002A3912"/>
    <w:rsid w:val="002A7E8D"/>
    <w:rsid w:val="00410516"/>
    <w:rsid w:val="00484F5E"/>
    <w:rsid w:val="004B70BA"/>
    <w:rsid w:val="004D7577"/>
    <w:rsid w:val="00567655"/>
    <w:rsid w:val="00590B05"/>
    <w:rsid w:val="005B2D42"/>
    <w:rsid w:val="00771397"/>
    <w:rsid w:val="00826BCD"/>
    <w:rsid w:val="008E4DA0"/>
    <w:rsid w:val="009329EC"/>
    <w:rsid w:val="00932BB8"/>
    <w:rsid w:val="00964E9C"/>
    <w:rsid w:val="00990279"/>
    <w:rsid w:val="00A110EA"/>
    <w:rsid w:val="00A32A2E"/>
    <w:rsid w:val="00A77565"/>
    <w:rsid w:val="00B5203F"/>
    <w:rsid w:val="00B640AC"/>
    <w:rsid w:val="00C04E46"/>
    <w:rsid w:val="00C621A8"/>
    <w:rsid w:val="00C933CE"/>
    <w:rsid w:val="00C970D2"/>
    <w:rsid w:val="00CB4415"/>
    <w:rsid w:val="00D52B05"/>
    <w:rsid w:val="00DA2408"/>
    <w:rsid w:val="00DC1846"/>
    <w:rsid w:val="00E40A50"/>
    <w:rsid w:val="00EF7950"/>
    <w:rsid w:val="00F214A7"/>
    <w:rsid w:val="00F679B3"/>
    <w:rsid w:val="0158531E"/>
    <w:rsid w:val="01AC7678"/>
    <w:rsid w:val="01AF70E0"/>
    <w:rsid w:val="01C427EB"/>
    <w:rsid w:val="01D07479"/>
    <w:rsid w:val="01D22CED"/>
    <w:rsid w:val="01DA01AC"/>
    <w:rsid w:val="01F86CD9"/>
    <w:rsid w:val="02647AB9"/>
    <w:rsid w:val="027C0AD0"/>
    <w:rsid w:val="02BB47BA"/>
    <w:rsid w:val="02BE191A"/>
    <w:rsid w:val="02D320E0"/>
    <w:rsid w:val="02E6644C"/>
    <w:rsid w:val="03280EF8"/>
    <w:rsid w:val="032B3195"/>
    <w:rsid w:val="03353615"/>
    <w:rsid w:val="03606DA8"/>
    <w:rsid w:val="03727922"/>
    <w:rsid w:val="03826431"/>
    <w:rsid w:val="03AA0611"/>
    <w:rsid w:val="03AE02E8"/>
    <w:rsid w:val="03B83805"/>
    <w:rsid w:val="0455083C"/>
    <w:rsid w:val="04780182"/>
    <w:rsid w:val="04841E6C"/>
    <w:rsid w:val="048707A2"/>
    <w:rsid w:val="04D81F7C"/>
    <w:rsid w:val="0540319E"/>
    <w:rsid w:val="05D37647"/>
    <w:rsid w:val="06096CBB"/>
    <w:rsid w:val="06336531"/>
    <w:rsid w:val="0636289C"/>
    <w:rsid w:val="06372B69"/>
    <w:rsid w:val="06403908"/>
    <w:rsid w:val="06437A4D"/>
    <w:rsid w:val="064E157F"/>
    <w:rsid w:val="06685A39"/>
    <w:rsid w:val="066863D5"/>
    <w:rsid w:val="0680104B"/>
    <w:rsid w:val="069B30D5"/>
    <w:rsid w:val="06A7536A"/>
    <w:rsid w:val="06B12BCD"/>
    <w:rsid w:val="06BD5A5C"/>
    <w:rsid w:val="06CE69E4"/>
    <w:rsid w:val="06F44232"/>
    <w:rsid w:val="071A4FFB"/>
    <w:rsid w:val="072F60EA"/>
    <w:rsid w:val="073003F6"/>
    <w:rsid w:val="073C1416"/>
    <w:rsid w:val="075A5A3E"/>
    <w:rsid w:val="07626CD1"/>
    <w:rsid w:val="076349FE"/>
    <w:rsid w:val="07B23BD2"/>
    <w:rsid w:val="07D52779"/>
    <w:rsid w:val="07F654CB"/>
    <w:rsid w:val="07F90245"/>
    <w:rsid w:val="08077FE9"/>
    <w:rsid w:val="08432B8E"/>
    <w:rsid w:val="085D1A1C"/>
    <w:rsid w:val="0872069D"/>
    <w:rsid w:val="08767FD2"/>
    <w:rsid w:val="087D7F38"/>
    <w:rsid w:val="08970A40"/>
    <w:rsid w:val="08A4162E"/>
    <w:rsid w:val="09702125"/>
    <w:rsid w:val="09B41737"/>
    <w:rsid w:val="09CA2D09"/>
    <w:rsid w:val="09E65669"/>
    <w:rsid w:val="09EA5159"/>
    <w:rsid w:val="09F5235C"/>
    <w:rsid w:val="0A0E69FD"/>
    <w:rsid w:val="0A3E54A5"/>
    <w:rsid w:val="0A570314"/>
    <w:rsid w:val="0A6523F4"/>
    <w:rsid w:val="0A685FB5"/>
    <w:rsid w:val="0A740EC6"/>
    <w:rsid w:val="0A9F6084"/>
    <w:rsid w:val="0B4006EB"/>
    <w:rsid w:val="0B914627"/>
    <w:rsid w:val="0B9B6EF0"/>
    <w:rsid w:val="0B9E10B5"/>
    <w:rsid w:val="0B9E1CB0"/>
    <w:rsid w:val="0BC47C2C"/>
    <w:rsid w:val="0BE65DF4"/>
    <w:rsid w:val="0BF24552"/>
    <w:rsid w:val="0C0D7AE6"/>
    <w:rsid w:val="0C227F1F"/>
    <w:rsid w:val="0C85560D"/>
    <w:rsid w:val="0CA02447"/>
    <w:rsid w:val="0CA20070"/>
    <w:rsid w:val="0CC7733C"/>
    <w:rsid w:val="0CC80FED"/>
    <w:rsid w:val="0CD32A34"/>
    <w:rsid w:val="0CF12128"/>
    <w:rsid w:val="0D140105"/>
    <w:rsid w:val="0D364445"/>
    <w:rsid w:val="0D710A31"/>
    <w:rsid w:val="0D7E1192"/>
    <w:rsid w:val="0DB82B2F"/>
    <w:rsid w:val="0E0322E5"/>
    <w:rsid w:val="0E650489"/>
    <w:rsid w:val="0E8273DD"/>
    <w:rsid w:val="0E954BA0"/>
    <w:rsid w:val="0EAF2288"/>
    <w:rsid w:val="0EC544EB"/>
    <w:rsid w:val="0F177F3C"/>
    <w:rsid w:val="0F287BA3"/>
    <w:rsid w:val="0F3B1552"/>
    <w:rsid w:val="0F823F1F"/>
    <w:rsid w:val="0FA01990"/>
    <w:rsid w:val="0FA1224B"/>
    <w:rsid w:val="0FAB1B4B"/>
    <w:rsid w:val="0FC147F0"/>
    <w:rsid w:val="0FC83017"/>
    <w:rsid w:val="0FCF62FB"/>
    <w:rsid w:val="0FDE143F"/>
    <w:rsid w:val="0FED49BA"/>
    <w:rsid w:val="0FEF717F"/>
    <w:rsid w:val="106F6EDC"/>
    <w:rsid w:val="10BB100E"/>
    <w:rsid w:val="10CF5BBB"/>
    <w:rsid w:val="10E072B6"/>
    <w:rsid w:val="10FB5335"/>
    <w:rsid w:val="10FD39C4"/>
    <w:rsid w:val="11160F29"/>
    <w:rsid w:val="112D1D65"/>
    <w:rsid w:val="11303196"/>
    <w:rsid w:val="11360437"/>
    <w:rsid w:val="113B11BA"/>
    <w:rsid w:val="11515ABE"/>
    <w:rsid w:val="116021A5"/>
    <w:rsid w:val="11613355"/>
    <w:rsid w:val="11A42091"/>
    <w:rsid w:val="11D67B34"/>
    <w:rsid w:val="11F70077"/>
    <w:rsid w:val="11FE6FE0"/>
    <w:rsid w:val="121459A3"/>
    <w:rsid w:val="127C2803"/>
    <w:rsid w:val="127E10FD"/>
    <w:rsid w:val="12851648"/>
    <w:rsid w:val="128819B3"/>
    <w:rsid w:val="12884038"/>
    <w:rsid w:val="12C13398"/>
    <w:rsid w:val="12F876BF"/>
    <w:rsid w:val="13114669"/>
    <w:rsid w:val="132029E9"/>
    <w:rsid w:val="132F1E2E"/>
    <w:rsid w:val="13351019"/>
    <w:rsid w:val="135B72ED"/>
    <w:rsid w:val="136C6CCA"/>
    <w:rsid w:val="13841C28"/>
    <w:rsid w:val="139A08A3"/>
    <w:rsid w:val="13B3480E"/>
    <w:rsid w:val="13BE434A"/>
    <w:rsid w:val="13C925E9"/>
    <w:rsid w:val="13D87533"/>
    <w:rsid w:val="13E2760C"/>
    <w:rsid w:val="13E55A7C"/>
    <w:rsid w:val="13ED238A"/>
    <w:rsid w:val="144D28BE"/>
    <w:rsid w:val="14A11363"/>
    <w:rsid w:val="14AD3C82"/>
    <w:rsid w:val="14AD638E"/>
    <w:rsid w:val="14D507B4"/>
    <w:rsid w:val="14E82BDD"/>
    <w:rsid w:val="150717C8"/>
    <w:rsid w:val="1530421B"/>
    <w:rsid w:val="15335E3C"/>
    <w:rsid w:val="15585425"/>
    <w:rsid w:val="15632821"/>
    <w:rsid w:val="156E0438"/>
    <w:rsid w:val="159710CE"/>
    <w:rsid w:val="1613202A"/>
    <w:rsid w:val="161D4E95"/>
    <w:rsid w:val="162C017A"/>
    <w:rsid w:val="16435C60"/>
    <w:rsid w:val="165B50B5"/>
    <w:rsid w:val="16715F6C"/>
    <w:rsid w:val="16744260"/>
    <w:rsid w:val="168C342C"/>
    <w:rsid w:val="16921052"/>
    <w:rsid w:val="16991967"/>
    <w:rsid w:val="16A92C1F"/>
    <w:rsid w:val="16AB4918"/>
    <w:rsid w:val="16DF3B6C"/>
    <w:rsid w:val="16E216B8"/>
    <w:rsid w:val="17292082"/>
    <w:rsid w:val="17394FF8"/>
    <w:rsid w:val="17A50E24"/>
    <w:rsid w:val="17DE305B"/>
    <w:rsid w:val="17EB6EF9"/>
    <w:rsid w:val="17EF123E"/>
    <w:rsid w:val="181E2472"/>
    <w:rsid w:val="186F67C2"/>
    <w:rsid w:val="18AC5722"/>
    <w:rsid w:val="18BA750B"/>
    <w:rsid w:val="18C03544"/>
    <w:rsid w:val="18CF1CD4"/>
    <w:rsid w:val="18D45DFC"/>
    <w:rsid w:val="18DD6311"/>
    <w:rsid w:val="19000928"/>
    <w:rsid w:val="192856B3"/>
    <w:rsid w:val="193A2057"/>
    <w:rsid w:val="19506374"/>
    <w:rsid w:val="19AB63C4"/>
    <w:rsid w:val="19B45EB3"/>
    <w:rsid w:val="1A0D6313"/>
    <w:rsid w:val="1A3810FE"/>
    <w:rsid w:val="1A3D0F0C"/>
    <w:rsid w:val="1A4A48FF"/>
    <w:rsid w:val="1A501F1B"/>
    <w:rsid w:val="1A7C0E8F"/>
    <w:rsid w:val="1A9A0468"/>
    <w:rsid w:val="1ABE60EB"/>
    <w:rsid w:val="1AFB4481"/>
    <w:rsid w:val="1B3626B5"/>
    <w:rsid w:val="1B544E28"/>
    <w:rsid w:val="1B5938A5"/>
    <w:rsid w:val="1B5D1E9E"/>
    <w:rsid w:val="1B6323E0"/>
    <w:rsid w:val="1B776451"/>
    <w:rsid w:val="1BAE4064"/>
    <w:rsid w:val="1BD16179"/>
    <w:rsid w:val="1BD712B5"/>
    <w:rsid w:val="1BDB2B53"/>
    <w:rsid w:val="1C0D795C"/>
    <w:rsid w:val="1C0F788B"/>
    <w:rsid w:val="1C141501"/>
    <w:rsid w:val="1C3D55BC"/>
    <w:rsid w:val="1C7726C5"/>
    <w:rsid w:val="1C814C75"/>
    <w:rsid w:val="1C8F2794"/>
    <w:rsid w:val="1CAE7812"/>
    <w:rsid w:val="1CB20AFB"/>
    <w:rsid w:val="1CB751D0"/>
    <w:rsid w:val="1CB919A4"/>
    <w:rsid w:val="1CD83537"/>
    <w:rsid w:val="1CFC0D17"/>
    <w:rsid w:val="1CFC2D19"/>
    <w:rsid w:val="1D105D93"/>
    <w:rsid w:val="1D1E0445"/>
    <w:rsid w:val="1D270AE4"/>
    <w:rsid w:val="1D44283A"/>
    <w:rsid w:val="1D60342F"/>
    <w:rsid w:val="1D78009C"/>
    <w:rsid w:val="1D796AC8"/>
    <w:rsid w:val="1D871C03"/>
    <w:rsid w:val="1D884CF0"/>
    <w:rsid w:val="1D8E0177"/>
    <w:rsid w:val="1DA3413D"/>
    <w:rsid w:val="1E545B64"/>
    <w:rsid w:val="1E7B6870"/>
    <w:rsid w:val="1EC73280"/>
    <w:rsid w:val="1EFF124F"/>
    <w:rsid w:val="1F114792"/>
    <w:rsid w:val="1F1E1F01"/>
    <w:rsid w:val="1F444EB4"/>
    <w:rsid w:val="1F503858"/>
    <w:rsid w:val="1F8E7284"/>
    <w:rsid w:val="1FB360E7"/>
    <w:rsid w:val="1FB873A4"/>
    <w:rsid w:val="1FF232DB"/>
    <w:rsid w:val="1FF45850"/>
    <w:rsid w:val="202D1235"/>
    <w:rsid w:val="203013AA"/>
    <w:rsid w:val="20327A15"/>
    <w:rsid w:val="206E565F"/>
    <w:rsid w:val="20D364EF"/>
    <w:rsid w:val="20E97676"/>
    <w:rsid w:val="21295B5E"/>
    <w:rsid w:val="212C04F0"/>
    <w:rsid w:val="212D27FA"/>
    <w:rsid w:val="219E373C"/>
    <w:rsid w:val="21AF599B"/>
    <w:rsid w:val="21D0774F"/>
    <w:rsid w:val="223713D9"/>
    <w:rsid w:val="227B2B13"/>
    <w:rsid w:val="22A461F0"/>
    <w:rsid w:val="22B12CDA"/>
    <w:rsid w:val="22C92E53"/>
    <w:rsid w:val="22FC4CE3"/>
    <w:rsid w:val="23187739"/>
    <w:rsid w:val="23291E8B"/>
    <w:rsid w:val="23437531"/>
    <w:rsid w:val="23596042"/>
    <w:rsid w:val="236457F5"/>
    <w:rsid w:val="236E081B"/>
    <w:rsid w:val="2387194A"/>
    <w:rsid w:val="238C2DA9"/>
    <w:rsid w:val="23E85901"/>
    <w:rsid w:val="241E63E6"/>
    <w:rsid w:val="24213A15"/>
    <w:rsid w:val="24372BE7"/>
    <w:rsid w:val="244A78E6"/>
    <w:rsid w:val="245105A4"/>
    <w:rsid w:val="245A0AF2"/>
    <w:rsid w:val="245C2F8D"/>
    <w:rsid w:val="249066DD"/>
    <w:rsid w:val="24D7792D"/>
    <w:rsid w:val="24E707BB"/>
    <w:rsid w:val="251C369C"/>
    <w:rsid w:val="25536401"/>
    <w:rsid w:val="2566287E"/>
    <w:rsid w:val="25FD1164"/>
    <w:rsid w:val="2612287C"/>
    <w:rsid w:val="26196704"/>
    <w:rsid w:val="26217CFD"/>
    <w:rsid w:val="26440673"/>
    <w:rsid w:val="265840DB"/>
    <w:rsid w:val="26623C6C"/>
    <w:rsid w:val="26C86BA7"/>
    <w:rsid w:val="26E06C71"/>
    <w:rsid w:val="26EA0CB5"/>
    <w:rsid w:val="26FD55DC"/>
    <w:rsid w:val="27017996"/>
    <w:rsid w:val="273C36E8"/>
    <w:rsid w:val="2744740D"/>
    <w:rsid w:val="274B251F"/>
    <w:rsid w:val="274B5F1C"/>
    <w:rsid w:val="274C5507"/>
    <w:rsid w:val="274E67F3"/>
    <w:rsid w:val="275B14B6"/>
    <w:rsid w:val="27725362"/>
    <w:rsid w:val="27C923FA"/>
    <w:rsid w:val="281250A7"/>
    <w:rsid w:val="28131DB1"/>
    <w:rsid w:val="28251659"/>
    <w:rsid w:val="283C7070"/>
    <w:rsid w:val="284618DF"/>
    <w:rsid w:val="286F2FA1"/>
    <w:rsid w:val="289531DE"/>
    <w:rsid w:val="28E47B36"/>
    <w:rsid w:val="291C1B2F"/>
    <w:rsid w:val="29234F87"/>
    <w:rsid w:val="29554B1B"/>
    <w:rsid w:val="29671ECA"/>
    <w:rsid w:val="298A6B2C"/>
    <w:rsid w:val="29B66A0D"/>
    <w:rsid w:val="29F05B24"/>
    <w:rsid w:val="29F179E6"/>
    <w:rsid w:val="2A350D3C"/>
    <w:rsid w:val="2A4D7E90"/>
    <w:rsid w:val="2A532071"/>
    <w:rsid w:val="2A771831"/>
    <w:rsid w:val="2A87033E"/>
    <w:rsid w:val="2A960744"/>
    <w:rsid w:val="2AB51533"/>
    <w:rsid w:val="2AC60E73"/>
    <w:rsid w:val="2ADA3A0F"/>
    <w:rsid w:val="2AFF2BF3"/>
    <w:rsid w:val="2B037A34"/>
    <w:rsid w:val="2B2100D0"/>
    <w:rsid w:val="2B376FD2"/>
    <w:rsid w:val="2B593377"/>
    <w:rsid w:val="2B7C1908"/>
    <w:rsid w:val="2BC1086B"/>
    <w:rsid w:val="2BDC351D"/>
    <w:rsid w:val="2BE13AE1"/>
    <w:rsid w:val="2BEF2275"/>
    <w:rsid w:val="2C230203"/>
    <w:rsid w:val="2C8D32F9"/>
    <w:rsid w:val="2CEB0040"/>
    <w:rsid w:val="2D08614C"/>
    <w:rsid w:val="2D0A4DD2"/>
    <w:rsid w:val="2D427EAD"/>
    <w:rsid w:val="2D9515C6"/>
    <w:rsid w:val="2DA42251"/>
    <w:rsid w:val="2DC826D3"/>
    <w:rsid w:val="2DEF1607"/>
    <w:rsid w:val="2DF27D49"/>
    <w:rsid w:val="2DF803FC"/>
    <w:rsid w:val="2E0C16EA"/>
    <w:rsid w:val="2E910CDC"/>
    <w:rsid w:val="2EBD1EFD"/>
    <w:rsid w:val="2EC715D4"/>
    <w:rsid w:val="2F0B092E"/>
    <w:rsid w:val="2F1B3C50"/>
    <w:rsid w:val="2F1D4D98"/>
    <w:rsid w:val="2F4228EE"/>
    <w:rsid w:val="2F4E3303"/>
    <w:rsid w:val="2F625641"/>
    <w:rsid w:val="2FAC2F79"/>
    <w:rsid w:val="2FBF699C"/>
    <w:rsid w:val="2FF139C9"/>
    <w:rsid w:val="301C3E1D"/>
    <w:rsid w:val="303C6E79"/>
    <w:rsid w:val="304479DC"/>
    <w:rsid w:val="306B0278"/>
    <w:rsid w:val="308E63ED"/>
    <w:rsid w:val="30BF65F3"/>
    <w:rsid w:val="30C47C02"/>
    <w:rsid w:val="315F570D"/>
    <w:rsid w:val="31615422"/>
    <w:rsid w:val="3163741B"/>
    <w:rsid w:val="31E0281A"/>
    <w:rsid w:val="31FE12D4"/>
    <w:rsid w:val="32364B30"/>
    <w:rsid w:val="32973753"/>
    <w:rsid w:val="32B271D3"/>
    <w:rsid w:val="32BA0022"/>
    <w:rsid w:val="331F7245"/>
    <w:rsid w:val="332643F5"/>
    <w:rsid w:val="33791178"/>
    <w:rsid w:val="3398526F"/>
    <w:rsid w:val="33CB12A8"/>
    <w:rsid w:val="33D267D7"/>
    <w:rsid w:val="33D66E83"/>
    <w:rsid w:val="33E82ECD"/>
    <w:rsid w:val="33F7209D"/>
    <w:rsid w:val="34022441"/>
    <w:rsid w:val="340D366E"/>
    <w:rsid w:val="3428064F"/>
    <w:rsid w:val="34414EE8"/>
    <w:rsid w:val="3460329E"/>
    <w:rsid w:val="34675E29"/>
    <w:rsid w:val="34E70363"/>
    <w:rsid w:val="34E76031"/>
    <w:rsid w:val="350C3E26"/>
    <w:rsid w:val="3511371C"/>
    <w:rsid w:val="352178D8"/>
    <w:rsid w:val="352251C2"/>
    <w:rsid w:val="353F2CB2"/>
    <w:rsid w:val="35435F75"/>
    <w:rsid w:val="357F2541"/>
    <w:rsid w:val="35827B62"/>
    <w:rsid w:val="358562B5"/>
    <w:rsid w:val="35AD5109"/>
    <w:rsid w:val="35B84990"/>
    <w:rsid w:val="35BA3E5B"/>
    <w:rsid w:val="35F21282"/>
    <w:rsid w:val="362F5B1E"/>
    <w:rsid w:val="36395EE4"/>
    <w:rsid w:val="36493477"/>
    <w:rsid w:val="364D6ED6"/>
    <w:rsid w:val="36673031"/>
    <w:rsid w:val="36721236"/>
    <w:rsid w:val="36B726AE"/>
    <w:rsid w:val="36C3101C"/>
    <w:rsid w:val="36C4060B"/>
    <w:rsid w:val="36F3211B"/>
    <w:rsid w:val="373525CE"/>
    <w:rsid w:val="374F73CF"/>
    <w:rsid w:val="375873B1"/>
    <w:rsid w:val="375A09AF"/>
    <w:rsid w:val="3766112D"/>
    <w:rsid w:val="37A20289"/>
    <w:rsid w:val="37B46FED"/>
    <w:rsid w:val="37CF580A"/>
    <w:rsid w:val="37D1291E"/>
    <w:rsid w:val="37D4026E"/>
    <w:rsid w:val="37DA5E90"/>
    <w:rsid w:val="383A4B00"/>
    <w:rsid w:val="38A019C9"/>
    <w:rsid w:val="38A61F0C"/>
    <w:rsid w:val="38B03362"/>
    <w:rsid w:val="38B67EB0"/>
    <w:rsid w:val="38D26C34"/>
    <w:rsid w:val="38E01244"/>
    <w:rsid w:val="392A60A6"/>
    <w:rsid w:val="393110B2"/>
    <w:rsid w:val="393A310B"/>
    <w:rsid w:val="39471031"/>
    <w:rsid w:val="39684A29"/>
    <w:rsid w:val="3971644D"/>
    <w:rsid w:val="397C551E"/>
    <w:rsid w:val="3994602B"/>
    <w:rsid w:val="39A92D27"/>
    <w:rsid w:val="39B953E3"/>
    <w:rsid w:val="3A081ED6"/>
    <w:rsid w:val="3A0B3E46"/>
    <w:rsid w:val="3A2C5B75"/>
    <w:rsid w:val="3A483652"/>
    <w:rsid w:val="3A5024DC"/>
    <w:rsid w:val="3A6366DE"/>
    <w:rsid w:val="3AE13585"/>
    <w:rsid w:val="3AE500CF"/>
    <w:rsid w:val="3B051543"/>
    <w:rsid w:val="3B071DE4"/>
    <w:rsid w:val="3B1F5DC1"/>
    <w:rsid w:val="3B3A4AB6"/>
    <w:rsid w:val="3B43221E"/>
    <w:rsid w:val="3B732D74"/>
    <w:rsid w:val="3B8B7F8C"/>
    <w:rsid w:val="3B9A46DD"/>
    <w:rsid w:val="3BA174BE"/>
    <w:rsid w:val="3BA34FDA"/>
    <w:rsid w:val="3BBB7C7B"/>
    <w:rsid w:val="3BBD0245"/>
    <w:rsid w:val="3BC5576C"/>
    <w:rsid w:val="3C35213B"/>
    <w:rsid w:val="3C5067EE"/>
    <w:rsid w:val="3C581218"/>
    <w:rsid w:val="3CD218F9"/>
    <w:rsid w:val="3CD704BD"/>
    <w:rsid w:val="3CE75849"/>
    <w:rsid w:val="3D1A6A65"/>
    <w:rsid w:val="3D4B689C"/>
    <w:rsid w:val="3D6C74FD"/>
    <w:rsid w:val="3D8F7C9A"/>
    <w:rsid w:val="3E88226F"/>
    <w:rsid w:val="3EBC63BD"/>
    <w:rsid w:val="3EDB4A95"/>
    <w:rsid w:val="3EE057E6"/>
    <w:rsid w:val="3F18690D"/>
    <w:rsid w:val="3F1B285B"/>
    <w:rsid w:val="3F2A3743"/>
    <w:rsid w:val="3F310B59"/>
    <w:rsid w:val="3F43243B"/>
    <w:rsid w:val="3F47212A"/>
    <w:rsid w:val="3F6A3CD5"/>
    <w:rsid w:val="3FCB19D9"/>
    <w:rsid w:val="3FCB2D5B"/>
    <w:rsid w:val="3FE57C96"/>
    <w:rsid w:val="3FF5259B"/>
    <w:rsid w:val="3FF81D2D"/>
    <w:rsid w:val="402847E9"/>
    <w:rsid w:val="40302BBE"/>
    <w:rsid w:val="405E34A3"/>
    <w:rsid w:val="407C7161"/>
    <w:rsid w:val="407D5E86"/>
    <w:rsid w:val="40807762"/>
    <w:rsid w:val="409A44DC"/>
    <w:rsid w:val="40A92971"/>
    <w:rsid w:val="40BC08F6"/>
    <w:rsid w:val="40BE0F76"/>
    <w:rsid w:val="40CB718C"/>
    <w:rsid w:val="40DD59C2"/>
    <w:rsid w:val="41610361"/>
    <w:rsid w:val="41A8307D"/>
    <w:rsid w:val="41C06995"/>
    <w:rsid w:val="41DB1250"/>
    <w:rsid w:val="41E2613A"/>
    <w:rsid w:val="421B6FDC"/>
    <w:rsid w:val="42595C18"/>
    <w:rsid w:val="429E14C7"/>
    <w:rsid w:val="429F2762"/>
    <w:rsid w:val="42AB17FE"/>
    <w:rsid w:val="42B11DCD"/>
    <w:rsid w:val="42FF5094"/>
    <w:rsid w:val="436C03B1"/>
    <w:rsid w:val="43A85A50"/>
    <w:rsid w:val="43C7528C"/>
    <w:rsid w:val="43CB220C"/>
    <w:rsid w:val="441D1BE7"/>
    <w:rsid w:val="445415FA"/>
    <w:rsid w:val="445B3984"/>
    <w:rsid w:val="445B5455"/>
    <w:rsid w:val="44943A7F"/>
    <w:rsid w:val="44DF70BA"/>
    <w:rsid w:val="450F631C"/>
    <w:rsid w:val="453971E4"/>
    <w:rsid w:val="453C54BE"/>
    <w:rsid w:val="45476363"/>
    <w:rsid w:val="456D040C"/>
    <w:rsid w:val="458938E1"/>
    <w:rsid w:val="45F82B0D"/>
    <w:rsid w:val="463F7FFF"/>
    <w:rsid w:val="46484BFF"/>
    <w:rsid w:val="46512233"/>
    <w:rsid w:val="46540D24"/>
    <w:rsid w:val="46A737E8"/>
    <w:rsid w:val="46C14018"/>
    <w:rsid w:val="46C73076"/>
    <w:rsid w:val="46D07EE5"/>
    <w:rsid w:val="46E465A3"/>
    <w:rsid w:val="46F806BD"/>
    <w:rsid w:val="47043CAB"/>
    <w:rsid w:val="472705CE"/>
    <w:rsid w:val="479A2C46"/>
    <w:rsid w:val="479C5136"/>
    <w:rsid w:val="47E06018"/>
    <w:rsid w:val="47FA3CDB"/>
    <w:rsid w:val="48197D96"/>
    <w:rsid w:val="48653A64"/>
    <w:rsid w:val="48811B8A"/>
    <w:rsid w:val="48C40B78"/>
    <w:rsid w:val="48C43988"/>
    <w:rsid w:val="48E83E36"/>
    <w:rsid w:val="49345B93"/>
    <w:rsid w:val="494C4B08"/>
    <w:rsid w:val="49951EFC"/>
    <w:rsid w:val="499A26FB"/>
    <w:rsid w:val="49B026D9"/>
    <w:rsid w:val="49B722B7"/>
    <w:rsid w:val="49C15E4A"/>
    <w:rsid w:val="49D955C3"/>
    <w:rsid w:val="49ED65A4"/>
    <w:rsid w:val="4A307756"/>
    <w:rsid w:val="4A6D7DCA"/>
    <w:rsid w:val="4A9910AB"/>
    <w:rsid w:val="4A992597"/>
    <w:rsid w:val="4A9B332A"/>
    <w:rsid w:val="4AD625B4"/>
    <w:rsid w:val="4AFF509B"/>
    <w:rsid w:val="4B04672A"/>
    <w:rsid w:val="4B4014D1"/>
    <w:rsid w:val="4B5E2E2F"/>
    <w:rsid w:val="4B664567"/>
    <w:rsid w:val="4B675E1C"/>
    <w:rsid w:val="4B9F7C0E"/>
    <w:rsid w:val="4BC73F17"/>
    <w:rsid w:val="4BEB73D9"/>
    <w:rsid w:val="4C166235"/>
    <w:rsid w:val="4C1C544C"/>
    <w:rsid w:val="4C313219"/>
    <w:rsid w:val="4C5D1828"/>
    <w:rsid w:val="4C6C738D"/>
    <w:rsid w:val="4C6D0CF6"/>
    <w:rsid w:val="4C6D1DE5"/>
    <w:rsid w:val="4C7E6A54"/>
    <w:rsid w:val="4C865C08"/>
    <w:rsid w:val="4D014489"/>
    <w:rsid w:val="4D317F76"/>
    <w:rsid w:val="4D7E2A50"/>
    <w:rsid w:val="4DA23565"/>
    <w:rsid w:val="4DA9629F"/>
    <w:rsid w:val="4DB7491F"/>
    <w:rsid w:val="4DD038A9"/>
    <w:rsid w:val="4DE1199C"/>
    <w:rsid w:val="4E49490E"/>
    <w:rsid w:val="4E551A8D"/>
    <w:rsid w:val="4EB250E6"/>
    <w:rsid w:val="4EE207BB"/>
    <w:rsid w:val="4EF75916"/>
    <w:rsid w:val="4F0F53A9"/>
    <w:rsid w:val="4F1720D5"/>
    <w:rsid w:val="4F1D51EC"/>
    <w:rsid w:val="4F1F0C9F"/>
    <w:rsid w:val="4F244C6A"/>
    <w:rsid w:val="4FB00148"/>
    <w:rsid w:val="4FE12F08"/>
    <w:rsid w:val="4FF63972"/>
    <w:rsid w:val="500B4BE0"/>
    <w:rsid w:val="504A7CCC"/>
    <w:rsid w:val="504B329A"/>
    <w:rsid w:val="50580297"/>
    <w:rsid w:val="50697817"/>
    <w:rsid w:val="506F6B37"/>
    <w:rsid w:val="5086682B"/>
    <w:rsid w:val="5090365A"/>
    <w:rsid w:val="50B93BFE"/>
    <w:rsid w:val="51096E4A"/>
    <w:rsid w:val="51106525"/>
    <w:rsid w:val="511A6C71"/>
    <w:rsid w:val="512567F5"/>
    <w:rsid w:val="513C4D1D"/>
    <w:rsid w:val="514C3DAD"/>
    <w:rsid w:val="515047BA"/>
    <w:rsid w:val="5157430C"/>
    <w:rsid w:val="516A7F37"/>
    <w:rsid w:val="516D2E7D"/>
    <w:rsid w:val="51916F53"/>
    <w:rsid w:val="51AA4C59"/>
    <w:rsid w:val="51B24E4A"/>
    <w:rsid w:val="51CB4CC2"/>
    <w:rsid w:val="51D829D5"/>
    <w:rsid w:val="51ED0D38"/>
    <w:rsid w:val="51F31FFB"/>
    <w:rsid w:val="51FA103F"/>
    <w:rsid w:val="520170B1"/>
    <w:rsid w:val="524428F4"/>
    <w:rsid w:val="5257047F"/>
    <w:rsid w:val="525B5D4E"/>
    <w:rsid w:val="52693AF2"/>
    <w:rsid w:val="52765BD3"/>
    <w:rsid w:val="52851E0F"/>
    <w:rsid w:val="529B0943"/>
    <w:rsid w:val="52F44E38"/>
    <w:rsid w:val="52FE3AEF"/>
    <w:rsid w:val="53284056"/>
    <w:rsid w:val="537038AC"/>
    <w:rsid w:val="537540CD"/>
    <w:rsid w:val="53911E0A"/>
    <w:rsid w:val="53E13EC3"/>
    <w:rsid w:val="53E415EA"/>
    <w:rsid w:val="53FA7768"/>
    <w:rsid w:val="54140409"/>
    <w:rsid w:val="546837CB"/>
    <w:rsid w:val="54723DA3"/>
    <w:rsid w:val="547A0454"/>
    <w:rsid w:val="548C2969"/>
    <w:rsid w:val="54934AA7"/>
    <w:rsid w:val="549624AE"/>
    <w:rsid w:val="54CF254E"/>
    <w:rsid w:val="550B7745"/>
    <w:rsid w:val="554A42CB"/>
    <w:rsid w:val="55607267"/>
    <w:rsid w:val="556421BF"/>
    <w:rsid w:val="55676BB4"/>
    <w:rsid w:val="55835251"/>
    <w:rsid w:val="55913CA7"/>
    <w:rsid w:val="55CC6A83"/>
    <w:rsid w:val="55EA5046"/>
    <w:rsid w:val="560E3249"/>
    <w:rsid w:val="56186177"/>
    <w:rsid w:val="561B7A15"/>
    <w:rsid w:val="56532D14"/>
    <w:rsid w:val="56643F7B"/>
    <w:rsid w:val="56821842"/>
    <w:rsid w:val="569F0646"/>
    <w:rsid w:val="56B45E9F"/>
    <w:rsid w:val="56D3302D"/>
    <w:rsid w:val="56D973CF"/>
    <w:rsid w:val="56FC0E17"/>
    <w:rsid w:val="56FC63ED"/>
    <w:rsid w:val="57035F7F"/>
    <w:rsid w:val="570E4942"/>
    <w:rsid w:val="573222F5"/>
    <w:rsid w:val="5737262D"/>
    <w:rsid w:val="57517B92"/>
    <w:rsid w:val="579A0B0F"/>
    <w:rsid w:val="57BA102C"/>
    <w:rsid w:val="57D61931"/>
    <w:rsid w:val="57DD6DD0"/>
    <w:rsid w:val="582A366D"/>
    <w:rsid w:val="583542C0"/>
    <w:rsid w:val="584D2ADC"/>
    <w:rsid w:val="58510CFB"/>
    <w:rsid w:val="585169D2"/>
    <w:rsid w:val="58861256"/>
    <w:rsid w:val="58906680"/>
    <w:rsid w:val="58D03F93"/>
    <w:rsid w:val="59016B9E"/>
    <w:rsid w:val="595963DC"/>
    <w:rsid w:val="595A456A"/>
    <w:rsid w:val="59607A95"/>
    <w:rsid w:val="59964FFE"/>
    <w:rsid w:val="59D32AE1"/>
    <w:rsid w:val="59DB6FF7"/>
    <w:rsid w:val="59E20C6B"/>
    <w:rsid w:val="5A2515C6"/>
    <w:rsid w:val="5A2E66EC"/>
    <w:rsid w:val="5A395940"/>
    <w:rsid w:val="5A4028B1"/>
    <w:rsid w:val="5A513553"/>
    <w:rsid w:val="5A7F7348"/>
    <w:rsid w:val="5A8329E1"/>
    <w:rsid w:val="5A8D4028"/>
    <w:rsid w:val="5A976D2B"/>
    <w:rsid w:val="5A9B5D67"/>
    <w:rsid w:val="5AD059E8"/>
    <w:rsid w:val="5AE92B8E"/>
    <w:rsid w:val="5AFD0924"/>
    <w:rsid w:val="5B075A06"/>
    <w:rsid w:val="5B153530"/>
    <w:rsid w:val="5B3168E5"/>
    <w:rsid w:val="5B4C3B08"/>
    <w:rsid w:val="5B6D574D"/>
    <w:rsid w:val="5B8338B0"/>
    <w:rsid w:val="5B885B4D"/>
    <w:rsid w:val="5BB879AB"/>
    <w:rsid w:val="5BDB7A2A"/>
    <w:rsid w:val="5BFB6474"/>
    <w:rsid w:val="5C0D7037"/>
    <w:rsid w:val="5C2A7DE1"/>
    <w:rsid w:val="5C6829AF"/>
    <w:rsid w:val="5C6D1843"/>
    <w:rsid w:val="5C806B92"/>
    <w:rsid w:val="5C8F1D6F"/>
    <w:rsid w:val="5C9F5B4C"/>
    <w:rsid w:val="5CDC1F44"/>
    <w:rsid w:val="5CF26970"/>
    <w:rsid w:val="5D1860EA"/>
    <w:rsid w:val="5D352289"/>
    <w:rsid w:val="5D5B375C"/>
    <w:rsid w:val="5D5D1495"/>
    <w:rsid w:val="5D634689"/>
    <w:rsid w:val="5D6D26E9"/>
    <w:rsid w:val="5D703886"/>
    <w:rsid w:val="5D9A4716"/>
    <w:rsid w:val="5E0733DA"/>
    <w:rsid w:val="5E1406C1"/>
    <w:rsid w:val="5E1A1D20"/>
    <w:rsid w:val="5E2F7E48"/>
    <w:rsid w:val="5E602469"/>
    <w:rsid w:val="5E677E67"/>
    <w:rsid w:val="5E717821"/>
    <w:rsid w:val="5EAB5584"/>
    <w:rsid w:val="5EC52DEA"/>
    <w:rsid w:val="5ECB3D0A"/>
    <w:rsid w:val="5ED510A9"/>
    <w:rsid w:val="5EF263E7"/>
    <w:rsid w:val="5EF75F46"/>
    <w:rsid w:val="5F21609C"/>
    <w:rsid w:val="5F230BEF"/>
    <w:rsid w:val="5F622ECF"/>
    <w:rsid w:val="5FA665A1"/>
    <w:rsid w:val="5FAB7FB5"/>
    <w:rsid w:val="5FAD2544"/>
    <w:rsid w:val="5FB66017"/>
    <w:rsid w:val="5FFE29B9"/>
    <w:rsid w:val="600578D1"/>
    <w:rsid w:val="602415E7"/>
    <w:rsid w:val="60424709"/>
    <w:rsid w:val="60786190"/>
    <w:rsid w:val="608E7761"/>
    <w:rsid w:val="60915473"/>
    <w:rsid w:val="6092153B"/>
    <w:rsid w:val="609B683C"/>
    <w:rsid w:val="60A00576"/>
    <w:rsid w:val="60AF2097"/>
    <w:rsid w:val="60B34A44"/>
    <w:rsid w:val="60B753A8"/>
    <w:rsid w:val="60BB7E2A"/>
    <w:rsid w:val="60C870C1"/>
    <w:rsid w:val="60DD300E"/>
    <w:rsid w:val="60F51603"/>
    <w:rsid w:val="61572349"/>
    <w:rsid w:val="615D7134"/>
    <w:rsid w:val="618F268C"/>
    <w:rsid w:val="61EA23B0"/>
    <w:rsid w:val="620A72BB"/>
    <w:rsid w:val="62287615"/>
    <w:rsid w:val="622F67B3"/>
    <w:rsid w:val="627D4254"/>
    <w:rsid w:val="62897466"/>
    <w:rsid w:val="62AD3683"/>
    <w:rsid w:val="62B261AF"/>
    <w:rsid w:val="62F57B08"/>
    <w:rsid w:val="6303429D"/>
    <w:rsid w:val="63205356"/>
    <w:rsid w:val="63424833"/>
    <w:rsid w:val="63464D73"/>
    <w:rsid w:val="635822A8"/>
    <w:rsid w:val="63583AEB"/>
    <w:rsid w:val="637177A0"/>
    <w:rsid w:val="63737FC7"/>
    <w:rsid w:val="63A252D2"/>
    <w:rsid w:val="63C656BB"/>
    <w:rsid w:val="63CE3380"/>
    <w:rsid w:val="63E36016"/>
    <w:rsid w:val="63F21DB5"/>
    <w:rsid w:val="63FF6480"/>
    <w:rsid w:val="640A1EA8"/>
    <w:rsid w:val="642900E6"/>
    <w:rsid w:val="64302590"/>
    <w:rsid w:val="6439089B"/>
    <w:rsid w:val="64495DD6"/>
    <w:rsid w:val="64623809"/>
    <w:rsid w:val="64746C6E"/>
    <w:rsid w:val="647C3D75"/>
    <w:rsid w:val="64A216CA"/>
    <w:rsid w:val="64AA2657"/>
    <w:rsid w:val="65080F89"/>
    <w:rsid w:val="651E4E2C"/>
    <w:rsid w:val="655A76A7"/>
    <w:rsid w:val="655C6589"/>
    <w:rsid w:val="66047425"/>
    <w:rsid w:val="661052EF"/>
    <w:rsid w:val="66207331"/>
    <w:rsid w:val="662830CF"/>
    <w:rsid w:val="66747DFB"/>
    <w:rsid w:val="66767F83"/>
    <w:rsid w:val="66D54C1C"/>
    <w:rsid w:val="66F41F1E"/>
    <w:rsid w:val="6701113C"/>
    <w:rsid w:val="671C40AC"/>
    <w:rsid w:val="672D4EE4"/>
    <w:rsid w:val="677658C0"/>
    <w:rsid w:val="6797113A"/>
    <w:rsid w:val="67AF1F51"/>
    <w:rsid w:val="67BC1DD1"/>
    <w:rsid w:val="67C86935"/>
    <w:rsid w:val="67D14F07"/>
    <w:rsid w:val="67E07000"/>
    <w:rsid w:val="67E77C07"/>
    <w:rsid w:val="67EA3883"/>
    <w:rsid w:val="67EC51A3"/>
    <w:rsid w:val="680F17C8"/>
    <w:rsid w:val="681C04AD"/>
    <w:rsid w:val="683A6B4A"/>
    <w:rsid w:val="68444162"/>
    <w:rsid w:val="686A6F2B"/>
    <w:rsid w:val="68825416"/>
    <w:rsid w:val="68AA0B6B"/>
    <w:rsid w:val="68AC217A"/>
    <w:rsid w:val="68AF0ABE"/>
    <w:rsid w:val="68C77ED2"/>
    <w:rsid w:val="68E24AEE"/>
    <w:rsid w:val="68E331BF"/>
    <w:rsid w:val="6922138F"/>
    <w:rsid w:val="69F85C86"/>
    <w:rsid w:val="6A09523D"/>
    <w:rsid w:val="6A1B26B7"/>
    <w:rsid w:val="6A244C92"/>
    <w:rsid w:val="6A2809FC"/>
    <w:rsid w:val="6A883CBC"/>
    <w:rsid w:val="6A902328"/>
    <w:rsid w:val="6B19056F"/>
    <w:rsid w:val="6B340F05"/>
    <w:rsid w:val="6B345E30"/>
    <w:rsid w:val="6B3A216D"/>
    <w:rsid w:val="6B505357"/>
    <w:rsid w:val="6B726C8B"/>
    <w:rsid w:val="6B874EAB"/>
    <w:rsid w:val="6B985938"/>
    <w:rsid w:val="6BAC4A1E"/>
    <w:rsid w:val="6BFB3E5A"/>
    <w:rsid w:val="6BFD3458"/>
    <w:rsid w:val="6C423778"/>
    <w:rsid w:val="6CAF118B"/>
    <w:rsid w:val="6CBB7E1F"/>
    <w:rsid w:val="6CC01E51"/>
    <w:rsid w:val="6CF372CA"/>
    <w:rsid w:val="6D027F59"/>
    <w:rsid w:val="6D2D1C64"/>
    <w:rsid w:val="6D475F5F"/>
    <w:rsid w:val="6D600E21"/>
    <w:rsid w:val="6D68133A"/>
    <w:rsid w:val="6DA82289"/>
    <w:rsid w:val="6DE915B6"/>
    <w:rsid w:val="6E061A11"/>
    <w:rsid w:val="6E345B45"/>
    <w:rsid w:val="6E63668A"/>
    <w:rsid w:val="6E671CA5"/>
    <w:rsid w:val="6E741E30"/>
    <w:rsid w:val="6E851E19"/>
    <w:rsid w:val="6E9A5352"/>
    <w:rsid w:val="6EA04641"/>
    <w:rsid w:val="6EA0733B"/>
    <w:rsid w:val="6EBB122E"/>
    <w:rsid w:val="6EBB2C83"/>
    <w:rsid w:val="6EC77A48"/>
    <w:rsid w:val="6EC77E06"/>
    <w:rsid w:val="6EC97030"/>
    <w:rsid w:val="6EF6175D"/>
    <w:rsid w:val="6EFE0B8E"/>
    <w:rsid w:val="6EFF49CF"/>
    <w:rsid w:val="6F125A01"/>
    <w:rsid w:val="6F2B35AD"/>
    <w:rsid w:val="6F332F4A"/>
    <w:rsid w:val="6F3C2DD2"/>
    <w:rsid w:val="6F8063CA"/>
    <w:rsid w:val="6FB66044"/>
    <w:rsid w:val="6FE8588F"/>
    <w:rsid w:val="700A492A"/>
    <w:rsid w:val="703F6602"/>
    <w:rsid w:val="705E2709"/>
    <w:rsid w:val="70F34F86"/>
    <w:rsid w:val="70F759D2"/>
    <w:rsid w:val="70FA674D"/>
    <w:rsid w:val="71211F2C"/>
    <w:rsid w:val="713E329A"/>
    <w:rsid w:val="7146159B"/>
    <w:rsid w:val="714D0321"/>
    <w:rsid w:val="715C7211"/>
    <w:rsid w:val="718D73C3"/>
    <w:rsid w:val="71900A0A"/>
    <w:rsid w:val="719A4E18"/>
    <w:rsid w:val="71BC787F"/>
    <w:rsid w:val="71BE3E19"/>
    <w:rsid w:val="72011EEA"/>
    <w:rsid w:val="720A0C12"/>
    <w:rsid w:val="727517BE"/>
    <w:rsid w:val="72BB53F2"/>
    <w:rsid w:val="73004C22"/>
    <w:rsid w:val="73555EBD"/>
    <w:rsid w:val="7386317F"/>
    <w:rsid w:val="7395781C"/>
    <w:rsid w:val="73A53748"/>
    <w:rsid w:val="73B01345"/>
    <w:rsid w:val="73F00452"/>
    <w:rsid w:val="73F97D41"/>
    <w:rsid w:val="745612A8"/>
    <w:rsid w:val="74A353FC"/>
    <w:rsid w:val="74B55FCA"/>
    <w:rsid w:val="75116700"/>
    <w:rsid w:val="751E6462"/>
    <w:rsid w:val="7547670C"/>
    <w:rsid w:val="754B5EDD"/>
    <w:rsid w:val="756D7FC7"/>
    <w:rsid w:val="75B626CC"/>
    <w:rsid w:val="75D86956"/>
    <w:rsid w:val="75EE1EAC"/>
    <w:rsid w:val="761205FE"/>
    <w:rsid w:val="761518EF"/>
    <w:rsid w:val="761D11FC"/>
    <w:rsid w:val="76393874"/>
    <w:rsid w:val="76753CC2"/>
    <w:rsid w:val="768947FB"/>
    <w:rsid w:val="768A49A6"/>
    <w:rsid w:val="76BA279A"/>
    <w:rsid w:val="76BD3140"/>
    <w:rsid w:val="76C4526D"/>
    <w:rsid w:val="76D75E34"/>
    <w:rsid w:val="76DB2A57"/>
    <w:rsid w:val="76DD04DF"/>
    <w:rsid w:val="76EE5BC6"/>
    <w:rsid w:val="76F1318D"/>
    <w:rsid w:val="76F226CA"/>
    <w:rsid w:val="770245AD"/>
    <w:rsid w:val="77360703"/>
    <w:rsid w:val="773B1F42"/>
    <w:rsid w:val="77492189"/>
    <w:rsid w:val="776E61EE"/>
    <w:rsid w:val="777D019A"/>
    <w:rsid w:val="779D0C3B"/>
    <w:rsid w:val="77BA27C4"/>
    <w:rsid w:val="77C16217"/>
    <w:rsid w:val="781E6439"/>
    <w:rsid w:val="78214A6B"/>
    <w:rsid w:val="7824041B"/>
    <w:rsid w:val="78897474"/>
    <w:rsid w:val="78A64B86"/>
    <w:rsid w:val="78BD078C"/>
    <w:rsid w:val="78DE3D6C"/>
    <w:rsid w:val="78E33867"/>
    <w:rsid w:val="78E52BDC"/>
    <w:rsid w:val="78F93EFF"/>
    <w:rsid w:val="790776EC"/>
    <w:rsid w:val="798701EE"/>
    <w:rsid w:val="798720C7"/>
    <w:rsid w:val="798B75C8"/>
    <w:rsid w:val="798D230A"/>
    <w:rsid w:val="79A30038"/>
    <w:rsid w:val="79A3081B"/>
    <w:rsid w:val="79A8143C"/>
    <w:rsid w:val="7A071D78"/>
    <w:rsid w:val="7A2D742D"/>
    <w:rsid w:val="7A5600FC"/>
    <w:rsid w:val="7A5C06AF"/>
    <w:rsid w:val="7A6447EC"/>
    <w:rsid w:val="7A6E489C"/>
    <w:rsid w:val="7A716D06"/>
    <w:rsid w:val="7AC662B5"/>
    <w:rsid w:val="7B347D8A"/>
    <w:rsid w:val="7B8F4980"/>
    <w:rsid w:val="7B972CB9"/>
    <w:rsid w:val="7BA61501"/>
    <w:rsid w:val="7BAC3598"/>
    <w:rsid w:val="7BAF14B0"/>
    <w:rsid w:val="7BD06448"/>
    <w:rsid w:val="7BE85AB6"/>
    <w:rsid w:val="7C3074C7"/>
    <w:rsid w:val="7CA103C5"/>
    <w:rsid w:val="7CA420D7"/>
    <w:rsid w:val="7CC52305"/>
    <w:rsid w:val="7CD54E02"/>
    <w:rsid w:val="7CE922B5"/>
    <w:rsid w:val="7CF0056D"/>
    <w:rsid w:val="7CFD4359"/>
    <w:rsid w:val="7D0F23FC"/>
    <w:rsid w:val="7D196F8A"/>
    <w:rsid w:val="7D324E38"/>
    <w:rsid w:val="7D376D09"/>
    <w:rsid w:val="7D3A16E9"/>
    <w:rsid w:val="7D4A2A43"/>
    <w:rsid w:val="7D7B5294"/>
    <w:rsid w:val="7D9D74DD"/>
    <w:rsid w:val="7DA92784"/>
    <w:rsid w:val="7DB37D69"/>
    <w:rsid w:val="7DCA019C"/>
    <w:rsid w:val="7DCA17AE"/>
    <w:rsid w:val="7DE55723"/>
    <w:rsid w:val="7DED451A"/>
    <w:rsid w:val="7E2214CE"/>
    <w:rsid w:val="7E2F24BC"/>
    <w:rsid w:val="7E560813"/>
    <w:rsid w:val="7E564EE1"/>
    <w:rsid w:val="7E6D3957"/>
    <w:rsid w:val="7E6D67B0"/>
    <w:rsid w:val="7E8D7C7B"/>
    <w:rsid w:val="7EA83077"/>
    <w:rsid w:val="7ECD0B10"/>
    <w:rsid w:val="7ED53E1B"/>
    <w:rsid w:val="7F1D6A6D"/>
    <w:rsid w:val="7F2554A7"/>
    <w:rsid w:val="7F2A34D9"/>
    <w:rsid w:val="7F3156BC"/>
    <w:rsid w:val="7F4D44C9"/>
    <w:rsid w:val="7F7A3881"/>
    <w:rsid w:val="7FA60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4">
    <w:name w:val="heading 1"/>
    <w:basedOn w:val="1"/>
    <w:next w:val="1"/>
    <w:autoRedefine/>
    <w:qFormat/>
    <w:uiPriority w:val="0"/>
    <w:pPr>
      <w:autoSpaceDE w:val="0"/>
      <w:autoSpaceDN w:val="0"/>
      <w:adjustRightInd w:val="0"/>
      <w:jc w:val="left"/>
      <w:outlineLvl w:val="0"/>
    </w:pPr>
    <w:rPr>
      <w:kern w:val="0"/>
      <w:sz w:val="30"/>
    </w:rPr>
  </w:style>
  <w:style w:type="paragraph" w:styleId="5">
    <w:name w:val="heading 2"/>
    <w:basedOn w:val="1"/>
    <w:next w:val="1"/>
    <w:autoRedefine/>
    <w:qFormat/>
    <w:uiPriority w:val="0"/>
    <w:pPr>
      <w:autoSpaceDE w:val="0"/>
      <w:autoSpaceDN w:val="0"/>
      <w:adjustRightInd w:val="0"/>
      <w:jc w:val="left"/>
      <w:outlineLvl w:val="1"/>
    </w:pPr>
    <w:rPr>
      <w:kern w:val="0"/>
    </w:rPr>
  </w:style>
  <w:style w:type="paragraph" w:styleId="6">
    <w:name w:val="heading 3"/>
    <w:basedOn w:val="1"/>
    <w:next w:val="1"/>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styleId="7">
    <w:name w:val="heading 4"/>
    <w:basedOn w:val="1"/>
    <w:next w:val="1"/>
    <w:autoRedefine/>
    <w:qFormat/>
    <w:uiPriority w:val="0"/>
    <w:pPr>
      <w:keepNext/>
      <w:keepLines/>
      <w:spacing w:before="280" w:after="290" w:line="374" w:lineRule="auto"/>
      <w:outlineLvl w:val="3"/>
    </w:pPr>
    <w:rPr>
      <w:rFonts w:ascii="Arial" w:hAnsi="Aria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style>
  <w:style w:type="paragraph" w:styleId="3">
    <w:name w:val="Body Text"/>
    <w:basedOn w:val="1"/>
    <w:autoRedefine/>
    <w:qFormat/>
    <w:uiPriority w:val="0"/>
    <w:pPr>
      <w:spacing w:after="120"/>
    </w:pPr>
  </w:style>
  <w:style w:type="paragraph" w:styleId="8">
    <w:name w:val="toc 7"/>
    <w:basedOn w:val="1"/>
    <w:next w:val="1"/>
    <w:autoRedefine/>
    <w:qFormat/>
    <w:uiPriority w:val="0"/>
    <w:pPr>
      <w:ind w:left="1680"/>
      <w:jc w:val="left"/>
    </w:pPr>
  </w:style>
  <w:style w:type="paragraph" w:styleId="9">
    <w:name w:val="table of authorities"/>
    <w:basedOn w:val="1"/>
    <w:next w:val="1"/>
    <w:autoRedefine/>
    <w:qFormat/>
    <w:uiPriority w:val="0"/>
    <w:pPr>
      <w:ind w:left="420" w:leftChars="200"/>
    </w:pPr>
  </w:style>
  <w:style w:type="paragraph" w:styleId="10">
    <w:name w:val="Document Map"/>
    <w:basedOn w:val="1"/>
    <w:autoRedefine/>
    <w:qFormat/>
    <w:uiPriority w:val="0"/>
    <w:pPr>
      <w:shd w:val="clear" w:color="auto" w:fill="000080"/>
    </w:pPr>
  </w:style>
  <w:style w:type="paragraph" w:styleId="11">
    <w:name w:val="annotation text"/>
    <w:basedOn w:val="1"/>
    <w:autoRedefine/>
    <w:qFormat/>
    <w:uiPriority w:val="0"/>
    <w:pPr>
      <w:adjustRightInd w:val="0"/>
      <w:spacing w:line="360" w:lineRule="atLeast"/>
      <w:jc w:val="left"/>
      <w:textAlignment w:val="baseline"/>
    </w:pPr>
    <w:rPr>
      <w:kern w:val="0"/>
    </w:rPr>
  </w:style>
  <w:style w:type="paragraph" w:styleId="12">
    <w:name w:val="Body Text Indent"/>
    <w:basedOn w:val="1"/>
    <w:link w:val="45"/>
    <w:autoRedefine/>
    <w:qFormat/>
    <w:uiPriority w:val="0"/>
    <w:pPr>
      <w:ind w:firstLine="560" w:firstLineChars="200"/>
    </w:pPr>
  </w:style>
  <w:style w:type="paragraph" w:styleId="13">
    <w:name w:val="toc 5"/>
    <w:basedOn w:val="1"/>
    <w:next w:val="1"/>
    <w:autoRedefine/>
    <w:qFormat/>
    <w:uiPriority w:val="0"/>
    <w:pPr>
      <w:ind w:left="1120"/>
      <w:jc w:val="left"/>
    </w:pPr>
  </w:style>
  <w:style w:type="paragraph" w:styleId="14">
    <w:name w:val="toc 3"/>
    <w:basedOn w:val="1"/>
    <w:next w:val="1"/>
    <w:autoRedefine/>
    <w:qFormat/>
    <w:uiPriority w:val="0"/>
    <w:pPr>
      <w:ind w:left="561"/>
      <w:jc w:val="left"/>
    </w:pPr>
  </w:style>
  <w:style w:type="paragraph" w:styleId="15">
    <w:name w:val="Plain Text"/>
    <w:basedOn w:val="1"/>
    <w:qFormat/>
    <w:uiPriority w:val="0"/>
    <w:rPr>
      <w:rFonts w:ascii="宋体" w:hAnsi="Courier New" w:eastAsia="宋体" w:cs="Courier New"/>
      <w:szCs w:val="21"/>
    </w:rPr>
  </w:style>
  <w:style w:type="paragraph" w:styleId="16">
    <w:name w:val="toc 8"/>
    <w:basedOn w:val="1"/>
    <w:next w:val="1"/>
    <w:autoRedefine/>
    <w:qFormat/>
    <w:uiPriority w:val="0"/>
    <w:pPr>
      <w:ind w:left="1960"/>
      <w:jc w:val="left"/>
    </w:pPr>
  </w:style>
  <w:style w:type="paragraph" w:styleId="17">
    <w:name w:val="Body Text Indent 2"/>
    <w:basedOn w:val="1"/>
    <w:autoRedefine/>
    <w:qFormat/>
    <w:uiPriority w:val="0"/>
    <w:pPr>
      <w:spacing w:line="480" w:lineRule="auto"/>
      <w:ind w:firstLine="561"/>
    </w:pPr>
  </w:style>
  <w:style w:type="paragraph" w:styleId="18">
    <w:name w:val="Balloon Text"/>
    <w:basedOn w:val="1"/>
    <w:autoRedefine/>
    <w:qFormat/>
    <w:uiPriority w:val="0"/>
    <w:rPr>
      <w:sz w:val="18"/>
      <w:szCs w:val="18"/>
    </w:rPr>
  </w:style>
  <w:style w:type="paragraph" w:styleId="19">
    <w:name w:val="footer"/>
    <w:basedOn w:val="1"/>
    <w:autoRedefine/>
    <w:qFormat/>
    <w:uiPriority w:val="0"/>
    <w:pPr>
      <w:widowControl/>
      <w:tabs>
        <w:tab w:val="center" w:pos="4153"/>
        <w:tab w:val="right" w:pos="8306"/>
      </w:tabs>
      <w:snapToGrid w:val="0"/>
      <w:jc w:val="left"/>
    </w:pPr>
    <w:rPr>
      <w:kern w:val="0"/>
      <w:sz w:val="18"/>
    </w:rPr>
  </w:style>
  <w:style w:type="paragraph" w:styleId="20">
    <w:name w:val="header"/>
    <w:basedOn w:val="1"/>
    <w:autoRedefine/>
    <w:qFormat/>
    <w:uiPriority w:val="0"/>
    <w:pPr>
      <w:widowControl/>
      <w:pBdr>
        <w:bottom w:val="single" w:color="auto" w:sz="6" w:space="1"/>
      </w:pBdr>
      <w:tabs>
        <w:tab w:val="center" w:pos="4153"/>
        <w:tab w:val="right" w:pos="8306"/>
      </w:tabs>
      <w:snapToGrid w:val="0"/>
      <w:jc w:val="center"/>
    </w:pPr>
    <w:rPr>
      <w:kern w:val="0"/>
      <w:sz w:val="18"/>
    </w:rPr>
  </w:style>
  <w:style w:type="paragraph" w:styleId="21">
    <w:name w:val="toc 1"/>
    <w:basedOn w:val="1"/>
    <w:next w:val="1"/>
    <w:autoRedefine/>
    <w:qFormat/>
    <w:uiPriority w:val="0"/>
    <w:pPr>
      <w:spacing w:before="120" w:after="120"/>
      <w:jc w:val="left"/>
    </w:pPr>
    <w:rPr>
      <w:caps/>
    </w:rPr>
  </w:style>
  <w:style w:type="paragraph" w:styleId="22">
    <w:name w:val="toc 4"/>
    <w:basedOn w:val="1"/>
    <w:next w:val="1"/>
    <w:autoRedefine/>
    <w:qFormat/>
    <w:uiPriority w:val="0"/>
    <w:pPr>
      <w:ind w:left="840"/>
      <w:jc w:val="left"/>
    </w:pPr>
  </w:style>
  <w:style w:type="paragraph" w:styleId="23">
    <w:name w:val="toc 6"/>
    <w:basedOn w:val="1"/>
    <w:next w:val="1"/>
    <w:autoRedefine/>
    <w:qFormat/>
    <w:uiPriority w:val="0"/>
    <w:pPr>
      <w:ind w:left="1400"/>
      <w:jc w:val="left"/>
    </w:pPr>
  </w:style>
  <w:style w:type="paragraph" w:styleId="24">
    <w:name w:val="Body Text Indent 3"/>
    <w:basedOn w:val="1"/>
    <w:link w:val="46"/>
    <w:autoRedefine/>
    <w:qFormat/>
    <w:uiPriority w:val="0"/>
    <w:pPr>
      <w:ind w:firstLine="560"/>
    </w:pPr>
    <w:rPr>
      <w:color w:val="FF0000"/>
    </w:rPr>
  </w:style>
  <w:style w:type="paragraph" w:styleId="25">
    <w:name w:val="toc 2"/>
    <w:basedOn w:val="1"/>
    <w:next w:val="1"/>
    <w:autoRedefine/>
    <w:qFormat/>
    <w:uiPriority w:val="0"/>
    <w:pPr>
      <w:ind w:left="278"/>
      <w:jc w:val="left"/>
    </w:pPr>
    <w:rPr>
      <w:smallCaps/>
    </w:rPr>
  </w:style>
  <w:style w:type="paragraph" w:styleId="26">
    <w:name w:val="toc 9"/>
    <w:basedOn w:val="1"/>
    <w:next w:val="1"/>
    <w:autoRedefine/>
    <w:qFormat/>
    <w:uiPriority w:val="0"/>
    <w:pPr>
      <w:ind w:left="2240"/>
      <w:jc w:val="left"/>
    </w:pPr>
  </w:style>
  <w:style w:type="paragraph" w:styleId="27">
    <w:name w:val="Body Text 2"/>
    <w:basedOn w:val="1"/>
    <w:next w:val="3"/>
    <w:autoRedefine/>
    <w:qFormat/>
    <w:uiPriority w:val="0"/>
    <w:pPr>
      <w:spacing w:line="500" w:lineRule="exact"/>
    </w:pPr>
  </w:style>
  <w:style w:type="paragraph" w:styleId="28">
    <w:name w:val="Normal (Web)"/>
    <w:basedOn w:val="1"/>
    <w:autoRedefine/>
    <w:qFormat/>
    <w:uiPriority w:val="0"/>
    <w:pPr>
      <w:widowControl/>
      <w:spacing w:before="100" w:beforeAutospacing="1" w:after="100" w:afterAutospacing="1" w:line="240" w:lineRule="auto"/>
      <w:jc w:val="left"/>
    </w:pPr>
    <w:rPr>
      <w:rFonts w:hAnsi="宋体" w:cs="宋体"/>
      <w:color w:val="000000"/>
      <w:kern w:val="0"/>
      <w:szCs w:val="24"/>
    </w:rPr>
  </w:style>
  <w:style w:type="paragraph" w:styleId="29">
    <w:name w:val="annotation subject"/>
    <w:basedOn w:val="11"/>
    <w:next w:val="11"/>
    <w:autoRedefine/>
    <w:qFormat/>
    <w:uiPriority w:val="0"/>
    <w:pPr>
      <w:adjustRightInd/>
      <w:spacing w:line="360" w:lineRule="auto"/>
      <w:textAlignment w:val="auto"/>
    </w:pPr>
    <w:rPr>
      <w:b/>
      <w:bCs/>
      <w:kern w:val="2"/>
    </w:rPr>
  </w:style>
  <w:style w:type="paragraph" w:styleId="30">
    <w:name w:val="Body Text First Indent 2"/>
    <w:next w:val="31"/>
    <w:autoRedefine/>
    <w:qFormat/>
    <w:uiPriority w:val="0"/>
    <w:pPr>
      <w:widowControl w:val="0"/>
      <w:spacing w:line="360" w:lineRule="auto"/>
      <w:ind w:firstLine="420"/>
      <w:jc w:val="both"/>
    </w:pPr>
    <w:rPr>
      <w:rFonts w:ascii="宋体" w:hAnsi="宋体" w:eastAsia="宋体" w:cs="Times New Roman"/>
      <w:kern w:val="1"/>
      <w:sz w:val="24"/>
      <w:lang w:val="en-US" w:eastAsia="zh-CN" w:bidi="ar-SA"/>
    </w:rPr>
  </w:style>
  <w:style w:type="paragraph" w:customStyle="1" w:styleId="31">
    <w:name w:val="章标题"/>
    <w:next w:val="1"/>
    <w:qFormat/>
    <w:uiPriority w:val="0"/>
    <w:pPr>
      <w:spacing w:before="50" w:after="50"/>
      <w:jc w:val="both"/>
      <w:outlineLvl w:val="1"/>
    </w:pPr>
    <w:rPr>
      <w:rFonts w:ascii="黑体" w:hAnsi="Calibri" w:eastAsia="黑体" w:cs="Times New Roman"/>
      <w:kern w:val="0"/>
      <w:sz w:val="21"/>
      <w:szCs w:val="20"/>
      <w:lang w:val="en-US" w:eastAsia="zh-CN" w:bidi="ar-SA"/>
    </w:rPr>
  </w:style>
  <w:style w:type="table" w:styleId="33">
    <w:name w:val="Table Grid"/>
    <w:basedOn w:val="3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autoRedefine/>
    <w:qFormat/>
    <w:uiPriority w:val="0"/>
    <w:rPr>
      <w:b/>
      <w:bCs/>
    </w:rPr>
  </w:style>
  <w:style w:type="character" w:styleId="36">
    <w:name w:val="page number"/>
    <w:basedOn w:val="34"/>
    <w:autoRedefine/>
    <w:qFormat/>
    <w:uiPriority w:val="0"/>
  </w:style>
  <w:style w:type="character" w:styleId="37">
    <w:name w:val="FollowedHyperlink"/>
    <w:autoRedefine/>
    <w:qFormat/>
    <w:uiPriority w:val="0"/>
    <w:rPr>
      <w:color w:val="800080"/>
      <w:u w:val="single"/>
    </w:rPr>
  </w:style>
  <w:style w:type="character" w:styleId="38">
    <w:name w:val="Hyperlink"/>
    <w:autoRedefine/>
    <w:qFormat/>
    <w:uiPriority w:val="0"/>
    <w:rPr>
      <w:color w:val="0000FF"/>
      <w:u w:val="single"/>
    </w:rPr>
  </w:style>
  <w:style w:type="character" w:styleId="39">
    <w:name w:val="annotation reference"/>
    <w:autoRedefine/>
    <w:qFormat/>
    <w:uiPriority w:val="0"/>
    <w:rPr>
      <w:sz w:val="21"/>
    </w:rPr>
  </w:style>
  <w:style w:type="paragraph" w:customStyle="1" w:styleId="40">
    <w:name w:val="Normal Indent1"/>
    <w:basedOn w:val="1"/>
    <w:autoRedefine/>
    <w:qFormat/>
    <w:uiPriority w:val="0"/>
    <w:pPr>
      <w:widowControl/>
      <w:ind w:firstLine="420"/>
      <w:jc w:val="left"/>
    </w:pPr>
    <w:rPr>
      <w:rFonts w:ascii="Times New Roman"/>
      <w:kern w:val="0"/>
    </w:rPr>
  </w:style>
  <w:style w:type="paragraph" w:customStyle="1" w:styleId="41">
    <w:name w:val="样式 宋体 行距: 1.5 倍行距"/>
    <w:basedOn w:val="42"/>
    <w:next w:val="1"/>
    <w:autoRedefine/>
    <w:qFormat/>
    <w:uiPriority w:val="0"/>
    <w:pPr>
      <w:jc w:val="center"/>
    </w:pPr>
    <w:rPr>
      <w:rFonts w:ascii="Times New Roman"/>
      <w:b/>
    </w:rPr>
  </w:style>
  <w:style w:type="paragraph" w:customStyle="1" w:styleId="4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41"/>
    <w:qFormat/>
    <w:uiPriority w:val="0"/>
    <w:pPr>
      <w:widowControl w:val="0"/>
      <w:jc w:val="both"/>
    </w:pPr>
    <w:rPr>
      <w:rFonts w:ascii="Calibri" w:hAnsi="Calibri" w:eastAsia="宋体" w:cs="黑体"/>
      <w:kern w:val="2"/>
      <w:sz w:val="21"/>
      <w:szCs w:val="24"/>
      <w:lang w:val="en-US" w:eastAsia="zh-CN" w:bidi="ar-SA"/>
    </w:rPr>
  </w:style>
  <w:style w:type="paragraph" w:customStyle="1" w:styleId="4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1"/>
    <w:autoRedefine/>
    <w:qFormat/>
    <w:uiPriority w:val="0"/>
    <w:pPr>
      <w:widowControl w:val="0"/>
      <w:jc w:val="both"/>
    </w:pPr>
    <w:rPr>
      <w:rFonts w:ascii="Calibri" w:hAnsi="Calibri" w:eastAsia="宋体" w:cs="黑体"/>
      <w:kern w:val="2"/>
      <w:sz w:val="21"/>
      <w:szCs w:val="24"/>
      <w:lang w:val="en-US" w:eastAsia="zh-CN" w:bidi="ar-SA"/>
    </w:rPr>
  </w:style>
  <w:style w:type="paragraph" w:customStyle="1" w:styleId="44">
    <w:name w:val="Char Char2"/>
    <w:basedOn w:val="10"/>
    <w:autoRedefine/>
    <w:qFormat/>
    <w:uiPriority w:val="0"/>
    <w:pPr>
      <w:spacing w:line="240" w:lineRule="auto"/>
    </w:pPr>
  </w:style>
  <w:style w:type="character" w:customStyle="1" w:styleId="45">
    <w:name w:val="正文文本缩进 字符"/>
    <w:link w:val="12"/>
    <w:autoRedefine/>
    <w:qFormat/>
    <w:uiPriority w:val="0"/>
    <w:rPr>
      <w:rFonts w:ascii="宋体"/>
      <w:kern w:val="2"/>
      <w:sz w:val="24"/>
    </w:rPr>
  </w:style>
  <w:style w:type="character" w:customStyle="1" w:styleId="46">
    <w:name w:val="正文文本缩进 3 字符"/>
    <w:link w:val="24"/>
    <w:autoRedefine/>
    <w:qFormat/>
    <w:uiPriority w:val="0"/>
    <w:rPr>
      <w:rFonts w:ascii="宋体" w:eastAsia="宋体"/>
      <w:color w:val="FF0000"/>
      <w:kern w:val="2"/>
      <w:sz w:val="24"/>
      <w:lang w:val="en-US" w:eastAsia="zh-CN" w:bidi="ar-SA"/>
    </w:rPr>
  </w:style>
  <w:style w:type="character" w:customStyle="1" w:styleId="47">
    <w:name w:val="超链接 New New"/>
    <w:autoRedefine/>
    <w:qFormat/>
    <w:uiPriority w:val="0"/>
    <w:rPr>
      <w:color w:val="000000"/>
      <w:sz w:val="18"/>
      <w:szCs w:val="18"/>
      <w:u w:val="none"/>
    </w:rPr>
  </w:style>
  <w:style w:type="character" w:customStyle="1" w:styleId="48">
    <w:name w:val="超链接 New"/>
    <w:autoRedefine/>
    <w:qFormat/>
    <w:uiPriority w:val="0"/>
    <w:rPr>
      <w:color w:val="000000"/>
      <w:sz w:val="18"/>
      <w:szCs w:val="18"/>
      <w:u w:val="none"/>
    </w:rPr>
  </w:style>
  <w:style w:type="character" w:customStyle="1" w:styleId="49">
    <w:name w:val="默认段落字体1"/>
    <w:autoRedefine/>
    <w:qFormat/>
    <w:uiPriority w:val="0"/>
    <w:rPr>
      <w:rFonts w:hint="default"/>
    </w:rPr>
  </w:style>
  <w:style w:type="character" w:customStyle="1" w:styleId="50">
    <w:name w:val="默认段落字体 New New"/>
    <w:link w:val="51"/>
    <w:autoRedefine/>
    <w:qFormat/>
    <w:uiPriority w:val="0"/>
    <w:rPr>
      <w:rFonts w:ascii="Tahoma" w:hAnsi="Tahoma"/>
      <w:szCs w:val="24"/>
    </w:rPr>
  </w:style>
  <w:style w:type="paragraph" w:customStyle="1" w:styleId="51">
    <w:name w:val="Char New New"/>
    <w:basedOn w:val="1"/>
    <w:link w:val="50"/>
    <w:autoRedefine/>
    <w:qFormat/>
    <w:uiPriority w:val="0"/>
    <w:pPr>
      <w:spacing w:line="240" w:lineRule="auto"/>
    </w:pPr>
    <w:rPr>
      <w:rFonts w:ascii="Tahoma" w:hAnsi="Tahoma"/>
      <w:szCs w:val="24"/>
    </w:rPr>
  </w:style>
  <w:style w:type="character" w:customStyle="1" w:styleId="52">
    <w:name w:val="默认段落字体 New"/>
    <w:link w:val="53"/>
    <w:autoRedefine/>
    <w:qFormat/>
    <w:uiPriority w:val="0"/>
    <w:rPr>
      <w:rFonts w:ascii="Tahoma" w:hAnsi="Tahoma"/>
      <w:szCs w:val="24"/>
    </w:rPr>
  </w:style>
  <w:style w:type="paragraph" w:customStyle="1" w:styleId="53">
    <w:name w:val="Char New"/>
    <w:basedOn w:val="1"/>
    <w:link w:val="52"/>
    <w:autoRedefine/>
    <w:qFormat/>
    <w:uiPriority w:val="0"/>
    <w:pPr>
      <w:spacing w:line="240" w:lineRule="auto"/>
    </w:pPr>
    <w:rPr>
      <w:rFonts w:ascii="Tahoma" w:hAnsi="Tahoma"/>
      <w:szCs w:val="24"/>
    </w:rPr>
  </w:style>
  <w:style w:type="character" w:customStyle="1" w:styleId="54">
    <w:name w:val="页码 New New New"/>
    <w:autoRedefine/>
    <w:qFormat/>
    <w:uiPriority w:val="0"/>
    <w:rPr>
      <w:rFonts w:eastAsia="宋体"/>
      <w:kern w:val="2"/>
      <w:sz w:val="24"/>
      <w:szCs w:val="24"/>
      <w:lang w:val="en-US" w:eastAsia="zh-CN" w:bidi="ar-SA"/>
    </w:rPr>
  </w:style>
  <w:style w:type="character" w:customStyle="1" w:styleId="55">
    <w:name w:val="页码 New New"/>
    <w:autoRedefine/>
    <w:qFormat/>
    <w:uiPriority w:val="0"/>
    <w:rPr>
      <w:rFonts w:eastAsia="宋体"/>
      <w:kern w:val="2"/>
      <w:sz w:val="24"/>
      <w:szCs w:val="24"/>
      <w:lang w:val="en-US" w:eastAsia="zh-CN" w:bidi="ar-SA"/>
    </w:rPr>
  </w:style>
  <w:style w:type="character" w:customStyle="1" w:styleId="56">
    <w:name w:val="Char Char1"/>
    <w:autoRedefine/>
    <w:qFormat/>
    <w:uiPriority w:val="0"/>
    <w:rPr>
      <w:rFonts w:ascii="宋体" w:eastAsia="宋体"/>
      <w:color w:val="FF0000"/>
      <w:kern w:val="2"/>
      <w:sz w:val="24"/>
      <w:lang w:val="en-US" w:eastAsia="zh-CN" w:bidi="ar-SA"/>
    </w:rPr>
  </w:style>
  <w:style w:type="character" w:customStyle="1" w:styleId="57">
    <w:name w:val="页码 New"/>
    <w:autoRedefine/>
    <w:qFormat/>
    <w:uiPriority w:val="0"/>
    <w:rPr>
      <w:rFonts w:eastAsia="宋体"/>
      <w:kern w:val="2"/>
      <w:sz w:val="24"/>
      <w:szCs w:val="24"/>
      <w:lang w:val="en-US" w:eastAsia="zh-CN" w:bidi="ar-SA"/>
    </w:rPr>
  </w:style>
  <w:style w:type="paragraph" w:customStyle="1" w:styleId="58">
    <w:name w:val="标题 3 New"/>
    <w:autoRedefine/>
    <w:qFormat/>
    <w:uiPriority w:val="0"/>
    <w:pPr>
      <w:keepNext/>
      <w:keepLines/>
      <w:spacing w:before="120" w:after="120"/>
      <w:jc w:val="center"/>
      <w:outlineLvl w:val="2"/>
    </w:pPr>
    <w:rPr>
      <w:rFonts w:ascii="Times New Roman" w:hAnsi="Times New Roman" w:eastAsia="宋体" w:cs="Times New Roman"/>
      <w:sz w:val="24"/>
      <w:lang w:val="en-US" w:eastAsia="zh-CN" w:bidi="ar-SA"/>
    </w:rPr>
  </w:style>
  <w:style w:type="paragraph" w:customStyle="1" w:styleId="59">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页脚 New New New New New New New New New New New New New"/>
    <w:basedOn w:val="61"/>
    <w:autoRedefine/>
    <w:qFormat/>
    <w:uiPriority w:val="0"/>
    <w:pPr>
      <w:widowControl/>
      <w:tabs>
        <w:tab w:val="center" w:pos="4153"/>
        <w:tab w:val="right" w:pos="8306"/>
      </w:tabs>
      <w:snapToGrid w:val="0"/>
      <w:jc w:val="left"/>
    </w:pPr>
    <w:rPr>
      <w:sz w:val="18"/>
    </w:rPr>
  </w:style>
  <w:style w:type="paragraph" w:customStyle="1" w:styleId="61">
    <w:name w:val="正文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3">
    <w:name w:val="正文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4">
    <w:name w:val="正文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5">
    <w:name w:val="页脚 New New New New New"/>
    <w:basedOn w:val="66"/>
    <w:autoRedefine/>
    <w:qFormat/>
    <w:uiPriority w:val="0"/>
    <w:pPr>
      <w:tabs>
        <w:tab w:val="center" w:pos="4153"/>
        <w:tab w:val="right" w:pos="8306"/>
      </w:tabs>
      <w:snapToGrid w:val="0"/>
      <w:jc w:val="left"/>
    </w:pPr>
    <w:rPr>
      <w:sz w:val="18"/>
    </w:rPr>
  </w:style>
  <w:style w:type="paragraph" w:customStyle="1" w:styleId="66">
    <w:name w:val="正文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7">
    <w:name w:val="纯文本 New New"/>
    <w:basedOn w:val="68"/>
    <w:autoRedefine/>
    <w:qFormat/>
    <w:uiPriority w:val="0"/>
    <w:rPr>
      <w:rFonts w:ascii="宋体" w:hAnsi="Courier New"/>
      <w:szCs w:val="24"/>
    </w:rPr>
  </w:style>
  <w:style w:type="paragraph" w:customStyle="1" w:styleId="68">
    <w:name w:val="正文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9">
    <w:name w:val="正文1"/>
    <w:autoRedefine/>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70">
    <w:name w:val="页脚1"/>
    <w:basedOn w:val="69"/>
    <w:autoRedefine/>
    <w:qFormat/>
    <w:uiPriority w:val="0"/>
    <w:pPr>
      <w:widowControl/>
      <w:tabs>
        <w:tab w:val="center" w:pos="4153"/>
        <w:tab w:val="right" w:pos="8306"/>
      </w:tabs>
      <w:snapToGrid w:val="0"/>
      <w:jc w:val="left"/>
    </w:pPr>
    <w:rPr>
      <w:kern w:val="0"/>
      <w:sz w:val="18"/>
    </w:rPr>
  </w:style>
  <w:style w:type="paragraph" w:customStyle="1" w:styleId="71">
    <w:name w:val="正文 New New New New New New New New New New New New New New New New New New New New New New New New"/>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2">
    <w:name w:val="标题 3 New New"/>
    <w:basedOn w:val="73"/>
    <w:next w:val="73"/>
    <w:autoRedefine/>
    <w:qFormat/>
    <w:uiPriority w:val="0"/>
    <w:pPr>
      <w:keepNext/>
      <w:keepLines/>
      <w:spacing w:before="120" w:after="120"/>
      <w:jc w:val="center"/>
      <w:outlineLvl w:val="2"/>
    </w:pPr>
    <w:rPr>
      <w:sz w:val="24"/>
    </w:rPr>
  </w:style>
  <w:style w:type="paragraph" w:customStyle="1" w:styleId="73">
    <w:name w:val="正文缩进 New"/>
    <w:basedOn w:val="74"/>
    <w:autoRedefine/>
    <w:qFormat/>
    <w:uiPriority w:val="0"/>
    <w:pPr>
      <w:widowControl/>
      <w:ind w:firstLine="420"/>
      <w:jc w:val="left"/>
    </w:pPr>
    <w:rPr>
      <w:kern w:val="0"/>
      <w:sz w:val="20"/>
    </w:rPr>
  </w:style>
  <w:style w:type="paragraph" w:customStyle="1" w:styleId="74">
    <w:name w:val="正文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5">
    <w:name w:val="普通(网站) New"/>
    <w:basedOn w:val="76"/>
    <w:autoRedefine/>
    <w:qFormat/>
    <w:uiPriority w:val="0"/>
    <w:rPr>
      <w:sz w:val="24"/>
    </w:rPr>
  </w:style>
  <w:style w:type="paragraph" w:customStyle="1" w:styleId="76">
    <w:name w:val="正文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7">
    <w:name w:val="正文文本缩进 New"/>
    <w:basedOn w:val="74"/>
    <w:autoRedefine/>
    <w:qFormat/>
    <w:uiPriority w:val="0"/>
    <w:pPr>
      <w:ind w:firstLine="560" w:firstLineChars="200"/>
    </w:pPr>
  </w:style>
  <w:style w:type="paragraph" w:customStyle="1" w:styleId="78">
    <w:name w:val="Char"/>
    <w:basedOn w:val="10"/>
    <w:autoRedefine/>
    <w:qFormat/>
    <w:uiPriority w:val="0"/>
    <w:pPr>
      <w:spacing w:line="240" w:lineRule="auto"/>
    </w:pPr>
  </w:style>
  <w:style w:type="paragraph" w:customStyle="1" w:styleId="79">
    <w:name w:val="正文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0">
    <w:name w:val="页脚 New New New New"/>
    <w:basedOn w:val="81"/>
    <w:autoRedefine/>
    <w:qFormat/>
    <w:uiPriority w:val="0"/>
    <w:pPr>
      <w:tabs>
        <w:tab w:val="center" w:pos="4153"/>
        <w:tab w:val="right" w:pos="8306"/>
      </w:tabs>
      <w:snapToGrid w:val="0"/>
      <w:jc w:val="left"/>
    </w:pPr>
    <w:rPr>
      <w:sz w:val="18"/>
      <w:szCs w:val="18"/>
    </w:rPr>
  </w:style>
  <w:style w:type="paragraph" w:customStyle="1" w:styleId="81">
    <w:name w:val="正文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2">
    <w:name w:val="正文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正文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4">
    <w:name w:val="页眉 New New New New New New New New New"/>
    <w:basedOn w:val="61"/>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5">
    <w:name w:val="正文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页眉 New New New New New New New New"/>
    <w:basedOn w:val="87"/>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87">
    <w:name w:val="正文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88">
    <w:name w:val="正文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9">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p18"/>
    <w:autoRedefine/>
    <w:qFormat/>
    <w:uiPriority w:val="0"/>
    <w:pPr>
      <w:spacing w:after="120" w:line="360" w:lineRule="auto"/>
    </w:pPr>
    <w:rPr>
      <w:rFonts w:ascii="宋体" w:hAnsi="宋体" w:eastAsia="宋体" w:cs="宋体"/>
      <w:sz w:val="24"/>
      <w:szCs w:val="24"/>
      <w:lang w:val="en-US" w:eastAsia="zh-CN" w:bidi="ar-SA"/>
    </w:rPr>
  </w:style>
  <w:style w:type="paragraph" w:customStyle="1" w:styleId="91">
    <w:name w:val="正文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2">
    <w:name w:val="样式2"/>
    <w:basedOn w:val="21"/>
    <w:autoRedefine/>
    <w:qFormat/>
    <w:uiPriority w:val="0"/>
    <w:pPr>
      <w:tabs>
        <w:tab w:val="right" w:leader="dot" w:pos="9345"/>
      </w:tabs>
    </w:pPr>
    <w:rPr>
      <w:rFonts w:hAnsi="宋体"/>
      <w:b/>
      <w:color w:val="0000FF"/>
      <w:u w:val="single"/>
    </w:rPr>
  </w:style>
  <w:style w:type="paragraph" w:customStyle="1" w:styleId="93">
    <w:name w:val="页脚 New New New New New New New New"/>
    <w:basedOn w:val="94"/>
    <w:autoRedefine/>
    <w:qFormat/>
    <w:uiPriority w:val="0"/>
    <w:pPr>
      <w:tabs>
        <w:tab w:val="center" w:pos="4153"/>
        <w:tab w:val="right" w:pos="8306"/>
      </w:tabs>
      <w:snapToGrid w:val="0"/>
      <w:jc w:val="left"/>
    </w:pPr>
    <w:rPr>
      <w:sz w:val="18"/>
      <w:szCs w:val="18"/>
    </w:rPr>
  </w:style>
  <w:style w:type="paragraph" w:customStyle="1" w:styleId="94">
    <w:name w:val="正文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正文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6">
    <w:name w:val="页脚 New New New New New New New New New New"/>
    <w:basedOn w:val="91"/>
    <w:autoRedefine/>
    <w:qFormat/>
    <w:uiPriority w:val="0"/>
    <w:pPr>
      <w:widowControl/>
      <w:tabs>
        <w:tab w:val="center" w:pos="4153"/>
        <w:tab w:val="right" w:pos="8306"/>
      </w:tabs>
      <w:snapToGrid w:val="0"/>
      <w:jc w:val="left"/>
    </w:pPr>
    <w:rPr>
      <w:sz w:val="18"/>
    </w:rPr>
  </w:style>
  <w:style w:type="paragraph" w:customStyle="1" w:styleId="97">
    <w:name w:val="正文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8">
    <w:name w:val="页脚 New New New New New New"/>
    <w:basedOn w:val="76"/>
    <w:autoRedefine/>
    <w:qFormat/>
    <w:uiPriority w:val="0"/>
    <w:pPr>
      <w:tabs>
        <w:tab w:val="center" w:pos="4153"/>
        <w:tab w:val="right" w:pos="8306"/>
      </w:tabs>
      <w:snapToGrid w:val="0"/>
      <w:jc w:val="left"/>
    </w:pPr>
    <w:rPr>
      <w:sz w:val="18"/>
    </w:rPr>
  </w:style>
  <w:style w:type="paragraph" w:customStyle="1" w:styleId="99">
    <w:name w:val="正文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0">
    <w:name w:val="正文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2">
    <w:name w:val="页眉 New New New New New"/>
    <w:basedOn w:val="7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3">
    <w:name w:val="页脚 New New New New New New New New New New New"/>
    <w:basedOn w:val="87"/>
    <w:autoRedefine/>
    <w:qFormat/>
    <w:uiPriority w:val="0"/>
    <w:pPr>
      <w:widowControl/>
      <w:tabs>
        <w:tab w:val="center" w:pos="4153"/>
        <w:tab w:val="right" w:pos="8306"/>
      </w:tabs>
      <w:snapToGrid w:val="0"/>
      <w:jc w:val="left"/>
    </w:pPr>
    <w:rPr>
      <w:sz w:val="18"/>
    </w:rPr>
  </w:style>
  <w:style w:type="paragraph" w:customStyle="1" w:styleId="104">
    <w:name w:val="页眉 New New New New New New"/>
    <w:basedOn w:val="83"/>
    <w:autoRedefine/>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05">
    <w:name w:val="正文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6">
    <w:name w:val="页眉 New New"/>
    <w:basedOn w:val="6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7">
    <w:name w:val="页眉 New"/>
    <w:basedOn w:val="10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08">
    <w:name w:val="正文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9">
    <w:name w:val="正文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页脚 New"/>
    <w:basedOn w:val="108"/>
    <w:autoRedefine/>
    <w:qFormat/>
    <w:uiPriority w:val="0"/>
    <w:pPr>
      <w:tabs>
        <w:tab w:val="center" w:pos="4153"/>
        <w:tab w:val="right" w:pos="8306"/>
      </w:tabs>
      <w:snapToGrid w:val="0"/>
      <w:jc w:val="left"/>
    </w:pPr>
    <w:rPr>
      <w:sz w:val="18"/>
      <w:szCs w:val="18"/>
    </w:rPr>
  </w:style>
  <w:style w:type="paragraph" w:customStyle="1" w:styleId="111">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2">
    <w:name w:val="正文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3">
    <w:name w:val="正文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4">
    <w:name w:val="页脚 New New New"/>
    <w:basedOn w:val="68"/>
    <w:autoRedefine/>
    <w:qFormat/>
    <w:uiPriority w:val="0"/>
    <w:pPr>
      <w:tabs>
        <w:tab w:val="center" w:pos="4153"/>
        <w:tab w:val="right" w:pos="8306"/>
      </w:tabs>
      <w:snapToGrid w:val="0"/>
      <w:jc w:val="left"/>
    </w:pPr>
    <w:rPr>
      <w:sz w:val="18"/>
      <w:szCs w:val="18"/>
    </w:rPr>
  </w:style>
  <w:style w:type="paragraph" w:customStyle="1" w:styleId="115">
    <w:name w:val="页眉 New New New New"/>
    <w:basedOn w:val="66"/>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6">
    <w:name w:val="纯文本 New"/>
    <w:basedOn w:val="63"/>
    <w:autoRedefine/>
    <w:qFormat/>
    <w:uiPriority w:val="0"/>
    <w:rPr>
      <w:rFonts w:ascii="宋体" w:hAnsi="Courier New"/>
      <w:szCs w:val="24"/>
    </w:rPr>
  </w:style>
  <w:style w:type="paragraph" w:customStyle="1" w:styleId="117">
    <w:name w:val="正文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1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9">
    <w:name w:val="正文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0">
    <w:name w:val="正文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正文 New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2">
    <w:name w:val="页脚 New New New New New New New New New New New New"/>
    <w:basedOn w:val="123"/>
    <w:autoRedefine/>
    <w:qFormat/>
    <w:uiPriority w:val="0"/>
    <w:pPr>
      <w:tabs>
        <w:tab w:val="center" w:pos="4153"/>
        <w:tab w:val="right" w:pos="8306"/>
      </w:tabs>
      <w:snapToGrid w:val="0"/>
      <w:jc w:val="left"/>
    </w:pPr>
    <w:rPr>
      <w:sz w:val="18"/>
      <w:szCs w:val="18"/>
    </w:rPr>
  </w:style>
  <w:style w:type="paragraph" w:customStyle="1" w:styleId="123">
    <w:name w:val="正文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4">
    <w:name w:val="目录 31"/>
    <w:basedOn w:val="69"/>
    <w:next w:val="69"/>
    <w:autoRedefine/>
    <w:qFormat/>
    <w:uiPriority w:val="0"/>
    <w:pPr>
      <w:ind w:left="561"/>
      <w:jc w:val="left"/>
    </w:pPr>
  </w:style>
  <w:style w:type="paragraph" w:customStyle="1" w:styleId="125">
    <w:name w:val="p0"/>
    <w:basedOn w:val="62"/>
    <w:autoRedefine/>
    <w:qFormat/>
    <w:uiPriority w:val="0"/>
    <w:pPr>
      <w:widowControl/>
      <w:spacing w:line="360" w:lineRule="auto"/>
    </w:pPr>
    <w:rPr>
      <w:rFonts w:ascii="宋体" w:hAnsi="宋体" w:cs="宋体"/>
      <w:kern w:val="0"/>
      <w:sz w:val="24"/>
      <w:szCs w:val="24"/>
    </w:rPr>
  </w:style>
  <w:style w:type="paragraph" w:customStyle="1" w:styleId="126">
    <w:name w:val="页眉 New New New New New New New"/>
    <w:basedOn w:val="91"/>
    <w:autoRedefine/>
    <w:qFormat/>
    <w:uiPriority w:val="0"/>
    <w:pPr>
      <w:widowControl/>
      <w:pBdr>
        <w:bottom w:val="single" w:color="auto" w:sz="6" w:space="1"/>
      </w:pBdr>
      <w:tabs>
        <w:tab w:val="center" w:pos="4153"/>
        <w:tab w:val="right" w:pos="8306"/>
      </w:tabs>
      <w:snapToGrid w:val="0"/>
      <w:jc w:val="center"/>
    </w:pPr>
    <w:rPr>
      <w:sz w:val="18"/>
    </w:rPr>
  </w:style>
  <w:style w:type="paragraph" w:customStyle="1" w:styleId="127">
    <w:name w:val="正文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8">
    <w:name w:val="正文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29">
    <w:name w:val="正文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0">
    <w:name w:val="标题 2 New"/>
    <w:basedOn w:val="89"/>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31">
    <w:name w:val="正文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2">
    <w:name w:val="blockquote"/>
    <w:basedOn w:val="1"/>
    <w:autoRedefine/>
    <w:qFormat/>
    <w:uiPriority w:val="0"/>
    <w:pPr>
      <w:widowControl/>
      <w:spacing w:before="100" w:beforeAutospacing="1" w:after="100" w:afterAutospacing="1" w:line="240" w:lineRule="auto"/>
      <w:jc w:val="left"/>
    </w:pPr>
    <w:rPr>
      <w:rFonts w:hAnsi="宋体"/>
      <w:kern w:val="0"/>
    </w:rPr>
  </w:style>
  <w:style w:type="paragraph" w:customStyle="1" w:styleId="133">
    <w:name w:val="正文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34">
    <w:name w:val="Normal New"/>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35">
    <w:name w:val="正文文本缩进 New New New New"/>
    <w:basedOn w:val="128"/>
    <w:autoRedefine/>
    <w:qFormat/>
    <w:uiPriority w:val="0"/>
    <w:pPr>
      <w:ind w:firstLine="560" w:firstLineChars="200"/>
    </w:pPr>
    <w:rPr>
      <w:szCs w:val="28"/>
    </w:rPr>
  </w:style>
  <w:style w:type="paragraph" w:customStyle="1" w:styleId="136">
    <w:name w:val="页脚 New New New New New New New"/>
    <w:basedOn w:val="83"/>
    <w:autoRedefine/>
    <w:qFormat/>
    <w:uiPriority w:val="0"/>
    <w:pPr>
      <w:widowControl/>
      <w:tabs>
        <w:tab w:val="center" w:pos="4153"/>
        <w:tab w:val="right" w:pos="8306"/>
      </w:tabs>
      <w:snapToGrid w:val="0"/>
      <w:jc w:val="left"/>
    </w:pPr>
    <w:rPr>
      <w:kern w:val="0"/>
      <w:sz w:val="18"/>
      <w:szCs w:val="20"/>
    </w:rPr>
  </w:style>
  <w:style w:type="paragraph" w:customStyle="1" w:styleId="137">
    <w:name w:val="正文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页脚 New New New New New New New New New"/>
    <w:basedOn w:val="82"/>
    <w:autoRedefine/>
    <w:qFormat/>
    <w:uiPriority w:val="0"/>
    <w:pPr>
      <w:tabs>
        <w:tab w:val="center" w:pos="4153"/>
        <w:tab w:val="right" w:pos="8306"/>
      </w:tabs>
      <w:snapToGrid w:val="0"/>
      <w:jc w:val="left"/>
    </w:pPr>
    <w:rPr>
      <w:sz w:val="18"/>
      <w:szCs w:val="18"/>
    </w:rPr>
  </w:style>
  <w:style w:type="paragraph" w:customStyle="1" w:styleId="139">
    <w:name w:val="页脚 New New"/>
    <w:basedOn w:val="63"/>
    <w:autoRedefine/>
    <w:qFormat/>
    <w:uiPriority w:val="0"/>
    <w:pPr>
      <w:tabs>
        <w:tab w:val="center" w:pos="4153"/>
        <w:tab w:val="right" w:pos="8306"/>
      </w:tabs>
      <w:snapToGrid w:val="0"/>
      <w:jc w:val="left"/>
    </w:pPr>
    <w:rPr>
      <w:sz w:val="18"/>
      <w:szCs w:val="18"/>
    </w:rPr>
  </w:style>
  <w:style w:type="paragraph" w:customStyle="1" w:styleId="140">
    <w:name w:val="正文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1">
    <w:name w:val="正文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2">
    <w:name w:val="正文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3">
    <w:name w:val="样式1"/>
    <w:basedOn w:val="7"/>
    <w:autoRedefine/>
    <w:qFormat/>
    <w:uiPriority w:val="0"/>
    <w:pPr>
      <w:tabs>
        <w:tab w:val="right" w:leader="dot" w:pos="9345"/>
      </w:tabs>
    </w:pPr>
    <w:rPr>
      <w:rFonts w:ascii="宋体" w:hAnsi="宋体"/>
      <w:b/>
      <w:caps/>
      <w:u w:val="single"/>
    </w:rPr>
  </w:style>
  <w:style w:type="paragraph" w:customStyle="1" w:styleId="144">
    <w:name w:val="页眉 New New New"/>
    <w:basedOn w:val="6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145">
    <w:name w:val="正文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6">
    <w:name w:val="正文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7">
    <w:name w:val="正文正"/>
    <w:basedOn w:val="1"/>
    <w:autoRedefine/>
    <w:qFormat/>
    <w:uiPriority w:val="0"/>
    <w:pPr>
      <w:spacing w:line="560" w:lineRule="exact"/>
      <w:ind w:firstLine="561"/>
    </w:pPr>
    <w:rPr>
      <w:rFonts w:ascii="Calibri" w:hAnsi="Calibri"/>
      <w:sz w:val="28"/>
      <w:szCs w:val="28"/>
    </w:rPr>
  </w:style>
  <w:style w:type="paragraph" w:customStyle="1" w:styleId="148">
    <w:name w:val="正文 New New New New New New New New New New New New New New New New New New New New New New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9">
    <w:name w:val="标题 2 New New"/>
    <w:basedOn w:val="118"/>
    <w:next w:val="118"/>
    <w:autoRedefine/>
    <w:qFormat/>
    <w:uiPriority w:val="0"/>
    <w:pPr>
      <w:autoSpaceDE w:val="0"/>
      <w:autoSpaceDN w:val="0"/>
      <w:adjustRightInd w:val="0"/>
      <w:jc w:val="left"/>
      <w:outlineLvl w:val="1"/>
    </w:pPr>
    <w:rPr>
      <w:kern w:val="0"/>
      <w:sz w:val="24"/>
    </w:rPr>
  </w:style>
  <w:style w:type="paragraph" w:customStyle="1" w:styleId="150">
    <w:name w:val="标题 1 New"/>
    <w:basedOn w:val="118"/>
    <w:next w:val="118"/>
    <w:autoRedefine/>
    <w:qFormat/>
    <w:uiPriority w:val="0"/>
    <w:pPr>
      <w:autoSpaceDE w:val="0"/>
      <w:autoSpaceDN w:val="0"/>
      <w:adjustRightInd w:val="0"/>
      <w:jc w:val="left"/>
      <w:outlineLvl w:val="0"/>
    </w:pPr>
    <w:rPr>
      <w:kern w:val="0"/>
      <w:sz w:val="30"/>
    </w:rPr>
  </w:style>
  <w:style w:type="paragraph" w:customStyle="1" w:styleId="151">
    <w:name w:val="WPSOffice手动目录 1"/>
    <w:autoRedefine/>
    <w:qFormat/>
    <w:uiPriority w:val="0"/>
    <w:rPr>
      <w:rFonts w:ascii="Times New Roman" w:hAnsi="Times New Roman" w:eastAsia="宋体" w:cs="Times New Roman"/>
      <w:lang w:val="en-US" w:eastAsia="zh-CN" w:bidi="ar-SA"/>
    </w:rPr>
  </w:style>
  <w:style w:type="paragraph" w:customStyle="1" w:styleId="152">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53">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54">
    <w:name w:val="正文缩进1"/>
    <w:basedOn w:val="1"/>
    <w:autoRedefine/>
    <w:qFormat/>
    <w:uiPriority w:val="0"/>
    <w:pPr>
      <w:widowControl/>
      <w:ind w:firstLine="420"/>
      <w:jc w:val="left"/>
    </w:pPr>
    <w:rPr>
      <w:kern w:val="0"/>
    </w:rPr>
  </w:style>
  <w:style w:type="character" w:styleId="155">
    <w:name w:val="Placeholder Text"/>
    <w:basedOn w:val="34"/>
    <w:semiHidden/>
    <w:qFormat/>
    <w:uiPriority w:val="99"/>
    <w:rPr>
      <w:color w:val="808080"/>
    </w:rPr>
  </w:style>
  <w:style w:type="paragraph" w:customStyle="1" w:styleId="156">
    <w:name w:val="正文文本1"/>
    <w:basedOn w:val="1"/>
    <w:qFormat/>
    <w:uiPriority w:val="0"/>
    <w:pPr>
      <w:spacing w:after="1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77</Pages>
  <Words>3581</Words>
  <Characters>3848</Characters>
  <Lines>292</Lines>
  <Paragraphs>82</Paragraphs>
  <TotalTime>15</TotalTime>
  <ScaleCrop>false</ScaleCrop>
  <LinksUpToDate>false</LinksUpToDate>
  <CharactersWithSpaces>4001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2014-03-11T01:35:00Z</dcterms:created>
  <dc:creator>kingsons</dc:creator>
  <cp:lastModifiedBy>Administrator</cp:lastModifiedBy>
  <cp:lastPrinted>2026-03-13T01:10:00Z</cp:lastPrinted>
  <dcterms:modified xsi:type="dcterms:W3CDTF">2026-09-16T00:38:15Z</dcterms:modified>
  <dc:title>广东省韶关学院第三期学生公寓第一、二组团工程施工</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1B501801416B4B6D8CE7912B6711C930</vt:lpwstr>
  </property>
  <property fmtid="{D5CDD505-2E9C-101B-9397-08002B2CF9AE}" pid="5" name="KSOTemplateDocerSaveRecord">
    <vt:lpwstr>eyJoZGlkIjoiNDE0NWZmMzJkMWRjNjFiNDQyMGNlNjliNjM3YmY4ZWQifQ==</vt:lpwstr>
  </property>
</Properties>
</file>