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730B5">
      <w:pPr>
        <w:pStyle w:val="35"/>
        <w:shd w:val="clear" w:color="auto" w:fill="auto"/>
        <w:spacing w:line="360" w:lineRule="auto"/>
        <w:jc w:val="center"/>
        <w:rPr>
          <w:rFonts w:hint="eastAsia" w:ascii="宋体" w:hAnsi="宋体" w:eastAsia="宋体" w:cs="宋体"/>
          <w:b/>
          <w:bCs/>
          <w:color w:val="auto"/>
          <w:sz w:val="48"/>
          <w:szCs w:val="48"/>
          <w:highlight w:val="none"/>
          <w:lang w:eastAsia="zh-CN"/>
        </w:rPr>
      </w:pPr>
    </w:p>
    <w:p w14:paraId="03852FBC">
      <w:pPr>
        <w:pStyle w:val="35"/>
        <w:shd w:val="clear" w:color="auto" w:fill="auto"/>
        <w:spacing w:line="360" w:lineRule="auto"/>
        <w:jc w:val="center"/>
        <w:rPr>
          <w:rFonts w:hint="eastAsia" w:ascii="宋体" w:hAnsi="宋体" w:eastAsia="宋体" w:cs="宋体"/>
          <w:b/>
          <w:bCs/>
          <w:color w:val="auto"/>
          <w:sz w:val="48"/>
          <w:szCs w:val="48"/>
          <w:highlight w:val="none"/>
          <w:lang w:eastAsia="zh-CN"/>
        </w:rPr>
      </w:pPr>
      <w:r>
        <w:rPr>
          <w:rFonts w:hint="eastAsia" w:ascii="宋体" w:hAnsi="宋体" w:eastAsia="宋体" w:cs="宋体"/>
          <w:b/>
          <w:bCs/>
          <w:color w:val="auto"/>
          <w:sz w:val="48"/>
          <w:szCs w:val="48"/>
          <w:highlight w:val="none"/>
          <w:lang w:eastAsia="zh-CN"/>
        </w:rPr>
        <w:t>南雄市城市排水防涝建设项目（二标段）</w:t>
      </w:r>
    </w:p>
    <w:p w14:paraId="3008915E">
      <w:pPr>
        <w:pStyle w:val="35"/>
        <w:shd w:val="clear" w:color="auto" w:fill="auto"/>
        <w:spacing w:line="360" w:lineRule="auto"/>
        <w:jc w:val="center"/>
        <w:rPr>
          <w:rFonts w:hint="eastAsia" w:ascii="宋体" w:hAnsi="宋体" w:eastAsia="宋体" w:cs="宋体"/>
          <w:b/>
          <w:bCs/>
          <w:color w:val="auto"/>
          <w:spacing w:val="28"/>
          <w:sz w:val="84"/>
          <w:szCs w:val="84"/>
          <w:highlight w:val="none"/>
          <w:lang w:eastAsia="zh-CN"/>
        </w:rPr>
      </w:pPr>
      <w:r>
        <w:rPr>
          <w:rFonts w:hint="eastAsia" w:ascii="宋体" w:hAnsi="宋体" w:eastAsia="宋体" w:cs="宋体"/>
          <w:b/>
          <w:bCs/>
          <w:color w:val="auto"/>
          <w:sz w:val="48"/>
          <w:szCs w:val="48"/>
          <w:highlight w:val="none"/>
          <w:lang w:eastAsia="zh-CN"/>
        </w:rPr>
        <w:t>设计施工总承包</w:t>
      </w:r>
    </w:p>
    <w:p w14:paraId="2631D9C7">
      <w:pPr>
        <w:pStyle w:val="35"/>
        <w:shd w:val="clear" w:color="auto" w:fill="auto"/>
        <w:spacing w:line="360" w:lineRule="auto"/>
        <w:jc w:val="center"/>
        <w:rPr>
          <w:rFonts w:hint="eastAsia" w:ascii="宋体" w:hAnsi="宋体" w:eastAsia="宋体" w:cs="宋体"/>
          <w:b/>
          <w:bCs/>
          <w:color w:val="auto"/>
          <w:spacing w:val="28"/>
          <w:sz w:val="84"/>
          <w:szCs w:val="84"/>
          <w:highlight w:val="none"/>
        </w:rPr>
      </w:pPr>
    </w:p>
    <w:p w14:paraId="0BC2FA13">
      <w:pPr>
        <w:pStyle w:val="35"/>
        <w:shd w:val="clear" w:color="auto" w:fill="auto"/>
        <w:spacing w:line="360" w:lineRule="auto"/>
        <w:jc w:val="center"/>
        <w:rPr>
          <w:rFonts w:hint="eastAsia" w:ascii="宋体" w:hAnsi="宋体" w:eastAsia="宋体" w:cs="宋体"/>
          <w:b/>
          <w:bCs/>
          <w:color w:val="auto"/>
          <w:spacing w:val="26"/>
          <w:sz w:val="52"/>
          <w:szCs w:val="5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color w:val="auto"/>
          <w:spacing w:val="28"/>
          <w:sz w:val="84"/>
          <w:szCs w:val="84"/>
          <w:highlight w:val="none"/>
        </w:rPr>
        <w:t>招标文件</w:t>
      </w:r>
    </w:p>
    <w:p w14:paraId="24E8666F">
      <w:pPr>
        <w:pStyle w:val="37"/>
        <w:tabs>
          <w:tab w:val="left" w:pos="4935"/>
        </w:tabs>
        <w:jc w:val="center"/>
        <w:rPr>
          <w:rFonts w:asciiTheme="minorEastAsia" w:hAnsiTheme="minorEastAsia" w:eastAsiaTheme="minorEastAsia" w:cstheme="minorEastAsia"/>
          <w:b/>
          <w:color w:val="auto"/>
          <w:sz w:val="28"/>
          <w:szCs w:val="28"/>
          <w:highlight w:val="none"/>
        </w:rPr>
      </w:pPr>
    </w:p>
    <w:p w14:paraId="69820767">
      <w:pPr>
        <w:pStyle w:val="37"/>
        <w:tabs>
          <w:tab w:val="left" w:pos="4935"/>
        </w:tabs>
        <w:jc w:val="center"/>
        <w:rPr>
          <w:rFonts w:asciiTheme="minorEastAsia" w:hAnsiTheme="minorEastAsia" w:eastAsiaTheme="minorEastAsia" w:cstheme="minorEastAsia"/>
          <w:b/>
          <w:color w:val="auto"/>
          <w:sz w:val="28"/>
          <w:szCs w:val="28"/>
          <w:highlight w:val="none"/>
        </w:rPr>
      </w:pPr>
    </w:p>
    <w:p w14:paraId="17BC3A78">
      <w:pPr>
        <w:pStyle w:val="37"/>
        <w:tabs>
          <w:tab w:val="left" w:pos="4935"/>
        </w:tabs>
        <w:jc w:val="center"/>
        <w:rPr>
          <w:rFonts w:asciiTheme="minorEastAsia" w:hAnsiTheme="minorEastAsia" w:eastAsiaTheme="minorEastAsia" w:cstheme="minorEastAsia"/>
          <w:b/>
          <w:color w:val="auto"/>
          <w:sz w:val="28"/>
          <w:szCs w:val="28"/>
          <w:highlight w:val="none"/>
        </w:rPr>
      </w:pPr>
    </w:p>
    <w:tbl>
      <w:tblPr>
        <w:tblStyle w:val="24"/>
        <w:tblW w:w="95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768"/>
        <w:gridCol w:w="4799"/>
      </w:tblGrid>
      <w:tr w14:paraId="425F8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17" w:hRule="atLeast"/>
          <w:jc w:val="center"/>
        </w:trPr>
        <w:tc>
          <w:tcPr>
            <w:tcW w:w="4768" w:type="dxa"/>
            <w:tcBorders>
              <w:top w:val="nil"/>
              <w:left w:val="nil"/>
              <w:bottom w:val="nil"/>
              <w:right w:val="nil"/>
            </w:tcBorders>
            <w:shd w:val="clear" w:color="auto" w:fill="auto"/>
            <w:vAlign w:val="center"/>
          </w:tcPr>
          <w:p w14:paraId="4A514E75">
            <w:pPr>
              <w:pStyle w:val="22"/>
              <w:keepNext w:val="0"/>
              <w:keepLines w:val="0"/>
              <w:widowControl w:val="0"/>
              <w:suppressLineNumbers w:val="0"/>
              <w:spacing w:before="0" w:beforeLines="0" w:beforeAutospacing="0" w:after="0" w:afterLines="0" w:afterAutospacing="0" w:line="360" w:lineRule="auto"/>
              <w:ind w:left="0" w:right="0" w:firstLine="280" w:firstLineChars="10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招      标      人（盖 章）：</w:t>
            </w:r>
          </w:p>
        </w:tc>
        <w:tc>
          <w:tcPr>
            <w:tcW w:w="4799" w:type="dxa"/>
            <w:tcBorders>
              <w:top w:val="nil"/>
              <w:left w:val="nil"/>
              <w:bottom w:val="nil"/>
              <w:right w:val="nil"/>
            </w:tcBorders>
            <w:shd w:val="clear" w:color="auto" w:fill="auto"/>
            <w:vAlign w:val="center"/>
          </w:tcPr>
          <w:p w14:paraId="441B23C7">
            <w:pPr>
              <w:pStyle w:val="22"/>
              <w:keepNext w:val="0"/>
              <w:keepLines w:val="0"/>
              <w:widowControl w:val="0"/>
              <w:suppressLineNumbers w:val="0"/>
              <w:spacing w:before="0" w:beforeLines="0" w:beforeAutospacing="0" w:after="0" w:afterLines="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8"/>
                <w:szCs w:val="28"/>
                <w:highlight w:val="none"/>
                <w:lang w:val="en-US" w:eastAsia="zh-CN" w:bidi="ar"/>
              </w:rPr>
              <w:t>南雄市政府投资建设项目代建管理中心</w:t>
            </w:r>
          </w:p>
        </w:tc>
      </w:tr>
      <w:tr w14:paraId="2D9F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2" w:hRule="atLeast"/>
          <w:jc w:val="center"/>
        </w:trPr>
        <w:tc>
          <w:tcPr>
            <w:tcW w:w="4768" w:type="dxa"/>
            <w:tcBorders>
              <w:top w:val="nil"/>
              <w:left w:val="nil"/>
              <w:bottom w:val="nil"/>
              <w:right w:val="nil"/>
            </w:tcBorders>
            <w:shd w:val="clear" w:color="auto" w:fill="auto"/>
            <w:vAlign w:val="center"/>
          </w:tcPr>
          <w:p w14:paraId="3BE31B34">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招标人工作领导小组负责人（签字）：</w:t>
            </w:r>
          </w:p>
        </w:tc>
        <w:tc>
          <w:tcPr>
            <w:tcW w:w="4799" w:type="dxa"/>
            <w:tcBorders>
              <w:top w:val="nil"/>
              <w:left w:val="nil"/>
              <w:bottom w:val="nil"/>
              <w:right w:val="nil"/>
            </w:tcBorders>
            <w:shd w:val="clear" w:color="auto" w:fill="auto"/>
            <w:vAlign w:val="center"/>
          </w:tcPr>
          <w:p w14:paraId="573F1DC1">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0EF6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72" w:hRule="atLeast"/>
          <w:jc w:val="center"/>
        </w:trPr>
        <w:tc>
          <w:tcPr>
            <w:tcW w:w="4768" w:type="dxa"/>
            <w:tcBorders>
              <w:top w:val="nil"/>
              <w:left w:val="nil"/>
              <w:bottom w:val="nil"/>
              <w:right w:val="nil"/>
            </w:tcBorders>
            <w:shd w:val="clear" w:color="auto" w:fill="auto"/>
            <w:vAlign w:val="center"/>
          </w:tcPr>
          <w:p w14:paraId="1315A50B">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代 理 机 构 （盖 章）：</w:t>
            </w:r>
          </w:p>
        </w:tc>
        <w:tc>
          <w:tcPr>
            <w:tcW w:w="4799" w:type="dxa"/>
            <w:tcBorders>
              <w:top w:val="nil"/>
              <w:left w:val="nil"/>
              <w:bottom w:val="nil"/>
              <w:right w:val="nil"/>
            </w:tcBorders>
            <w:shd w:val="clear" w:color="auto" w:fill="auto"/>
            <w:vAlign w:val="center"/>
          </w:tcPr>
          <w:p w14:paraId="60EB1201">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hAnsi="宋体" w:eastAsia="宋体" w:cs="宋体"/>
                <w:color w:val="auto"/>
                <w:kern w:val="2"/>
                <w:sz w:val="28"/>
                <w:szCs w:val="28"/>
                <w:highlight w:val="none"/>
                <w:lang w:val="en-US" w:eastAsia="zh-CN" w:bidi="ar"/>
              </w:rPr>
              <w:t>广东君霖项目管理有限公司</w:t>
            </w:r>
          </w:p>
        </w:tc>
      </w:tr>
      <w:tr w14:paraId="6C076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1" w:hRule="atLeast"/>
          <w:jc w:val="center"/>
        </w:trPr>
        <w:tc>
          <w:tcPr>
            <w:tcW w:w="4768" w:type="dxa"/>
            <w:tcBorders>
              <w:top w:val="nil"/>
              <w:left w:val="nil"/>
              <w:bottom w:val="nil"/>
              <w:right w:val="nil"/>
            </w:tcBorders>
            <w:shd w:val="clear" w:color="auto" w:fill="auto"/>
            <w:vAlign w:val="center"/>
          </w:tcPr>
          <w:p w14:paraId="45252D81">
            <w:pPr>
              <w:keepNext w:val="0"/>
              <w:keepLines w:val="0"/>
              <w:widowControl w:val="0"/>
              <w:suppressLineNumbers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人（签字）：</w:t>
            </w:r>
          </w:p>
        </w:tc>
        <w:tc>
          <w:tcPr>
            <w:tcW w:w="4799" w:type="dxa"/>
            <w:tcBorders>
              <w:top w:val="nil"/>
              <w:left w:val="nil"/>
              <w:bottom w:val="nil"/>
              <w:right w:val="nil"/>
            </w:tcBorders>
            <w:shd w:val="clear" w:color="auto" w:fill="auto"/>
            <w:vAlign w:val="center"/>
          </w:tcPr>
          <w:p w14:paraId="651ACB92">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655D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7" w:hRule="atLeast"/>
          <w:jc w:val="center"/>
        </w:trPr>
        <w:tc>
          <w:tcPr>
            <w:tcW w:w="4768" w:type="dxa"/>
            <w:tcBorders>
              <w:top w:val="nil"/>
              <w:left w:val="nil"/>
              <w:bottom w:val="nil"/>
              <w:right w:val="nil"/>
            </w:tcBorders>
            <w:shd w:val="clear" w:color="auto" w:fill="auto"/>
            <w:vAlign w:val="center"/>
          </w:tcPr>
          <w:p w14:paraId="35E85655">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招标代理机构项目负责人（签字）：</w:t>
            </w:r>
          </w:p>
        </w:tc>
        <w:tc>
          <w:tcPr>
            <w:tcW w:w="4799" w:type="dxa"/>
            <w:tcBorders>
              <w:top w:val="nil"/>
              <w:left w:val="nil"/>
              <w:bottom w:val="nil"/>
              <w:right w:val="nil"/>
            </w:tcBorders>
            <w:shd w:val="clear" w:color="auto" w:fill="auto"/>
            <w:vAlign w:val="center"/>
          </w:tcPr>
          <w:p w14:paraId="6A7395CD">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p>
        </w:tc>
      </w:tr>
      <w:tr w14:paraId="73162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8" w:hRule="atLeast"/>
          <w:jc w:val="center"/>
        </w:trPr>
        <w:tc>
          <w:tcPr>
            <w:tcW w:w="4768" w:type="dxa"/>
            <w:tcBorders>
              <w:top w:val="nil"/>
              <w:left w:val="nil"/>
              <w:bottom w:val="nil"/>
              <w:right w:val="nil"/>
            </w:tcBorders>
            <w:shd w:val="clear" w:color="auto" w:fill="auto"/>
            <w:vAlign w:val="center"/>
          </w:tcPr>
          <w:p w14:paraId="1F9A7D8C">
            <w:pPr>
              <w:keepNext w:val="0"/>
              <w:keepLines w:val="0"/>
              <w:widowControl w:val="0"/>
              <w:suppressLineNumbers w:val="0"/>
              <w:wordWrap w:val="0"/>
              <w:spacing w:before="0" w:beforeLines="0" w:beforeAutospacing="0" w:after="0" w:afterLines="0" w:afterAutospacing="0"/>
              <w:ind w:left="0" w:right="0"/>
              <w:jc w:val="left"/>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招  标  文  件  编  制  日  期：</w:t>
            </w:r>
          </w:p>
        </w:tc>
        <w:tc>
          <w:tcPr>
            <w:tcW w:w="4799" w:type="dxa"/>
            <w:tcBorders>
              <w:top w:val="nil"/>
              <w:left w:val="nil"/>
              <w:bottom w:val="nil"/>
              <w:right w:val="nil"/>
            </w:tcBorders>
            <w:shd w:val="clear" w:color="auto" w:fill="auto"/>
            <w:vAlign w:val="center"/>
          </w:tcPr>
          <w:p w14:paraId="1EFD145A">
            <w:pPr>
              <w:keepNext w:val="0"/>
              <w:keepLines w:val="0"/>
              <w:widowControl w:val="0"/>
              <w:suppressLineNumbers w:val="0"/>
              <w:spacing w:before="0" w:beforeLines="0" w:beforeAutospacing="0" w:after="0" w:afterLines="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2026年</w:t>
            </w:r>
            <w:r>
              <w:rPr>
                <w:rFonts w:hint="eastAsia" w:hAnsi="宋体" w:eastAsia="宋体" w:cs="宋体"/>
                <w:color w:val="auto"/>
                <w:kern w:val="2"/>
                <w:sz w:val="28"/>
                <w:szCs w:val="28"/>
                <w:highlight w:val="none"/>
                <w:lang w:val="en-US" w:eastAsia="zh-CN" w:bidi="ar"/>
              </w:rPr>
              <w:t>9</w:t>
            </w:r>
            <w:r>
              <w:rPr>
                <w:rFonts w:hint="eastAsia" w:ascii="宋体" w:hAnsi="宋体" w:eastAsia="宋体" w:cs="宋体"/>
                <w:color w:val="auto"/>
                <w:kern w:val="2"/>
                <w:sz w:val="28"/>
                <w:szCs w:val="28"/>
                <w:highlight w:val="none"/>
                <w:lang w:val="en-US" w:eastAsia="zh-CN" w:bidi="ar"/>
              </w:rPr>
              <w:t>月</w:t>
            </w:r>
          </w:p>
        </w:tc>
      </w:tr>
    </w:tbl>
    <w:p w14:paraId="080300B1">
      <w:pPr>
        <w:pStyle w:val="37"/>
        <w:tabs>
          <w:tab w:val="left" w:pos="4935"/>
        </w:tabs>
        <w:jc w:val="center"/>
        <w:rPr>
          <w:rFonts w:asciiTheme="minorEastAsia" w:hAnsiTheme="minorEastAsia" w:eastAsiaTheme="minorEastAsia" w:cstheme="minorEastAsia"/>
          <w:b/>
          <w:color w:val="auto"/>
          <w:sz w:val="28"/>
          <w:szCs w:val="28"/>
          <w:highlight w:val="none"/>
        </w:rPr>
        <w:sectPr>
          <w:footerReference r:id="rId3"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p>
    <w:p w14:paraId="268A9716">
      <w:pPr>
        <w:pStyle w:val="37"/>
        <w:tabs>
          <w:tab w:val="left" w:pos="4935"/>
        </w:tabs>
        <w:jc w:val="center"/>
        <w:rPr>
          <w:rFonts w:asciiTheme="minorEastAsia" w:hAnsiTheme="minorEastAsia" w:eastAsiaTheme="minorEastAsia" w:cstheme="minorEastAsia"/>
          <w:b/>
          <w:color w:val="auto"/>
          <w:sz w:val="28"/>
          <w:szCs w:val="28"/>
          <w:highlight w:val="none"/>
        </w:rPr>
      </w:pPr>
    </w:p>
    <w:p w14:paraId="77EE32A0">
      <w:pP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br w:type="page"/>
      </w:r>
    </w:p>
    <w:p w14:paraId="2BCB6332">
      <w:pPr>
        <w:pStyle w:val="37"/>
        <w:tabs>
          <w:tab w:val="left" w:pos="4935"/>
        </w:tabs>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4DC3F156">
      <w:pPr>
        <w:pStyle w:val="19"/>
        <w:tabs>
          <w:tab w:val="right" w:leader="dot" w:pos="9354"/>
        </w:tabs>
        <w:spacing w:line="360" w:lineRule="auto"/>
        <w:rPr>
          <w:color w:val="auto"/>
          <w:highlight w:val="none"/>
        </w:rPr>
      </w:pP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color w:val="auto"/>
          <w:szCs w:val="21"/>
          <w:highlight w:val="none"/>
        </w:rPr>
        <w:instrText xml:space="preserve"> TOC \o "1-4" \h \z </w:instrText>
      </w:r>
      <w:r>
        <w:rPr>
          <w:rFonts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szCs w:val="21"/>
          <w:highlight w:val="none"/>
        </w:rPr>
        <w:fldChar w:fldCharType="begin"/>
      </w:r>
      <w:r>
        <w:rPr>
          <w:rFonts w:asciiTheme="minorEastAsia" w:hAnsiTheme="minorEastAsia" w:eastAsiaTheme="minorEastAsia" w:cstheme="minorEastAsia"/>
          <w:color w:val="auto"/>
          <w:szCs w:val="21"/>
          <w:highlight w:val="none"/>
        </w:rPr>
        <w:instrText xml:space="preserve"> HYPERLINK \l _Toc13623 </w:instrText>
      </w:r>
      <w:r>
        <w:rPr>
          <w:rFonts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第一章投标须知</w:t>
      </w:r>
      <w:r>
        <w:rPr>
          <w:color w:val="auto"/>
          <w:highlight w:val="none"/>
        </w:rPr>
        <w:tab/>
      </w:r>
      <w:r>
        <w:rPr>
          <w:color w:val="auto"/>
          <w:highlight w:val="none"/>
        </w:rPr>
        <w:fldChar w:fldCharType="begin"/>
      </w:r>
      <w:r>
        <w:rPr>
          <w:color w:val="auto"/>
          <w:highlight w:val="none"/>
        </w:rPr>
        <w:instrText xml:space="preserve"> PAGEREF _Toc13623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stheme="minorEastAsia"/>
          <w:color w:val="auto"/>
          <w:szCs w:val="21"/>
          <w:highlight w:val="none"/>
        </w:rPr>
        <w:fldChar w:fldCharType="end"/>
      </w:r>
    </w:p>
    <w:p w14:paraId="43EA8855">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_Toc3406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第一节.投标须知前附表</w:t>
      </w:r>
      <w:r>
        <w:rPr>
          <w:color w:val="auto"/>
          <w:highlight w:val="none"/>
        </w:rPr>
        <w:tab/>
      </w:r>
      <w:r>
        <w:rPr>
          <w:color w:val="auto"/>
          <w:highlight w:val="none"/>
        </w:rPr>
        <w:fldChar w:fldCharType="begin"/>
      </w:r>
      <w:r>
        <w:rPr>
          <w:color w:val="auto"/>
          <w:highlight w:val="none"/>
        </w:rPr>
        <w:instrText xml:space="preserve"> PAGEREF _Toc3406 \h </w:instrText>
      </w:r>
      <w:r>
        <w:rPr>
          <w:color w:val="auto"/>
          <w:highlight w:val="none"/>
        </w:rPr>
        <w:fldChar w:fldCharType="separate"/>
      </w:r>
      <w:r>
        <w:rPr>
          <w:color w:val="auto"/>
          <w:highlight w:val="none"/>
        </w:rPr>
        <w:t>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9E2230C">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_Toc29703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2"/>
          <w:szCs w:val="24"/>
          <w:highlight w:val="none"/>
        </w:rPr>
        <w:t>第二节.重要事项时间地点一览表.</w:t>
      </w:r>
      <w:r>
        <w:rPr>
          <w:color w:val="auto"/>
          <w:highlight w:val="none"/>
        </w:rPr>
        <w:tab/>
      </w:r>
      <w:r>
        <w:rPr>
          <w:color w:val="auto"/>
          <w:highlight w:val="none"/>
        </w:rPr>
        <w:fldChar w:fldCharType="begin"/>
      </w:r>
      <w:r>
        <w:rPr>
          <w:color w:val="auto"/>
          <w:highlight w:val="none"/>
        </w:rPr>
        <w:instrText xml:space="preserve"> PAGEREF _Toc29703 \h </w:instrText>
      </w:r>
      <w:r>
        <w:rPr>
          <w:color w:val="auto"/>
          <w:highlight w:val="none"/>
        </w:rPr>
        <w:fldChar w:fldCharType="separate"/>
      </w:r>
      <w:r>
        <w:rPr>
          <w:color w:val="auto"/>
          <w:highlight w:val="none"/>
        </w:rPr>
        <w:t>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08AC78F">
      <w:pPr>
        <w:pStyle w:val="19"/>
        <w:tabs>
          <w:tab w:val="right" w:leader="dot" w:pos="9354"/>
        </w:tabs>
        <w:spacing w:line="360" w:lineRule="auto"/>
        <w:ind w:firstLine="480" w:firstLineChars="200"/>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_Toc19988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36"/>
          <w:highlight w:val="none"/>
        </w:rPr>
        <w:t>第</w:t>
      </w:r>
      <w:r>
        <w:rPr>
          <w:rFonts w:hint="eastAsia" w:asciiTheme="minorEastAsia" w:hAnsiTheme="minorEastAsia" w:eastAsiaTheme="minorEastAsia" w:cstheme="minorEastAsia"/>
          <w:color w:val="auto"/>
          <w:kern w:val="44"/>
          <w:szCs w:val="36"/>
          <w:highlight w:val="none"/>
        </w:rPr>
        <w:t>三节 投标须知正文</w:t>
      </w:r>
      <w:r>
        <w:rPr>
          <w:color w:val="auto"/>
          <w:highlight w:val="none"/>
        </w:rPr>
        <w:tab/>
      </w:r>
      <w:r>
        <w:rPr>
          <w:color w:val="auto"/>
          <w:highlight w:val="none"/>
        </w:rPr>
        <w:fldChar w:fldCharType="begin"/>
      </w:r>
      <w:r>
        <w:rPr>
          <w:color w:val="auto"/>
          <w:highlight w:val="none"/>
        </w:rPr>
        <w:instrText xml:space="preserve"> PAGEREF _Toc19988 \h </w:instrText>
      </w:r>
      <w:r>
        <w:rPr>
          <w:color w:val="auto"/>
          <w:highlight w:val="none"/>
        </w:rPr>
        <w:fldChar w:fldCharType="separate"/>
      </w:r>
      <w:r>
        <w:rPr>
          <w:color w:val="auto"/>
          <w:highlight w:val="none"/>
        </w:rPr>
        <w:t>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D4A5332">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_Toc17329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 工程概况综合说明</w:t>
      </w:r>
      <w:r>
        <w:rPr>
          <w:color w:val="auto"/>
          <w:highlight w:val="none"/>
        </w:rPr>
        <w:tab/>
      </w:r>
      <w:r>
        <w:rPr>
          <w:color w:val="auto"/>
          <w:highlight w:val="none"/>
        </w:rPr>
        <w:fldChar w:fldCharType="begin"/>
      </w:r>
      <w:r>
        <w:rPr>
          <w:color w:val="auto"/>
          <w:highlight w:val="none"/>
        </w:rPr>
        <w:instrText xml:space="preserve"> PAGEREF _Toc17329 \h </w:instrText>
      </w:r>
      <w:r>
        <w:rPr>
          <w:color w:val="auto"/>
          <w:highlight w:val="none"/>
        </w:rPr>
        <w:fldChar w:fldCharType="separate"/>
      </w:r>
      <w:r>
        <w:rPr>
          <w:color w:val="auto"/>
          <w:highlight w:val="none"/>
        </w:rPr>
        <w:t>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6FDB395">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_Toc3130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2 、招标范围</w:t>
      </w:r>
      <w:r>
        <w:rPr>
          <w:color w:val="auto"/>
          <w:highlight w:val="none"/>
        </w:rPr>
        <w:tab/>
      </w:r>
      <w:r>
        <w:rPr>
          <w:color w:val="auto"/>
          <w:highlight w:val="none"/>
        </w:rPr>
        <w:fldChar w:fldCharType="begin"/>
      </w:r>
      <w:r>
        <w:rPr>
          <w:color w:val="auto"/>
          <w:highlight w:val="none"/>
        </w:rPr>
        <w:instrText xml:space="preserve"> PAGEREF _Toc3130 \h </w:instrText>
      </w:r>
      <w:r>
        <w:rPr>
          <w:color w:val="auto"/>
          <w:highlight w:val="none"/>
        </w:rPr>
        <w:fldChar w:fldCharType="separate"/>
      </w:r>
      <w:r>
        <w:rPr>
          <w:color w:val="auto"/>
          <w:highlight w:val="none"/>
        </w:rPr>
        <w:t>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0F5C861">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_Toc22640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3、工期</w:t>
      </w:r>
      <w:r>
        <w:rPr>
          <w:color w:val="auto"/>
          <w:highlight w:val="none"/>
        </w:rPr>
        <w:tab/>
      </w:r>
      <w:r>
        <w:rPr>
          <w:color w:val="auto"/>
          <w:highlight w:val="none"/>
        </w:rPr>
        <w:fldChar w:fldCharType="begin"/>
      </w:r>
      <w:r>
        <w:rPr>
          <w:color w:val="auto"/>
          <w:highlight w:val="none"/>
        </w:rPr>
        <w:instrText xml:space="preserve"> PAGEREF _Toc22640 \h </w:instrText>
      </w:r>
      <w:r>
        <w:rPr>
          <w:color w:val="auto"/>
          <w:highlight w:val="none"/>
        </w:rPr>
        <w:fldChar w:fldCharType="separate"/>
      </w:r>
      <w:r>
        <w:rPr>
          <w:color w:val="auto"/>
          <w:highlight w:val="none"/>
        </w:rPr>
        <w:t>11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FB8F978">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_Toc23691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4 、投标人资质及条件要求</w:t>
      </w:r>
      <w:r>
        <w:rPr>
          <w:color w:val="auto"/>
          <w:highlight w:val="none"/>
        </w:rPr>
        <w:tab/>
      </w:r>
      <w:r>
        <w:rPr>
          <w:color w:val="auto"/>
          <w:highlight w:val="none"/>
        </w:rPr>
        <w:fldChar w:fldCharType="begin"/>
      </w:r>
      <w:r>
        <w:rPr>
          <w:color w:val="auto"/>
          <w:highlight w:val="none"/>
        </w:rPr>
        <w:instrText xml:space="preserve"> PAGEREF _Toc23691 \h </w:instrText>
      </w:r>
      <w:r>
        <w:rPr>
          <w:color w:val="auto"/>
          <w:highlight w:val="none"/>
        </w:rPr>
        <w:fldChar w:fldCharType="separate"/>
      </w:r>
      <w:r>
        <w:rPr>
          <w:color w:val="auto"/>
          <w:highlight w:val="none"/>
        </w:rPr>
        <w:t>11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28C1803">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_Toc18291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5 、工程招标内容及要求</w:t>
      </w:r>
      <w:r>
        <w:rPr>
          <w:color w:val="auto"/>
          <w:highlight w:val="none"/>
        </w:rPr>
        <w:tab/>
      </w:r>
      <w:r>
        <w:rPr>
          <w:color w:val="auto"/>
          <w:highlight w:val="none"/>
        </w:rPr>
        <w:fldChar w:fldCharType="begin"/>
      </w:r>
      <w:r>
        <w:rPr>
          <w:color w:val="auto"/>
          <w:highlight w:val="none"/>
        </w:rPr>
        <w:instrText xml:space="preserve"> PAGEREF _Toc18291 \h </w:instrText>
      </w:r>
      <w:r>
        <w:rPr>
          <w:color w:val="auto"/>
          <w:highlight w:val="none"/>
        </w:rPr>
        <w:fldChar w:fldCharType="separate"/>
      </w:r>
      <w:r>
        <w:rPr>
          <w:color w:val="auto"/>
          <w:highlight w:val="none"/>
        </w:rPr>
        <w:t>14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16BF106">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_Toc19652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6 、招标工程施工条件及现场踏勘</w:t>
      </w:r>
      <w:r>
        <w:rPr>
          <w:color w:val="auto"/>
          <w:highlight w:val="none"/>
        </w:rPr>
        <w:tab/>
      </w:r>
      <w:r>
        <w:rPr>
          <w:color w:val="auto"/>
          <w:highlight w:val="none"/>
        </w:rPr>
        <w:fldChar w:fldCharType="begin"/>
      </w:r>
      <w:r>
        <w:rPr>
          <w:color w:val="auto"/>
          <w:highlight w:val="none"/>
        </w:rPr>
        <w:instrText xml:space="preserve"> PAGEREF _Toc19652 \h </w:instrText>
      </w:r>
      <w:r>
        <w:rPr>
          <w:color w:val="auto"/>
          <w:highlight w:val="none"/>
        </w:rPr>
        <w:fldChar w:fldCharType="separate"/>
      </w:r>
      <w:r>
        <w:rPr>
          <w:color w:val="auto"/>
          <w:highlight w:val="none"/>
        </w:rPr>
        <w:t>16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E3E3BCE">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_Toc10147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7 、其他招标说明</w:t>
      </w:r>
      <w:r>
        <w:rPr>
          <w:color w:val="auto"/>
          <w:highlight w:val="none"/>
        </w:rPr>
        <w:tab/>
      </w:r>
      <w:r>
        <w:rPr>
          <w:color w:val="auto"/>
          <w:highlight w:val="none"/>
        </w:rPr>
        <w:fldChar w:fldCharType="begin"/>
      </w:r>
      <w:r>
        <w:rPr>
          <w:color w:val="auto"/>
          <w:highlight w:val="none"/>
        </w:rPr>
        <w:instrText xml:space="preserve"> PAGEREF _Toc10147 \h </w:instrText>
      </w:r>
      <w:r>
        <w:rPr>
          <w:color w:val="auto"/>
          <w:highlight w:val="none"/>
        </w:rPr>
        <w:fldChar w:fldCharType="separate"/>
      </w:r>
      <w:r>
        <w:rPr>
          <w:color w:val="auto"/>
          <w:highlight w:val="none"/>
        </w:rPr>
        <w:t>17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17E56ED">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_Toc24516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8 、招标答疑</w:t>
      </w:r>
      <w:r>
        <w:rPr>
          <w:color w:val="auto"/>
          <w:highlight w:val="none"/>
        </w:rPr>
        <w:tab/>
      </w:r>
      <w:r>
        <w:rPr>
          <w:color w:val="auto"/>
          <w:highlight w:val="none"/>
        </w:rPr>
        <w:fldChar w:fldCharType="begin"/>
      </w:r>
      <w:r>
        <w:rPr>
          <w:color w:val="auto"/>
          <w:highlight w:val="none"/>
        </w:rPr>
        <w:instrText xml:space="preserve"> PAGEREF _Toc24516 \h </w:instrText>
      </w:r>
      <w:r>
        <w:rPr>
          <w:color w:val="auto"/>
          <w:highlight w:val="none"/>
        </w:rPr>
        <w:fldChar w:fldCharType="separate"/>
      </w:r>
      <w:r>
        <w:rPr>
          <w:color w:val="auto"/>
          <w:highlight w:val="none"/>
        </w:rPr>
        <w:t>19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F8A54E6">
      <w:pPr>
        <w:pStyle w:val="21"/>
        <w:tabs>
          <w:tab w:val="right" w:leader="dot" w:pos="935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_Toc405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9 、投标报价的编制</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_Toc405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20</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D96BAA4">
      <w:pPr>
        <w:pStyle w:val="21"/>
        <w:tabs>
          <w:tab w:val="right" w:leader="dot" w:pos="935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_Toc4147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10、 最高投标限价的确定</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_Toc4147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0201A3E">
      <w:pPr>
        <w:pStyle w:val="21"/>
        <w:tabs>
          <w:tab w:val="right" w:leader="dot" w:pos="9354"/>
        </w:tabs>
        <w:spacing w:line="360" w:lineRule="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_Toc20501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11、投标文件的编制要求</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_Toc20501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22</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7F5E1D1">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_Toc4144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12、 投标有效期及对投标人的其他要求</w:t>
      </w:r>
      <w:r>
        <w:rPr>
          <w:rFonts w:hint="eastAsia" w:asciiTheme="minorEastAsia" w:hAnsiTheme="minorEastAsia" w:eastAsiaTheme="minorEastAsia" w:cstheme="minorEastAsia"/>
          <w:color w:val="auto"/>
          <w:szCs w:val="21"/>
          <w:highlight w:val="none"/>
        </w:rPr>
        <w:tab/>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PAGEREF _Toc4144 \h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t>26</w:t>
      </w:r>
      <w:r>
        <w:rPr>
          <w:rFonts w:hint="eastAsia" w:asciiTheme="minorEastAsia" w:hAnsiTheme="minorEastAsia" w:eastAsiaTheme="minorEastAsia" w:cstheme="minorEastAsia"/>
          <w:color w:val="auto"/>
          <w:szCs w:val="21"/>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A462E42">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_Toc32093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13、开标</w:t>
      </w:r>
      <w:r>
        <w:rPr>
          <w:color w:val="auto"/>
          <w:highlight w:val="none"/>
        </w:rPr>
        <w:tab/>
      </w:r>
      <w:r>
        <w:rPr>
          <w:color w:val="auto"/>
          <w:highlight w:val="none"/>
        </w:rPr>
        <w:fldChar w:fldCharType="begin"/>
      </w:r>
      <w:r>
        <w:rPr>
          <w:color w:val="auto"/>
          <w:highlight w:val="none"/>
        </w:rPr>
        <w:instrText xml:space="preserve"> PAGEREF _Toc32093 \h </w:instrText>
      </w:r>
      <w:r>
        <w:rPr>
          <w:color w:val="auto"/>
          <w:highlight w:val="none"/>
        </w:rPr>
        <w:fldChar w:fldCharType="separate"/>
      </w:r>
      <w:r>
        <w:rPr>
          <w:color w:val="auto"/>
          <w:highlight w:val="none"/>
        </w:rPr>
        <w:t>26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C0D5FDD">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_Toc18990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14、评标的方法和标准</w:t>
      </w:r>
      <w:r>
        <w:rPr>
          <w:color w:val="auto"/>
          <w:highlight w:val="none"/>
        </w:rPr>
        <w:tab/>
      </w:r>
      <w:r>
        <w:rPr>
          <w:color w:val="auto"/>
          <w:highlight w:val="none"/>
        </w:rPr>
        <w:fldChar w:fldCharType="begin"/>
      </w:r>
      <w:r>
        <w:rPr>
          <w:color w:val="auto"/>
          <w:highlight w:val="none"/>
        </w:rPr>
        <w:instrText xml:space="preserve"> PAGEREF _Toc18990 \h </w:instrText>
      </w:r>
      <w:r>
        <w:rPr>
          <w:color w:val="auto"/>
          <w:highlight w:val="none"/>
        </w:rPr>
        <w:fldChar w:fldCharType="separate"/>
      </w:r>
      <w:r>
        <w:rPr>
          <w:color w:val="auto"/>
          <w:highlight w:val="none"/>
        </w:rPr>
        <w:t>27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EBCC323">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_Toc8650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15、推荐</w:t>
      </w:r>
      <w:r>
        <w:rPr>
          <w:rFonts w:hint="eastAsia" w:asciiTheme="minorEastAsia" w:hAnsiTheme="minorEastAsia" w:eastAsiaTheme="minorEastAsia" w:cstheme="minorEastAsia"/>
          <w:color w:val="auto"/>
          <w:kern w:val="2"/>
          <w:highlight w:val="none"/>
          <w:lang w:val="en-US" w:eastAsia="zh-CN"/>
        </w:rPr>
        <w:t>定</w:t>
      </w:r>
      <w:r>
        <w:rPr>
          <w:rFonts w:hint="eastAsia" w:asciiTheme="minorEastAsia" w:hAnsiTheme="minorEastAsia" w:eastAsiaTheme="minorEastAsia" w:cstheme="minorEastAsia"/>
          <w:color w:val="auto"/>
          <w:kern w:val="2"/>
          <w:highlight w:val="none"/>
        </w:rPr>
        <w:t>标候选人</w:t>
      </w:r>
      <w:r>
        <w:rPr>
          <w:color w:val="auto"/>
          <w:highlight w:val="none"/>
        </w:rPr>
        <w:tab/>
      </w:r>
      <w:r>
        <w:rPr>
          <w:color w:val="auto"/>
          <w:highlight w:val="none"/>
        </w:rPr>
        <w:fldChar w:fldCharType="begin"/>
      </w:r>
      <w:r>
        <w:rPr>
          <w:color w:val="auto"/>
          <w:highlight w:val="none"/>
        </w:rPr>
        <w:instrText xml:space="preserve"> PAGEREF _Toc8650 \h </w:instrText>
      </w:r>
      <w:r>
        <w:rPr>
          <w:color w:val="auto"/>
          <w:highlight w:val="none"/>
        </w:rPr>
        <w:fldChar w:fldCharType="separate"/>
      </w:r>
      <w:r>
        <w:rPr>
          <w:color w:val="auto"/>
          <w:highlight w:val="none"/>
        </w:rPr>
        <w:t>36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C18FE87">
      <w:pPr>
        <w:pStyle w:val="13"/>
        <w:tabs>
          <w:tab w:val="right" w:leader="dot" w:pos="9354"/>
        </w:tabs>
        <w:spacing w:line="360" w:lineRule="auto"/>
        <w:ind w:left="0" w:leftChars="0" w:firstLine="480" w:firstLineChars="200"/>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_Toc17945 </w:instrText>
      </w:r>
      <w:r>
        <w:rPr>
          <w:rFonts w:hint="eastAsia" w:asciiTheme="minorEastAsia" w:hAnsiTheme="minorEastAsia" w:eastAsiaTheme="minorEastAsia" w:cstheme="minorEastAsia"/>
          <w:color w:val="auto"/>
          <w:szCs w:val="21"/>
          <w:highlight w:val="none"/>
        </w:rPr>
        <w:fldChar w:fldCharType="separate"/>
      </w:r>
      <w:r>
        <w:rPr>
          <w:rFonts w:hint="eastAsia" w:ascii="宋体" w:hAnsi="宋体" w:eastAsia="宋体" w:cs="宋体"/>
          <w:color w:val="auto"/>
          <w:szCs w:val="24"/>
          <w:highlight w:val="none"/>
          <w:lang w:val="en-US" w:eastAsia="zh-CN"/>
        </w:rPr>
        <w:t>16、</w:t>
      </w:r>
      <w:r>
        <w:rPr>
          <w:rFonts w:hint="eastAsia" w:ascii="宋体" w:hAnsi="宋体" w:eastAsia="宋体" w:cs="宋体"/>
          <w:snapToGrid w:val="0"/>
          <w:color w:val="auto"/>
          <w:szCs w:val="24"/>
          <w:highlight w:val="none"/>
          <w:lang w:val="en-US" w:eastAsia="zh-CN"/>
        </w:rPr>
        <w:t>定标候选人</w:t>
      </w:r>
      <w:r>
        <w:rPr>
          <w:rFonts w:hint="eastAsia" w:ascii="宋体" w:hAnsi="宋体" w:eastAsia="宋体" w:cs="宋体"/>
          <w:color w:val="auto"/>
          <w:szCs w:val="24"/>
          <w:highlight w:val="none"/>
        </w:rPr>
        <w:t>公示</w:t>
      </w:r>
      <w:r>
        <w:rPr>
          <w:color w:val="auto"/>
          <w:highlight w:val="none"/>
        </w:rPr>
        <w:tab/>
      </w:r>
      <w:r>
        <w:rPr>
          <w:color w:val="auto"/>
          <w:highlight w:val="none"/>
        </w:rPr>
        <w:fldChar w:fldCharType="begin"/>
      </w:r>
      <w:r>
        <w:rPr>
          <w:color w:val="auto"/>
          <w:highlight w:val="none"/>
        </w:rPr>
        <w:instrText xml:space="preserve"> PAGEREF _Toc17945 \h </w:instrText>
      </w:r>
      <w:r>
        <w:rPr>
          <w:color w:val="auto"/>
          <w:highlight w:val="none"/>
        </w:rPr>
        <w:fldChar w:fldCharType="separate"/>
      </w:r>
      <w:r>
        <w:rPr>
          <w:color w:val="auto"/>
          <w:highlight w:val="none"/>
        </w:rPr>
        <w:t>36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68A0841">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_Toc7957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第二章 拟签订合同的主要条款</w:t>
      </w:r>
      <w:r>
        <w:rPr>
          <w:color w:val="auto"/>
          <w:highlight w:val="none"/>
        </w:rPr>
        <w:tab/>
      </w:r>
      <w:r>
        <w:rPr>
          <w:color w:val="auto"/>
          <w:highlight w:val="none"/>
        </w:rPr>
        <w:fldChar w:fldCharType="begin"/>
      </w:r>
      <w:r>
        <w:rPr>
          <w:color w:val="auto"/>
          <w:highlight w:val="none"/>
        </w:rPr>
        <w:instrText xml:space="preserve"> PAGEREF _Toc7957 \h </w:instrText>
      </w:r>
      <w:r>
        <w:rPr>
          <w:color w:val="auto"/>
          <w:highlight w:val="none"/>
        </w:rPr>
        <w:fldChar w:fldCharType="separate"/>
      </w:r>
      <w:r>
        <w:rPr>
          <w:color w:val="auto"/>
          <w:highlight w:val="none"/>
        </w:rPr>
        <w:t>45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BBCA594">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_Toc22114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1 工程承包方式</w:t>
      </w:r>
      <w:r>
        <w:rPr>
          <w:color w:val="auto"/>
          <w:highlight w:val="none"/>
        </w:rPr>
        <w:tab/>
      </w:r>
      <w:r>
        <w:rPr>
          <w:color w:val="auto"/>
          <w:highlight w:val="none"/>
        </w:rPr>
        <w:fldChar w:fldCharType="begin"/>
      </w:r>
      <w:r>
        <w:rPr>
          <w:color w:val="auto"/>
          <w:highlight w:val="none"/>
        </w:rPr>
        <w:instrText xml:space="preserve"> PAGEREF _Toc22114 \h </w:instrText>
      </w:r>
      <w:r>
        <w:rPr>
          <w:color w:val="auto"/>
          <w:highlight w:val="none"/>
        </w:rPr>
        <w:fldChar w:fldCharType="separate"/>
      </w:r>
      <w:r>
        <w:rPr>
          <w:color w:val="auto"/>
          <w:highlight w:val="none"/>
        </w:rPr>
        <w:t>45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99D697E">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_Toc16922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highlight w:val="none"/>
        </w:rPr>
        <w:t>2 施工图工程量清单预算的编制原则</w:t>
      </w:r>
      <w:r>
        <w:rPr>
          <w:color w:val="auto"/>
          <w:highlight w:val="none"/>
        </w:rPr>
        <w:tab/>
      </w:r>
      <w:r>
        <w:rPr>
          <w:color w:val="auto"/>
          <w:highlight w:val="none"/>
        </w:rPr>
        <w:fldChar w:fldCharType="begin"/>
      </w:r>
      <w:r>
        <w:rPr>
          <w:color w:val="auto"/>
          <w:highlight w:val="none"/>
        </w:rPr>
        <w:instrText xml:space="preserve"> PAGEREF _Toc16922 \h </w:instrText>
      </w:r>
      <w:r>
        <w:rPr>
          <w:color w:val="auto"/>
          <w:highlight w:val="none"/>
        </w:rPr>
        <w:fldChar w:fldCharType="separate"/>
      </w:r>
      <w:r>
        <w:rPr>
          <w:color w:val="auto"/>
          <w:highlight w:val="none"/>
        </w:rPr>
        <w:t>45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2BCA9CE">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_Toc12233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2"/>
          <w:szCs w:val="24"/>
          <w:highlight w:val="none"/>
        </w:rPr>
        <w:t>3 工程结算原则</w:t>
      </w:r>
      <w:r>
        <w:rPr>
          <w:color w:val="auto"/>
          <w:highlight w:val="none"/>
        </w:rPr>
        <w:tab/>
      </w:r>
      <w:r>
        <w:rPr>
          <w:color w:val="auto"/>
          <w:highlight w:val="none"/>
        </w:rPr>
        <w:fldChar w:fldCharType="begin"/>
      </w:r>
      <w:r>
        <w:rPr>
          <w:color w:val="auto"/>
          <w:highlight w:val="none"/>
        </w:rPr>
        <w:instrText xml:space="preserve"> PAGEREF _Toc12233 \h </w:instrText>
      </w:r>
      <w:r>
        <w:rPr>
          <w:color w:val="auto"/>
          <w:highlight w:val="none"/>
        </w:rPr>
        <w:fldChar w:fldCharType="separate"/>
      </w:r>
      <w:r>
        <w:rPr>
          <w:color w:val="auto"/>
          <w:highlight w:val="none"/>
        </w:rPr>
        <w:t>46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78317A">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_Toc25383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szCs w:val="24"/>
          <w:highlight w:val="none"/>
        </w:rPr>
        <w:t>4 工程付款办法</w:t>
      </w:r>
      <w:r>
        <w:rPr>
          <w:color w:val="auto"/>
          <w:highlight w:val="none"/>
        </w:rPr>
        <w:tab/>
      </w:r>
      <w:r>
        <w:rPr>
          <w:color w:val="auto"/>
          <w:highlight w:val="none"/>
        </w:rPr>
        <w:fldChar w:fldCharType="begin"/>
      </w:r>
      <w:r>
        <w:rPr>
          <w:color w:val="auto"/>
          <w:highlight w:val="none"/>
        </w:rPr>
        <w:instrText xml:space="preserve"> PAGEREF _Toc25383 \h </w:instrText>
      </w:r>
      <w:r>
        <w:rPr>
          <w:color w:val="auto"/>
          <w:highlight w:val="none"/>
        </w:rPr>
        <w:fldChar w:fldCharType="separate"/>
      </w:r>
      <w:r>
        <w:rPr>
          <w:color w:val="auto"/>
          <w:highlight w:val="none"/>
        </w:rPr>
        <w:t>49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5911B5B">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_Toc26365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第三章 中标人须知</w:t>
      </w:r>
      <w:r>
        <w:rPr>
          <w:color w:val="auto"/>
          <w:highlight w:val="none"/>
        </w:rPr>
        <w:tab/>
      </w:r>
      <w:r>
        <w:rPr>
          <w:color w:val="auto"/>
          <w:highlight w:val="none"/>
        </w:rPr>
        <w:fldChar w:fldCharType="begin"/>
      </w:r>
      <w:r>
        <w:rPr>
          <w:color w:val="auto"/>
          <w:highlight w:val="none"/>
        </w:rPr>
        <w:instrText xml:space="preserve"> PAGEREF _Toc26365 \h </w:instrText>
      </w:r>
      <w:r>
        <w:rPr>
          <w:color w:val="auto"/>
          <w:highlight w:val="none"/>
        </w:rPr>
        <w:fldChar w:fldCharType="separate"/>
      </w:r>
      <w:r>
        <w:rPr>
          <w:color w:val="auto"/>
          <w:highlight w:val="none"/>
        </w:rPr>
        <w:t>72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6621882">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_Toc2078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第四章 投标人提交的其他材料</w:t>
      </w:r>
      <w:r>
        <w:rPr>
          <w:color w:val="auto"/>
          <w:highlight w:val="none"/>
        </w:rPr>
        <w:tab/>
      </w:r>
      <w:r>
        <w:rPr>
          <w:color w:val="auto"/>
          <w:highlight w:val="none"/>
        </w:rPr>
        <w:fldChar w:fldCharType="begin"/>
      </w:r>
      <w:r>
        <w:rPr>
          <w:color w:val="auto"/>
          <w:highlight w:val="none"/>
        </w:rPr>
        <w:instrText xml:space="preserve"> PAGEREF _Toc2078 \h </w:instrText>
      </w:r>
      <w:r>
        <w:rPr>
          <w:color w:val="auto"/>
          <w:highlight w:val="none"/>
        </w:rPr>
        <w:fldChar w:fldCharType="separate"/>
      </w:r>
      <w:r>
        <w:rPr>
          <w:color w:val="auto"/>
          <w:highlight w:val="none"/>
        </w:rPr>
        <w:t>78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585AE77">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_Toc19328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 xml:space="preserve">1 </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投标保证</w:t>
      </w:r>
      <w:r>
        <w:rPr>
          <w:color w:val="auto"/>
          <w:highlight w:val="none"/>
        </w:rPr>
        <w:tab/>
      </w:r>
      <w:r>
        <w:rPr>
          <w:color w:val="auto"/>
          <w:highlight w:val="none"/>
        </w:rPr>
        <w:fldChar w:fldCharType="begin"/>
      </w:r>
      <w:r>
        <w:rPr>
          <w:color w:val="auto"/>
          <w:highlight w:val="none"/>
        </w:rPr>
        <w:instrText xml:space="preserve"> PAGEREF _Toc19328 \h </w:instrText>
      </w:r>
      <w:r>
        <w:rPr>
          <w:color w:val="auto"/>
          <w:highlight w:val="none"/>
        </w:rPr>
        <w:fldChar w:fldCharType="separate"/>
      </w:r>
      <w:r>
        <w:rPr>
          <w:color w:val="auto"/>
          <w:highlight w:val="none"/>
        </w:rPr>
        <w:t>78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79BB6CDF">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_Toc18168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 xml:space="preserve">2 </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履约保证金</w:t>
      </w:r>
      <w:r>
        <w:rPr>
          <w:color w:val="auto"/>
          <w:highlight w:val="none"/>
        </w:rPr>
        <w:tab/>
      </w:r>
      <w:r>
        <w:rPr>
          <w:color w:val="auto"/>
          <w:highlight w:val="none"/>
        </w:rPr>
        <w:fldChar w:fldCharType="begin"/>
      </w:r>
      <w:r>
        <w:rPr>
          <w:color w:val="auto"/>
          <w:highlight w:val="none"/>
        </w:rPr>
        <w:instrText xml:space="preserve"> PAGEREF _Toc18168 \h </w:instrText>
      </w:r>
      <w:r>
        <w:rPr>
          <w:color w:val="auto"/>
          <w:highlight w:val="none"/>
        </w:rPr>
        <w:fldChar w:fldCharType="separate"/>
      </w:r>
      <w:r>
        <w:rPr>
          <w:color w:val="auto"/>
          <w:highlight w:val="none"/>
        </w:rPr>
        <w:t>79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B465A26">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_Toc5605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2"/>
          <w:highlight w:val="none"/>
        </w:rPr>
        <w:t>3</w:t>
      </w:r>
      <w:r>
        <w:rPr>
          <w:rFonts w:hint="eastAsia" w:asciiTheme="minorEastAsia" w:hAnsiTheme="minorEastAsia" w:eastAsiaTheme="minorEastAsia" w:cstheme="minorEastAsia"/>
          <w:color w:val="auto"/>
          <w:kern w:val="2"/>
          <w:highlight w:val="none"/>
          <w:lang w:eastAsia="zh-CN"/>
        </w:rPr>
        <w:t>、</w:t>
      </w:r>
      <w:r>
        <w:rPr>
          <w:rFonts w:hint="eastAsia" w:asciiTheme="minorEastAsia" w:hAnsiTheme="minorEastAsia" w:eastAsiaTheme="minorEastAsia" w:cstheme="minorEastAsia"/>
          <w:color w:val="auto"/>
          <w:kern w:val="2"/>
          <w:highlight w:val="none"/>
        </w:rPr>
        <w:t>质量保证</w:t>
      </w:r>
      <w:r>
        <w:rPr>
          <w:color w:val="auto"/>
          <w:highlight w:val="none"/>
        </w:rPr>
        <w:tab/>
      </w:r>
      <w:r>
        <w:rPr>
          <w:color w:val="auto"/>
          <w:highlight w:val="none"/>
        </w:rPr>
        <w:fldChar w:fldCharType="begin"/>
      </w:r>
      <w:r>
        <w:rPr>
          <w:color w:val="auto"/>
          <w:highlight w:val="none"/>
        </w:rPr>
        <w:instrText xml:space="preserve"> PAGEREF _Toc5605 \h </w:instrText>
      </w:r>
      <w:r>
        <w:rPr>
          <w:color w:val="auto"/>
          <w:highlight w:val="none"/>
        </w:rPr>
        <w:fldChar w:fldCharType="separate"/>
      </w:r>
      <w:r>
        <w:rPr>
          <w:color w:val="auto"/>
          <w:highlight w:val="none"/>
        </w:rPr>
        <w:t>80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E4DAC1F">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_Toc28308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第五章 招标工程的技术要求和前期文件</w:t>
      </w:r>
      <w:r>
        <w:rPr>
          <w:color w:val="auto"/>
          <w:highlight w:val="none"/>
        </w:rPr>
        <w:tab/>
      </w:r>
      <w:r>
        <w:rPr>
          <w:color w:val="auto"/>
          <w:highlight w:val="none"/>
        </w:rPr>
        <w:fldChar w:fldCharType="begin"/>
      </w:r>
      <w:r>
        <w:rPr>
          <w:color w:val="auto"/>
          <w:highlight w:val="none"/>
        </w:rPr>
        <w:instrText xml:space="preserve"> PAGEREF _Toc28308 \h </w:instrText>
      </w:r>
      <w:r>
        <w:rPr>
          <w:color w:val="auto"/>
          <w:highlight w:val="none"/>
        </w:rPr>
        <w:fldChar w:fldCharType="separate"/>
      </w:r>
      <w:r>
        <w:rPr>
          <w:color w:val="auto"/>
          <w:highlight w:val="none"/>
        </w:rPr>
        <w:t>81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6B29D4C">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_Toc14093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rPr>
        <w:t>第六章 设计任务书</w:t>
      </w:r>
      <w:r>
        <w:rPr>
          <w:color w:val="auto"/>
          <w:highlight w:val="none"/>
        </w:rPr>
        <w:tab/>
      </w:r>
      <w:r>
        <w:rPr>
          <w:color w:val="auto"/>
          <w:highlight w:val="none"/>
        </w:rPr>
        <w:fldChar w:fldCharType="begin"/>
      </w:r>
      <w:r>
        <w:rPr>
          <w:color w:val="auto"/>
          <w:highlight w:val="none"/>
        </w:rPr>
        <w:instrText xml:space="preserve"> PAGEREF _Toc14093 \h </w:instrText>
      </w:r>
      <w:r>
        <w:rPr>
          <w:color w:val="auto"/>
          <w:highlight w:val="none"/>
        </w:rPr>
        <w:fldChar w:fldCharType="separate"/>
      </w:r>
      <w:r>
        <w:rPr>
          <w:color w:val="auto"/>
          <w:highlight w:val="none"/>
        </w:rPr>
        <w:t>83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4FB123C">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_Toc19159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color w:val="auto"/>
          <w:kern w:val="44"/>
          <w:szCs w:val="36"/>
          <w:highlight w:val="none"/>
          <w:lang w:val="en-US" w:eastAsia="zh-CN" w:bidi="ar-SA"/>
        </w:rPr>
        <w:t xml:space="preserve">第七章 </w:t>
      </w:r>
      <w:r>
        <w:rPr>
          <w:rFonts w:asciiTheme="minorEastAsia" w:hAnsiTheme="minorEastAsia" w:eastAsiaTheme="minorEastAsia" w:cstheme="minorEastAsia"/>
          <w:color w:val="auto"/>
          <w:kern w:val="44"/>
          <w:szCs w:val="36"/>
          <w:highlight w:val="none"/>
        </w:rPr>
        <w:t>招标文件的附件</w:t>
      </w:r>
      <w:r>
        <w:rPr>
          <w:color w:val="auto"/>
          <w:highlight w:val="none"/>
        </w:rPr>
        <w:tab/>
      </w:r>
      <w:r>
        <w:rPr>
          <w:color w:val="auto"/>
          <w:highlight w:val="none"/>
        </w:rPr>
        <w:fldChar w:fldCharType="begin"/>
      </w:r>
      <w:r>
        <w:rPr>
          <w:color w:val="auto"/>
          <w:highlight w:val="none"/>
        </w:rPr>
        <w:instrText xml:space="preserve"> PAGEREF _Toc19159 \h </w:instrText>
      </w:r>
      <w:r>
        <w:rPr>
          <w:color w:val="auto"/>
          <w:highlight w:val="none"/>
        </w:rPr>
        <w:fldChar w:fldCharType="separate"/>
      </w:r>
      <w:r>
        <w:rPr>
          <w:color w:val="auto"/>
          <w:highlight w:val="none"/>
        </w:rPr>
        <w:t>92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05655C6">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_Toc1270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snapToGrid w:val="0"/>
          <w:color w:val="auto"/>
          <w:szCs w:val="24"/>
          <w:highlight w:val="none"/>
        </w:rPr>
        <w:t>格式一 封面</w:t>
      </w:r>
      <w:r>
        <w:rPr>
          <w:color w:val="auto"/>
          <w:highlight w:val="none"/>
        </w:rPr>
        <w:tab/>
      </w:r>
      <w:r>
        <w:rPr>
          <w:color w:val="auto"/>
          <w:highlight w:val="none"/>
        </w:rPr>
        <w:fldChar w:fldCharType="begin"/>
      </w:r>
      <w:r>
        <w:rPr>
          <w:color w:val="auto"/>
          <w:highlight w:val="none"/>
        </w:rPr>
        <w:instrText xml:space="preserve"> PAGEREF _Toc1270 \h </w:instrText>
      </w:r>
      <w:r>
        <w:rPr>
          <w:color w:val="auto"/>
          <w:highlight w:val="none"/>
        </w:rPr>
        <w:fldChar w:fldCharType="separate"/>
      </w:r>
      <w:r>
        <w:rPr>
          <w:color w:val="auto"/>
          <w:highlight w:val="none"/>
        </w:rPr>
        <w:t>92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3F97884">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_Toc8232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格式二 《投标函》及《工程项目总价表》</w:t>
      </w:r>
      <w:r>
        <w:rPr>
          <w:color w:val="auto"/>
          <w:highlight w:val="none"/>
        </w:rPr>
        <w:tab/>
      </w:r>
      <w:r>
        <w:rPr>
          <w:color w:val="auto"/>
          <w:highlight w:val="none"/>
        </w:rPr>
        <w:fldChar w:fldCharType="begin"/>
      </w:r>
      <w:r>
        <w:rPr>
          <w:color w:val="auto"/>
          <w:highlight w:val="none"/>
        </w:rPr>
        <w:instrText xml:space="preserve"> PAGEREF _Toc8232 \h </w:instrText>
      </w:r>
      <w:r>
        <w:rPr>
          <w:color w:val="auto"/>
          <w:highlight w:val="none"/>
        </w:rPr>
        <w:fldChar w:fldCharType="separate"/>
      </w:r>
      <w:r>
        <w:rPr>
          <w:color w:val="auto"/>
          <w:highlight w:val="none"/>
        </w:rPr>
        <w:t>93</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A1E2E2A">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_Toc29234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szCs w:val="24"/>
          <w:highlight w:val="none"/>
        </w:rPr>
        <w:t>格式三 各项</w:t>
      </w:r>
      <w:r>
        <w:rPr>
          <w:rFonts w:asciiTheme="minorEastAsia" w:hAnsiTheme="minorEastAsia" w:eastAsiaTheme="minorEastAsia" w:cstheme="minorEastAsia"/>
          <w:bCs/>
          <w:color w:val="auto"/>
          <w:szCs w:val="24"/>
          <w:highlight w:val="none"/>
        </w:rPr>
        <w:t>承诺</w:t>
      </w:r>
      <w:r>
        <w:rPr>
          <w:rFonts w:asciiTheme="minorEastAsia" w:hAnsiTheme="minorEastAsia" w:eastAsiaTheme="minorEastAsia" w:cstheme="minorEastAsia"/>
          <w:color w:val="auto"/>
          <w:szCs w:val="24"/>
          <w:highlight w:val="none"/>
        </w:rPr>
        <w:t>一览表</w:t>
      </w:r>
      <w:r>
        <w:rPr>
          <w:color w:val="auto"/>
          <w:highlight w:val="none"/>
        </w:rPr>
        <w:tab/>
      </w:r>
      <w:r>
        <w:rPr>
          <w:color w:val="auto"/>
          <w:highlight w:val="none"/>
        </w:rPr>
        <w:fldChar w:fldCharType="begin"/>
      </w:r>
      <w:r>
        <w:rPr>
          <w:color w:val="auto"/>
          <w:highlight w:val="none"/>
        </w:rPr>
        <w:instrText xml:space="preserve"> PAGEREF _Toc29234 \h </w:instrText>
      </w:r>
      <w:r>
        <w:rPr>
          <w:color w:val="auto"/>
          <w:highlight w:val="none"/>
        </w:rPr>
        <w:fldChar w:fldCharType="separate"/>
      </w:r>
      <w:r>
        <w:rPr>
          <w:color w:val="auto"/>
          <w:highlight w:val="none"/>
        </w:rPr>
        <w:t>95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4F590EE">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_Toc109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_Toc109 \h </w:instrText>
      </w:r>
      <w:r>
        <w:rPr>
          <w:color w:val="auto"/>
          <w:highlight w:val="none"/>
        </w:rPr>
        <w:fldChar w:fldCharType="separate"/>
      </w:r>
      <w:r>
        <w:rPr>
          <w:color w:val="auto"/>
          <w:highlight w:val="none"/>
        </w:rPr>
        <w:t>100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CEB4C57">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_Toc31702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_Toc31702 \h </w:instrText>
      </w:r>
      <w:r>
        <w:rPr>
          <w:color w:val="auto"/>
          <w:highlight w:val="none"/>
        </w:rPr>
        <w:fldChar w:fldCharType="separate"/>
      </w:r>
      <w:r>
        <w:rPr>
          <w:color w:val="auto"/>
          <w:highlight w:val="none"/>
        </w:rPr>
        <w:t>101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CC8AD65">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_Toc29945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格式六 联合体协议书</w:t>
      </w:r>
      <w:r>
        <w:rPr>
          <w:color w:val="auto"/>
          <w:highlight w:val="none"/>
        </w:rPr>
        <w:tab/>
      </w:r>
      <w:r>
        <w:rPr>
          <w:color w:val="auto"/>
          <w:highlight w:val="none"/>
        </w:rPr>
        <w:fldChar w:fldCharType="begin"/>
      </w:r>
      <w:r>
        <w:rPr>
          <w:color w:val="auto"/>
          <w:highlight w:val="none"/>
        </w:rPr>
        <w:instrText xml:space="preserve"> PAGEREF _Toc29945 \h </w:instrText>
      </w:r>
      <w:r>
        <w:rPr>
          <w:color w:val="auto"/>
          <w:highlight w:val="none"/>
        </w:rPr>
        <w:fldChar w:fldCharType="separate"/>
      </w:r>
      <w:r>
        <w:rPr>
          <w:color w:val="auto"/>
          <w:highlight w:val="none"/>
        </w:rPr>
        <w:t>102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350E3C9">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_Toc28266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格式七 投标人基本情况表</w:t>
      </w:r>
      <w:r>
        <w:rPr>
          <w:color w:val="auto"/>
          <w:highlight w:val="none"/>
        </w:rPr>
        <w:tab/>
      </w:r>
      <w:r>
        <w:rPr>
          <w:color w:val="auto"/>
          <w:highlight w:val="none"/>
        </w:rPr>
        <w:fldChar w:fldCharType="begin"/>
      </w:r>
      <w:r>
        <w:rPr>
          <w:color w:val="auto"/>
          <w:highlight w:val="none"/>
        </w:rPr>
        <w:instrText xml:space="preserve"> PAGEREF _Toc28266 \h </w:instrText>
      </w:r>
      <w:r>
        <w:rPr>
          <w:color w:val="auto"/>
          <w:highlight w:val="none"/>
        </w:rPr>
        <w:fldChar w:fldCharType="separate"/>
      </w:r>
      <w:r>
        <w:rPr>
          <w:color w:val="auto"/>
          <w:highlight w:val="none"/>
        </w:rPr>
        <w:t>104</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4010E6F7">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_Toc7866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格式八 项目经理简历表</w:t>
      </w:r>
      <w:r>
        <w:rPr>
          <w:color w:val="auto"/>
          <w:highlight w:val="none"/>
        </w:rPr>
        <w:tab/>
      </w:r>
      <w:r>
        <w:rPr>
          <w:color w:val="auto"/>
          <w:highlight w:val="none"/>
        </w:rPr>
        <w:fldChar w:fldCharType="begin"/>
      </w:r>
      <w:r>
        <w:rPr>
          <w:color w:val="auto"/>
          <w:highlight w:val="none"/>
        </w:rPr>
        <w:instrText xml:space="preserve"> PAGEREF _Toc7866 \h </w:instrText>
      </w:r>
      <w:r>
        <w:rPr>
          <w:color w:val="auto"/>
          <w:highlight w:val="none"/>
        </w:rPr>
        <w:fldChar w:fldCharType="separate"/>
      </w:r>
      <w:r>
        <w:rPr>
          <w:color w:val="auto"/>
          <w:highlight w:val="none"/>
        </w:rPr>
        <w:t>105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61F73E6F">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_Toc15040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格式九 项目经理任职声明</w:t>
      </w:r>
      <w:r>
        <w:rPr>
          <w:color w:val="auto"/>
          <w:highlight w:val="none"/>
        </w:rPr>
        <w:tab/>
      </w:r>
      <w:r>
        <w:rPr>
          <w:color w:val="auto"/>
          <w:highlight w:val="none"/>
        </w:rPr>
        <w:fldChar w:fldCharType="begin"/>
      </w:r>
      <w:r>
        <w:rPr>
          <w:color w:val="auto"/>
          <w:highlight w:val="none"/>
        </w:rPr>
        <w:instrText xml:space="preserve"> PAGEREF _Toc15040 \h </w:instrText>
      </w:r>
      <w:r>
        <w:rPr>
          <w:color w:val="auto"/>
          <w:highlight w:val="none"/>
        </w:rPr>
        <w:fldChar w:fldCharType="separate"/>
      </w:r>
      <w:r>
        <w:rPr>
          <w:color w:val="auto"/>
          <w:highlight w:val="none"/>
        </w:rPr>
        <w:t>106</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5B808C45">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_Toc32212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 项目技术负责人简历表</w:t>
      </w:r>
      <w:r>
        <w:rPr>
          <w:color w:val="auto"/>
          <w:highlight w:val="none"/>
        </w:rPr>
        <w:tab/>
      </w:r>
      <w:r>
        <w:rPr>
          <w:color w:val="auto"/>
          <w:highlight w:val="none"/>
        </w:rPr>
        <w:fldChar w:fldCharType="begin"/>
      </w:r>
      <w:r>
        <w:rPr>
          <w:color w:val="auto"/>
          <w:highlight w:val="none"/>
        </w:rPr>
        <w:instrText xml:space="preserve"> PAGEREF _Toc32212 \h </w:instrText>
      </w:r>
      <w:r>
        <w:rPr>
          <w:color w:val="auto"/>
          <w:highlight w:val="none"/>
        </w:rPr>
        <w:fldChar w:fldCharType="separate"/>
      </w:r>
      <w:r>
        <w:rPr>
          <w:color w:val="auto"/>
          <w:highlight w:val="none"/>
        </w:rPr>
        <w:t>107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0ADB78A">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_Toc28032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格式十一 项目设计负责人简历表</w:t>
      </w:r>
      <w:r>
        <w:rPr>
          <w:color w:val="auto"/>
          <w:highlight w:val="none"/>
        </w:rPr>
        <w:tab/>
      </w:r>
      <w:r>
        <w:rPr>
          <w:color w:val="auto"/>
          <w:highlight w:val="none"/>
        </w:rPr>
        <w:fldChar w:fldCharType="begin"/>
      </w:r>
      <w:r>
        <w:rPr>
          <w:color w:val="auto"/>
          <w:highlight w:val="none"/>
        </w:rPr>
        <w:instrText xml:space="preserve"> PAGEREF _Toc28032 \h </w:instrText>
      </w:r>
      <w:r>
        <w:rPr>
          <w:color w:val="auto"/>
          <w:highlight w:val="none"/>
        </w:rPr>
        <w:fldChar w:fldCharType="separate"/>
      </w:r>
      <w:r>
        <w:rPr>
          <w:color w:val="auto"/>
          <w:highlight w:val="none"/>
        </w:rPr>
        <w:t>108</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1474CAB">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_Toc21808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snapToGrid w:val="0"/>
          <w:color w:val="auto"/>
          <w:szCs w:val="24"/>
          <w:highlight w:val="none"/>
        </w:rPr>
        <w:t>格式十二 项目管理机构组成表</w:t>
      </w:r>
      <w:r>
        <w:rPr>
          <w:color w:val="auto"/>
          <w:highlight w:val="none"/>
        </w:rPr>
        <w:tab/>
      </w:r>
      <w:r>
        <w:rPr>
          <w:color w:val="auto"/>
          <w:highlight w:val="none"/>
        </w:rPr>
        <w:fldChar w:fldCharType="begin"/>
      </w:r>
      <w:r>
        <w:rPr>
          <w:color w:val="auto"/>
          <w:highlight w:val="none"/>
        </w:rPr>
        <w:instrText xml:space="preserve"> PAGEREF _Toc21808 \h </w:instrText>
      </w:r>
      <w:r>
        <w:rPr>
          <w:color w:val="auto"/>
          <w:highlight w:val="none"/>
        </w:rPr>
        <w:fldChar w:fldCharType="separate"/>
      </w:r>
      <w:r>
        <w:rPr>
          <w:color w:val="auto"/>
          <w:highlight w:val="none"/>
        </w:rPr>
        <w:t>109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9377C3C">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_Toc5559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bCs/>
          <w:color w:val="auto"/>
          <w:szCs w:val="24"/>
          <w:highlight w:val="none"/>
        </w:rPr>
        <w:t>格式十三 原件一览表</w:t>
      </w:r>
      <w:r>
        <w:rPr>
          <w:rFonts w:hint="eastAsia" w:asciiTheme="minorEastAsia" w:hAnsiTheme="minorEastAsia" w:eastAsiaTheme="minorEastAsia" w:cstheme="minorEastAsia"/>
          <w:bCs/>
          <w:color w:val="auto"/>
          <w:szCs w:val="24"/>
          <w:highlight w:val="none"/>
          <w:lang w:eastAsia="zh-CN"/>
        </w:rPr>
        <w:t>（</w:t>
      </w:r>
      <w:r>
        <w:rPr>
          <w:rFonts w:hint="eastAsia" w:asciiTheme="minorEastAsia" w:hAnsiTheme="minorEastAsia" w:eastAsiaTheme="minorEastAsia" w:cstheme="minorEastAsia"/>
          <w:bCs/>
          <w:color w:val="auto"/>
          <w:szCs w:val="24"/>
          <w:highlight w:val="none"/>
          <w:lang w:val="en-US" w:eastAsia="zh-CN"/>
        </w:rPr>
        <w:t>须提供原件时适用）</w:t>
      </w:r>
      <w:r>
        <w:rPr>
          <w:color w:val="auto"/>
          <w:highlight w:val="none"/>
        </w:rPr>
        <w:tab/>
      </w:r>
      <w:r>
        <w:rPr>
          <w:color w:val="auto"/>
          <w:highlight w:val="none"/>
        </w:rPr>
        <w:fldChar w:fldCharType="begin"/>
      </w:r>
      <w:r>
        <w:rPr>
          <w:color w:val="auto"/>
          <w:highlight w:val="none"/>
        </w:rPr>
        <w:instrText xml:space="preserve"> PAGEREF _Toc5559 \h </w:instrText>
      </w:r>
      <w:r>
        <w:rPr>
          <w:color w:val="auto"/>
          <w:highlight w:val="none"/>
        </w:rPr>
        <w:fldChar w:fldCharType="separate"/>
      </w:r>
      <w:r>
        <w:rPr>
          <w:color w:val="auto"/>
          <w:highlight w:val="none"/>
        </w:rPr>
        <w:t>110</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62602F9">
      <w:pPr>
        <w:pStyle w:val="21"/>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_Toc23117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24"/>
          <w:highlight w:val="none"/>
          <w:lang w:val="en-US" w:eastAsia="zh-CN"/>
        </w:rPr>
        <w:t>格式十四 定标因素评审资料</w:t>
      </w:r>
      <w:r>
        <w:rPr>
          <w:color w:val="auto"/>
          <w:highlight w:val="none"/>
        </w:rPr>
        <w:tab/>
      </w:r>
      <w:r>
        <w:rPr>
          <w:color w:val="auto"/>
          <w:highlight w:val="none"/>
        </w:rPr>
        <w:fldChar w:fldCharType="begin"/>
      </w:r>
      <w:r>
        <w:rPr>
          <w:color w:val="auto"/>
          <w:highlight w:val="none"/>
        </w:rPr>
        <w:instrText xml:space="preserve"> PAGEREF _Toc23117 \h </w:instrText>
      </w:r>
      <w:r>
        <w:rPr>
          <w:color w:val="auto"/>
          <w:highlight w:val="none"/>
        </w:rPr>
        <w:fldChar w:fldCharType="separate"/>
      </w:r>
      <w:r>
        <w:rPr>
          <w:color w:val="auto"/>
          <w:highlight w:val="none"/>
        </w:rPr>
        <w:t>111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C31C606">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_Toc29495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44"/>
          <w:szCs w:val="30"/>
          <w:highlight w:val="none"/>
        </w:rPr>
        <w:t>第八章  廉政合同、履约保函、预付款保函、支付保函</w:t>
      </w:r>
      <w:r>
        <w:rPr>
          <w:color w:val="auto"/>
          <w:highlight w:val="none"/>
        </w:rPr>
        <w:tab/>
      </w:r>
      <w:r>
        <w:rPr>
          <w:color w:val="auto"/>
          <w:highlight w:val="none"/>
        </w:rPr>
        <w:fldChar w:fldCharType="begin"/>
      </w:r>
      <w:r>
        <w:rPr>
          <w:color w:val="auto"/>
          <w:highlight w:val="none"/>
        </w:rPr>
        <w:instrText xml:space="preserve"> PAGEREF _Toc29495 \h </w:instrText>
      </w:r>
      <w:r>
        <w:rPr>
          <w:color w:val="auto"/>
          <w:highlight w:val="none"/>
        </w:rPr>
        <w:fldChar w:fldCharType="separate"/>
      </w:r>
      <w:r>
        <w:rPr>
          <w:color w:val="auto"/>
          <w:highlight w:val="none"/>
        </w:rPr>
        <w:t>112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9D23418">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_Toc18667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廉政合同</w:t>
      </w:r>
      <w:r>
        <w:rPr>
          <w:color w:val="auto"/>
          <w:highlight w:val="none"/>
        </w:rPr>
        <w:tab/>
      </w:r>
      <w:r>
        <w:rPr>
          <w:color w:val="auto"/>
          <w:highlight w:val="none"/>
        </w:rPr>
        <w:fldChar w:fldCharType="begin"/>
      </w:r>
      <w:r>
        <w:rPr>
          <w:color w:val="auto"/>
          <w:highlight w:val="none"/>
        </w:rPr>
        <w:instrText xml:space="preserve"> PAGEREF _Toc18667 \h </w:instrText>
      </w:r>
      <w:r>
        <w:rPr>
          <w:color w:val="auto"/>
          <w:highlight w:val="none"/>
        </w:rPr>
        <w:fldChar w:fldCharType="separate"/>
      </w:r>
      <w:r>
        <w:rPr>
          <w:color w:val="auto"/>
          <w:highlight w:val="none"/>
        </w:rPr>
        <w:t>112</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289803EA">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_Toc10540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履约保函</w:t>
      </w:r>
      <w:r>
        <w:rPr>
          <w:color w:val="auto"/>
          <w:highlight w:val="none"/>
        </w:rPr>
        <w:tab/>
      </w:r>
      <w:r>
        <w:rPr>
          <w:color w:val="auto"/>
          <w:highlight w:val="none"/>
        </w:rPr>
        <w:fldChar w:fldCharType="begin"/>
      </w:r>
      <w:r>
        <w:rPr>
          <w:color w:val="auto"/>
          <w:highlight w:val="none"/>
        </w:rPr>
        <w:instrText xml:space="preserve"> PAGEREF _Toc10540 \h </w:instrText>
      </w:r>
      <w:r>
        <w:rPr>
          <w:color w:val="auto"/>
          <w:highlight w:val="none"/>
        </w:rPr>
        <w:fldChar w:fldCharType="separate"/>
      </w:r>
      <w:r>
        <w:rPr>
          <w:color w:val="auto"/>
          <w:highlight w:val="none"/>
        </w:rPr>
        <w:t>115</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D0D7429">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_Toc23616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预付款保函</w:t>
      </w:r>
      <w:r>
        <w:rPr>
          <w:color w:val="auto"/>
          <w:highlight w:val="none"/>
        </w:rPr>
        <w:tab/>
      </w:r>
      <w:r>
        <w:rPr>
          <w:color w:val="auto"/>
          <w:highlight w:val="none"/>
        </w:rPr>
        <w:fldChar w:fldCharType="begin"/>
      </w:r>
      <w:r>
        <w:rPr>
          <w:color w:val="auto"/>
          <w:highlight w:val="none"/>
        </w:rPr>
        <w:instrText xml:space="preserve"> PAGEREF _Toc23616 \h </w:instrText>
      </w:r>
      <w:r>
        <w:rPr>
          <w:color w:val="auto"/>
          <w:highlight w:val="none"/>
        </w:rPr>
        <w:fldChar w:fldCharType="separate"/>
      </w:r>
      <w:r>
        <w:rPr>
          <w:color w:val="auto"/>
          <w:highlight w:val="none"/>
        </w:rPr>
        <w:t>117</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1D17A6D9">
      <w:pPr>
        <w:pStyle w:val="13"/>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_Toc8108 </w:instrText>
      </w:r>
      <w:r>
        <w:rPr>
          <w:rFonts w:hint="eastAsia" w:asciiTheme="minorEastAsia" w:hAnsiTheme="minorEastAsia" w:eastAsiaTheme="minorEastAsia" w:cstheme="minorEastAsia"/>
          <w:color w:val="auto"/>
          <w:szCs w:val="21"/>
          <w:highlight w:val="none"/>
        </w:rPr>
        <w:fldChar w:fldCharType="separate"/>
      </w:r>
      <w:r>
        <w:rPr>
          <w:rFonts w:hint="eastAsia" w:asciiTheme="minorEastAsia" w:hAnsiTheme="minorEastAsia" w:eastAsiaTheme="minorEastAsia" w:cstheme="minorEastAsia"/>
          <w:bCs/>
          <w:color w:val="auto"/>
          <w:szCs w:val="32"/>
          <w:highlight w:val="none"/>
        </w:rPr>
        <w:t>支付保函</w:t>
      </w:r>
      <w:r>
        <w:rPr>
          <w:color w:val="auto"/>
          <w:highlight w:val="none"/>
        </w:rPr>
        <w:tab/>
      </w:r>
      <w:r>
        <w:rPr>
          <w:color w:val="auto"/>
          <w:highlight w:val="none"/>
        </w:rPr>
        <w:fldChar w:fldCharType="begin"/>
      </w:r>
      <w:r>
        <w:rPr>
          <w:color w:val="auto"/>
          <w:highlight w:val="none"/>
        </w:rPr>
        <w:instrText xml:space="preserve"> PAGEREF _Toc8108 \h </w:instrText>
      </w:r>
      <w:r>
        <w:rPr>
          <w:color w:val="auto"/>
          <w:highlight w:val="none"/>
        </w:rPr>
        <w:fldChar w:fldCharType="separate"/>
      </w:r>
      <w:r>
        <w:rPr>
          <w:color w:val="auto"/>
          <w:highlight w:val="none"/>
        </w:rPr>
        <w:t>119</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0A39B673">
      <w:pPr>
        <w:pStyle w:val="19"/>
        <w:tabs>
          <w:tab w:val="right" w:leader="dot" w:pos="9354"/>
        </w:tabs>
        <w:spacing w:line="360" w:lineRule="auto"/>
        <w:rPr>
          <w:color w:val="auto"/>
          <w:highlight w:val="none"/>
        </w:rPr>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color w:val="auto"/>
          <w:szCs w:val="21"/>
          <w:highlight w:val="none"/>
        </w:rPr>
        <w:instrText xml:space="preserve"> HYPERLINK \l _Toc30432 </w:instrText>
      </w:r>
      <w:r>
        <w:rPr>
          <w:rFonts w:hint="eastAsia" w:asciiTheme="minorEastAsia" w:hAnsiTheme="minorEastAsia" w:eastAsiaTheme="minorEastAsia" w:cstheme="minorEastAsia"/>
          <w:color w:val="auto"/>
          <w:szCs w:val="21"/>
          <w:highlight w:val="none"/>
        </w:rPr>
        <w:fldChar w:fldCharType="separate"/>
      </w:r>
      <w:r>
        <w:rPr>
          <w:rFonts w:asciiTheme="minorEastAsia" w:hAnsiTheme="minorEastAsia" w:eastAsiaTheme="minorEastAsia" w:cstheme="minorEastAsia"/>
          <w:color w:val="auto"/>
          <w:kern w:val="44"/>
          <w:szCs w:val="36"/>
          <w:highlight w:val="none"/>
        </w:rPr>
        <w:t>第九章  建设工程合同</w:t>
      </w:r>
      <w:r>
        <w:rPr>
          <w:color w:val="auto"/>
          <w:highlight w:val="none"/>
        </w:rPr>
        <w:tab/>
      </w:r>
      <w:r>
        <w:rPr>
          <w:color w:val="auto"/>
          <w:highlight w:val="none"/>
        </w:rPr>
        <w:fldChar w:fldCharType="begin"/>
      </w:r>
      <w:r>
        <w:rPr>
          <w:color w:val="auto"/>
          <w:highlight w:val="none"/>
        </w:rPr>
        <w:instrText xml:space="preserve"> PAGEREF _Toc30432 \h </w:instrText>
      </w:r>
      <w:r>
        <w:rPr>
          <w:color w:val="auto"/>
          <w:highlight w:val="none"/>
        </w:rPr>
        <w:fldChar w:fldCharType="separate"/>
      </w:r>
      <w:r>
        <w:rPr>
          <w:color w:val="auto"/>
          <w:highlight w:val="none"/>
        </w:rPr>
        <w:t>121</w:t>
      </w:r>
      <w:r>
        <w:rPr>
          <w:color w:val="auto"/>
          <w:highlight w:val="none"/>
        </w:rPr>
        <w:fldChar w:fldCharType="end"/>
      </w:r>
      <w:r>
        <w:rPr>
          <w:rFonts w:hint="eastAsia" w:asciiTheme="minorEastAsia" w:hAnsiTheme="minorEastAsia" w:eastAsiaTheme="minorEastAsia" w:cstheme="minorEastAsia"/>
          <w:color w:val="auto"/>
          <w:szCs w:val="21"/>
          <w:highlight w:val="none"/>
        </w:rPr>
        <w:fldChar w:fldCharType="end"/>
      </w:r>
    </w:p>
    <w:p w14:paraId="3CEC76B3">
      <w:pPr>
        <w:pStyle w:val="37"/>
        <w:tabs>
          <w:tab w:val="left" w:pos="4935"/>
        </w:tabs>
        <w:jc w:val="center"/>
        <w:rPr>
          <w:rFonts w:asciiTheme="minorEastAsia" w:hAnsiTheme="minorEastAsia" w:eastAsiaTheme="minorEastAsia" w:cstheme="minorEastAsia"/>
          <w:color w:val="auto"/>
          <w:szCs w:val="21"/>
          <w:highlight w:val="none"/>
        </w:rPr>
        <w:sectPr>
          <w:footerReference r:id="rId4"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start="1"/>
          <w:cols w:space="0" w:num="1"/>
          <w:rtlGutter w:val="0"/>
          <w:docGrid w:linePitch="312" w:charSpace="0"/>
        </w:sectPr>
      </w:pPr>
      <w:r>
        <w:rPr>
          <w:rFonts w:hint="eastAsia" w:asciiTheme="minorEastAsia" w:hAnsiTheme="minorEastAsia" w:eastAsiaTheme="minorEastAsia" w:cstheme="minorEastAsia"/>
          <w:color w:val="auto"/>
          <w:szCs w:val="21"/>
          <w:highlight w:val="none"/>
        </w:rPr>
        <w:fldChar w:fldCharType="end"/>
      </w:r>
    </w:p>
    <w:p w14:paraId="25F10250">
      <w:pPr>
        <w:pStyle w:val="38"/>
        <w:keepNext/>
        <w:keepLines/>
        <w:jc w:val="center"/>
        <w:rPr>
          <w:rFonts w:asciiTheme="minorEastAsia" w:hAnsiTheme="minorEastAsia" w:eastAsiaTheme="minorEastAsia" w:cstheme="minorEastAsia"/>
          <w:b/>
          <w:color w:val="auto"/>
          <w:kern w:val="44"/>
          <w:sz w:val="36"/>
          <w:szCs w:val="36"/>
          <w:highlight w:val="none"/>
        </w:rPr>
      </w:pPr>
      <w:bookmarkStart w:id="0" w:name="_Toc13623"/>
      <w:bookmarkStart w:id="1" w:name="_Hlt111690251"/>
      <w:r>
        <w:rPr>
          <w:rFonts w:hint="eastAsia" w:asciiTheme="minorEastAsia" w:hAnsiTheme="minorEastAsia" w:eastAsiaTheme="minorEastAsia" w:cstheme="minorEastAsia"/>
          <w:b/>
          <w:color w:val="auto"/>
          <w:kern w:val="44"/>
          <w:sz w:val="36"/>
          <w:szCs w:val="36"/>
          <w:highlight w:val="none"/>
        </w:rPr>
        <w:t>第一章投标须知</w:t>
      </w:r>
      <w:bookmarkEnd w:id="0"/>
    </w:p>
    <w:p w14:paraId="2674DB0C">
      <w:pPr>
        <w:pStyle w:val="39"/>
        <w:keepNext/>
        <w:keepLines/>
        <w:autoSpaceDE/>
        <w:autoSpaceDN/>
        <w:adjustRightInd/>
        <w:spacing w:before="260" w:after="260" w:line="360" w:lineRule="exact"/>
        <w:jc w:val="both"/>
        <w:rPr>
          <w:rFonts w:asciiTheme="minorEastAsia" w:hAnsiTheme="minorEastAsia" w:eastAsiaTheme="minorEastAsia" w:cstheme="minorEastAsia"/>
          <w:b/>
          <w:color w:val="auto"/>
          <w:kern w:val="2"/>
          <w:highlight w:val="none"/>
        </w:rPr>
      </w:pPr>
      <w:bookmarkStart w:id="2" w:name="_Hlt127175444"/>
      <w:bookmarkEnd w:id="2"/>
      <w:bookmarkStart w:id="3" w:name="_Toc3406"/>
      <w:bookmarkStart w:id="4" w:name="_Hlt120077520"/>
      <w:r>
        <w:rPr>
          <w:rFonts w:hint="eastAsia" w:asciiTheme="minorEastAsia" w:hAnsiTheme="minorEastAsia" w:eastAsiaTheme="minorEastAsia" w:cstheme="minorEastAsia"/>
          <w:b/>
          <w:color w:val="auto"/>
          <w:kern w:val="2"/>
          <w:highlight w:val="none"/>
        </w:rPr>
        <w:t>第一节.投标须知前附表</w:t>
      </w:r>
      <w:bookmarkEnd w:id="3"/>
    </w:p>
    <w:tbl>
      <w:tblPr>
        <w:tblStyle w:val="24"/>
        <w:tblW w:w="1031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08"/>
        <w:gridCol w:w="1796"/>
        <w:gridCol w:w="7910"/>
      </w:tblGrid>
      <w:tr w14:paraId="4B7AD0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8FB295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796" w:type="dxa"/>
            <w:tcBorders>
              <w:top w:val="single" w:color="auto" w:sz="4" w:space="0"/>
              <w:left w:val="single" w:color="auto" w:sz="4" w:space="0"/>
              <w:bottom w:val="single" w:color="auto" w:sz="4" w:space="0"/>
              <w:right w:val="single" w:color="auto" w:sz="4" w:space="0"/>
            </w:tcBorders>
            <w:vAlign w:val="center"/>
          </w:tcPr>
          <w:p w14:paraId="2FC578D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内容</w:t>
            </w:r>
          </w:p>
        </w:tc>
        <w:tc>
          <w:tcPr>
            <w:tcW w:w="7910" w:type="dxa"/>
            <w:tcBorders>
              <w:top w:val="single" w:color="auto" w:sz="4" w:space="0"/>
              <w:left w:val="single" w:color="auto" w:sz="4" w:space="0"/>
              <w:bottom w:val="single" w:color="auto" w:sz="4" w:space="0"/>
              <w:right w:val="single" w:color="auto" w:sz="4" w:space="0"/>
            </w:tcBorders>
            <w:vAlign w:val="center"/>
          </w:tcPr>
          <w:p w14:paraId="5631305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说明与要求</w:t>
            </w:r>
          </w:p>
        </w:tc>
      </w:tr>
      <w:tr w14:paraId="43A78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8EF48D0">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5968E8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7910" w:type="dxa"/>
            <w:tcBorders>
              <w:top w:val="single" w:color="auto" w:sz="4" w:space="0"/>
              <w:left w:val="single" w:color="auto" w:sz="4" w:space="0"/>
              <w:bottom w:val="single" w:color="auto" w:sz="4" w:space="0"/>
              <w:right w:val="single" w:color="auto" w:sz="4" w:space="0"/>
            </w:tcBorders>
          </w:tcPr>
          <w:p w14:paraId="49B19CD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eastAsia="zh-CN"/>
              </w:rPr>
              <w:t>南雄市城市排水防涝建设项目（二标段）设计施工总承包</w:t>
            </w:r>
          </w:p>
        </w:tc>
      </w:tr>
      <w:tr w14:paraId="468826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BBF3EB1">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789E1E6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项目业主</w:t>
            </w:r>
          </w:p>
        </w:tc>
        <w:tc>
          <w:tcPr>
            <w:tcW w:w="7910" w:type="dxa"/>
            <w:tcBorders>
              <w:top w:val="single" w:color="auto" w:sz="4" w:space="0"/>
              <w:left w:val="single" w:color="auto" w:sz="4" w:space="0"/>
              <w:bottom w:val="single" w:color="auto" w:sz="4" w:space="0"/>
              <w:right w:val="single" w:color="auto" w:sz="4" w:space="0"/>
            </w:tcBorders>
            <w:vAlign w:val="center"/>
          </w:tcPr>
          <w:p w14:paraId="2586B8B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南雄市住房和城乡建设局</w:t>
            </w:r>
          </w:p>
        </w:tc>
      </w:tr>
      <w:tr w14:paraId="4DD189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699531D">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E865A2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项目批准部门</w:t>
            </w:r>
          </w:p>
        </w:tc>
        <w:tc>
          <w:tcPr>
            <w:tcW w:w="7910" w:type="dxa"/>
            <w:tcBorders>
              <w:top w:val="single" w:color="auto" w:sz="4" w:space="0"/>
              <w:left w:val="single" w:color="auto" w:sz="4" w:space="0"/>
              <w:bottom w:val="single" w:color="auto" w:sz="4" w:space="0"/>
              <w:right w:val="single" w:color="auto" w:sz="4" w:space="0"/>
            </w:tcBorders>
            <w:vAlign w:val="center"/>
          </w:tcPr>
          <w:p w14:paraId="24F107D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bookmarkStart w:id="5" w:name="OLE_LINK21"/>
            <w:r>
              <w:rPr>
                <w:rFonts w:hint="eastAsia" w:ascii="宋体" w:hAnsi="宋体" w:eastAsia="宋体" w:cs="宋体"/>
                <w:color w:val="auto"/>
                <w:sz w:val="24"/>
                <w:szCs w:val="24"/>
                <w:highlight w:val="none"/>
              </w:rPr>
              <w:t>南雄市发展和改革局</w:t>
            </w:r>
            <w:bookmarkEnd w:id="5"/>
          </w:p>
        </w:tc>
      </w:tr>
      <w:tr w14:paraId="4660CA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B61D631">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77844F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项目批准文号</w:t>
            </w:r>
          </w:p>
        </w:tc>
        <w:tc>
          <w:tcPr>
            <w:tcW w:w="7910" w:type="dxa"/>
            <w:tcBorders>
              <w:top w:val="single" w:color="auto" w:sz="4" w:space="0"/>
              <w:left w:val="single" w:color="auto" w:sz="4" w:space="0"/>
              <w:bottom w:val="single" w:color="auto" w:sz="4" w:space="0"/>
              <w:right w:val="single" w:color="auto" w:sz="4" w:space="0"/>
            </w:tcBorders>
            <w:vAlign w:val="center"/>
          </w:tcPr>
          <w:p w14:paraId="38A3456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48" w:rightChars="2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eastAsia="zh-CN"/>
              </w:rPr>
              <w:t>雄发改投审〔2022〕16号、</w:t>
            </w:r>
            <w:bookmarkStart w:id="6" w:name="OLE_LINK4"/>
            <w:r>
              <w:rPr>
                <w:rFonts w:hint="eastAsia" w:hAnsi="宋体" w:eastAsia="宋体" w:cs="宋体"/>
                <w:color w:val="auto"/>
                <w:sz w:val="24"/>
                <w:szCs w:val="24"/>
                <w:highlight w:val="none"/>
                <w:lang w:eastAsia="zh-CN"/>
              </w:rPr>
              <w:t>雄发改投审〔2024〕59号</w:t>
            </w:r>
            <w:bookmarkEnd w:id="6"/>
            <w:r>
              <w:rPr>
                <w:rFonts w:hint="eastAsia" w:hAnsi="宋体" w:eastAsia="宋体" w:cs="宋体"/>
                <w:color w:val="auto"/>
                <w:sz w:val="24"/>
                <w:szCs w:val="24"/>
                <w:highlight w:val="none"/>
                <w:lang w:eastAsia="zh-CN"/>
              </w:rPr>
              <w:t>、雄发改投审〔202</w:t>
            </w:r>
            <w:r>
              <w:rPr>
                <w:rFonts w:hint="eastAsia" w:hAnsi="宋体" w:eastAsia="宋体" w:cs="宋体"/>
                <w:color w:val="auto"/>
                <w:sz w:val="24"/>
                <w:szCs w:val="24"/>
                <w:highlight w:val="none"/>
                <w:lang w:val="en-US" w:eastAsia="zh-CN"/>
              </w:rPr>
              <w:t>6</w:t>
            </w:r>
            <w:r>
              <w:rPr>
                <w:rFonts w:hint="eastAsia" w:hAnsi="宋体" w:eastAsia="宋体" w:cs="宋体"/>
                <w:color w:val="auto"/>
                <w:sz w:val="24"/>
                <w:szCs w:val="24"/>
                <w:highlight w:val="none"/>
                <w:lang w:eastAsia="zh-CN"/>
              </w:rPr>
              <w:t>〕5</w:t>
            </w:r>
            <w:r>
              <w:rPr>
                <w:rFonts w:hint="eastAsia" w:hAnsi="宋体" w:eastAsia="宋体" w:cs="宋体"/>
                <w:color w:val="auto"/>
                <w:sz w:val="24"/>
                <w:szCs w:val="24"/>
                <w:highlight w:val="none"/>
                <w:lang w:val="en-US" w:eastAsia="zh-CN"/>
              </w:rPr>
              <w:t>5</w:t>
            </w:r>
            <w:r>
              <w:rPr>
                <w:rFonts w:hint="eastAsia" w:hAnsi="宋体" w:eastAsia="宋体" w:cs="宋体"/>
                <w:color w:val="auto"/>
                <w:sz w:val="24"/>
                <w:szCs w:val="24"/>
                <w:highlight w:val="none"/>
                <w:lang w:eastAsia="zh-CN"/>
              </w:rPr>
              <w:t>号</w:t>
            </w:r>
          </w:p>
        </w:tc>
      </w:tr>
      <w:tr w14:paraId="084C6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41269D2">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1B7968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项目代码</w:t>
            </w:r>
          </w:p>
        </w:tc>
        <w:tc>
          <w:tcPr>
            <w:tcW w:w="7910" w:type="dxa"/>
            <w:tcBorders>
              <w:top w:val="single" w:color="auto" w:sz="4" w:space="0"/>
              <w:left w:val="single" w:color="auto" w:sz="4" w:space="0"/>
              <w:bottom w:val="single" w:color="auto" w:sz="4" w:space="0"/>
              <w:right w:val="single" w:color="auto" w:sz="4" w:space="0"/>
            </w:tcBorders>
            <w:vAlign w:val="center"/>
          </w:tcPr>
          <w:p w14:paraId="3AAE26F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2104-440282-04-01-962310</w:t>
            </w:r>
          </w:p>
        </w:tc>
      </w:tr>
      <w:tr w14:paraId="6675AC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8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0A38318">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9E7C8A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资金来源</w:t>
            </w:r>
          </w:p>
          <w:p w14:paraId="2F42A00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及出资比例</w:t>
            </w:r>
          </w:p>
        </w:tc>
        <w:tc>
          <w:tcPr>
            <w:tcW w:w="7910" w:type="dxa"/>
            <w:tcBorders>
              <w:top w:val="single" w:color="auto" w:sz="4" w:space="0"/>
              <w:left w:val="single" w:color="auto" w:sz="4" w:space="0"/>
              <w:bottom w:val="single" w:color="auto" w:sz="4" w:space="0"/>
              <w:right w:val="single" w:color="auto" w:sz="4" w:space="0"/>
            </w:tcBorders>
            <w:vAlign w:val="center"/>
          </w:tcPr>
          <w:p w14:paraId="093D167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市财政资金及其他资金100%</w:t>
            </w:r>
          </w:p>
        </w:tc>
      </w:tr>
      <w:tr w14:paraId="191905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2B6415B">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80C244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tc>
        <w:tc>
          <w:tcPr>
            <w:tcW w:w="7910" w:type="dxa"/>
            <w:tcBorders>
              <w:top w:val="single" w:color="auto" w:sz="4" w:space="0"/>
              <w:left w:val="single" w:color="auto" w:sz="4" w:space="0"/>
              <w:bottom w:val="single" w:color="auto" w:sz="4" w:space="0"/>
              <w:right w:val="single" w:color="auto" w:sz="4" w:space="0"/>
            </w:tcBorders>
            <w:vAlign w:val="center"/>
          </w:tcPr>
          <w:p w14:paraId="6F3BCED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南雄市政府投资建设项目代建管理中心</w:t>
            </w:r>
          </w:p>
        </w:tc>
      </w:tr>
      <w:tr w14:paraId="7F81C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4CED972">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47F5E5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tc>
        <w:tc>
          <w:tcPr>
            <w:tcW w:w="7910" w:type="dxa"/>
            <w:tcBorders>
              <w:top w:val="single" w:color="auto" w:sz="4" w:space="0"/>
              <w:left w:val="single" w:color="auto" w:sz="4" w:space="0"/>
              <w:bottom w:val="single" w:color="auto" w:sz="4" w:space="0"/>
              <w:right w:val="single" w:color="auto" w:sz="4" w:space="0"/>
            </w:tcBorders>
            <w:vAlign w:val="center"/>
          </w:tcPr>
          <w:p w14:paraId="76A28B9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广东君霖项目管理有限公司</w:t>
            </w:r>
          </w:p>
        </w:tc>
      </w:tr>
      <w:tr w14:paraId="1CF1FB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5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A76B135">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7F1558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项目总投资</w:t>
            </w:r>
          </w:p>
        </w:tc>
        <w:tc>
          <w:tcPr>
            <w:tcW w:w="7910" w:type="dxa"/>
            <w:tcBorders>
              <w:top w:val="single" w:color="auto" w:sz="4" w:space="0"/>
              <w:left w:val="single" w:color="auto" w:sz="4" w:space="0"/>
              <w:bottom w:val="single" w:color="auto" w:sz="4" w:space="0"/>
              <w:right w:val="single" w:color="auto" w:sz="4" w:space="0"/>
            </w:tcBorders>
            <w:vAlign w:val="center"/>
          </w:tcPr>
          <w:p w14:paraId="5212899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本项目投资概算为4917.32万元，其中建安费用3924.50万元，预备费234.15万元</w:t>
            </w:r>
          </w:p>
        </w:tc>
      </w:tr>
      <w:tr w14:paraId="41DF64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6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52C3384">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5BD168F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建设地点</w:t>
            </w:r>
          </w:p>
        </w:tc>
        <w:tc>
          <w:tcPr>
            <w:tcW w:w="7910" w:type="dxa"/>
            <w:tcBorders>
              <w:top w:val="single" w:color="auto" w:sz="4" w:space="0"/>
              <w:left w:val="single" w:color="auto" w:sz="4" w:space="0"/>
              <w:bottom w:val="single" w:color="auto" w:sz="4" w:space="0"/>
              <w:right w:val="single" w:color="auto" w:sz="4" w:space="0"/>
            </w:tcBorders>
            <w:vAlign w:val="center"/>
          </w:tcPr>
          <w:p w14:paraId="2680B4F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南雄市雄州街道中心城区</w:t>
            </w:r>
          </w:p>
        </w:tc>
      </w:tr>
      <w:tr w14:paraId="7403E7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735"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397139D">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FA57AB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项目建设内容</w:t>
            </w:r>
          </w:p>
          <w:p w14:paraId="5243501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和规模</w:t>
            </w:r>
          </w:p>
        </w:tc>
        <w:tc>
          <w:tcPr>
            <w:tcW w:w="7910" w:type="dxa"/>
            <w:tcBorders>
              <w:top w:val="single" w:color="auto" w:sz="4" w:space="0"/>
              <w:left w:val="single" w:color="auto" w:sz="4" w:space="0"/>
              <w:bottom w:val="single" w:color="auto" w:sz="4" w:space="0"/>
              <w:right w:val="single" w:color="auto" w:sz="4" w:space="0"/>
            </w:tcBorders>
            <w:vAlign w:val="center"/>
          </w:tcPr>
          <w:p w14:paraId="1199023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对16处城市部分积涝点、排水管网进行建设及改造，共改造修复10204.26米，其中污水管网DN150-DN800共8253.26米，雨水管网、管沟DN300-DN600共1951米，包含排水工程、雨水工程及附属工程等；并对破损河堤加固修复</w:t>
            </w:r>
            <w:r>
              <w:rPr>
                <w:rFonts w:hint="eastAsia" w:ascii="宋体" w:hAnsi="宋体" w:eastAsia="宋体" w:cs="宋体"/>
                <w:color w:val="auto"/>
                <w:sz w:val="24"/>
                <w:szCs w:val="24"/>
                <w:highlight w:val="none"/>
              </w:rPr>
              <w:t>。</w:t>
            </w:r>
          </w:p>
        </w:tc>
      </w:tr>
      <w:tr w14:paraId="7F09C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6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572F093">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2AC4C3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招标范围</w:t>
            </w:r>
          </w:p>
        </w:tc>
        <w:tc>
          <w:tcPr>
            <w:tcW w:w="7910" w:type="dxa"/>
            <w:tcBorders>
              <w:top w:val="single" w:color="auto" w:sz="4" w:space="0"/>
              <w:left w:val="single" w:color="auto" w:sz="4" w:space="0"/>
              <w:bottom w:val="single" w:color="auto" w:sz="4" w:space="0"/>
              <w:right w:val="single" w:color="auto" w:sz="4" w:space="0"/>
            </w:tcBorders>
            <w:vAlign w:val="center"/>
          </w:tcPr>
          <w:p w14:paraId="4818155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bookmarkStart w:id="7" w:name="OLE_LINK1"/>
            <w:r>
              <w:rPr>
                <w:rFonts w:hint="eastAsia" w:ascii="宋体" w:hAnsi="宋体" w:eastAsia="宋体" w:cs="宋体"/>
                <w:color w:val="auto"/>
                <w:sz w:val="24"/>
                <w:szCs w:val="24"/>
                <w:highlight w:val="none"/>
              </w:rPr>
              <w:t>本工程所涉及的内容包括但不限于以下（1）和（2）：</w:t>
            </w:r>
          </w:p>
          <w:p w14:paraId="737BF27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（1）设计部分：确保项目顺利实施的报建、报批、施工等所需的所有建安工程等的设计文件（具体详见设计任务书、初步设计文件），包括但不限于：</w:t>
            </w:r>
          </w:p>
          <w:p w14:paraId="6F31E46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①施工图设计含总平面及设计说明书、主要设备及材料以及</w:t>
            </w:r>
            <w:r>
              <w:rPr>
                <w:rFonts w:hint="eastAsia" w:ascii="宋体" w:hAnsi="宋体" w:eastAsia="宋体" w:cs="宋体"/>
                <w:color w:val="auto"/>
                <w:sz w:val="24"/>
                <w:szCs w:val="24"/>
                <w:highlight w:val="none"/>
                <w:lang w:eastAsia="zh-CN"/>
              </w:rPr>
              <w:t>项目</w:t>
            </w:r>
            <w:r>
              <w:rPr>
                <w:rFonts w:hint="eastAsia" w:hAnsi="宋体" w:eastAsia="宋体" w:cs="宋体"/>
                <w:color w:val="auto"/>
                <w:sz w:val="24"/>
                <w:szCs w:val="24"/>
                <w:highlight w:val="none"/>
                <w:lang w:eastAsia="zh-CN"/>
              </w:rPr>
              <w:t>涉及的</w:t>
            </w:r>
            <w:r>
              <w:rPr>
                <w:rFonts w:hint="eastAsia" w:ascii="宋体" w:hAnsi="宋体" w:eastAsia="宋体" w:cs="宋体"/>
                <w:color w:val="auto"/>
                <w:sz w:val="24"/>
                <w:szCs w:val="24"/>
                <w:highlight w:val="none"/>
              </w:rPr>
              <w:t>所有专项设计及红线范围内的所有工程及相关附属工程、设施等本项目涉及的所有建安工程的设计；</w:t>
            </w:r>
          </w:p>
          <w:p w14:paraId="48DA29F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注：设计文件深度要求必须满足《市政公用工程设计文件编制深度规定》（2013年版）规定的施工图设计深度要求，以及满足施工图审查的相关要求。</w:t>
            </w:r>
          </w:p>
          <w:p w14:paraId="54ED932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②施工图预算（含工程量清单）；</w:t>
            </w:r>
          </w:p>
          <w:p w14:paraId="2BAD763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③提供项目所需相关检测项的明细表和危险性较大的分部分项工程清单；</w:t>
            </w:r>
          </w:p>
          <w:p w14:paraId="4167193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④后续设计服务工作。</w:t>
            </w:r>
          </w:p>
          <w:p w14:paraId="1C05236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（2）施工部分：设计文件及工程量清单范围内的所有工程及配套工程、设施等的施工。</w:t>
            </w:r>
            <w:bookmarkEnd w:id="7"/>
          </w:p>
        </w:tc>
      </w:tr>
      <w:tr w14:paraId="668C49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95379FB">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F98118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标段划分</w:t>
            </w:r>
          </w:p>
        </w:tc>
        <w:tc>
          <w:tcPr>
            <w:tcW w:w="7910" w:type="dxa"/>
            <w:tcBorders>
              <w:top w:val="single" w:color="auto" w:sz="4" w:space="0"/>
              <w:left w:val="single" w:color="auto" w:sz="4" w:space="0"/>
              <w:bottom w:val="single" w:color="auto" w:sz="4" w:space="0"/>
              <w:right w:val="single" w:color="auto" w:sz="4" w:space="0"/>
            </w:tcBorders>
            <w:vAlign w:val="center"/>
          </w:tcPr>
          <w:p w14:paraId="32A363A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本招标项目不划分标段。</w:t>
            </w:r>
          </w:p>
        </w:tc>
      </w:tr>
      <w:tr w14:paraId="37A2E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F6FCB20">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D3982C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7910" w:type="dxa"/>
            <w:tcBorders>
              <w:top w:val="single" w:color="auto" w:sz="4" w:space="0"/>
              <w:left w:val="single" w:color="auto" w:sz="4" w:space="0"/>
              <w:bottom w:val="single" w:color="auto" w:sz="4" w:space="0"/>
              <w:right w:val="single" w:color="auto" w:sz="4" w:space="0"/>
            </w:tcBorders>
            <w:vAlign w:val="center"/>
          </w:tcPr>
          <w:p w14:paraId="70F3100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本工程工期为：设计、施工总工期640日历天，其中：设计工期为90日历天；施工工期为550日历天。中标人必须在所要求的工期内完成全部招标工程</w:t>
            </w:r>
            <w:r>
              <w:rPr>
                <w:rFonts w:hint="eastAsia" w:ascii="宋体" w:hAnsi="宋体" w:eastAsia="宋体" w:cs="宋体"/>
                <w:color w:val="auto"/>
                <w:sz w:val="24"/>
                <w:szCs w:val="24"/>
                <w:highlight w:val="none"/>
                <w:lang w:eastAsia="zh-CN"/>
              </w:rPr>
              <w:t>。</w:t>
            </w:r>
          </w:p>
        </w:tc>
      </w:tr>
      <w:tr w14:paraId="04A10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181C1DB">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719736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质量标准</w:t>
            </w:r>
          </w:p>
        </w:tc>
        <w:tc>
          <w:tcPr>
            <w:tcW w:w="7910" w:type="dxa"/>
            <w:tcBorders>
              <w:top w:val="single" w:color="auto" w:sz="4" w:space="0"/>
              <w:left w:val="single" w:color="auto" w:sz="4" w:space="0"/>
              <w:bottom w:val="single" w:color="auto" w:sz="4" w:space="0"/>
              <w:right w:val="single" w:color="auto" w:sz="4" w:space="0"/>
            </w:tcBorders>
            <w:vAlign w:val="center"/>
          </w:tcPr>
          <w:p w14:paraId="2A2E19A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bookmarkStart w:id="8" w:name="OLE_LINK2"/>
            <w:r>
              <w:rPr>
                <w:rFonts w:hint="eastAsia" w:ascii="宋体" w:hAnsi="宋体" w:eastAsia="宋体" w:cs="宋体"/>
                <w:color w:val="auto"/>
                <w:sz w:val="24"/>
                <w:szCs w:val="24"/>
                <w:highlight w:val="none"/>
              </w:rPr>
              <w:t>设计要求：符合国家或行业颁布的现行有效的有关设计的规范要求，符合设计任务书的相关要求，且必须通过有关部门的审查及经有资质的审图机构审查合格。</w:t>
            </w:r>
          </w:p>
          <w:p w14:paraId="42DBF87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施工要求：施工质量必须</w:t>
            </w:r>
            <w:bookmarkEnd w:id="8"/>
            <w:r>
              <w:rPr>
                <w:rFonts w:hint="eastAsia" w:ascii="宋体" w:hAnsi="宋体" w:eastAsia="宋体" w:cs="宋体"/>
                <w:color w:val="auto"/>
                <w:sz w:val="24"/>
                <w:szCs w:val="24"/>
                <w:highlight w:val="none"/>
              </w:rPr>
              <w:t>达到《建筑工程施工质量验收统一标准》（GB50300-2013）、《建筑与市政工程施工质量控制通用规范》（GB55032-2022）合格标准。</w:t>
            </w:r>
          </w:p>
        </w:tc>
      </w:tr>
      <w:tr w14:paraId="7247E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291B06B">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43CF2C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工程最高投标限价</w:t>
            </w:r>
          </w:p>
        </w:tc>
        <w:tc>
          <w:tcPr>
            <w:tcW w:w="7910" w:type="dxa"/>
            <w:tcBorders>
              <w:top w:val="single" w:color="auto" w:sz="4" w:space="0"/>
              <w:left w:val="single" w:color="auto" w:sz="4" w:space="0"/>
              <w:bottom w:val="single" w:color="auto" w:sz="4" w:space="0"/>
              <w:right w:val="single" w:color="auto" w:sz="4" w:space="0"/>
            </w:tcBorders>
            <w:vAlign w:val="center"/>
          </w:tcPr>
          <w:p w14:paraId="013C417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eastAsia="zh-CN"/>
              </w:rPr>
              <w:t>本项目最高投标限价为人民币(大写)：肆仟贰佰壹拾贰万叁仟叁佰元整(￥</w:t>
            </w:r>
            <w:r>
              <w:rPr>
                <w:rFonts w:hint="eastAsia" w:hAnsi="宋体" w:eastAsia="宋体" w:cs="宋体"/>
                <w:color w:val="auto"/>
                <w:sz w:val="24"/>
                <w:szCs w:val="24"/>
                <w:highlight w:val="none"/>
                <w:lang w:val="en-US" w:eastAsia="zh-CN"/>
              </w:rPr>
              <w:t>42123300.00</w:t>
            </w:r>
            <w:r>
              <w:rPr>
                <w:rFonts w:hint="eastAsia" w:hAnsi="宋体" w:eastAsia="宋体" w:cs="宋体"/>
                <w:color w:val="auto"/>
                <w:sz w:val="24"/>
                <w:szCs w:val="24"/>
                <w:highlight w:val="none"/>
                <w:lang w:eastAsia="zh-CN"/>
              </w:rPr>
              <w:t>元)</w:t>
            </w:r>
            <w:r>
              <w:rPr>
                <w:rFonts w:hint="eastAsia" w:ascii="宋体" w:hAnsi="宋体" w:eastAsia="宋体" w:cs="宋体"/>
                <w:color w:val="auto"/>
                <w:sz w:val="24"/>
                <w:szCs w:val="24"/>
                <w:highlight w:val="none"/>
                <w:lang w:eastAsia="zh-CN"/>
              </w:rPr>
              <w:t>。</w:t>
            </w:r>
          </w:p>
        </w:tc>
      </w:tr>
      <w:tr w14:paraId="22C92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39DE003">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195804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投标人资格要求</w:t>
            </w:r>
          </w:p>
        </w:tc>
        <w:tc>
          <w:tcPr>
            <w:tcW w:w="7910" w:type="dxa"/>
            <w:tcBorders>
              <w:top w:val="single" w:color="auto" w:sz="4" w:space="0"/>
              <w:left w:val="single" w:color="auto" w:sz="4" w:space="0"/>
              <w:bottom w:val="single" w:color="auto" w:sz="4" w:space="0"/>
              <w:right w:val="single" w:color="auto" w:sz="4" w:space="0"/>
            </w:tcBorders>
            <w:vAlign w:val="center"/>
          </w:tcPr>
          <w:p w14:paraId="277DAD8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1．本次招标接受联合体投标，联合体以一个投标人的身份共同投标。</w:t>
            </w:r>
          </w:p>
          <w:p w14:paraId="383E688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1.1联合体成员数量不超过</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w:t>
            </w:r>
          </w:p>
          <w:p w14:paraId="40513BA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1.2联合体各方应按招标文件提供的格式签订联合体协议书，明确联合体牵头人和各方权利义务，并承诺就中标项目向招标人承担连带责任。《联合体协议书》作为投标文件的组成部分向招标人提交。</w:t>
            </w:r>
          </w:p>
          <w:p w14:paraId="415AAD3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14:paraId="7280904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1.4联合体各方不得再以自己名义单独或参加其他联合体在本招标项目中投标，否则各相关投标均无效。</w:t>
            </w:r>
          </w:p>
          <w:p w14:paraId="7635927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2.资质要求</w:t>
            </w:r>
          </w:p>
          <w:p w14:paraId="6530C00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2.1投标人须具备独立法人资格，按国家法律经营。</w:t>
            </w:r>
          </w:p>
          <w:p w14:paraId="5FBC398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2.2投标人须持有行政主管部门颁发的企业资质证书。</w:t>
            </w:r>
          </w:p>
          <w:p w14:paraId="31F7C6B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2.3参加投标的投标人可以是单一独立法人或由不超过</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家独立法人组成的联合体（必须注明其中一家为牵头人），联合体各方不得再以自己的名义单独申请，也不得同时参加两个或两个以上的联合体进行本项目的投标。单一独立法人必须至少同时具备以下①～②资质，组成联合体投标的，联合后必须至少具备以下①～②资质，联合体牵头人必须具备①资质，由同一专业的单位组成的联合体，按照资质等级较低的单位确定资质等级：</w:t>
            </w:r>
          </w:p>
          <w:p w14:paraId="65B4CB9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①施工资质：具备市政公用工程施工总承包</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级以上（含</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级）资质，</w:t>
            </w:r>
            <w:r>
              <w:rPr>
                <w:rFonts w:hint="eastAsia" w:ascii="宋体" w:hAnsi="宋体" w:eastAsia="宋体" w:cs="宋体"/>
                <w:color w:val="auto"/>
                <w:kern w:val="2"/>
                <w:sz w:val="24"/>
                <w:szCs w:val="24"/>
                <w:highlight w:val="none"/>
                <w:lang w:val="en-US" w:eastAsia="zh-CN" w:bidi="ar"/>
              </w:rPr>
              <w:t>并持有有效期内安全生产许可证</w:t>
            </w:r>
            <w:r>
              <w:rPr>
                <w:rFonts w:hint="eastAsia" w:ascii="宋体" w:hAnsi="宋体" w:eastAsia="宋体" w:cs="宋体"/>
                <w:color w:val="auto"/>
                <w:sz w:val="24"/>
                <w:szCs w:val="24"/>
                <w:highlight w:val="none"/>
              </w:rPr>
              <w:t>。</w:t>
            </w:r>
          </w:p>
          <w:p w14:paraId="0938149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②设计资质必须具备建设行政主管部门颁发的以下资质之一：</w:t>
            </w:r>
          </w:p>
          <w:p w14:paraId="6C0F5FA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（1）工程设计综合甲级资质；</w:t>
            </w:r>
          </w:p>
          <w:p w14:paraId="1218F0A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（2）工程设计市政行业乙级以上（含乙级）资质；</w:t>
            </w:r>
          </w:p>
          <w:p w14:paraId="4A83D9E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（3）工程设计市政行业(燃气工程、轨道交通工程除外)乙级以上（含乙级）资质</w:t>
            </w:r>
            <w:r>
              <w:rPr>
                <w:rFonts w:hint="eastAsia" w:ascii="宋体" w:hAnsi="宋体" w:eastAsia="宋体" w:cs="宋体"/>
                <w:color w:val="auto"/>
                <w:sz w:val="24"/>
                <w:szCs w:val="24"/>
                <w:highlight w:val="none"/>
                <w:lang w:eastAsia="zh-CN"/>
              </w:rPr>
              <w:t>；</w:t>
            </w:r>
          </w:p>
          <w:p w14:paraId="67864C0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（4）工程设计市政行业(给水工程、排水工程)专业乙级以上（含乙级）资质。</w:t>
            </w:r>
          </w:p>
          <w:p w14:paraId="6549293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根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58F74A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3．相关人员要求</w:t>
            </w:r>
          </w:p>
          <w:p w14:paraId="71A55CA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拟派项目经理为具有市政公用工程专业一级注册建造师，一级注册建造师应持有国家住建部印发的有效注册证书。同时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r>
              <w:rPr>
                <w:rFonts w:hint="eastAsia" w:ascii="宋体" w:hAnsi="宋体" w:eastAsia="宋体" w:cs="宋体"/>
                <w:color w:val="auto"/>
                <w:sz w:val="24"/>
                <w:szCs w:val="24"/>
                <w:highlight w:val="none"/>
                <w:lang w:val="zh-CN"/>
              </w:rPr>
              <w:t>（若组成联合体时，由联合体</w:t>
            </w:r>
            <w:r>
              <w:rPr>
                <w:rFonts w:hint="eastAsia" w:ascii="宋体" w:hAnsi="宋体" w:eastAsia="宋体" w:cs="宋体"/>
                <w:color w:val="auto"/>
                <w:sz w:val="24"/>
                <w:szCs w:val="24"/>
                <w:highlight w:val="none"/>
                <w:lang w:val="en-US" w:eastAsia="zh-CN"/>
              </w:rPr>
              <w:t>施工方</w:t>
            </w:r>
            <w:r>
              <w:rPr>
                <w:rFonts w:hint="eastAsia" w:ascii="宋体" w:hAnsi="宋体" w:eastAsia="宋体" w:cs="宋体"/>
                <w:color w:val="auto"/>
                <w:sz w:val="24"/>
                <w:szCs w:val="24"/>
                <w:highlight w:val="none"/>
                <w:lang w:val="zh-CN"/>
              </w:rPr>
              <w:t>提供）</w:t>
            </w:r>
            <w:r>
              <w:rPr>
                <w:rFonts w:hint="eastAsia" w:ascii="宋体" w:hAnsi="宋体" w:eastAsia="宋体" w:cs="宋体"/>
                <w:color w:val="auto"/>
                <w:sz w:val="24"/>
                <w:szCs w:val="24"/>
                <w:highlight w:val="none"/>
              </w:rPr>
              <w:t>。</w:t>
            </w:r>
          </w:p>
          <w:p w14:paraId="6D01BE0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3.2．拟派项目技术负责人须具备市政工程相关专业中级或及以上技术职称</w:t>
            </w:r>
            <w:r>
              <w:rPr>
                <w:rFonts w:hint="eastAsia" w:ascii="宋体" w:hAnsi="宋体" w:eastAsia="宋体" w:cs="宋体"/>
                <w:color w:val="auto"/>
                <w:sz w:val="24"/>
                <w:szCs w:val="24"/>
                <w:highlight w:val="none"/>
                <w:lang w:val="zh-CN"/>
              </w:rPr>
              <w:t>（若组成联合体时，由联合体</w:t>
            </w:r>
            <w:r>
              <w:rPr>
                <w:rFonts w:hint="eastAsia" w:ascii="宋体" w:hAnsi="宋体" w:eastAsia="宋体" w:cs="宋体"/>
                <w:color w:val="auto"/>
                <w:sz w:val="24"/>
                <w:szCs w:val="24"/>
                <w:highlight w:val="none"/>
                <w:lang w:val="en-US" w:eastAsia="zh-CN"/>
              </w:rPr>
              <w:t>施工方</w:t>
            </w:r>
            <w:r>
              <w:rPr>
                <w:rFonts w:hint="eastAsia" w:ascii="宋体" w:hAnsi="宋体" w:eastAsia="宋体" w:cs="宋体"/>
                <w:color w:val="auto"/>
                <w:sz w:val="24"/>
                <w:szCs w:val="24"/>
                <w:highlight w:val="none"/>
                <w:lang w:val="zh-CN"/>
              </w:rPr>
              <w:t>提供）</w:t>
            </w:r>
            <w:r>
              <w:rPr>
                <w:rFonts w:hint="eastAsia" w:ascii="宋体" w:hAnsi="宋体" w:eastAsia="宋体" w:cs="宋体"/>
                <w:color w:val="auto"/>
                <w:sz w:val="24"/>
                <w:szCs w:val="24"/>
                <w:highlight w:val="none"/>
              </w:rPr>
              <w:t>。</w:t>
            </w:r>
          </w:p>
          <w:p w14:paraId="014D976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3.3．拟派专职安全生产管理人员须具备有效安全生产考核合格证明（C证，安全生产考核合格证书或广东省建筑施工企业管理人员安全生产考核系统考核合格信息打印页），且不少于</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val="zh-CN"/>
              </w:rPr>
              <w:t>（若组成联合体时，由联合体</w:t>
            </w:r>
            <w:r>
              <w:rPr>
                <w:rFonts w:hint="eastAsia" w:ascii="宋体" w:hAnsi="宋体" w:eastAsia="宋体" w:cs="宋体"/>
                <w:color w:val="auto"/>
                <w:sz w:val="24"/>
                <w:szCs w:val="24"/>
                <w:highlight w:val="none"/>
                <w:lang w:val="en-US" w:eastAsia="zh-CN"/>
              </w:rPr>
              <w:t>施工方</w:t>
            </w:r>
            <w:r>
              <w:rPr>
                <w:rFonts w:hint="eastAsia" w:ascii="宋体" w:hAnsi="宋体" w:eastAsia="宋体" w:cs="宋体"/>
                <w:color w:val="auto"/>
                <w:sz w:val="24"/>
                <w:szCs w:val="24"/>
                <w:highlight w:val="none"/>
                <w:lang w:val="zh-CN"/>
              </w:rPr>
              <w:t>提供）</w:t>
            </w:r>
            <w:r>
              <w:rPr>
                <w:rFonts w:hint="eastAsia" w:ascii="宋体" w:hAnsi="宋体" w:eastAsia="宋体" w:cs="宋体"/>
                <w:color w:val="auto"/>
                <w:sz w:val="24"/>
                <w:szCs w:val="24"/>
                <w:highlight w:val="none"/>
              </w:rPr>
              <w:t>。</w:t>
            </w:r>
          </w:p>
          <w:p w14:paraId="0D9EB39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3.4．拟委派担任本工程的设计负责人必须具备市政工程相关专业中级以上（含中级）技术职称（若组成联合体时，由联合体设计方提供）。</w:t>
            </w:r>
          </w:p>
          <w:p w14:paraId="1C1130A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3.5．投标人（包括组成联合体的所有成员单位）与其拟派往本项目管理机构的所有人员之间必须具备合法、唯一的劳动聘用关系。拟派人员中具备注册执业资格的，其注册单位须与投标人保持一致。</w:t>
            </w:r>
          </w:p>
          <w:p w14:paraId="4FDA6F1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4．禁止投标条款：</w:t>
            </w:r>
          </w:p>
          <w:p w14:paraId="0C604D2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4.1．投标人不得存在下列情形之一：</w:t>
            </w:r>
          </w:p>
          <w:p w14:paraId="3E3570F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（1）为招标人不具有独立法人资格的附属机构（单位）；</w:t>
            </w:r>
          </w:p>
          <w:p w14:paraId="3819A95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（2）为本招标项目前期准备提供咨询服务的；</w:t>
            </w:r>
          </w:p>
          <w:p w14:paraId="39C0987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（3）与本招标项目的其他投标人为同一个单位负责人；</w:t>
            </w:r>
          </w:p>
          <w:p w14:paraId="5CA4C5A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（4）与本招标项目的其他投标人存在控股、管理关系；</w:t>
            </w:r>
          </w:p>
          <w:p w14:paraId="74408BB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（5）为本招标项目的监理人；</w:t>
            </w:r>
          </w:p>
          <w:p w14:paraId="20F17A6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（6）为本招标项目的代建人；</w:t>
            </w:r>
          </w:p>
          <w:p w14:paraId="44BA309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（7）为本招标项目的招标代理机构；</w:t>
            </w:r>
          </w:p>
          <w:p w14:paraId="061A910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（8）与本招标项目的监理人或代建人或招标代理机构同为一个法定代表人；</w:t>
            </w:r>
          </w:p>
          <w:p w14:paraId="457D28B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（9）与本招标项目的监理人或代建人或招标代理机构存在控股或参股关系；</w:t>
            </w:r>
          </w:p>
          <w:p w14:paraId="7BF9A8D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（10）与本招标项目的监理人或代建人或招标代理机构存在相互任职或工作关系；</w:t>
            </w:r>
          </w:p>
          <w:p w14:paraId="3E00BBC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（11）被依法暂停或者取消投标资格；</w:t>
            </w:r>
          </w:p>
          <w:p w14:paraId="5875DBC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（12）被责令停产停业、暂扣或者吊销许可证、暂扣或者吊销执照；</w:t>
            </w:r>
          </w:p>
          <w:p w14:paraId="1C7A261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（13）进入清算程序，或被宣告破产，或其他丧失履约能力的情形；</w:t>
            </w:r>
          </w:p>
          <w:p w14:paraId="7D39075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（14）在最近三年内发生重大工程质量或安全问题（以相关行业主管部门的行政处罚决定或司法机关出具的有关法律文书为准）；</w:t>
            </w:r>
          </w:p>
          <w:p w14:paraId="24DDFD2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（15）被“信用中国”网站（https://www.creditchina.gov.cn）发布的《法人和非法人组织公共信用信息报告》列入严重失信主体名单的。</w:t>
            </w:r>
          </w:p>
          <w:p w14:paraId="070117F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4.2．招标人拒绝以下名单中的单位参加本次投标：</w:t>
            </w:r>
          </w:p>
          <w:tbl>
            <w:tblPr>
              <w:tblStyle w:val="24"/>
              <w:tblW w:w="7312"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3567"/>
              <w:gridCol w:w="2999"/>
            </w:tblGrid>
            <w:tr w14:paraId="6492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285A5E3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567" w:type="dxa"/>
                  <w:vAlign w:val="center"/>
                </w:tcPr>
                <w:p w14:paraId="4519C42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2999" w:type="dxa"/>
                  <w:vAlign w:val="center"/>
                </w:tcPr>
                <w:p w14:paraId="65AAA5D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2C07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7631A98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567" w:type="dxa"/>
                  <w:vAlign w:val="center"/>
                </w:tcPr>
                <w:p w14:paraId="62002C6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南雄市政府投资建设项目代建管理中心</w:t>
                  </w:r>
                </w:p>
              </w:tc>
              <w:tc>
                <w:tcPr>
                  <w:tcW w:w="2999" w:type="dxa"/>
                  <w:vAlign w:val="center"/>
                </w:tcPr>
                <w:p w14:paraId="694E69A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1FCA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0F83C0F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567" w:type="dxa"/>
                  <w:vAlign w:val="center"/>
                </w:tcPr>
                <w:p w14:paraId="7BFBF65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南雄市住房和城乡建设局</w:t>
                  </w:r>
                </w:p>
              </w:tc>
              <w:tc>
                <w:tcPr>
                  <w:tcW w:w="2999" w:type="dxa"/>
                  <w:vAlign w:val="center"/>
                </w:tcPr>
                <w:p w14:paraId="0E70457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为本招标项目的业主单位</w:t>
                  </w:r>
                </w:p>
              </w:tc>
            </w:tr>
            <w:tr w14:paraId="629F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28AC94B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p>
              </w:tc>
              <w:tc>
                <w:tcPr>
                  <w:tcW w:w="3567" w:type="dxa"/>
                  <w:vAlign w:val="center"/>
                </w:tcPr>
                <w:p w14:paraId="7F5C587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广东君霖项目管理有限公司</w:t>
                  </w:r>
                </w:p>
              </w:tc>
              <w:tc>
                <w:tcPr>
                  <w:tcW w:w="2999" w:type="dxa"/>
                  <w:vAlign w:val="center"/>
                </w:tcPr>
                <w:p w14:paraId="5D9F65D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5100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shd w:val="clear" w:color="auto" w:fill="auto"/>
                  <w:vAlign w:val="center"/>
                </w:tcPr>
                <w:p w14:paraId="39DC5FB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3567" w:type="dxa"/>
                  <w:vAlign w:val="center"/>
                </w:tcPr>
                <w:p w14:paraId="3B69B67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hAnsi="宋体" w:eastAsia="宋体" w:cs="宋体"/>
                      <w:color w:val="auto"/>
                      <w:sz w:val="24"/>
                      <w:szCs w:val="24"/>
                      <w:highlight w:val="none"/>
                      <w:lang w:eastAsia="zh-CN"/>
                    </w:rPr>
                  </w:pPr>
                  <w:r>
                    <w:rPr>
                      <w:rFonts w:asciiTheme="minorEastAsia" w:hAnsiTheme="minorEastAsia" w:eastAsiaTheme="minorEastAsia" w:cstheme="minorEastAsia"/>
                      <w:color w:val="000000" w:themeColor="text1"/>
                      <w:szCs w:val="24"/>
                      <w:highlight w:val="none"/>
                      <w14:textFill>
                        <w14:solidFill>
                          <w14:schemeClr w14:val="tx1"/>
                        </w14:solidFill>
                      </w14:textFill>
                    </w:rPr>
                    <w:t>广州高新工程顾问有限公司</w:t>
                  </w:r>
                </w:p>
              </w:tc>
              <w:tc>
                <w:tcPr>
                  <w:tcW w:w="2999" w:type="dxa"/>
                  <w:vAlign w:val="center"/>
                </w:tcPr>
                <w:p w14:paraId="06477A1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asciiTheme="minorEastAsia" w:hAnsiTheme="minorEastAsia" w:eastAsiaTheme="minorEastAsia" w:cstheme="minorEastAsia"/>
                      <w:color w:val="000000" w:themeColor="text1"/>
                      <w:szCs w:val="24"/>
                      <w:highlight w:val="none"/>
                      <w14:textFill>
                        <w14:solidFill>
                          <w14:schemeClr w14:val="tx1"/>
                        </w14:solidFill>
                      </w14:textFill>
                    </w:rPr>
                    <w:t>为本招标项目的可行性研究报告编制单位</w:t>
                  </w:r>
                </w:p>
              </w:tc>
            </w:tr>
            <w:tr w14:paraId="4AD3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shd w:val="clear" w:color="auto" w:fill="auto"/>
                  <w:vAlign w:val="center"/>
                </w:tcPr>
                <w:p w14:paraId="44CAEB7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val="en-US" w:eastAsia="zh-CN"/>
                    </w:rPr>
                    <w:t>5</w:t>
                  </w:r>
                </w:p>
              </w:tc>
              <w:tc>
                <w:tcPr>
                  <w:tcW w:w="3567" w:type="dxa"/>
                  <w:vAlign w:val="center"/>
                </w:tcPr>
                <w:p w14:paraId="608F1D5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eastAsia="zh-CN"/>
                    </w:rPr>
                    <w:t>南京市测绘勘察研究院股份有限公司</w:t>
                  </w:r>
                </w:p>
              </w:tc>
              <w:tc>
                <w:tcPr>
                  <w:tcW w:w="2999" w:type="dxa"/>
                  <w:vAlign w:val="center"/>
                </w:tcPr>
                <w:p w14:paraId="400767F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勘察</w:t>
                  </w:r>
                  <w:r>
                    <w:rPr>
                      <w:rFonts w:hint="eastAsia" w:ascii="宋体" w:hAnsi="宋体" w:eastAsia="宋体" w:cs="宋体"/>
                      <w:color w:val="auto"/>
                      <w:sz w:val="24"/>
                      <w:szCs w:val="24"/>
                      <w:highlight w:val="none"/>
                      <w:lang w:eastAsia="zh-CN"/>
                    </w:rPr>
                    <w:t>单位</w:t>
                  </w:r>
                </w:p>
              </w:tc>
            </w:tr>
            <w:tr w14:paraId="7360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56828AD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6</w:t>
                  </w:r>
                </w:p>
              </w:tc>
              <w:tc>
                <w:tcPr>
                  <w:tcW w:w="3567" w:type="dxa"/>
                  <w:vAlign w:val="center"/>
                </w:tcPr>
                <w:p w14:paraId="4F550FF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待定</w:t>
                  </w:r>
                </w:p>
              </w:tc>
              <w:tc>
                <w:tcPr>
                  <w:tcW w:w="2999" w:type="dxa"/>
                  <w:vAlign w:val="center"/>
                </w:tcPr>
                <w:p w14:paraId="3332F5A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bookmarkStart w:id="9" w:name="OLE_LINK3"/>
                  <w:r>
                    <w:rPr>
                      <w:rFonts w:hint="eastAsia" w:ascii="宋体" w:hAnsi="宋体" w:eastAsia="宋体" w:cs="宋体"/>
                      <w:color w:val="auto"/>
                      <w:sz w:val="24"/>
                      <w:szCs w:val="24"/>
                      <w:highlight w:val="none"/>
                    </w:rPr>
                    <w:t>为本招标项目的监理单位</w:t>
                  </w:r>
                  <w:bookmarkEnd w:id="9"/>
                </w:p>
              </w:tc>
            </w:tr>
          </w:tbl>
          <w:p w14:paraId="45E43DE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省外企业（包括组成联合体的所有成员单位）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17914C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EAD83A5">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0A6762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w:t>
            </w:r>
          </w:p>
        </w:tc>
        <w:tc>
          <w:tcPr>
            <w:tcW w:w="7910" w:type="dxa"/>
            <w:tcBorders>
              <w:top w:val="single" w:color="auto" w:sz="4" w:space="0"/>
              <w:left w:val="single" w:color="auto" w:sz="4" w:space="0"/>
              <w:bottom w:val="single" w:color="auto" w:sz="4" w:space="0"/>
              <w:right w:val="single" w:color="auto" w:sz="4" w:space="0"/>
            </w:tcBorders>
            <w:vAlign w:val="center"/>
          </w:tcPr>
          <w:p w14:paraId="5CADBE5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1．投标人须缴纳金额为人民币</w:t>
            </w:r>
            <w:r>
              <w:rPr>
                <w:rFonts w:hint="eastAsia" w:hAnsi="宋体" w:eastAsia="宋体" w:cs="宋体"/>
                <w:b/>
                <w:bCs/>
                <w:color w:val="auto"/>
                <w:sz w:val="24"/>
                <w:szCs w:val="24"/>
                <w:highlight w:val="none"/>
                <w:u w:val="single"/>
                <w:lang w:val="en-US" w:eastAsia="zh-CN"/>
              </w:rPr>
              <w:t>伍拾万元</w:t>
            </w:r>
            <w:r>
              <w:rPr>
                <w:rFonts w:hint="eastAsia" w:ascii="宋体" w:hAnsi="宋体" w:eastAsia="宋体" w:cs="宋体"/>
                <w:b/>
                <w:bCs/>
                <w:color w:val="auto"/>
                <w:sz w:val="24"/>
                <w:szCs w:val="24"/>
                <w:highlight w:val="none"/>
                <w:u w:val="single"/>
                <w:lang w:eastAsia="zh-CN"/>
              </w:rPr>
              <w:t>整</w:t>
            </w:r>
            <w:r>
              <w:rPr>
                <w:rFonts w:hint="eastAsia" w:ascii="宋体" w:hAnsi="宋体" w:eastAsia="宋体" w:cs="宋体"/>
                <w:color w:val="auto"/>
                <w:sz w:val="24"/>
                <w:szCs w:val="24"/>
                <w:highlight w:val="none"/>
              </w:rPr>
              <w:t>的投标保证。</w:t>
            </w:r>
            <w:r>
              <w:rPr>
                <w:rFonts w:hint="eastAsia" w:ascii="宋体" w:hAnsi="宋体" w:eastAsia="宋体" w:cs="宋体"/>
                <w:b/>
                <w:bCs/>
                <w:color w:val="auto"/>
                <w:sz w:val="24"/>
                <w:szCs w:val="24"/>
                <w:highlight w:val="none"/>
              </w:rPr>
              <w:t>联合体投标的，由联合体牵头人缴纳。</w:t>
            </w:r>
          </w:p>
          <w:p w14:paraId="01F120A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2．投标保证的形式包括投标保证金、投标保证担保、投标保证保险三种，由投标人自主选择。</w:t>
            </w:r>
          </w:p>
          <w:p w14:paraId="63CE623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082FA4E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669CF4D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27D8CD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17088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398FC8F">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55D875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投标有效期</w:t>
            </w:r>
          </w:p>
        </w:tc>
        <w:tc>
          <w:tcPr>
            <w:tcW w:w="7910" w:type="dxa"/>
            <w:tcBorders>
              <w:top w:val="single" w:color="auto" w:sz="4" w:space="0"/>
              <w:left w:val="single" w:color="auto" w:sz="4" w:space="0"/>
              <w:bottom w:val="single" w:color="auto" w:sz="4" w:space="0"/>
              <w:right w:val="single" w:color="auto" w:sz="4" w:space="0"/>
            </w:tcBorders>
            <w:vAlign w:val="center"/>
          </w:tcPr>
          <w:p w14:paraId="59F4133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本次招标的投标有效期为120个日历天。</w:t>
            </w:r>
          </w:p>
        </w:tc>
      </w:tr>
      <w:tr w14:paraId="48D40E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7BEBBD1">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6C5C40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val="en-US" w:eastAsia="zh-CN"/>
              </w:rPr>
              <w:t>组成</w:t>
            </w:r>
          </w:p>
        </w:tc>
        <w:tc>
          <w:tcPr>
            <w:tcW w:w="7910" w:type="dxa"/>
            <w:tcBorders>
              <w:top w:val="single" w:color="auto" w:sz="4" w:space="0"/>
              <w:left w:val="single" w:color="auto" w:sz="4" w:space="0"/>
              <w:bottom w:val="single" w:color="auto" w:sz="4" w:space="0"/>
              <w:right w:val="single" w:color="auto" w:sz="4" w:space="0"/>
            </w:tcBorders>
            <w:vAlign w:val="center"/>
          </w:tcPr>
          <w:p w14:paraId="6BB179D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投标文件包括</w:t>
            </w:r>
            <w:r>
              <w:rPr>
                <w:rFonts w:hint="eastAsia" w:ascii="宋体" w:hAnsi="宋体" w:eastAsia="宋体" w:cs="宋体"/>
                <w:color w:val="auto"/>
                <w:sz w:val="24"/>
                <w:szCs w:val="24"/>
                <w:highlight w:val="none"/>
              </w:rPr>
              <w:t>投标标书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定标文件两个分册。</w:t>
            </w:r>
          </w:p>
        </w:tc>
      </w:tr>
      <w:tr w14:paraId="58B40E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6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AEC9791">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09C01EC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p>
        </w:tc>
        <w:tc>
          <w:tcPr>
            <w:tcW w:w="7910" w:type="dxa"/>
            <w:tcBorders>
              <w:top w:val="single" w:color="auto" w:sz="4" w:space="0"/>
              <w:left w:val="single" w:color="auto" w:sz="4" w:space="0"/>
              <w:bottom w:val="single" w:color="auto" w:sz="4" w:space="0"/>
              <w:right w:val="single" w:color="auto" w:sz="4" w:space="0"/>
            </w:tcBorders>
            <w:vAlign w:val="center"/>
          </w:tcPr>
          <w:p w14:paraId="182709B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w:t>
            </w:r>
            <w:r>
              <w:rPr>
                <w:rFonts w:hint="eastAsia" w:ascii="宋体" w:hAnsi="宋体" w:eastAsia="宋体" w:cs="宋体"/>
                <w:color w:val="auto"/>
                <w:sz w:val="24"/>
                <w:szCs w:val="24"/>
                <w:highlight w:val="none"/>
                <w:lang w:val="en-US" w:eastAsia="zh-CN"/>
              </w:rPr>
              <w:t>广东省发展和改革委员会等部门关于印发广东省远程异地评标招标项目范围规定（试行）的通知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粤发改规〔2026〕8号</w:t>
            </w:r>
            <w:r>
              <w:rPr>
                <w:rFonts w:hint="eastAsia" w:ascii="宋体" w:hAnsi="宋体" w:eastAsia="宋体" w:cs="宋体"/>
                <w:color w:val="auto"/>
                <w:sz w:val="24"/>
                <w:szCs w:val="24"/>
                <w:highlight w:val="none"/>
                <w:lang w:eastAsia="zh-CN"/>
              </w:rPr>
              <w:t>）文件要求，</w:t>
            </w:r>
            <w:r>
              <w:rPr>
                <w:rFonts w:hint="eastAsia" w:ascii="宋体" w:hAnsi="宋体" w:eastAsia="宋体" w:cs="宋体"/>
                <w:color w:val="auto"/>
                <w:sz w:val="24"/>
                <w:szCs w:val="24"/>
                <w:highlight w:val="none"/>
              </w:rPr>
              <w:t>采用异地评审方式</w:t>
            </w:r>
            <w:r>
              <w:rPr>
                <w:rFonts w:hint="eastAsia" w:ascii="宋体" w:hAnsi="宋体" w:eastAsia="宋体" w:cs="宋体"/>
                <w:color w:val="auto"/>
                <w:sz w:val="24"/>
                <w:szCs w:val="24"/>
                <w:highlight w:val="none"/>
                <w:lang w:eastAsia="zh-CN"/>
              </w:rPr>
              <w:t>（注：远程异地评标的项目，主场、副场评标专家抽取</w:t>
            </w:r>
            <w:r>
              <w:rPr>
                <w:rFonts w:hint="eastAsia" w:ascii="宋体" w:hAnsi="宋体" w:eastAsia="宋体" w:cs="宋体"/>
                <w:color w:val="auto"/>
                <w:sz w:val="24"/>
                <w:szCs w:val="24"/>
                <w:highlight w:val="none"/>
                <w:lang w:val="en-US" w:eastAsia="zh-CN"/>
              </w:rPr>
              <w:t>按相关文件规定）。</w:t>
            </w:r>
            <w:r>
              <w:rPr>
                <w:rFonts w:hint="eastAsia" w:ascii="宋体" w:hAnsi="宋体" w:eastAsia="宋体" w:cs="宋体"/>
                <w:color w:val="auto"/>
                <w:sz w:val="24"/>
                <w:szCs w:val="24"/>
                <w:highlight w:val="none"/>
              </w:rPr>
              <w:t xml:space="preserve">评标委员会由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人组成，其中招标人代表</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0人，专家</w:t>
            </w:r>
            <w:r>
              <w:rPr>
                <w:rFonts w:hint="eastAsia" w:ascii="宋体" w:hAnsi="宋体" w:eastAsia="宋体" w:cs="宋体"/>
                <w:color w:val="auto"/>
                <w:sz w:val="24"/>
                <w:szCs w:val="24"/>
                <w:highlight w:val="none"/>
                <w:lang w:val="en-US" w:eastAsia="zh-CN"/>
              </w:rPr>
              <w:t xml:space="preserve"> 5</w:t>
            </w:r>
            <w:r>
              <w:rPr>
                <w:rFonts w:hint="eastAsia" w:ascii="宋体" w:hAnsi="宋体" w:eastAsia="宋体" w:cs="宋体"/>
                <w:color w:val="auto"/>
                <w:sz w:val="24"/>
                <w:szCs w:val="24"/>
                <w:highlight w:val="none"/>
              </w:rPr>
              <w:t>人。专家从广东省综合评标评审专家库中随机抽取，其中技术类专家</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人，经济类专家 2人。</w:t>
            </w:r>
          </w:p>
        </w:tc>
      </w:tr>
      <w:tr w14:paraId="07A160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6"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71B6B50">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04FDFD8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评标方法</w:t>
            </w:r>
          </w:p>
        </w:tc>
        <w:tc>
          <w:tcPr>
            <w:tcW w:w="7910" w:type="dxa"/>
            <w:tcBorders>
              <w:top w:val="single" w:color="auto" w:sz="4" w:space="0"/>
              <w:left w:val="single" w:color="auto" w:sz="4" w:space="0"/>
              <w:bottom w:val="single" w:color="auto" w:sz="4" w:space="0"/>
              <w:right w:val="single" w:color="auto" w:sz="4" w:space="0"/>
            </w:tcBorders>
            <w:vAlign w:val="center"/>
          </w:tcPr>
          <w:p w14:paraId="194C538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综合评估法</w:t>
            </w:r>
          </w:p>
        </w:tc>
      </w:tr>
      <w:tr w14:paraId="2BAC2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1FEB11AA">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2814BB2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安全文明施工</w:t>
            </w:r>
          </w:p>
        </w:tc>
        <w:tc>
          <w:tcPr>
            <w:tcW w:w="7910" w:type="dxa"/>
            <w:tcBorders>
              <w:top w:val="single" w:color="auto" w:sz="4" w:space="0"/>
              <w:left w:val="single" w:color="auto" w:sz="4" w:space="0"/>
              <w:bottom w:val="single" w:color="auto" w:sz="4" w:space="0"/>
              <w:right w:val="single" w:color="auto" w:sz="4" w:space="0"/>
            </w:tcBorders>
            <w:vAlign w:val="center"/>
          </w:tcPr>
          <w:p w14:paraId="0822F74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达到国家、省、市有关标准</w:t>
            </w:r>
          </w:p>
        </w:tc>
      </w:tr>
      <w:tr w14:paraId="48B6C6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17B8B6D">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B4472E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房屋建筑工程</w:t>
            </w:r>
          </w:p>
          <w:p w14:paraId="73C93D6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绿色建筑标准</w:t>
            </w:r>
          </w:p>
        </w:tc>
        <w:tc>
          <w:tcPr>
            <w:tcW w:w="7910" w:type="dxa"/>
            <w:tcBorders>
              <w:top w:val="single" w:color="auto" w:sz="4" w:space="0"/>
              <w:left w:val="single" w:color="auto" w:sz="4" w:space="0"/>
              <w:bottom w:val="single" w:color="auto" w:sz="4" w:space="0"/>
              <w:right w:val="single" w:color="auto" w:sz="4" w:space="0"/>
            </w:tcBorders>
            <w:vAlign w:val="center"/>
          </w:tcPr>
          <w:p w14:paraId="3D05265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本招标项目不纳入绿色建筑实施范围。</w:t>
            </w:r>
          </w:p>
        </w:tc>
      </w:tr>
      <w:tr w14:paraId="1C6C04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C1CC166">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8D80D1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7910" w:type="dxa"/>
            <w:tcBorders>
              <w:top w:val="single" w:color="auto" w:sz="4" w:space="0"/>
              <w:left w:val="single" w:color="auto" w:sz="4" w:space="0"/>
              <w:bottom w:val="single" w:color="auto" w:sz="4" w:space="0"/>
              <w:right w:val="single" w:color="auto" w:sz="4" w:space="0"/>
            </w:tcBorders>
            <w:vAlign w:val="center"/>
          </w:tcPr>
          <w:p w14:paraId="457A516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履约保证金为中标价的5%（在领取中标通知书之日起10个工作日内、签订合同前缴纳，组成联合体时，由联合体牵头人缴纳）。</w:t>
            </w:r>
          </w:p>
          <w:p w14:paraId="4EF4EEF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的形式包括履约保证金、履约保证金担保函两种，由中标人自主选择，保函有效期不得少于本工程总工期，如果采用银行转账方式则必须从中标人的法人开户银行的账号划出招标人指定的账户，并详细注明工程名称及用途。招标人指定的账户如下：</w:t>
            </w:r>
          </w:p>
          <w:p w14:paraId="0E8D2E7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开户名称：南雄市政府投资建设项目代建管理中心</w:t>
            </w:r>
          </w:p>
          <w:p w14:paraId="6F160B0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开户银行：中国农业银行股份有限公司南雄市支行</w:t>
            </w:r>
          </w:p>
          <w:p w14:paraId="3FF2941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银行账号：44722001040015724</w:t>
            </w:r>
          </w:p>
        </w:tc>
      </w:tr>
      <w:tr w14:paraId="3B865F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A3F352B">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435F412">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工程款支付</w:t>
            </w:r>
          </w:p>
        </w:tc>
        <w:tc>
          <w:tcPr>
            <w:tcW w:w="7910" w:type="dxa"/>
            <w:tcBorders>
              <w:top w:val="single" w:color="auto" w:sz="4" w:space="0"/>
              <w:left w:val="single" w:color="auto" w:sz="4" w:space="0"/>
              <w:bottom w:val="single" w:color="auto" w:sz="4" w:space="0"/>
              <w:right w:val="single" w:color="auto" w:sz="4" w:space="0"/>
            </w:tcBorders>
            <w:vAlign w:val="center"/>
          </w:tcPr>
          <w:p w14:paraId="3B4752E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详见本招标文件“2-4、工程付款办法”</w:t>
            </w:r>
          </w:p>
        </w:tc>
      </w:tr>
      <w:tr w14:paraId="515A1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932EB2D">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69B7E7C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工程质量保证金</w:t>
            </w:r>
          </w:p>
        </w:tc>
        <w:tc>
          <w:tcPr>
            <w:tcW w:w="7910" w:type="dxa"/>
            <w:tcBorders>
              <w:top w:val="single" w:color="auto" w:sz="4" w:space="0"/>
              <w:left w:val="single" w:color="auto" w:sz="4" w:space="0"/>
              <w:bottom w:val="single" w:color="auto" w:sz="4" w:space="0"/>
              <w:right w:val="single" w:color="auto" w:sz="4" w:space="0"/>
            </w:tcBorders>
            <w:vAlign w:val="center"/>
          </w:tcPr>
          <w:p w14:paraId="4438A1A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工程质量保证金总金额为结算价的3%，从工程竣工验收合格之日起计满2年。</w:t>
            </w:r>
          </w:p>
        </w:tc>
      </w:tr>
      <w:tr w14:paraId="19561C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34626DA8">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30FAB59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绿色施工安全防护措施费</w:t>
            </w:r>
          </w:p>
        </w:tc>
        <w:tc>
          <w:tcPr>
            <w:tcW w:w="7910" w:type="dxa"/>
            <w:tcBorders>
              <w:top w:val="single" w:color="auto" w:sz="4" w:space="0"/>
              <w:left w:val="single" w:color="auto" w:sz="4" w:space="0"/>
              <w:bottom w:val="single" w:color="auto" w:sz="4" w:space="0"/>
              <w:right w:val="single" w:color="auto" w:sz="4" w:space="0"/>
            </w:tcBorders>
            <w:vAlign w:val="center"/>
          </w:tcPr>
          <w:p w14:paraId="4D9D2F2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《广东省建设工程计价依据（2018）》</w:t>
            </w:r>
            <w:r>
              <w:rPr>
                <w:rFonts w:hint="eastAsia" w:ascii="宋体" w:hAnsi="宋体" w:eastAsia="宋体" w:cs="宋体"/>
                <w:color w:val="auto"/>
                <w:sz w:val="24"/>
                <w:szCs w:val="24"/>
                <w:highlight w:val="none"/>
              </w:rPr>
              <w:t>等最新规定执行。</w:t>
            </w:r>
          </w:p>
        </w:tc>
      </w:tr>
      <w:tr w14:paraId="13372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0B3C3404">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43DB5B1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910" w:type="dxa"/>
            <w:tcBorders>
              <w:top w:val="single" w:color="auto" w:sz="4" w:space="0"/>
              <w:left w:val="single" w:color="auto" w:sz="4" w:space="0"/>
              <w:bottom w:val="single" w:color="auto" w:sz="4" w:space="0"/>
              <w:right w:val="single" w:color="auto" w:sz="4" w:space="0"/>
            </w:tcBorders>
            <w:vAlign w:val="center"/>
          </w:tcPr>
          <w:p w14:paraId="4DACB1D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w:t>
            </w:r>
            <w:r>
              <w:rPr>
                <w:rFonts w:hint="eastAsia" w:ascii="宋体" w:hAnsi="宋体" w:eastAsia="宋体" w:cs="宋体"/>
                <w:color w:val="auto"/>
                <w:sz w:val="24"/>
                <w:szCs w:val="24"/>
                <w:highlight w:val="none"/>
                <w:lang w:eastAsia="zh-CN"/>
              </w:rPr>
              <w:t>项目</w:t>
            </w:r>
            <w:r>
              <w:rPr>
                <w:rFonts w:hint="eastAsia" w:ascii="宋体" w:hAnsi="宋体" w:eastAsia="宋体" w:cs="宋体"/>
                <w:color w:val="auto"/>
                <w:sz w:val="24"/>
                <w:szCs w:val="24"/>
                <w:highlight w:val="none"/>
              </w:rPr>
              <w:t>定标委员会</w:t>
            </w:r>
            <w:r>
              <w:rPr>
                <w:rFonts w:hint="eastAsia" w:ascii="宋体" w:hAnsi="宋体" w:eastAsia="宋体" w:cs="宋体"/>
                <w:color w:val="auto"/>
                <w:sz w:val="24"/>
                <w:szCs w:val="24"/>
                <w:highlight w:val="none"/>
                <w:lang w:eastAsia="zh-CN"/>
              </w:rPr>
              <w:t>组成人</w:t>
            </w:r>
            <w:r>
              <w:rPr>
                <w:rFonts w:hint="eastAsia" w:ascii="宋体" w:hAnsi="宋体" w:eastAsia="宋体" w:cs="宋体"/>
                <w:color w:val="auto"/>
                <w:sz w:val="24"/>
                <w:szCs w:val="24"/>
                <w:highlight w:val="none"/>
              </w:rPr>
              <w:t xml:space="preserve">员为 </w:t>
            </w:r>
            <w:r>
              <w:rPr>
                <w:rFonts w:hint="eastAsia" w:ascii="宋体" w:hAnsi="宋体" w:eastAsia="宋体" w:cs="宋体"/>
                <w:color w:val="auto"/>
                <w:sz w:val="24"/>
                <w:szCs w:val="24"/>
                <w:highlight w:val="non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w:t>
            </w:r>
          </w:p>
        </w:tc>
      </w:tr>
      <w:tr w14:paraId="71676D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E5A1065">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rPr>
            </w:pPr>
          </w:p>
        </w:tc>
        <w:tc>
          <w:tcPr>
            <w:tcW w:w="1796" w:type="dxa"/>
            <w:tcBorders>
              <w:top w:val="single" w:color="auto" w:sz="4" w:space="0"/>
              <w:left w:val="single" w:color="auto" w:sz="4" w:space="0"/>
              <w:bottom w:val="single" w:color="auto" w:sz="4" w:space="0"/>
              <w:right w:val="single" w:color="auto" w:sz="4" w:space="0"/>
            </w:tcBorders>
            <w:vAlign w:val="center"/>
          </w:tcPr>
          <w:p w14:paraId="167149A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定标办法</w:t>
            </w:r>
          </w:p>
        </w:tc>
        <w:tc>
          <w:tcPr>
            <w:tcW w:w="7910" w:type="dxa"/>
            <w:tcBorders>
              <w:top w:val="single" w:color="auto" w:sz="4" w:space="0"/>
              <w:left w:val="single" w:color="auto" w:sz="4" w:space="0"/>
              <w:bottom w:val="single" w:color="auto" w:sz="4" w:space="0"/>
              <w:right w:val="single" w:color="auto" w:sz="4" w:space="0"/>
            </w:tcBorders>
            <w:vAlign w:val="center"/>
          </w:tcPr>
          <w:p w14:paraId="6584698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采用评定分离的项目，应选定下列定标办法：</w:t>
            </w:r>
          </w:p>
          <w:p w14:paraId="0B9F47E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☑票决数量法</w:t>
            </w:r>
          </w:p>
          <w:p w14:paraId="005AB07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□票决计分法</w:t>
            </w:r>
          </w:p>
          <w:p w14:paraId="5E36D4B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□集体议事法</w:t>
            </w:r>
          </w:p>
          <w:p w14:paraId="34EE223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29" w:firstLineChars="179"/>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□其他方法：</w:t>
            </w:r>
          </w:p>
        </w:tc>
      </w:tr>
      <w:tr w14:paraId="69DA9A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1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283E31CA">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val="en-US"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6540C72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招标文件要求提交的用于评审的证书、证件、凭证原件</w:t>
            </w:r>
          </w:p>
        </w:tc>
        <w:tc>
          <w:tcPr>
            <w:tcW w:w="7910" w:type="dxa"/>
            <w:tcBorders>
              <w:top w:val="single" w:color="auto" w:sz="4" w:space="0"/>
              <w:left w:val="single" w:color="auto" w:sz="4" w:space="0"/>
              <w:bottom w:val="single" w:color="auto" w:sz="4" w:space="0"/>
              <w:right w:val="single" w:color="auto" w:sz="4" w:space="0"/>
            </w:tcBorders>
            <w:vAlign w:val="center"/>
          </w:tcPr>
          <w:p w14:paraId="459A804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投标人在递交纸质投标文件时须提交用于评审的证书、证件、证明原件的，投标人应自行将所需原件密封于文件袋（箱）中，并自行准备两张“原件一览表”（详见格式十</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投标人须自行填写，表格可扩展），一张贴于文件袋（箱），一张在递交时由投标人、招标代理人签字。招标代理机构仅代签收，不对文件袋（箱）中资料的数量、内容及真实性负责。评标结束后，招标代理人将退回投标人的原件。若投标人未按要求提交相应证明材料原件或投标文件中证明材料的彩色扫描件与原件不一致，评审时相应证明材料不予认可。</w:t>
            </w:r>
          </w:p>
        </w:tc>
      </w:tr>
      <w:tr w14:paraId="04187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51"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44AB3C8F">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687F054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招标代理服务费</w:t>
            </w:r>
          </w:p>
        </w:tc>
        <w:tc>
          <w:tcPr>
            <w:tcW w:w="7910" w:type="dxa"/>
            <w:tcBorders>
              <w:top w:val="single" w:color="auto" w:sz="4" w:space="0"/>
              <w:left w:val="single" w:color="auto" w:sz="4" w:space="0"/>
              <w:bottom w:val="single" w:color="auto" w:sz="4" w:space="0"/>
              <w:right w:val="single" w:color="auto" w:sz="4" w:space="0"/>
            </w:tcBorders>
            <w:vAlign w:val="center"/>
          </w:tcPr>
          <w:p w14:paraId="3B8F07A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本项目设计施工总承包招标代理服务费为10万元包干，招标代理服务费由中标单位支付。</w:t>
            </w:r>
          </w:p>
          <w:p w14:paraId="01996C9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8" w:leftChars="20" w:right="48" w:rightChars="2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注：参与投标视为认可该条款。</w:t>
            </w:r>
          </w:p>
        </w:tc>
      </w:tr>
      <w:tr w14:paraId="2B8662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ED83648">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415D86F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招标人</w:t>
            </w:r>
          </w:p>
          <w:p w14:paraId="11E2FA6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3434BC1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单位名称：南雄市政府投资建设项目代建管理中心</w:t>
            </w:r>
          </w:p>
          <w:p w14:paraId="51AC82F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办公地址：南雄市雄州街道沿江西路2号</w:t>
            </w:r>
          </w:p>
          <w:p w14:paraId="478ED79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联联系人（部门）：</w:t>
            </w:r>
            <w:r>
              <w:rPr>
                <w:rFonts w:hint="eastAsia" w:hAnsi="宋体" w:eastAsia="宋体" w:cs="宋体"/>
                <w:color w:val="auto"/>
                <w:sz w:val="24"/>
                <w:szCs w:val="24"/>
                <w:highlight w:val="none"/>
                <w:lang w:val="en-US" w:eastAsia="zh-CN"/>
              </w:rPr>
              <w:t>叶工</w:t>
            </w:r>
          </w:p>
          <w:p w14:paraId="62584A6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lang w:eastAsia="zh-CN"/>
              </w:rPr>
              <w:t>0751-3836723</w:t>
            </w:r>
          </w:p>
        </w:tc>
      </w:tr>
      <w:tr w14:paraId="5F93FC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6C9CD571">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50E108A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w:t>
            </w:r>
          </w:p>
          <w:p w14:paraId="07718FC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160B1FB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单位名称：</w:t>
            </w:r>
            <w:r>
              <w:rPr>
                <w:rFonts w:hint="eastAsia" w:hAnsi="宋体" w:eastAsia="宋体" w:cs="宋体"/>
                <w:color w:val="auto"/>
                <w:sz w:val="24"/>
                <w:szCs w:val="24"/>
                <w:highlight w:val="none"/>
                <w:lang w:eastAsia="zh-CN"/>
              </w:rPr>
              <w:t>广东君霖项目管理有限公司</w:t>
            </w:r>
          </w:p>
          <w:p w14:paraId="78604B1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办公地址：</w:t>
            </w:r>
            <w:r>
              <w:rPr>
                <w:rFonts w:hint="eastAsia" w:hAnsi="宋体" w:eastAsia="宋体" w:cs="宋体"/>
                <w:color w:val="auto"/>
                <w:sz w:val="24"/>
                <w:szCs w:val="24"/>
                <w:highlight w:val="none"/>
                <w:lang w:eastAsia="zh-CN"/>
              </w:rPr>
              <w:t>韶关市曲江区马坝镇安山路35号之一308</w:t>
            </w:r>
          </w:p>
          <w:p w14:paraId="64F6D77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hAnsi="宋体" w:eastAsia="宋体" w:cs="宋体"/>
                <w:color w:val="auto"/>
                <w:sz w:val="24"/>
                <w:szCs w:val="24"/>
                <w:highlight w:val="none"/>
                <w:lang w:val="en-US" w:eastAsia="zh-CN"/>
              </w:rPr>
              <w:t>谢工</w:t>
            </w:r>
          </w:p>
          <w:p w14:paraId="7D15431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r>
              <w:rPr>
                <w:rFonts w:hint="eastAsia" w:hAnsi="宋体" w:eastAsia="宋体" w:cs="宋体"/>
                <w:color w:val="auto"/>
                <w:sz w:val="24"/>
                <w:szCs w:val="24"/>
                <w:highlight w:val="none"/>
                <w:lang w:eastAsia="zh-CN"/>
              </w:rPr>
              <w:t>15007510825</w:t>
            </w:r>
          </w:p>
        </w:tc>
      </w:tr>
      <w:tr w14:paraId="42F3DB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64"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58ECFEF2">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1166BF5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交易场所</w:t>
            </w:r>
          </w:p>
          <w:p w14:paraId="04A7CDD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59E96C8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单位名称：韶关市公共资源交易中心</w:t>
            </w:r>
          </w:p>
          <w:p w14:paraId="0608620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办公地址：韶关市公共资源交易中心南雄分中心（南雄市雄东路1号大润发四楼）南雄市公共服务中心内</w:t>
            </w:r>
          </w:p>
          <w:p w14:paraId="0816761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联系人（部门）：工程交易部</w:t>
            </w:r>
          </w:p>
          <w:p w14:paraId="4568703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 0751-3860729</w:t>
            </w:r>
          </w:p>
        </w:tc>
      </w:tr>
      <w:tr w14:paraId="080F19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077" w:hRule="atLeast"/>
          <w:jc w:val="center"/>
        </w:trPr>
        <w:tc>
          <w:tcPr>
            <w:tcW w:w="608" w:type="dxa"/>
            <w:tcBorders>
              <w:top w:val="single" w:color="auto" w:sz="4" w:space="0"/>
              <w:left w:val="single" w:color="auto" w:sz="4" w:space="0"/>
              <w:bottom w:val="single" w:color="auto" w:sz="4" w:space="0"/>
              <w:right w:val="single" w:color="auto" w:sz="4" w:space="0"/>
            </w:tcBorders>
            <w:vAlign w:val="center"/>
          </w:tcPr>
          <w:p w14:paraId="76318FF0">
            <w:pPr>
              <w:pStyle w:val="10"/>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425" w:leftChars="0" w:right="0" w:hanging="425" w:firstLineChars="0"/>
              <w:jc w:val="center"/>
              <w:textAlignment w:val="auto"/>
              <w:rPr>
                <w:rFonts w:hint="eastAsia" w:ascii="宋体" w:hAnsi="宋体" w:eastAsia="宋体" w:cs="宋体"/>
                <w:color w:val="auto"/>
                <w:sz w:val="24"/>
                <w:szCs w:val="24"/>
                <w:highlight w:val="none"/>
                <w:lang w:eastAsia="zh-CN"/>
              </w:rPr>
            </w:pPr>
          </w:p>
        </w:tc>
        <w:tc>
          <w:tcPr>
            <w:tcW w:w="1796" w:type="dxa"/>
            <w:tcBorders>
              <w:top w:val="single" w:color="auto" w:sz="4" w:space="0"/>
              <w:left w:val="single" w:color="auto" w:sz="4" w:space="0"/>
              <w:bottom w:val="single" w:color="auto" w:sz="4" w:space="0"/>
              <w:right w:val="single" w:color="auto" w:sz="4" w:space="0"/>
            </w:tcBorders>
            <w:vAlign w:val="center"/>
          </w:tcPr>
          <w:p w14:paraId="73100B4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行政监督部门</w:t>
            </w:r>
          </w:p>
          <w:p w14:paraId="476C2B1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7910" w:type="dxa"/>
            <w:tcBorders>
              <w:top w:val="single" w:color="auto" w:sz="4" w:space="0"/>
              <w:left w:val="single" w:color="auto" w:sz="4" w:space="0"/>
              <w:bottom w:val="single" w:color="auto" w:sz="4" w:space="0"/>
              <w:right w:val="single" w:color="auto" w:sz="4" w:space="0"/>
            </w:tcBorders>
            <w:vAlign w:val="center"/>
          </w:tcPr>
          <w:p w14:paraId="22BC1FF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单位名称：南雄市住房和城乡建设局</w:t>
            </w:r>
          </w:p>
          <w:p w14:paraId="74D2885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办公地址：南雄市新城沿江东路143号三楼 </w:t>
            </w:r>
          </w:p>
          <w:p w14:paraId="7D7B663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联系人（部门）：建筑业市场管理股</w:t>
            </w:r>
          </w:p>
          <w:p w14:paraId="58A1B6D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120" w:leftChars="50" w:right="120" w:rightChars="50" w:firstLine="120" w:firstLineChars="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联系电话：0751-3823847 </w:t>
            </w:r>
          </w:p>
        </w:tc>
      </w:tr>
      <w:bookmarkEnd w:id="4"/>
    </w:tbl>
    <w:p w14:paraId="0E8A9734">
      <w:pPr>
        <w:pStyle w:val="5"/>
        <w:wordWrap w:val="0"/>
        <w:autoSpaceDE/>
        <w:autoSpaceDN/>
        <w:snapToGrid w:val="0"/>
        <w:spacing w:after="260" w:line="440" w:lineRule="exact"/>
        <w:jc w:val="both"/>
        <w:rPr>
          <w:rFonts w:hint="default" w:asciiTheme="minorEastAsia" w:hAnsiTheme="minorEastAsia" w:eastAsiaTheme="minorEastAsia" w:cstheme="minorEastAsia"/>
          <w:b/>
          <w:color w:val="auto"/>
          <w:kern w:val="2"/>
          <w:highlight w:val="none"/>
        </w:rPr>
      </w:pPr>
      <w:bookmarkStart w:id="10" w:name="_Toc122769943"/>
      <w:bookmarkStart w:id="11" w:name="_Toc122859103"/>
      <w:bookmarkStart w:id="12" w:name="_Toc122671103"/>
      <w:r>
        <w:rPr>
          <w:rFonts w:asciiTheme="minorEastAsia" w:hAnsiTheme="minorEastAsia" w:eastAsiaTheme="minorEastAsia" w:cstheme="minorEastAsia"/>
          <w:b/>
          <w:color w:val="auto"/>
          <w:kern w:val="2"/>
          <w:highlight w:val="none"/>
        </w:rPr>
        <w:br w:type="page"/>
      </w:r>
      <w:bookmarkEnd w:id="10"/>
      <w:bookmarkEnd w:id="11"/>
      <w:bookmarkEnd w:id="12"/>
      <w:bookmarkStart w:id="13" w:name="_Toc29703"/>
      <w:r>
        <w:rPr>
          <w:rFonts w:asciiTheme="minorEastAsia" w:hAnsiTheme="minorEastAsia" w:eastAsiaTheme="minorEastAsia" w:cstheme="minorEastAsia"/>
          <w:b/>
          <w:color w:val="auto"/>
          <w:kern w:val="2"/>
          <w:szCs w:val="24"/>
          <w:highlight w:val="none"/>
        </w:rPr>
        <w:t>第二节.重要事项时间地点一览表</w:t>
      </w:r>
      <w:bookmarkEnd w:id="13"/>
    </w:p>
    <w:tbl>
      <w:tblPr>
        <w:tblStyle w:val="24"/>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14:paraId="15D00B0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01ACF064">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bookmarkStart w:id="798" w:name="_GoBack" w:colFirst="1" w:colLast="2"/>
            <w:r>
              <w:rPr>
                <w:rFonts w:hint="eastAsia" w:ascii="宋体" w:hAnsi="宋体" w:eastAsia="宋体" w:cs="宋体"/>
                <w:snapToGrid w:val="0"/>
                <w:color w:val="auto"/>
                <w:kern w:val="0"/>
                <w:sz w:val="24"/>
                <w:szCs w:val="24"/>
                <w:highlight w:val="none"/>
              </w:rPr>
              <w:t>1</w:t>
            </w:r>
          </w:p>
        </w:tc>
        <w:tc>
          <w:tcPr>
            <w:tcW w:w="1610" w:type="dxa"/>
            <w:tcBorders>
              <w:top w:val="single" w:color="080000" w:sz="4" w:space="0"/>
              <w:left w:val="single" w:color="080000" w:sz="4" w:space="0"/>
              <w:bottom w:val="single" w:color="080000" w:sz="4" w:space="0"/>
              <w:right w:val="single" w:color="080000" w:sz="4" w:space="0"/>
            </w:tcBorders>
            <w:vAlign w:val="center"/>
          </w:tcPr>
          <w:p w14:paraId="4FA5DE10">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4981CFD6">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5DD83478">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9</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24</w:t>
            </w:r>
            <w:r>
              <w:rPr>
                <w:rFonts w:hint="eastAsia" w:ascii="宋体" w:hAnsi="宋体" w:eastAsia="宋体" w:cs="宋体"/>
                <w:snapToGrid w:val="0"/>
                <w:color w:val="auto"/>
                <w:kern w:val="0"/>
                <w:sz w:val="24"/>
                <w:szCs w:val="24"/>
                <w:highlight w:val="none"/>
                <w:u w:val="none"/>
              </w:rPr>
              <w:t>日</w:t>
            </w:r>
            <w:r>
              <w:rPr>
                <w:rFonts w:hint="eastAsia" w:ascii="宋体" w:hAnsi="宋体" w:cs="宋体"/>
                <w:snapToGrid w:val="0"/>
                <w:color w:val="auto"/>
                <w:kern w:val="0"/>
                <w:sz w:val="24"/>
                <w:szCs w:val="24"/>
                <w:highlight w:val="none"/>
                <w:u w:val="none"/>
                <w:lang w:val="en-US" w:eastAsia="zh-CN"/>
              </w:rPr>
              <w:t>20</w:t>
            </w:r>
            <w:r>
              <w:rPr>
                <w:rFonts w:hint="eastAsia" w:ascii="宋体" w:hAnsi="宋体" w:eastAsia="宋体" w:cs="宋体"/>
                <w:snapToGrid w:val="0"/>
                <w:color w:val="auto"/>
                <w:kern w:val="0"/>
                <w:sz w:val="24"/>
                <w:szCs w:val="24"/>
                <w:highlight w:val="none"/>
                <w:u w:val="none"/>
              </w:rPr>
              <w:t>时</w:t>
            </w:r>
            <w:r>
              <w:rPr>
                <w:rFonts w:hint="eastAsia" w:ascii="宋体" w:hAnsi="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u w:val="none"/>
              </w:rPr>
              <w:t>分</w:t>
            </w:r>
          </w:p>
        </w:tc>
      </w:tr>
      <w:tr w14:paraId="0D9EAF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88201B2">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610" w:type="dxa"/>
            <w:tcBorders>
              <w:top w:val="single" w:color="080000" w:sz="4" w:space="0"/>
              <w:left w:val="single" w:color="080000" w:sz="4" w:space="0"/>
              <w:bottom w:val="single" w:color="080000" w:sz="4" w:space="0"/>
              <w:right w:val="single" w:color="080000" w:sz="4" w:space="0"/>
            </w:tcBorders>
            <w:vAlign w:val="center"/>
          </w:tcPr>
          <w:p w14:paraId="2915C17A">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1CEA13A7">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23</w:t>
            </w:r>
            <w:r>
              <w:rPr>
                <w:rFonts w:hint="eastAsia" w:ascii="宋体" w:hAnsi="宋体" w:eastAsia="宋体" w:cs="宋体"/>
                <w:snapToGrid w:val="0"/>
                <w:color w:val="auto"/>
                <w:kern w:val="0"/>
                <w:sz w:val="24"/>
                <w:szCs w:val="24"/>
                <w:highlight w:val="none"/>
                <w:u w:val="none"/>
              </w:rPr>
              <w:t>日</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ascii="宋体" w:hAnsi="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u w:val="none"/>
              </w:rPr>
              <w:t>分</w:t>
            </w:r>
          </w:p>
        </w:tc>
      </w:tr>
      <w:tr w14:paraId="0DBB34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5A7AC1BD">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610" w:type="dxa"/>
            <w:tcBorders>
              <w:top w:val="single" w:color="080000" w:sz="4" w:space="0"/>
              <w:left w:val="single" w:color="080000" w:sz="4" w:space="0"/>
              <w:bottom w:val="single" w:color="080000" w:sz="4" w:space="0"/>
              <w:right w:val="single" w:color="080000" w:sz="4" w:space="0"/>
            </w:tcBorders>
            <w:vAlign w:val="center"/>
          </w:tcPr>
          <w:p w14:paraId="478EA763">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3153788E">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3459E03E">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13</w:t>
            </w:r>
            <w:r>
              <w:rPr>
                <w:rFonts w:hint="eastAsia" w:ascii="宋体" w:hAnsi="宋体" w:eastAsia="宋体" w:cs="宋体"/>
                <w:snapToGrid w:val="0"/>
                <w:color w:val="auto"/>
                <w:kern w:val="0"/>
                <w:sz w:val="24"/>
                <w:szCs w:val="24"/>
                <w:highlight w:val="none"/>
                <w:u w:val="none"/>
              </w:rPr>
              <w:t>日</w:t>
            </w:r>
            <w:r>
              <w:rPr>
                <w:rFonts w:hint="eastAsia" w:ascii="宋体" w:hAnsi="宋体" w:eastAsia="宋体" w:cs="宋体"/>
                <w:snapToGrid w:val="0"/>
                <w:color w:val="auto"/>
                <w:kern w:val="0"/>
                <w:sz w:val="24"/>
                <w:szCs w:val="24"/>
                <w:highlight w:val="none"/>
                <w:u w:val="none"/>
              </w:rPr>
              <w:t>16时00分</w:t>
            </w:r>
          </w:p>
        </w:tc>
      </w:tr>
      <w:tr w14:paraId="63C07A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0A74B02F">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610" w:type="dxa"/>
            <w:tcBorders>
              <w:top w:val="single" w:color="080000" w:sz="4" w:space="0"/>
              <w:left w:val="single" w:color="080000" w:sz="4" w:space="0"/>
              <w:bottom w:val="single" w:color="080000" w:sz="4" w:space="0"/>
              <w:right w:val="single" w:color="080000" w:sz="4" w:space="0"/>
            </w:tcBorders>
            <w:vAlign w:val="center"/>
          </w:tcPr>
          <w:p w14:paraId="51CB2534">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7159D4D">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76597D20">
            <w:pPr>
              <w:pStyle w:val="40"/>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13</w:t>
            </w:r>
            <w:r>
              <w:rPr>
                <w:rFonts w:hint="eastAsia" w:ascii="宋体" w:hAnsi="宋体" w:eastAsia="宋体" w:cs="宋体"/>
                <w:snapToGrid w:val="0"/>
                <w:color w:val="auto"/>
                <w:kern w:val="0"/>
                <w:sz w:val="24"/>
                <w:szCs w:val="24"/>
                <w:highlight w:val="none"/>
                <w:u w:val="none"/>
              </w:rPr>
              <w:t>日</w:t>
            </w:r>
            <w:r>
              <w:rPr>
                <w:rFonts w:hint="eastAsia" w:ascii="宋体" w:hAnsi="宋体" w:eastAsia="宋体" w:cs="宋体"/>
                <w:snapToGrid w:val="0"/>
                <w:color w:val="auto"/>
                <w:kern w:val="0"/>
                <w:sz w:val="24"/>
                <w:szCs w:val="24"/>
                <w:highlight w:val="none"/>
                <w:u w:val="none"/>
              </w:rPr>
              <w:t>16时30分至</w:t>
            </w: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16</w:t>
            </w:r>
            <w:r>
              <w:rPr>
                <w:rFonts w:hint="eastAsia" w:ascii="宋体" w:hAnsi="宋体" w:eastAsia="宋体" w:cs="宋体"/>
                <w:snapToGrid w:val="0"/>
                <w:color w:val="auto"/>
                <w:kern w:val="0"/>
                <w:sz w:val="24"/>
                <w:szCs w:val="24"/>
                <w:highlight w:val="none"/>
                <w:u w:val="none"/>
              </w:rPr>
              <w:t>日</w:t>
            </w:r>
            <w:r>
              <w:rPr>
                <w:rFonts w:hint="eastAsia" w:ascii="宋体" w:hAnsi="宋体" w:eastAsia="宋体" w:cs="宋体"/>
                <w:snapToGrid w:val="0"/>
                <w:color w:val="auto"/>
                <w:kern w:val="0"/>
                <w:sz w:val="24"/>
                <w:szCs w:val="24"/>
                <w:highlight w:val="none"/>
                <w:u w:val="none"/>
              </w:rPr>
              <w:t>16时00分</w:t>
            </w:r>
          </w:p>
        </w:tc>
      </w:tr>
      <w:tr w14:paraId="6CE61E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58E17C95">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610" w:type="dxa"/>
            <w:tcBorders>
              <w:top w:val="single" w:color="080000" w:sz="4" w:space="0"/>
              <w:left w:val="single" w:color="080000" w:sz="4" w:space="0"/>
              <w:bottom w:val="single" w:color="080000" w:sz="4" w:space="0"/>
              <w:right w:val="single" w:color="080000" w:sz="4" w:space="0"/>
            </w:tcBorders>
            <w:vAlign w:val="center"/>
          </w:tcPr>
          <w:p w14:paraId="6F2A9886">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29B870EF">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6F53AD01">
            <w:pPr>
              <w:pStyle w:val="40"/>
              <w:keepNext w:val="0"/>
              <w:keepLines w:val="0"/>
              <w:suppressLineNumbers w:val="0"/>
              <w:wordWrap w:val="0"/>
              <w:adjustRightInd w:val="0"/>
              <w:snapToGrid w:val="0"/>
              <w:spacing w:before="0" w:beforeAutospacing="0" w:after="0" w:afterAutospacing="0" w:line="400" w:lineRule="exact"/>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投标保证金到账截止时间：</w:t>
            </w: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22</w:t>
            </w:r>
            <w:r>
              <w:rPr>
                <w:rFonts w:hint="eastAsia" w:ascii="宋体" w:hAnsi="宋体" w:eastAsia="宋体" w:cs="宋体"/>
                <w:snapToGrid w:val="0"/>
                <w:color w:val="auto"/>
                <w:kern w:val="0"/>
                <w:sz w:val="24"/>
                <w:szCs w:val="24"/>
                <w:highlight w:val="none"/>
                <w:u w:val="none"/>
              </w:rPr>
              <w:t>日</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ascii="宋体" w:hAnsi="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u w:val="none"/>
              </w:rPr>
              <w:t>分；</w:t>
            </w:r>
          </w:p>
          <w:p w14:paraId="490F3957">
            <w:pPr>
              <w:pStyle w:val="40"/>
              <w:keepNext w:val="0"/>
              <w:keepLines w:val="0"/>
              <w:suppressLineNumbers w:val="0"/>
              <w:wordWrap w:val="0"/>
              <w:adjustRightInd w:val="0"/>
              <w:snapToGrid w:val="0"/>
              <w:spacing w:before="0" w:beforeAutospacing="0" w:after="0" w:afterAutospacing="0" w:line="400" w:lineRule="exact"/>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投标保证担保上传截止时间：</w:t>
            </w: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22</w:t>
            </w:r>
            <w:r>
              <w:rPr>
                <w:rFonts w:hint="eastAsia" w:ascii="宋体" w:hAnsi="宋体" w:eastAsia="宋体" w:cs="宋体"/>
                <w:snapToGrid w:val="0"/>
                <w:color w:val="auto"/>
                <w:kern w:val="0"/>
                <w:sz w:val="24"/>
                <w:szCs w:val="24"/>
                <w:highlight w:val="none"/>
                <w:u w:val="none"/>
              </w:rPr>
              <w:t>日</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ascii="宋体" w:hAnsi="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u w:val="none"/>
              </w:rPr>
              <w:t>分；</w:t>
            </w:r>
          </w:p>
          <w:p w14:paraId="1A5B4246">
            <w:pPr>
              <w:pStyle w:val="11"/>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投标保证保险投保截止时间：</w:t>
            </w: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22</w:t>
            </w:r>
            <w:r>
              <w:rPr>
                <w:rFonts w:hint="eastAsia" w:ascii="宋体" w:hAnsi="宋体" w:eastAsia="宋体" w:cs="宋体"/>
                <w:snapToGrid w:val="0"/>
                <w:color w:val="auto"/>
                <w:kern w:val="0"/>
                <w:sz w:val="24"/>
                <w:szCs w:val="24"/>
                <w:highlight w:val="none"/>
                <w:u w:val="none"/>
              </w:rPr>
              <w:t>日</w:t>
            </w:r>
            <w:r>
              <w:rPr>
                <w:rFonts w:hint="eastAsia"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hAnsi="宋体" w:cs="宋体"/>
                <w:snapToGrid w:val="0"/>
                <w:color w:val="auto"/>
                <w:kern w:val="0"/>
                <w:sz w:val="24"/>
                <w:szCs w:val="24"/>
                <w:highlight w:val="none"/>
                <w:u w:val="none"/>
                <w:lang w:val="en-US" w:eastAsia="zh-CN"/>
              </w:rPr>
              <w:t>0</w:t>
            </w:r>
            <w:r>
              <w:rPr>
                <w:rFonts w:hint="eastAsia" w:ascii="宋体" w:hAnsi="宋体" w:cs="宋体"/>
                <w:snapToGrid w:val="0"/>
                <w:color w:val="auto"/>
                <w:kern w:val="0"/>
                <w:sz w:val="24"/>
                <w:szCs w:val="24"/>
                <w:highlight w:val="none"/>
                <w:u w:val="none"/>
                <w:lang w:val="en-US" w:eastAsia="zh-CN"/>
              </w:rPr>
              <w:t>0</w:t>
            </w:r>
            <w:r>
              <w:rPr>
                <w:rFonts w:hint="eastAsia" w:ascii="宋体" w:hAnsi="宋体" w:eastAsia="宋体" w:cs="宋体"/>
                <w:snapToGrid w:val="0"/>
                <w:color w:val="auto"/>
                <w:kern w:val="0"/>
                <w:sz w:val="24"/>
                <w:szCs w:val="24"/>
                <w:highlight w:val="none"/>
                <w:u w:val="none"/>
              </w:rPr>
              <w:t>分。</w:t>
            </w:r>
          </w:p>
        </w:tc>
      </w:tr>
      <w:tr w14:paraId="00CD357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67FF2F4C">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610" w:type="dxa"/>
            <w:tcBorders>
              <w:top w:val="single" w:color="080000" w:sz="4" w:space="0"/>
              <w:left w:val="single" w:color="080000" w:sz="4" w:space="0"/>
              <w:bottom w:val="single" w:color="080000" w:sz="4" w:space="0"/>
              <w:right w:val="single" w:color="080000" w:sz="4" w:space="0"/>
            </w:tcBorders>
            <w:vAlign w:val="center"/>
          </w:tcPr>
          <w:p w14:paraId="789A3200">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w:t>
            </w:r>
          </w:p>
          <w:p w14:paraId="74F4053A">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694AD12F">
            <w:pPr>
              <w:pStyle w:val="11"/>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23</w:t>
            </w:r>
            <w:r>
              <w:rPr>
                <w:rFonts w:hint="eastAsia" w:ascii="宋体" w:hAnsi="宋体" w:eastAsia="宋体" w:cs="宋体"/>
                <w:snapToGrid w:val="0"/>
                <w:color w:val="auto"/>
                <w:kern w:val="0"/>
                <w:sz w:val="24"/>
                <w:szCs w:val="24"/>
                <w:highlight w:val="none"/>
                <w:u w:val="none"/>
              </w:rPr>
              <w:t>日</w:t>
            </w:r>
            <w:r>
              <w:rPr>
                <w:rFonts w:hint="eastAsia"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hAnsi="宋体" w:cs="宋体"/>
                <w:snapToGrid w:val="0"/>
                <w:color w:val="auto"/>
                <w:kern w:val="0"/>
                <w:sz w:val="24"/>
                <w:szCs w:val="24"/>
                <w:highlight w:val="none"/>
                <w:u w:val="none"/>
                <w:lang w:val="en-US" w:eastAsia="zh-CN"/>
              </w:rPr>
              <w:t>0</w:t>
            </w:r>
            <w:r>
              <w:rPr>
                <w:rFonts w:hint="eastAsia" w:ascii="宋体" w:hAnsi="宋体" w:cs="宋体"/>
                <w:snapToGrid w:val="0"/>
                <w:color w:val="auto"/>
                <w:kern w:val="0"/>
                <w:sz w:val="24"/>
                <w:szCs w:val="24"/>
                <w:highlight w:val="none"/>
                <w:u w:val="none"/>
                <w:lang w:val="en-US" w:eastAsia="zh-CN"/>
              </w:rPr>
              <w:t>0</w:t>
            </w:r>
            <w:r>
              <w:rPr>
                <w:rFonts w:hint="eastAsia" w:ascii="宋体" w:hAnsi="宋体" w:eastAsia="宋体" w:cs="宋体"/>
                <w:snapToGrid w:val="0"/>
                <w:color w:val="auto"/>
                <w:kern w:val="0"/>
                <w:sz w:val="24"/>
                <w:szCs w:val="24"/>
                <w:highlight w:val="none"/>
                <w:u w:val="none"/>
              </w:rPr>
              <w:t>分</w:t>
            </w:r>
          </w:p>
        </w:tc>
      </w:tr>
      <w:tr w14:paraId="56DA85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A825443">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610" w:type="dxa"/>
            <w:tcBorders>
              <w:top w:val="single" w:color="080000" w:sz="4" w:space="0"/>
              <w:left w:val="single" w:color="080000" w:sz="4" w:space="0"/>
              <w:bottom w:val="single" w:color="080000" w:sz="4" w:space="0"/>
              <w:right w:val="single" w:color="080000" w:sz="4" w:space="0"/>
            </w:tcBorders>
            <w:vAlign w:val="center"/>
          </w:tcPr>
          <w:p w14:paraId="322ECABA">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投标相关资料（如有）递交时间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1D2A7BE3">
            <w:pPr>
              <w:pStyle w:val="11"/>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23</w:t>
            </w:r>
            <w:r>
              <w:rPr>
                <w:rFonts w:hint="eastAsia" w:ascii="宋体" w:hAnsi="宋体" w:eastAsia="宋体" w:cs="宋体"/>
                <w:snapToGrid w:val="0"/>
                <w:color w:val="auto"/>
                <w:kern w:val="0"/>
                <w:sz w:val="24"/>
                <w:szCs w:val="24"/>
                <w:highlight w:val="none"/>
                <w:u w:val="none"/>
              </w:rPr>
              <w:t>日</w:t>
            </w:r>
            <w:r>
              <w:rPr>
                <w:rFonts w:hint="eastAsia" w:hAnsi="宋体" w:eastAsia="宋体" w:cs="宋体"/>
                <w:snapToGrid w:val="0"/>
                <w:color w:val="auto"/>
                <w:kern w:val="0"/>
                <w:sz w:val="24"/>
                <w:szCs w:val="24"/>
                <w:highlight w:val="none"/>
                <w:u w:val="none"/>
                <w:lang w:val="en-US" w:eastAsia="zh-CN"/>
              </w:rPr>
              <w:t>9</w:t>
            </w:r>
            <w:r>
              <w:rPr>
                <w:rFonts w:hint="eastAsia" w:ascii="宋体" w:hAnsi="宋体" w:eastAsia="宋体" w:cs="宋体"/>
                <w:snapToGrid w:val="0"/>
                <w:color w:val="auto"/>
                <w:kern w:val="0"/>
                <w:sz w:val="24"/>
                <w:szCs w:val="24"/>
                <w:highlight w:val="none"/>
                <w:u w:val="none"/>
              </w:rPr>
              <w:t>时</w:t>
            </w:r>
            <w:r>
              <w:rPr>
                <w:rFonts w:hint="eastAsia" w:hAnsi="宋体" w:eastAsia="宋体" w:cs="宋体"/>
                <w:snapToGrid w:val="0"/>
                <w:color w:val="auto"/>
                <w:kern w:val="0"/>
                <w:sz w:val="24"/>
                <w:szCs w:val="24"/>
                <w:highlight w:val="none"/>
                <w:u w:val="none"/>
                <w:lang w:val="en-US" w:eastAsia="zh-CN"/>
              </w:rPr>
              <w:t>30</w:t>
            </w:r>
            <w:r>
              <w:rPr>
                <w:rFonts w:hint="eastAsia" w:ascii="宋体" w:hAnsi="宋体" w:eastAsia="宋体" w:cs="宋体"/>
                <w:snapToGrid w:val="0"/>
                <w:color w:val="auto"/>
                <w:kern w:val="0"/>
                <w:sz w:val="24"/>
                <w:szCs w:val="24"/>
                <w:highlight w:val="none"/>
                <w:u w:val="none"/>
              </w:rPr>
              <w:t>分至</w:t>
            </w: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23</w:t>
            </w:r>
            <w:r>
              <w:rPr>
                <w:rFonts w:hint="eastAsia" w:ascii="宋体" w:hAnsi="宋体" w:eastAsia="宋体" w:cs="宋体"/>
                <w:snapToGrid w:val="0"/>
                <w:color w:val="auto"/>
                <w:kern w:val="0"/>
                <w:sz w:val="24"/>
                <w:szCs w:val="24"/>
                <w:highlight w:val="none"/>
                <w:u w:val="none"/>
              </w:rPr>
              <w:t>日</w:t>
            </w:r>
            <w:r>
              <w:rPr>
                <w:rFonts w:hint="eastAsia" w:hAnsi="宋体" w:eastAsia="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hAnsi="宋体" w:eastAsia="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u w:val="none"/>
              </w:rPr>
              <w:t>分</w:t>
            </w:r>
          </w:p>
        </w:tc>
      </w:tr>
      <w:tr w14:paraId="6DED3C2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58423D33">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610" w:type="dxa"/>
            <w:tcBorders>
              <w:top w:val="single" w:color="080000" w:sz="4" w:space="0"/>
              <w:left w:val="single" w:color="080000" w:sz="4" w:space="0"/>
              <w:bottom w:val="single" w:color="080000" w:sz="4" w:space="0"/>
              <w:right w:val="single" w:color="080000" w:sz="4" w:space="0"/>
            </w:tcBorders>
            <w:vAlign w:val="center"/>
          </w:tcPr>
          <w:p w14:paraId="1AAE84C7">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投标相关资料（如有）递交地点</w:t>
            </w:r>
          </w:p>
        </w:tc>
        <w:tc>
          <w:tcPr>
            <w:tcW w:w="7585" w:type="dxa"/>
            <w:tcBorders>
              <w:top w:val="single" w:color="080000" w:sz="4" w:space="0"/>
              <w:left w:val="single" w:color="080000" w:sz="4" w:space="0"/>
              <w:bottom w:val="single" w:color="080000" w:sz="4" w:space="0"/>
              <w:right w:val="single" w:color="080000" w:sz="4" w:space="0"/>
            </w:tcBorders>
            <w:vAlign w:val="center"/>
          </w:tcPr>
          <w:p w14:paraId="6BC26B0C">
            <w:pPr>
              <w:keepNext w:val="0"/>
              <w:keepLines w:val="0"/>
              <w:suppressLineNumbers w:val="0"/>
              <w:adjustRightInd w:val="0"/>
              <w:snapToGrid w:val="0"/>
              <w:spacing w:before="0" w:beforeAutospacing="0" w:after="0" w:afterAutospacing="0" w:line="360" w:lineRule="auto"/>
              <w:ind w:left="0" w:right="0"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递交场所：</w:t>
            </w:r>
            <w:r>
              <w:rPr>
                <w:rFonts w:hint="eastAsia" w:ascii="宋体" w:hAnsi="宋体" w:eastAsia="宋体" w:cs="宋体"/>
                <w:snapToGrid w:val="0"/>
                <w:color w:val="auto"/>
                <w:kern w:val="0"/>
                <w:sz w:val="24"/>
                <w:szCs w:val="24"/>
                <w:highlight w:val="none"/>
                <w:u w:val="none"/>
              </w:rPr>
              <w:t>韶关市公共资源交易中心南雄分中心</w:t>
            </w:r>
          </w:p>
          <w:p w14:paraId="55CB9047">
            <w:pPr>
              <w:pStyle w:val="40"/>
              <w:keepNext w:val="0"/>
              <w:keepLines w:val="0"/>
              <w:suppressLineNumbers w:val="0"/>
              <w:wordWrap w:val="0"/>
              <w:adjustRightInd w:val="0"/>
              <w:snapToGrid w:val="0"/>
              <w:spacing w:before="0" w:beforeAutospacing="0" w:after="0" w:afterAutospacing="0" w:line="360" w:lineRule="auto"/>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rPr>
              <w:t>地址：南雄市雄东路1号（大润发）四楼韶关市公共资源交易中心南雄分中心（南雄市公共服务中心内）。</w:t>
            </w:r>
          </w:p>
        </w:tc>
      </w:tr>
      <w:tr w14:paraId="45ADF7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7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560E00E">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610" w:type="dxa"/>
            <w:tcBorders>
              <w:top w:val="single" w:color="080000" w:sz="4" w:space="0"/>
              <w:left w:val="single" w:color="080000" w:sz="4" w:space="0"/>
              <w:bottom w:val="single" w:color="080000" w:sz="4" w:space="0"/>
              <w:right w:val="single" w:color="080000" w:sz="4" w:space="0"/>
            </w:tcBorders>
            <w:vAlign w:val="center"/>
          </w:tcPr>
          <w:p w14:paraId="1F27C104">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28F852CC">
            <w:pPr>
              <w:pStyle w:val="11"/>
              <w:keepNext w:val="0"/>
              <w:keepLines w:val="0"/>
              <w:suppressLineNumbers w:val="0"/>
              <w:wordWrap w:val="0"/>
              <w:adjustRightInd w:val="0"/>
              <w:snapToGrid w:val="0"/>
              <w:spacing w:before="0" w:beforeAutospacing="0" w:after="0" w:afterAutospacing="0" w:line="400" w:lineRule="exact"/>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u w:val="none"/>
              </w:rPr>
              <w:t>202</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23</w:t>
            </w:r>
            <w:r>
              <w:rPr>
                <w:rFonts w:hint="eastAsia" w:ascii="宋体" w:hAnsi="宋体" w:eastAsia="宋体" w:cs="宋体"/>
                <w:snapToGrid w:val="0"/>
                <w:color w:val="auto"/>
                <w:kern w:val="0"/>
                <w:sz w:val="24"/>
                <w:szCs w:val="24"/>
                <w:highlight w:val="none"/>
                <w:u w:val="none"/>
              </w:rPr>
              <w:t>日</w:t>
            </w:r>
            <w:r>
              <w:rPr>
                <w:rFonts w:hint="eastAsia" w:hAnsi="宋体" w:cs="宋体"/>
                <w:snapToGrid w:val="0"/>
                <w:color w:val="auto"/>
                <w:kern w:val="0"/>
                <w:sz w:val="24"/>
                <w:szCs w:val="24"/>
                <w:highlight w:val="none"/>
                <w:u w:val="none"/>
                <w:lang w:val="en-US" w:eastAsia="zh-CN"/>
              </w:rPr>
              <w:t>10</w:t>
            </w:r>
            <w:r>
              <w:rPr>
                <w:rFonts w:hint="eastAsia" w:ascii="宋体" w:hAnsi="宋体" w:eastAsia="宋体" w:cs="宋体"/>
                <w:snapToGrid w:val="0"/>
                <w:color w:val="auto"/>
                <w:kern w:val="0"/>
                <w:sz w:val="24"/>
                <w:szCs w:val="24"/>
                <w:highlight w:val="none"/>
                <w:u w:val="none"/>
              </w:rPr>
              <w:t>时</w:t>
            </w:r>
            <w:r>
              <w:rPr>
                <w:rFonts w:hint="eastAsia" w:hAnsi="宋体" w:cs="宋体"/>
                <w:snapToGrid w:val="0"/>
                <w:color w:val="auto"/>
                <w:kern w:val="0"/>
                <w:sz w:val="24"/>
                <w:szCs w:val="24"/>
                <w:highlight w:val="none"/>
                <w:u w:val="none"/>
                <w:lang w:val="en-US" w:eastAsia="zh-CN"/>
              </w:rPr>
              <w:t>0</w:t>
            </w:r>
            <w:r>
              <w:rPr>
                <w:rFonts w:hint="eastAsia" w:ascii="宋体" w:hAnsi="宋体" w:cs="宋体"/>
                <w:snapToGrid w:val="0"/>
                <w:color w:val="auto"/>
                <w:kern w:val="0"/>
                <w:sz w:val="24"/>
                <w:szCs w:val="24"/>
                <w:highlight w:val="none"/>
                <w:u w:val="none"/>
                <w:lang w:val="en-US" w:eastAsia="zh-CN"/>
              </w:rPr>
              <w:t>0</w:t>
            </w:r>
            <w:r>
              <w:rPr>
                <w:rFonts w:hint="eastAsia" w:ascii="宋体" w:hAnsi="宋体" w:eastAsia="宋体" w:cs="宋体"/>
                <w:snapToGrid w:val="0"/>
                <w:color w:val="auto"/>
                <w:kern w:val="0"/>
                <w:sz w:val="24"/>
                <w:szCs w:val="24"/>
                <w:highlight w:val="none"/>
                <w:u w:val="none"/>
              </w:rPr>
              <w:t>分</w:t>
            </w:r>
          </w:p>
        </w:tc>
      </w:tr>
      <w:bookmarkEnd w:id="798"/>
      <w:tr w14:paraId="69E59B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54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69C8B09F">
            <w:pPr>
              <w:pStyle w:val="40"/>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610" w:type="dxa"/>
            <w:tcBorders>
              <w:top w:val="single" w:color="080000" w:sz="4" w:space="0"/>
              <w:left w:val="single" w:color="080000" w:sz="4" w:space="0"/>
              <w:bottom w:val="single" w:color="080000" w:sz="4" w:space="0"/>
              <w:right w:val="single" w:color="080000" w:sz="4" w:space="0"/>
            </w:tcBorders>
            <w:vAlign w:val="center"/>
          </w:tcPr>
          <w:p w14:paraId="1E779427">
            <w:pPr>
              <w:pStyle w:val="40"/>
              <w:keepNext w:val="0"/>
              <w:keepLines w:val="0"/>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vAlign w:val="center"/>
          </w:tcPr>
          <w:p w14:paraId="33B35054">
            <w:pPr>
              <w:pStyle w:val="40"/>
              <w:keepNext w:val="0"/>
              <w:keepLines w:val="0"/>
              <w:suppressLineNumbers w:val="0"/>
              <w:wordWrap w:val="0"/>
              <w:adjustRightInd w:val="0"/>
              <w:snapToGrid w:val="0"/>
              <w:spacing w:before="0" w:beforeAutospacing="0" w:after="0" w:afterAutospacing="0" w:line="360" w:lineRule="auto"/>
              <w:ind w:left="0" w:right="0" w:firstLine="240" w:firstLineChars="100"/>
              <w:jc w:val="left"/>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rPr>
              <w:t>开标场所：</w:t>
            </w:r>
            <w:r>
              <w:rPr>
                <w:rFonts w:hint="eastAsia" w:ascii="宋体" w:hAnsi="宋体" w:eastAsia="宋体" w:cs="宋体"/>
                <w:snapToGrid w:val="0"/>
                <w:color w:val="auto"/>
                <w:kern w:val="0"/>
                <w:sz w:val="24"/>
                <w:szCs w:val="24"/>
                <w:highlight w:val="none"/>
                <w:u w:val="none"/>
              </w:rPr>
              <w:t>韶关市公共资源交易中心南雄分中心</w:t>
            </w:r>
          </w:p>
          <w:p w14:paraId="3D96961E">
            <w:pPr>
              <w:pStyle w:val="40"/>
              <w:keepNext w:val="0"/>
              <w:keepLines w:val="0"/>
              <w:suppressLineNumbers w:val="0"/>
              <w:wordWrap w:val="0"/>
              <w:adjustRightInd w:val="0"/>
              <w:snapToGrid w:val="0"/>
              <w:spacing w:before="0" w:beforeAutospacing="0" w:after="0" w:afterAutospacing="0" w:line="360" w:lineRule="auto"/>
              <w:ind w:left="0" w:leftChars="0" w:right="0" w:rightChars="0" w:firstLine="240" w:firstLineChars="1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u w:val="none"/>
              </w:rPr>
              <w:t>地址：</w:t>
            </w:r>
            <w:r>
              <w:rPr>
                <w:rFonts w:hint="eastAsia" w:ascii="宋体" w:hAnsi="宋体" w:eastAsia="宋体" w:cs="宋体"/>
                <w:color w:val="auto"/>
                <w:kern w:val="0"/>
                <w:sz w:val="24"/>
                <w:szCs w:val="24"/>
                <w:highlight w:val="none"/>
                <w:u w:val="none"/>
              </w:rPr>
              <w:t>南雄市雄东路1号大润发四楼韶关市公共资源交易中心南雄分中心（南雄市公共服务中心内）</w:t>
            </w:r>
            <w:r>
              <w:rPr>
                <w:rFonts w:hint="eastAsia" w:ascii="宋体" w:hAnsi="宋体" w:eastAsia="宋体" w:cs="宋体"/>
                <w:color w:val="auto"/>
                <w:sz w:val="24"/>
                <w:szCs w:val="24"/>
                <w:highlight w:val="none"/>
                <w:u w:val="none"/>
              </w:rPr>
              <w:t>。</w:t>
            </w:r>
          </w:p>
        </w:tc>
      </w:tr>
      <w:tr w14:paraId="2A3A4F1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696"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07AE8BB6">
            <w:pPr>
              <w:pStyle w:val="40"/>
              <w:keepNext w:val="0"/>
              <w:keepLines w:val="0"/>
              <w:widowControl/>
              <w:suppressLineNumbers w:val="0"/>
              <w:snapToGrid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1610" w:type="dxa"/>
            <w:tcBorders>
              <w:top w:val="single" w:color="080000" w:sz="4" w:space="0"/>
              <w:left w:val="single" w:color="080000" w:sz="4" w:space="0"/>
              <w:bottom w:val="single" w:color="080000" w:sz="4" w:space="0"/>
              <w:right w:val="single" w:color="080000" w:sz="4" w:space="0"/>
            </w:tcBorders>
            <w:vAlign w:val="center"/>
          </w:tcPr>
          <w:p w14:paraId="2E0D29CF">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585" w:type="dxa"/>
            <w:tcBorders>
              <w:top w:val="single" w:color="080000" w:sz="4" w:space="0"/>
              <w:left w:val="single" w:color="080000" w:sz="4" w:space="0"/>
              <w:bottom w:val="single" w:color="080000" w:sz="4" w:space="0"/>
              <w:right w:val="single" w:color="080000" w:sz="4" w:space="0"/>
            </w:tcBorders>
            <w:vAlign w:val="center"/>
          </w:tcPr>
          <w:p w14:paraId="292F4DCB">
            <w:pPr>
              <w:keepNext w:val="0"/>
              <w:keepLines w:val="0"/>
              <w:suppressLineNumbers w:val="0"/>
              <w:adjustRightInd w:val="0"/>
              <w:snapToGrid w:val="0"/>
              <w:spacing w:before="0" w:beforeAutospacing="0" w:after="0" w:afterAutospacing="0" w:line="360" w:lineRule="auto"/>
              <w:ind w:left="0" w:leftChars="0" w:right="0"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14:paraId="776EF775">
      <w:pPr>
        <w:pStyle w:val="38"/>
        <w:keepNext/>
        <w:keepLines/>
        <w:tabs>
          <w:tab w:val="left" w:pos="885"/>
        </w:tabs>
        <w:ind w:left="885" w:hanging="885"/>
        <w:jc w:val="center"/>
        <w:outlineLvl w:val="1"/>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color w:val="auto"/>
          <w:sz w:val="24"/>
          <w:highlight w:val="none"/>
        </w:rPr>
        <w:br w:type="page"/>
      </w:r>
      <w:bookmarkStart w:id="14" w:name="_Hlt69669159"/>
      <w:bookmarkEnd w:id="14"/>
      <w:bookmarkStart w:id="15" w:name="_Toc19988"/>
      <w:bookmarkStart w:id="16" w:name="_Hlt69698754"/>
      <w:bookmarkStart w:id="17" w:name="_Hlt69698705"/>
      <w:r>
        <w:rPr>
          <w:rFonts w:hint="eastAsia" w:asciiTheme="minorEastAsia" w:hAnsiTheme="minorEastAsia" w:eastAsiaTheme="minorEastAsia" w:cstheme="minorEastAsia"/>
          <w:b/>
          <w:color w:val="auto"/>
          <w:sz w:val="36"/>
          <w:szCs w:val="36"/>
          <w:highlight w:val="none"/>
        </w:rPr>
        <w:t>第</w:t>
      </w:r>
      <w:r>
        <w:rPr>
          <w:rFonts w:hint="eastAsia" w:asciiTheme="minorEastAsia" w:hAnsiTheme="minorEastAsia" w:eastAsiaTheme="minorEastAsia" w:cstheme="minorEastAsia"/>
          <w:b/>
          <w:color w:val="auto"/>
          <w:kern w:val="44"/>
          <w:sz w:val="36"/>
          <w:szCs w:val="36"/>
          <w:highlight w:val="none"/>
        </w:rPr>
        <w:t>三节</w:t>
      </w:r>
      <w:bookmarkStart w:id="18" w:name="_Hlt87793819"/>
      <w:bookmarkEnd w:id="18"/>
      <w:r>
        <w:rPr>
          <w:rFonts w:hint="eastAsia" w:asciiTheme="minorEastAsia" w:hAnsiTheme="minorEastAsia" w:eastAsiaTheme="minorEastAsia" w:cstheme="minorEastAsia"/>
          <w:b/>
          <w:color w:val="auto"/>
          <w:kern w:val="44"/>
          <w:sz w:val="36"/>
          <w:szCs w:val="36"/>
          <w:highlight w:val="none"/>
        </w:rPr>
        <w:t xml:space="preserve"> 投标须知正文</w:t>
      </w:r>
      <w:bookmarkEnd w:id="15"/>
    </w:p>
    <w:bookmarkEnd w:id="16"/>
    <w:bookmarkEnd w:id="17"/>
    <w:p w14:paraId="32C6D75C">
      <w:pPr>
        <w:pStyle w:val="9"/>
        <w:spacing w:line="400" w:lineRule="exact"/>
        <w:rPr>
          <w:rFonts w:asciiTheme="minorEastAsia" w:hAnsiTheme="minorEastAsia" w:eastAsiaTheme="minorEastAsia" w:cstheme="minorEastAsia"/>
          <w:color w:val="auto"/>
          <w:sz w:val="24"/>
          <w:szCs w:val="28"/>
          <w:highlight w:val="none"/>
          <w:u w:val="single"/>
        </w:rPr>
      </w:pPr>
    </w:p>
    <w:p w14:paraId="17B65893">
      <w:pPr>
        <w:pageBreakBefore w:val="0"/>
        <w:kinsoku/>
        <w:wordWrap w:val="0"/>
        <w:overflowPunct/>
        <w:topLinePunct w:val="0"/>
        <w:bidi w:val="0"/>
        <w:adjustRightInd w:val="0"/>
        <w:snapToGrid w:val="0"/>
        <w:spacing w:line="47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hAnsi="宋体" w:eastAsia="宋体" w:cs="宋体"/>
          <w:snapToGrid w:val="0"/>
          <w:color w:val="auto"/>
          <w:kern w:val="0"/>
          <w:sz w:val="24"/>
          <w:szCs w:val="24"/>
          <w:highlight w:val="none"/>
          <w:u w:val="single"/>
          <w:lang w:eastAsia="zh-CN"/>
        </w:rPr>
        <w:t>南雄市城市排水防涝建设项目</w:t>
      </w:r>
      <w:r>
        <w:rPr>
          <w:rFonts w:hint="eastAsia" w:ascii="宋体" w:hAnsi="宋体" w:eastAsia="宋体" w:cs="宋体"/>
          <w:snapToGrid w:val="0"/>
          <w:color w:val="auto"/>
          <w:kern w:val="0"/>
          <w:sz w:val="24"/>
          <w:szCs w:val="24"/>
          <w:highlight w:val="none"/>
        </w:rPr>
        <w:t>经</w:t>
      </w:r>
      <w:r>
        <w:rPr>
          <w:rFonts w:hint="eastAsia" w:ascii="宋体" w:hAnsi="宋体" w:eastAsia="宋体" w:cs="宋体"/>
          <w:snapToGrid w:val="0"/>
          <w:color w:val="auto"/>
          <w:kern w:val="0"/>
          <w:sz w:val="24"/>
          <w:szCs w:val="24"/>
          <w:highlight w:val="none"/>
          <w:u w:val="single"/>
        </w:rPr>
        <w:t>南雄市发展和改革局以</w:t>
      </w:r>
      <w:r>
        <w:rPr>
          <w:rFonts w:asciiTheme="minorEastAsia" w:hAnsiTheme="minorEastAsia" w:eastAsiaTheme="minorEastAsia" w:cstheme="minorEastAsia"/>
          <w:snapToGrid w:val="0"/>
          <w:color w:val="000000" w:themeColor="text1"/>
          <w:kern w:val="0"/>
          <w:szCs w:val="24"/>
          <w:highlight w:val="none"/>
          <w:u w:val="single"/>
          <w14:textFill>
            <w14:solidFill>
              <w14:schemeClr w14:val="tx1"/>
            </w14:solidFill>
          </w14:textFill>
        </w:rPr>
        <w:t>《关于同意调整</w:t>
      </w:r>
      <w:r>
        <w:rPr>
          <w:rFonts w:asciiTheme="minorEastAsia" w:hAnsiTheme="minorEastAsia" w:eastAsiaTheme="minorEastAsia" w:cstheme="minorEastAsia"/>
          <w:snapToGrid w:val="0"/>
          <w:color w:val="000000" w:themeColor="text1"/>
          <w:kern w:val="0"/>
          <w:highlight w:val="none"/>
          <w:u w:val="single"/>
          <w14:textFill>
            <w14:solidFill>
              <w14:schemeClr w14:val="tx1"/>
            </w14:solidFill>
          </w14:textFill>
        </w:rPr>
        <w:t>南雄</w:t>
      </w:r>
      <w:r>
        <w:rPr>
          <w:rFonts w:asciiTheme="minorEastAsia" w:hAnsiTheme="minorEastAsia" w:eastAsiaTheme="minorEastAsia" w:cstheme="minorEastAsia"/>
          <w:snapToGrid w:val="0"/>
          <w:color w:val="auto"/>
          <w:kern w:val="0"/>
          <w:highlight w:val="none"/>
          <w:u w:val="single"/>
        </w:rPr>
        <w:t>市中心城区内涝治理工程项目</w:t>
      </w:r>
      <w:r>
        <w:rPr>
          <w:rFonts w:asciiTheme="minorEastAsia" w:hAnsiTheme="minorEastAsia" w:eastAsiaTheme="minorEastAsia" w:cstheme="minorEastAsia"/>
          <w:snapToGrid w:val="0"/>
          <w:color w:val="auto"/>
          <w:kern w:val="0"/>
          <w:szCs w:val="24"/>
          <w:highlight w:val="none"/>
          <w:u w:val="single"/>
        </w:rPr>
        <w:t>可行性研究报告的批复》（雄发改投审〔2022〕16号）、《关于调整南雄市城市排水防涝建设项目可行性研究报告的批复》（雄发改投审〔2024〕59号）</w:t>
      </w:r>
      <w:r>
        <w:rPr>
          <w:rFonts w:hint="eastAsia" w:asciiTheme="minorEastAsia" w:hAnsiTheme="minorEastAsia" w:eastAsiaTheme="minorEastAsia" w:cstheme="minorEastAsia"/>
          <w:snapToGrid w:val="0"/>
          <w:color w:val="auto"/>
          <w:kern w:val="0"/>
          <w:szCs w:val="24"/>
          <w:highlight w:val="none"/>
          <w:u w:val="single"/>
          <w:lang w:eastAsia="zh-CN"/>
        </w:rPr>
        <w:t>、《关于南雄市城市排水防涝建设项目（二标段）初步设计概算的批复》</w:t>
      </w:r>
      <w:r>
        <w:rPr>
          <w:rFonts w:asciiTheme="minorEastAsia" w:hAnsiTheme="minorEastAsia" w:eastAsiaTheme="minorEastAsia" w:cstheme="minorEastAsia"/>
          <w:snapToGrid w:val="0"/>
          <w:color w:val="auto"/>
          <w:kern w:val="0"/>
          <w:szCs w:val="24"/>
          <w:highlight w:val="none"/>
          <w:u w:val="single"/>
        </w:rPr>
        <w:t>（雄发改投审〔202</w:t>
      </w:r>
      <w:r>
        <w:rPr>
          <w:rFonts w:hint="eastAsia" w:asciiTheme="minorEastAsia" w:hAnsiTheme="minorEastAsia" w:eastAsiaTheme="minorEastAsia" w:cstheme="minorEastAsia"/>
          <w:snapToGrid w:val="0"/>
          <w:color w:val="auto"/>
          <w:kern w:val="0"/>
          <w:szCs w:val="24"/>
          <w:highlight w:val="none"/>
          <w:u w:val="single"/>
          <w:lang w:val="en-US" w:eastAsia="zh-CN"/>
        </w:rPr>
        <w:t>6</w:t>
      </w:r>
      <w:r>
        <w:rPr>
          <w:rFonts w:asciiTheme="minorEastAsia" w:hAnsiTheme="minorEastAsia" w:eastAsiaTheme="minorEastAsia" w:cstheme="minorEastAsia"/>
          <w:snapToGrid w:val="0"/>
          <w:color w:val="auto"/>
          <w:kern w:val="0"/>
          <w:szCs w:val="24"/>
          <w:highlight w:val="none"/>
          <w:u w:val="single"/>
        </w:rPr>
        <w:t>〕5</w:t>
      </w:r>
      <w:r>
        <w:rPr>
          <w:rFonts w:hint="eastAsia" w:asciiTheme="minorEastAsia" w:hAnsiTheme="minorEastAsia" w:eastAsiaTheme="minorEastAsia" w:cstheme="minorEastAsia"/>
          <w:snapToGrid w:val="0"/>
          <w:color w:val="auto"/>
          <w:kern w:val="0"/>
          <w:szCs w:val="24"/>
          <w:highlight w:val="none"/>
          <w:u w:val="single"/>
          <w:lang w:val="en-US" w:eastAsia="zh-CN"/>
        </w:rPr>
        <w:t>5</w:t>
      </w:r>
      <w:r>
        <w:rPr>
          <w:rFonts w:asciiTheme="minorEastAsia" w:hAnsiTheme="minorEastAsia" w:eastAsiaTheme="minorEastAsia" w:cstheme="minorEastAsia"/>
          <w:snapToGrid w:val="0"/>
          <w:color w:val="auto"/>
          <w:kern w:val="0"/>
          <w:szCs w:val="24"/>
          <w:highlight w:val="none"/>
          <w:u w:val="single"/>
        </w:rPr>
        <w:t>号）</w:t>
      </w:r>
      <w:r>
        <w:rPr>
          <w:rFonts w:hint="eastAsia" w:ascii="宋体" w:hAnsi="宋体" w:eastAsia="宋体" w:cs="宋体"/>
          <w:snapToGrid w:val="0"/>
          <w:color w:val="auto"/>
          <w:kern w:val="0"/>
          <w:sz w:val="24"/>
          <w:szCs w:val="24"/>
          <w:highlight w:val="none"/>
        </w:rPr>
        <w:t>批准建设，项目代码为</w:t>
      </w:r>
      <w:r>
        <w:rPr>
          <w:rFonts w:hint="eastAsia" w:hAnsi="宋体" w:eastAsia="宋体" w:cs="宋体"/>
          <w:color w:val="auto"/>
          <w:sz w:val="24"/>
          <w:szCs w:val="24"/>
          <w:highlight w:val="none"/>
          <w:u w:val="single"/>
          <w:lang w:eastAsia="zh-CN"/>
        </w:rPr>
        <w:t>2104-440282-04-01-962310</w:t>
      </w:r>
      <w:r>
        <w:rPr>
          <w:rFonts w:hint="eastAsia" w:ascii="宋体" w:hAnsi="宋体" w:eastAsia="宋体" w:cs="宋体"/>
          <w:snapToGrid w:val="0"/>
          <w:color w:val="auto"/>
          <w:kern w:val="0"/>
          <w:sz w:val="24"/>
          <w:szCs w:val="24"/>
          <w:highlight w:val="none"/>
        </w:rPr>
        <w:t>。</w:t>
      </w:r>
      <w:r>
        <w:rPr>
          <w:rFonts w:hint="eastAsia" w:ascii="宋体" w:hAnsi="宋体" w:eastAsia="宋体" w:cs="宋体"/>
          <w:color w:val="auto"/>
          <w:sz w:val="24"/>
          <w:szCs w:val="24"/>
          <w:highlight w:val="none"/>
        </w:rPr>
        <w:t>项目</w:t>
      </w:r>
      <w:r>
        <w:rPr>
          <w:rFonts w:hint="eastAsia" w:ascii="宋体" w:hAnsi="宋体" w:eastAsia="宋体" w:cs="宋体"/>
          <w:snapToGrid w:val="0"/>
          <w:color w:val="auto"/>
          <w:kern w:val="0"/>
          <w:sz w:val="24"/>
          <w:szCs w:val="24"/>
          <w:highlight w:val="none"/>
        </w:rPr>
        <w:t>业主为</w:t>
      </w:r>
      <w:r>
        <w:rPr>
          <w:rFonts w:hint="eastAsia" w:hAnsi="宋体" w:eastAsia="宋体" w:cs="宋体"/>
          <w:snapToGrid w:val="0"/>
          <w:color w:val="auto"/>
          <w:kern w:val="0"/>
          <w:sz w:val="24"/>
          <w:szCs w:val="24"/>
          <w:highlight w:val="none"/>
          <w:u w:val="single"/>
          <w:lang w:eastAsia="zh-CN"/>
        </w:rPr>
        <w:t>南雄市住房和城乡建设局</w:t>
      </w:r>
      <w:r>
        <w:rPr>
          <w:rFonts w:hint="eastAsia" w:ascii="宋体" w:hAnsi="宋体" w:eastAsia="宋体" w:cs="宋体"/>
          <w:snapToGrid w:val="0"/>
          <w:color w:val="auto"/>
          <w:kern w:val="0"/>
          <w:sz w:val="24"/>
          <w:szCs w:val="24"/>
          <w:highlight w:val="none"/>
        </w:rPr>
        <w:t>，建设资金来自</w:t>
      </w:r>
      <w:r>
        <w:rPr>
          <w:rFonts w:hint="eastAsia" w:hAnsi="宋体" w:eastAsia="宋体" w:cs="宋体"/>
          <w:snapToGrid w:val="0"/>
          <w:color w:val="auto"/>
          <w:kern w:val="0"/>
          <w:sz w:val="24"/>
          <w:szCs w:val="24"/>
          <w:highlight w:val="none"/>
          <w:u w:val="single"/>
          <w:lang w:eastAsia="zh-CN"/>
        </w:rPr>
        <w:t>市财政资金及其他资金</w:t>
      </w:r>
      <w:r>
        <w:rPr>
          <w:rFonts w:hint="eastAsia" w:ascii="宋体" w:hAnsi="宋体" w:eastAsia="宋体" w:cs="宋体"/>
          <w:snapToGrid w:val="0"/>
          <w:color w:val="auto"/>
          <w:kern w:val="0"/>
          <w:sz w:val="24"/>
          <w:szCs w:val="24"/>
          <w:highlight w:val="none"/>
        </w:rPr>
        <w:t>，出资比例</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，招标人为</w:t>
      </w:r>
      <w:r>
        <w:rPr>
          <w:rFonts w:hint="eastAsia" w:ascii="宋体" w:hAnsi="宋体" w:eastAsia="宋体" w:cs="宋体"/>
          <w:snapToGrid w:val="0"/>
          <w:color w:val="auto"/>
          <w:kern w:val="0"/>
          <w:sz w:val="24"/>
          <w:szCs w:val="24"/>
          <w:highlight w:val="none"/>
          <w:u w:val="single"/>
        </w:rPr>
        <w:t>南雄市政府投资建设项目代建管理中心</w:t>
      </w:r>
      <w:r>
        <w:rPr>
          <w:rFonts w:hint="eastAsia" w:ascii="宋体" w:hAnsi="宋体" w:eastAsia="宋体" w:cs="宋体"/>
          <w:snapToGrid w:val="0"/>
          <w:color w:val="auto"/>
          <w:kern w:val="0"/>
          <w:sz w:val="24"/>
          <w:szCs w:val="24"/>
          <w:highlight w:val="none"/>
        </w:rPr>
        <w:t>，招标代理机构为</w:t>
      </w:r>
      <w:r>
        <w:rPr>
          <w:rFonts w:hint="eastAsia" w:hAnsi="宋体" w:eastAsia="宋体" w:cs="宋体"/>
          <w:color w:val="auto"/>
          <w:kern w:val="0"/>
          <w:sz w:val="24"/>
          <w:szCs w:val="24"/>
          <w:highlight w:val="none"/>
          <w:u w:val="single"/>
          <w:lang w:eastAsia="zh-CN"/>
        </w:rPr>
        <w:t>广东君霖项目管理有限公司</w:t>
      </w:r>
      <w:r>
        <w:rPr>
          <w:rFonts w:hint="eastAsia" w:ascii="宋体" w:hAnsi="宋体" w:eastAsia="宋体" w:cs="宋体"/>
          <w:snapToGrid w:val="0"/>
          <w:color w:val="auto"/>
          <w:kern w:val="0"/>
          <w:sz w:val="24"/>
          <w:szCs w:val="24"/>
          <w:highlight w:val="none"/>
        </w:rPr>
        <w:t>。项目已具备招标条件，现对该项目</w:t>
      </w:r>
      <w:r>
        <w:rPr>
          <w:rFonts w:hint="eastAsia" w:ascii="宋体" w:hAnsi="宋体" w:eastAsia="宋体" w:cs="宋体"/>
          <w:snapToGrid w:val="0"/>
          <w:color w:val="auto"/>
          <w:kern w:val="0"/>
          <w:sz w:val="24"/>
          <w:szCs w:val="24"/>
          <w:highlight w:val="none"/>
          <w:lang w:val="en-US" w:eastAsia="zh-CN"/>
        </w:rPr>
        <w:t>以</w:t>
      </w:r>
      <w:r>
        <w:rPr>
          <w:rFonts w:hint="eastAsia" w:hAnsi="宋体" w:eastAsia="宋体" w:cs="宋体"/>
          <w:snapToGrid w:val="0"/>
          <w:color w:val="auto"/>
          <w:kern w:val="0"/>
          <w:sz w:val="24"/>
          <w:szCs w:val="24"/>
          <w:highlight w:val="none"/>
          <w:u w:val="single"/>
          <w:lang w:val="en-US" w:eastAsia="zh-CN"/>
        </w:rPr>
        <w:t>设计施工总承包</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u w:val="none"/>
          <w:lang w:val="en-US" w:eastAsia="zh-CN"/>
        </w:rPr>
        <w:t>方式</w:t>
      </w:r>
      <w:r>
        <w:rPr>
          <w:rFonts w:hint="eastAsia" w:ascii="宋体" w:hAnsi="宋体" w:eastAsia="宋体" w:cs="宋体"/>
          <w:snapToGrid w:val="0"/>
          <w:color w:val="auto"/>
          <w:kern w:val="0"/>
          <w:sz w:val="24"/>
          <w:szCs w:val="24"/>
          <w:highlight w:val="none"/>
        </w:rPr>
        <w:t>进行公开招标。</w:t>
      </w:r>
    </w:p>
    <w:p w14:paraId="604FB734">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bCs/>
          <w:snapToGrid w:val="0"/>
          <w:color w:val="auto"/>
          <w:sz w:val="24"/>
          <w:szCs w:val="24"/>
          <w:highlight w:val="none"/>
        </w:rPr>
      </w:pPr>
      <w:bookmarkStart w:id="19" w:name="_Hlt78795222"/>
      <w:bookmarkEnd w:id="19"/>
      <w:bookmarkStart w:id="20" w:name="_Hlt109358474"/>
      <w:bookmarkEnd w:id="20"/>
      <w:bookmarkStart w:id="21" w:name="_Hlt119991399"/>
      <w:bookmarkEnd w:id="21"/>
      <w:bookmarkStart w:id="22" w:name="_Hlt87948285"/>
      <w:bookmarkEnd w:id="22"/>
      <w:bookmarkStart w:id="23" w:name="_Hlt74474735"/>
      <w:bookmarkEnd w:id="23"/>
      <w:bookmarkStart w:id="24" w:name="_Toc4081"/>
      <w:bookmarkStart w:id="25" w:name="_Toc24563"/>
      <w:bookmarkStart w:id="26" w:name="_Toc25252"/>
      <w:bookmarkStart w:id="27" w:name="_Toc30732"/>
      <w:bookmarkStart w:id="28" w:name="_Toc31976"/>
      <w:bookmarkStart w:id="29" w:name="_Toc23054"/>
      <w:bookmarkStart w:id="30" w:name="_Toc17329"/>
      <w:bookmarkStart w:id="31" w:name="_Toc18453"/>
      <w:bookmarkStart w:id="32" w:name="_Toc574"/>
      <w:r>
        <w:rPr>
          <w:rFonts w:hint="eastAsia" w:ascii="宋体" w:hAnsi="宋体" w:eastAsia="宋体" w:cs="宋体"/>
          <w:b/>
          <w:color w:val="auto"/>
          <w:kern w:val="2"/>
          <w:sz w:val="24"/>
          <w:szCs w:val="24"/>
          <w:highlight w:val="none"/>
        </w:rPr>
        <w:t>1、 工程概况综合说明</w:t>
      </w:r>
      <w:bookmarkEnd w:id="24"/>
      <w:bookmarkEnd w:id="25"/>
      <w:bookmarkEnd w:id="26"/>
      <w:bookmarkEnd w:id="27"/>
      <w:bookmarkEnd w:id="28"/>
      <w:bookmarkEnd w:id="29"/>
      <w:bookmarkEnd w:id="30"/>
      <w:bookmarkEnd w:id="31"/>
      <w:bookmarkEnd w:id="32"/>
    </w:p>
    <w:p w14:paraId="61507F75">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color w:val="auto"/>
          <w:sz w:val="24"/>
          <w:szCs w:val="24"/>
          <w:highlight w:val="none"/>
        </w:rPr>
        <w:t xml:space="preserve"> 工程概况</w:t>
      </w:r>
    </w:p>
    <w:p w14:paraId="55DD66D0">
      <w:pPr>
        <w:pStyle w:val="40"/>
        <w:pageBreakBefore w:val="0"/>
        <w:kinsoku/>
        <w:wordWrap w:val="0"/>
        <w:overflowPunct/>
        <w:topLinePunct w:val="0"/>
        <w:bidi w:val="0"/>
        <w:adjustRightInd w:val="0"/>
        <w:snapToGrid w:val="0"/>
        <w:spacing w:line="470" w:lineRule="exact"/>
        <w:ind w:firstLine="480"/>
        <w:jc w:val="left"/>
        <w:textAlignment w:val="auto"/>
        <w:rPr>
          <w:rFonts w:hint="eastAsia" w:ascii="宋体" w:hAnsi="宋体" w:eastAsia="宋体" w:cs="宋体"/>
          <w:color w:val="auto"/>
          <w:sz w:val="24"/>
          <w:szCs w:val="24"/>
          <w:highlight w:val="none"/>
          <w:u w:val="none"/>
          <w:lang w:eastAsia="zh-CN"/>
        </w:rPr>
      </w:pPr>
      <w:r>
        <w:rPr>
          <w:rFonts w:hint="eastAsia" w:ascii="宋体" w:hAnsi="宋体" w:eastAsia="宋体" w:cs="宋体"/>
          <w:b/>
          <w:bCs/>
          <w:color w:val="auto"/>
          <w:sz w:val="24"/>
          <w:szCs w:val="24"/>
          <w:highlight w:val="none"/>
        </w:rPr>
        <w:t>1.1.1</w:t>
      </w:r>
      <w:r>
        <w:rPr>
          <w:rFonts w:hint="eastAsia" w:ascii="宋体" w:hAnsi="宋体" w:eastAsia="宋体" w:cs="宋体"/>
          <w:color w:val="auto"/>
          <w:sz w:val="24"/>
          <w:szCs w:val="24"/>
          <w:highlight w:val="none"/>
        </w:rPr>
        <w:t xml:space="preserve"> 建设地点：</w:t>
      </w:r>
      <w:r>
        <w:rPr>
          <w:rFonts w:hint="eastAsia" w:ascii="宋体" w:hAnsi="宋体" w:cs="宋体"/>
          <w:snapToGrid w:val="0"/>
          <w:color w:val="auto"/>
          <w:kern w:val="0"/>
          <w:sz w:val="24"/>
          <w:szCs w:val="24"/>
          <w:highlight w:val="none"/>
          <w:u w:val="none"/>
          <w:lang w:eastAsia="zh-CN"/>
        </w:rPr>
        <w:t>南雄市雄州街道中心城区</w:t>
      </w:r>
      <w:r>
        <w:rPr>
          <w:rFonts w:hint="eastAsia" w:ascii="宋体" w:hAnsi="宋体" w:eastAsia="宋体" w:cs="宋体"/>
          <w:snapToGrid w:val="0"/>
          <w:color w:val="auto"/>
          <w:kern w:val="0"/>
          <w:sz w:val="24"/>
          <w:szCs w:val="24"/>
          <w:highlight w:val="none"/>
          <w:u w:val="none"/>
          <w:lang w:eastAsia="zh-CN"/>
        </w:rPr>
        <w:t>。</w:t>
      </w:r>
    </w:p>
    <w:p w14:paraId="1CDF8E63">
      <w:pPr>
        <w:pageBreakBefore w:val="0"/>
        <w:widowControl/>
        <w:kinsoku/>
        <w:overflowPunct/>
        <w:topLinePunct w:val="0"/>
        <w:bidi w:val="0"/>
        <w:spacing w:line="470" w:lineRule="exact"/>
        <w:ind w:left="11" w:leftChars="0" w:firstLine="501" w:firstLineChars="208"/>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1.1.2</w:t>
      </w:r>
      <w:r>
        <w:rPr>
          <w:rFonts w:hint="eastAsia" w:ascii="宋体" w:hAnsi="宋体" w:eastAsia="宋体" w:cs="宋体"/>
          <w:color w:val="auto"/>
          <w:sz w:val="24"/>
          <w:szCs w:val="24"/>
          <w:highlight w:val="none"/>
          <w:u w:val="none"/>
        </w:rPr>
        <w:t xml:space="preserve"> 建设内容和规模：</w:t>
      </w:r>
      <w:r>
        <w:rPr>
          <w:rFonts w:hint="eastAsia" w:hAnsi="宋体" w:eastAsia="宋体" w:cs="宋体"/>
          <w:color w:val="auto"/>
          <w:sz w:val="24"/>
          <w:szCs w:val="24"/>
          <w:highlight w:val="none"/>
          <w:u w:val="none"/>
          <w:lang w:eastAsia="zh-CN"/>
        </w:rPr>
        <w:t>对16处城市部分积涝点、排水管网进行建设及改造，共改造修复10204.26米，其中污水管网DN150-DN800共8253.26米，雨水管网、管沟DN300-DN600共1951米，包含排水工程、雨水工程及附属工程等；并对破损河堤加固修复</w:t>
      </w:r>
      <w:r>
        <w:rPr>
          <w:rFonts w:hint="eastAsia" w:ascii="宋体" w:hAnsi="宋体" w:eastAsia="宋体" w:cs="宋体"/>
          <w:color w:val="auto"/>
          <w:sz w:val="24"/>
          <w:szCs w:val="24"/>
          <w:highlight w:val="none"/>
          <w:u w:val="none"/>
        </w:rPr>
        <w:t>。</w:t>
      </w:r>
    </w:p>
    <w:p w14:paraId="60F557EB">
      <w:pPr>
        <w:pageBreakBefore w:val="0"/>
        <w:widowControl/>
        <w:kinsoku/>
        <w:overflowPunct/>
        <w:topLinePunct w:val="0"/>
        <w:bidi w:val="0"/>
        <w:spacing w:line="470" w:lineRule="exact"/>
        <w:ind w:left="11" w:leftChars="0" w:firstLine="501" w:firstLineChars="208"/>
        <w:textAlignment w:val="auto"/>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b/>
          <w:bCs/>
          <w:color w:val="auto"/>
          <w:sz w:val="24"/>
          <w:szCs w:val="24"/>
          <w:highlight w:val="none"/>
          <w:u w:val="none"/>
        </w:rPr>
        <w:t>1.1.3</w:t>
      </w:r>
      <w:r>
        <w:rPr>
          <w:rFonts w:hint="eastAsia" w:ascii="宋体" w:hAnsi="宋体" w:eastAsia="宋体" w:cs="宋体"/>
          <w:color w:val="auto"/>
          <w:sz w:val="24"/>
          <w:szCs w:val="24"/>
          <w:highlight w:val="none"/>
          <w:u w:val="none"/>
        </w:rPr>
        <w:t xml:space="preserve"> 项目总投资：</w:t>
      </w:r>
      <w:bookmarkStart w:id="33" w:name="_Toc20999"/>
      <w:r>
        <w:rPr>
          <w:rFonts w:hint="eastAsia" w:hAnsi="宋体" w:eastAsia="宋体" w:cs="宋体"/>
          <w:color w:val="auto"/>
          <w:sz w:val="24"/>
          <w:szCs w:val="24"/>
          <w:highlight w:val="none"/>
          <w:u w:val="none"/>
          <w:lang w:eastAsia="zh-CN"/>
        </w:rPr>
        <w:t>本项目投资概算为4917.32万元，其中建安费用3924.50万元，预备费234.15万元。</w:t>
      </w:r>
    </w:p>
    <w:p w14:paraId="465DDC2E">
      <w:pPr>
        <w:pageBreakBefore w:val="0"/>
        <w:widowControl/>
        <w:kinsoku/>
        <w:overflowPunct/>
        <w:topLinePunct w:val="0"/>
        <w:bidi w:val="0"/>
        <w:spacing w:line="470" w:lineRule="exact"/>
        <w:ind w:left="511" w:leftChars="213"/>
        <w:textAlignment w:val="auto"/>
        <w:rPr>
          <w:rFonts w:hint="eastAsia" w:ascii="宋体" w:hAnsi="宋体" w:eastAsia="宋体" w:cs="宋体"/>
          <w:snapToGrid w:val="0"/>
          <w:color w:val="auto"/>
          <w:kern w:val="0"/>
          <w:sz w:val="24"/>
          <w:szCs w:val="24"/>
          <w:highlight w:val="none"/>
          <w:u w:val="none"/>
        </w:rPr>
      </w:pPr>
      <w:r>
        <w:rPr>
          <w:rFonts w:hint="eastAsia" w:ascii="宋体" w:hAnsi="宋体" w:eastAsia="宋体" w:cs="宋体"/>
          <w:b/>
          <w:bCs/>
          <w:snapToGrid w:val="0"/>
          <w:color w:val="auto"/>
          <w:kern w:val="0"/>
          <w:sz w:val="24"/>
          <w:szCs w:val="24"/>
          <w:highlight w:val="none"/>
          <w:u w:val="none"/>
        </w:rPr>
        <w:t>1.2</w:t>
      </w:r>
      <w:r>
        <w:rPr>
          <w:rFonts w:hint="eastAsia" w:ascii="宋体" w:hAnsi="宋体" w:eastAsia="宋体" w:cs="宋体"/>
          <w:snapToGrid w:val="0"/>
          <w:color w:val="auto"/>
          <w:kern w:val="0"/>
          <w:sz w:val="24"/>
          <w:szCs w:val="24"/>
          <w:highlight w:val="none"/>
          <w:u w:val="none"/>
        </w:rPr>
        <w:t xml:space="preserve"> 标段划分：</w:t>
      </w:r>
      <w:bookmarkEnd w:id="33"/>
      <w:r>
        <w:rPr>
          <w:rFonts w:hint="eastAsia" w:ascii="宋体" w:hAnsi="宋体" w:eastAsia="宋体" w:cs="宋体"/>
          <w:snapToGrid w:val="0"/>
          <w:color w:val="auto"/>
          <w:kern w:val="0"/>
          <w:sz w:val="24"/>
          <w:szCs w:val="24"/>
          <w:highlight w:val="none"/>
          <w:u w:val="none"/>
        </w:rPr>
        <w:t>本招标项目不划分标段。</w:t>
      </w:r>
    </w:p>
    <w:p w14:paraId="7905AE90">
      <w:pPr>
        <w:pStyle w:val="37"/>
        <w:pageBreakBefore w:val="0"/>
        <w:tabs>
          <w:tab w:val="left" w:pos="7020"/>
        </w:tabs>
        <w:kinsoku/>
        <w:overflowPunct/>
        <w:topLinePunct w:val="0"/>
        <w:bidi w:val="0"/>
        <w:spacing w:line="470" w:lineRule="exact"/>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1.3</w:t>
      </w:r>
      <w:r>
        <w:rPr>
          <w:rFonts w:hint="eastAsia" w:ascii="宋体" w:hAnsi="宋体" w:eastAsia="宋体" w:cs="宋体"/>
          <w:color w:val="auto"/>
          <w:sz w:val="24"/>
          <w:szCs w:val="24"/>
          <w:highlight w:val="none"/>
          <w:u w:val="none"/>
        </w:rPr>
        <w:t xml:space="preserve"> 监理单位：待定。</w:t>
      </w:r>
    </w:p>
    <w:p w14:paraId="0922759D">
      <w:pPr>
        <w:pStyle w:val="37"/>
        <w:pageBreakBefore w:val="0"/>
        <w:kinsoku/>
        <w:overflowPunct/>
        <w:topLinePunct w:val="0"/>
        <w:bidi w:val="0"/>
        <w:spacing w:line="470" w:lineRule="exact"/>
        <w:ind w:firstLine="482"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
          <w:bCs/>
          <w:color w:val="auto"/>
          <w:sz w:val="24"/>
          <w:szCs w:val="24"/>
          <w:highlight w:val="none"/>
          <w:u w:val="none"/>
        </w:rPr>
        <w:t>1.4</w:t>
      </w:r>
      <w:r>
        <w:rPr>
          <w:rFonts w:hint="eastAsia" w:ascii="宋体" w:hAnsi="宋体" w:eastAsia="宋体" w:cs="宋体"/>
          <w:color w:val="auto"/>
          <w:sz w:val="24"/>
          <w:szCs w:val="24"/>
          <w:highlight w:val="none"/>
          <w:u w:val="none"/>
        </w:rPr>
        <w:t xml:space="preserve"> 投标费用：投标人应承担所有准备和参加投标的相关费用，不论投标结果如何，招标人均无义务和责任承担这些费用。</w:t>
      </w:r>
      <w:bookmarkStart w:id="34" w:name="_Toc106184808"/>
    </w:p>
    <w:p w14:paraId="4EA6CE60">
      <w:pPr>
        <w:pStyle w:val="39"/>
        <w:keepNext/>
        <w:keepLines/>
        <w:pageBreakBefore w:val="0"/>
        <w:kinsoku/>
        <w:overflowPunct/>
        <w:topLinePunct w:val="0"/>
        <w:bidi w:val="0"/>
        <w:spacing w:line="470" w:lineRule="exact"/>
        <w:ind w:firstLine="480"/>
        <w:jc w:val="both"/>
        <w:textAlignment w:val="auto"/>
        <w:rPr>
          <w:rFonts w:hint="eastAsia" w:ascii="宋体" w:hAnsi="宋体" w:eastAsia="宋体" w:cs="宋体"/>
          <w:b/>
          <w:color w:val="auto"/>
          <w:kern w:val="2"/>
          <w:sz w:val="24"/>
          <w:szCs w:val="24"/>
          <w:highlight w:val="none"/>
        </w:rPr>
      </w:pPr>
      <w:bookmarkStart w:id="35" w:name="_Toc3130"/>
      <w:bookmarkStart w:id="36" w:name="_Toc12190"/>
      <w:bookmarkStart w:id="37" w:name="_Toc17359"/>
      <w:bookmarkStart w:id="38" w:name="_Toc22550"/>
      <w:bookmarkStart w:id="39" w:name="_Toc121"/>
      <w:bookmarkStart w:id="40" w:name="_Toc14958"/>
      <w:bookmarkStart w:id="41" w:name="_Toc32400"/>
      <w:bookmarkStart w:id="42" w:name="_Toc7700"/>
      <w:bookmarkStart w:id="43" w:name="_Toc18851"/>
      <w:r>
        <w:rPr>
          <w:rFonts w:hint="eastAsia" w:ascii="宋体" w:hAnsi="宋体" w:eastAsia="宋体" w:cs="宋体"/>
          <w:b/>
          <w:color w:val="auto"/>
          <w:kern w:val="2"/>
          <w:sz w:val="24"/>
          <w:szCs w:val="24"/>
          <w:highlight w:val="none"/>
        </w:rPr>
        <w:t>2 、招标范围</w:t>
      </w:r>
      <w:bookmarkEnd w:id="34"/>
      <w:bookmarkEnd w:id="35"/>
      <w:bookmarkEnd w:id="36"/>
      <w:bookmarkEnd w:id="37"/>
      <w:bookmarkEnd w:id="38"/>
      <w:bookmarkEnd w:id="39"/>
      <w:bookmarkEnd w:id="40"/>
      <w:bookmarkEnd w:id="41"/>
      <w:bookmarkEnd w:id="42"/>
      <w:bookmarkEnd w:id="43"/>
    </w:p>
    <w:p w14:paraId="2D03E59C">
      <w:pPr>
        <w:pStyle w:val="42"/>
        <w:pageBreakBefore w:val="0"/>
        <w:kinsoku/>
        <w:overflowPunct/>
        <w:topLinePunct w:val="0"/>
        <w:bidi w:val="0"/>
        <w:spacing w:line="470" w:lineRule="exact"/>
        <w:textAlignment w:val="auto"/>
        <w:rPr>
          <w:rFonts w:hint="eastAsia" w:ascii="宋体" w:hAnsi="宋体" w:eastAsia="宋体" w:cs="宋体"/>
          <w:color w:val="auto"/>
          <w:sz w:val="24"/>
          <w:szCs w:val="24"/>
          <w:highlight w:val="none"/>
        </w:rPr>
      </w:pPr>
      <w:bookmarkStart w:id="44" w:name="_Hlt91408212"/>
      <w:bookmarkEnd w:id="44"/>
      <w:r>
        <w:rPr>
          <w:rFonts w:hint="eastAsia" w:ascii="宋体" w:hAnsi="宋体" w:eastAsia="宋体" w:cs="宋体"/>
          <w:b/>
          <w:bCs/>
          <w:color w:val="auto"/>
          <w:sz w:val="24"/>
          <w:szCs w:val="24"/>
          <w:highlight w:val="none"/>
        </w:rPr>
        <w:t>2.1</w:t>
      </w:r>
      <w:r>
        <w:rPr>
          <w:rFonts w:hint="eastAsia" w:ascii="宋体" w:hAnsi="宋体" w:eastAsia="宋体" w:cs="宋体"/>
          <w:color w:val="auto"/>
          <w:sz w:val="24"/>
          <w:szCs w:val="24"/>
          <w:highlight w:val="none"/>
        </w:rPr>
        <w:t>招标范围：本工程所涉及的内容包括但不限于以下（1）和（2）：</w:t>
      </w:r>
    </w:p>
    <w:p w14:paraId="2B38E705">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bookmarkStart w:id="45" w:name="_Toc4645"/>
      <w:bookmarkStart w:id="46" w:name="_Toc13988"/>
      <w:bookmarkStart w:id="47" w:name="_Toc7799"/>
      <w:bookmarkStart w:id="48" w:name="_Toc708"/>
      <w:bookmarkStart w:id="49" w:name="_Toc2350"/>
      <w:bookmarkStart w:id="50" w:name="_Toc26845"/>
      <w:bookmarkStart w:id="51" w:name="_Toc1366"/>
      <w:bookmarkStart w:id="52" w:name="_Toc21803"/>
      <w:bookmarkStart w:id="53" w:name="_Toc2217"/>
      <w:bookmarkStart w:id="54" w:name="_Toc32739"/>
      <w:bookmarkStart w:id="55" w:name="_Toc27886"/>
      <w:r>
        <w:rPr>
          <w:rFonts w:hint="eastAsia" w:ascii="宋体" w:hAnsi="宋体" w:eastAsia="宋体" w:cs="宋体"/>
          <w:snapToGrid w:val="0"/>
          <w:color w:val="auto"/>
          <w:sz w:val="24"/>
          <w:szCs w:val="24"/>
          <w:highlight w:val="none"/>
        </w:rPr>
        <w:t>（1）设计部分：确保项目顺利实施的报建、报批、施工等所需的所有建安工程等的设计文件（具体详见设计任务书、初步设计文件），包括但不限于：</w:t>
      </w:r>
    </w:p>
    <w:p w14:paraId="7D70ED0A">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①施工图设计含总平面及设计说明书、主要设备及材料以及</w:t>
      </w:r>
      <w:r>
        <w:rPr>
          <w:rFonts w:hint="eastAsia" w:ascii="宋体" w:hAnsi="宋体" w:eastAsia="宋体" w:cs="宋体"/>
          <w:snapToGrid w:val="0"/>
          <w:color w:val="auto"/>
          <w:sz w:val="24"/>
          <w:szCs w:val="24"/>
          <w:highlight w:val="none"/>
          <w:lang w:eastAsia="zh-CN"/>
        </w:rPr>
        <w:t>项目涉及的</w:t>
      </w:r>
      <w:r>
        <w:rPr>
          <w:rFonts w:hint="eastAsia" w:ascii="宋体" w:hAnsi="宋体" w:eastAsia="宋体" w:cs="宋体"/>
          <w:snapToGrid w:val="0"/>
          <w:color w:val="auto"/>
          <w:sz w:val="24"/>
          <w:szCs w:val="24"/>
          <w:highlight w:val="none"/>
        </w:rPr>
        <w:t>所有专项设计及红线范围内的所有工程及相关附属工程、设施等本项目涉及的所有建安工程的设计；</w:t>
      </w:r>
    </w:p>
    <w:p w14:paraId="53D8E7DF">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注：设计文件深度要求必须满足《市政公用工程设计文件编制深度规定》（2013年版）规定的施工图设计深度要求，以及满足施工图审查的相关要求。</w:t>
      </w:r>
    </w:p>
    <w:p w14:paraId="793D3469">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②施工图预算（含工程量清单）；</w:t>
      </w:r>
    </w:p>
    <w:p w14:paraId="40FB30BA">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③提供项目所需相关检测项的明细表和危险性较大的分部分项工程清单；</w:t>
      </w:r>
    </w:p>
    <w:p w14:paraId="5566EA3B">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④后续设计服务工作。</w:t>
      </w:r>
    </w:p>
    <w:p w14:paraId="4614CC5D">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（2）施工部分：设计文件及工程量清单范围内的所有工程及配套工程、设施等的施工。</w:t>
      </w:r>
      <w:bookmarkEnd w:id="45"/>
      <w:bookmarkEnd w:id="46"/>
      <w:bookmarkEnd w:id="47"/>
    </w:p>
    <w:p w14:paraId="6CCADABD">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56" w:name="_Toc22640"/>
      <w:r>
        <w:rPr>
          <w:rFonts w:hint="eastAsia" w:ascii="宋体" w:hAnsi="宋体" w:eastAsia="宋体" w:cs="宋体"/>
          <w:b/>
          <w:color w:val="auto"/>
          <w:kern w:val="2"/>
          <w:sz w:val="24"/>
          <w:szCs w:val="24"/>
          <w:highlight w:val="none"/>
        </w:rPr>
        <w:t>3</w:t>
      </w:r>
      <w:bookmarkStart w:id="57" w:name="_Hlt66187826"/>
      <w:bookmarkEnd w:id="57"/>
      <w:r>
        <w:rPr>
          <w:rFonts w:hint="eastAsia" w:ascii="宋体" w:hAnsi="宋体" w:eastAsia="宋体" w:cs="宋体"/>
          <w:b/>
          <w:color w:val="auto"/>
          <w:kern w:val="2"/>
          <w:sz w:val="24"/>
          <w:szCs w:val="24"/>
          <w:highlight w:val="none"/>
        </w:rPr>
        <w:t>、工期</w:t>
      </w:r>
      <w:bookmarkEnd w:id="48"/>
      <w:bookmarkEnd w:id="49"/>
      <w:bookmarkEnd w:id="50"/>
      <w:bookmarkEnd w:id="51"/>
      <w:bookmarkEnd w:id="52"/>
      <w:bookmarkEnd w:id="53"/>
      <w:bookmarkEnd w:id="54"/>
      <w:bookmarkEnd w:id="55"/>
      <w:bookmarkEnd w:id="56"/>
    </w:p>
    <w:p w14:paraId="74149AE3">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3.1</w:t>
      </w:r>
      <w:r>
        <w:rPr>
          <w:rFonts w:hint="eastAsia" w:ascii="宋体" w:hAnsi="宋体" w:eastAsia="宋体" w:cs="宋体"/>
          <w:color w:val="auto"/>
          <w:sz w:val="24"/>
          <w:szCs w:val="24"/>
          <w:highlight w:val="none"/>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本工程工期为：</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设计、施工总工期</w:t>
      </w:r>
      <w:r>
        <w:rPr>
          <w:rFonts w:hint="eastAsia" w:asciiTheme="minorEastAsia" w:hAnsiTheme="minorEastAsia" w:eastAsiaTheme="minorEastAsia" w:cstheme="minorEastAsia"/>
          <w:color w:val="000000" w:themeColor="text1"/>
          <w:kern w:val="0"/>
          <w:highlight w:val="none"/>
          <w:u w:val="single"/>
          <w:lang w:val="en-US" w:eastAsia="zh-CN"/>
          <w14:textFill>
            <w14:solidFill>
              <w14:schemeClr w14:val="tx1"/>
            </w14:solidFill>
          </w14:textFill>
        </w:rPr>
        <w:t>640</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日历天</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，其中：设计工期为</w:t>
      </w:r>
      <w:r>
        <w:rPr>
          <w:rFonts w:hint="eastAsia" w:asciiTheme="minorEastAsia" w:hAnsiTheme="minorEastAsia" w:eastAsiaTheme="minorEastAsia" w:cstheme="minorEastAsia"/>
          <w:color w:val="000000" w:themeColor="text1"/>
          <w:kern w:val="0"/>
          <w:highlight w:val="none"/>
          <w:u w:val="single"/>
          <w:lang w:val="en-US" w:eastAsia="zh-CN"/>
          <w14:textFill>
            <w14:solidFill>
              <w14:schemeClr w14:val="tx1"/>
            </w14:solidFill>
          </w14:textFill>
        </w:rPr>
        <w:t>90</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日历天</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；施工工期为</w:t>
      </w:r>
      <w:r>
        <w:rPr>
          <w:rFonts w:hint="eastAsia" w:asciiTheme="minorEastAsia" w:hAnsiTheme="minorEastAsia" w:eastAsiaTheme="minorEastAsia" w:cstheme="minorEastAsia"/>
          <w:color w:val="000000" w:themeColor="text1"/>
          <w:kern w:val="0"/>
          <w:highlight w:val="none"/>
          <w:u w:val="single"/>
          <w:lang w:val="en-US" w:eastAsia="zh-CN"/>
          <w14:textFill>
            <w14:solidFill>
              <w14:schemeClr w14:val="tx1"/>
            </w14:solidFill>
          </w14:textFill>
        </w:rPr>
        <w:t>550</w:t>
      </w:r>
      <w:r>
        <w:rPr>
          <w:rFonts w:hint="eastAsia" w:asciiTheme="minorEastAsia" w:hAnsiTheme="minorEastAsia" w:eastAsiaTheme="minorEastAsia" w:cstheme="minorEastAsia"/>
          <w:color w:val="000000" w:themeColor="text1"/>
          <w:kern w:val="0"/>
          <w:highlight w:val="none"/>
          <w:u w:val="single"/>
          <w14:textFill>
            <w14:solidFill>
              <w14:schemeClr w14:val="tx1"/>
            </w14:solidFill>
          </w14:textFill>
        </w:rPr>
        <w:t>日历天</w:t>
      </w:r>
      <w:r>
        <w:rPr>
          <w:rFonts w:hint="eastAsia" w:asciiTheme="minorEastAsia" w:hAnsiTheme="minorEastAsia" w:eastAsiaTheme="minorEastAsia" w:cstheme="minorEastAsia"/>
          <w:color w:val="000000" w:themeColor="text1"/>
          <w:kern w:val="0"/>
          <w:highlight w:val="none"/>
          <w14:textFill>
            <w14:solidFill>
              <w14:schemeClr w14:val="tx1"/>
            </w14:solidFill>
          </w14:textFill>
        </w:rPr>
        <w:t>。中标人必须在所要求的工期内完成全部招标工程</w:t>
      </w:r>
      <w:r>
        <w:rPr>
          <w:rFonts w:hint="eastAsia" w:ascii="宋体" w:hAnsi="宋体" w:eastAsia="宋体" w:cs="宋体"/>
          <w:color w:val="auto"/>
          <w:kern w:val="0"/>
          <w:sz w:val="24"/>
          <w:szCs w:val="24"/>
          <w:highlight w:val="none"/>
          <w:lang w:eastAsia="zh-CN"/>
        </w:rPr>
        <w:t>。</w:t>
      </w:r>
    </w:p>
    <w:p w14:paraId="66CC2603">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3.2</w:t>
      </w:r>
      <w:r>
        <w:rPr>
          <w:rFonts w:hint="eastAsia" w:ascii="宋体" w:hAnsi="宋体" w:eastAsia="宋体" w:cs="宋体"/>
          <w:color w:val="auto"/>
          <w:sz w:val="24"/>
          <w:szCs w:val="24"/>
          <w:highlight w:val="none"/>
        </w:rPr>
        <w:t>因中标人原因，没有按期完成设计任务、工程没有按期竣工时，中标人须在逾期第壹天起每天分别按设计、施工合同价款的1.5‰向招标人缴纳逾期违约金，分别累计最高不超过设计、施工合同价款的10%向招标人缴纳逾期违约金。</w:t>
      </w:r>
    </w:p>
    <w:p w14:paraId="04325C10">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b/>
          <w:color w:val="auto"/>
          <w:kern w:val="44"/>
          <w:sz w:val="24"/>
          <w:szCs w:val="24"/>
          <w:highlight w:val="none"/>
        </w:rPr>
        <w:t>3.3</w:t>
      </w:r>
      <w:r>
        <w:rPr>
          <w:rFonts w:hint="eastAsia" w:ascii="宋体" w:hAnsi="宋体" w:eastAsia="宋体" w:cs="宋体"/>
          <w:color w:val="auto"/>
          <w:sz w:val="24"/>
          <w:szCs w:val="24"/>
          <w:highlight w:val="none"/>
        </w:rPr>
        <w:t>设计工期自中标通知书发出之日起计算，至提交符合招标人及审图机构要求的施工图设计文件以及符合要求的施工图预算之日止（每一步设计工作，必须以招标人及有关部门审核批准后方可实施）</w:t>
      </w:r>
      <w:r>
        <w:rPr>
          <w:rFonts w:hint="eastAsia" w:ascii="宋体" w:hAnsi="宋体" w:eastAsia="宋体" w:cs="宋体"/>
          <w:color w:val="auto"/>
          <w:sz w:val="24"/>
          <w:szCs w:val="24"/>
          <w:highlight w:val="none"/>
          <w:lang w:val="zh-CN"/>
        </w:rPr>
        <w:t>。</w:t>
      </w:r>
    </w:p>
    <w:p w14:paraId="138671B7">
      <w:pPr>
        <w:pStyle w:val="37"/>
        <w:pageBreakBefore w:val="0"/>
        <w:kinsoku/>
        <w:overflowPunct/>
        <w:topLinePunct w:val="0"/>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zh-CN"/>
        </w:rPr>
        <w:t>.</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lang w:val="zh-CN"/>
        </w:rPr>
        <w:t xml:space="preserve"> 施工工期从开工令签发之日起计，至竣工验收之日止。</w:t>
      </w:r>
      <w:bookmarkStart w:id="58" w:name="_Toc11872"/>
    </w:p>
    <w:p w14:paraId="676584D7">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59" w:name="_Toc24539"/>
      <w:bookmarkStart w:id="60" w:name="_Toc23691"/>
      <w:bookmarkStart w:id="61" w:name="_Toc1889"/>
      <w:bookmarkStart w:id="62" w:name="_Toc19644"/>
      <w:bookmarkStart w:id="63" w:name="_Toc13379"/>
      <w:bookmarkStart w:id="64" w:name="_Toc30034"/>
      <w:bookmarkStart w:id="65" w:name="_Toc3312"/>
      <w:bookmarkStart w:id="66" w:name="_Toc2499"/>
      <w:r>
        <w:rPr>
          <w:rFonts w:hint="eastAsia" w:ascii="宋体" w:hAnsi="宋体" w:eastAsia="宋体" w:cs="宋体"/>
          <w:b/>
          <w:color w:val="auto"/>
          <w:kern w:val="2"/>
          <w:sz w:val="24"/>
          <w:szCs w:val="24"/>
          <w:highlight w:val="none"/>
        </w:rPr>
        <w:t>4 、投标人资质及条件要求</w:t>
      </w:r>
      <w:bookmarkEnd w:id="58"/>
      <w:bookmarkEnd w:id="59"/>
      <w:bookmarkEnd w:id="60"/>
      <w:bookmarkEnd w:id="61"/>
      <w:bookmarkEnd w:id="62"/>
      <w:bookmarkEnd w:id="63"/>
      <w:bookmarkEnd w:id="64"/>
      <w:bookmarkEnd w:id="65"/>
      <w:bookmarkEnd w:id="66"/>
      <w:bookmarkStart w:id="67" w:name="_Hlt74496495"/>
      <w:bookmarkEnd w:id="67"/>
    </w:p>
    <w:p w14:paraId="4E2ED19F">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w:t>
      </w:r>
      <w:r>
        <w:rPr>
          <w:rFonts w:hint="eastAsia" w:ascii="宋体" w:hAnsi="宋体" w:eastAsia="宋体" w:cs="宋体"/>
          <w:color w:val="auto"/>
          <w:kern w:val="0"/>
          <w:sz w:val="24"/>
          <w:szCs w:val="24"/>
          <w:highlight w:val="none"/>
        </w:rPr>
        <w:t>本次招标接受联合体投标，联合体以一个投标人的身份共同投标。</w:t>
      </w:r>
    </w:p>
    <w:p w14:paraId="42C1A1FE">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4.1.1</w:t>
      </w:r>
      <w:r>
        <w:rPr>
          <w:rFonts w:hint="eastAsia" w:ascii="宋体" w:hAnsi="宋体" w:eastAsia="宋体" w:cs="宋体"/>
          <w:color w:val="auto"/>
          <w:kern w:val="0"/>
          <w:sz w:val="24"/>
          <w:szCs w:val="24"/>
          <w:highlight w:val="none"/>
        </w:rPr>
        <w:t>联合体成员数量不超过</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w:t>
      </w:r>
    </w:p>
    <w:p w14:paraId="62189591">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4.1.2</w:t>
      </w:r>
      <w:r>
        <w:rPr>
          <w:rFonts w:hint="eastAsia" w:ascii="宋体" w:hAnsi="宋体" w:eastAsia="宋体" w:cs="宋体"/>
          <w:color w:val="auto"/>
          <w:kern w:val="0"/>
          <w:sz w:val="24"/>
          <w:szCs w:val="24"/>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04D92E94">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4.1.3</w:t>
      </w:r>
      <w:r>
        <w:rPr>
          <w:rFonts w:hint="eastAsia" w:ascii="宋体" w:hAnsi="宋体" w:eastAsia="宋体" w:cs="宋体"/>
          <w:color w:val="auto"/>
          <w:kern w:val="0"/>
          <w:sz w:val="24"/>
          <w:szCs w:val="24"/>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577E38FC">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4.1.4</w:t>
      </w:r>
      <w:r>
        <w:rPr>
          <w:rFonts w:hint="eastAsia" w:ascii="宋体" w:hAnsi="宋体" w:eastAsia="宋体" w:cs="宋体"/>
          <w:color w:val="auto"/>
          <w:kern w:val="0"/>
          <w:sz w:val="24"/>
          <w:szCs w:val="24"/>
          <w:highlight w:val="none"/>
        </w:rPr>
        <w:t>联合体各方不得再以自己名义单独或参加其他联合体在本招标项目中投标，否则各相关投标均无效。</w:t>
      </w:r>
    </w:p>
    <w:p w14:paraId="13024343">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w:t>
      </w:r>
      <w:r>
        <w:rPr>
          <w:rFonts w:hint="eastAsia" w:ascii="宋体" w:hAnsi="宋体" w:eastAsia="宋体" w:cs="宋体"/>
          <w:color w:val="auto"/>
          <w:kern w:val="0"/>
          <w:sz w:val="24"/>
          <w:szCs w:val="24"/>
          <w:highlight w:val="none"/>
        </w:rPr>
        <w:t>资质要求</w:t>
      </w:r>
    </w:p>
    <w:p w14:paraId="68ED0893">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4.2.1</w:t>
      </w:r>
      <w:r>
        <w:rPr>
          <w:rFonts w:hint="eastAsia" w:ascii="宋体" w:hAnsi="宋体" w:eastAsia="宋体" w:cs="宋体"/>
          <w:color w:val="auto"/>
          <w:kern w:val="0"/>
          <w:sz w:val="24"/>
          <w:szCs w:val="24"/>
          <w:highlight w:val="none"/>
        </w:rPr>
        <w:t>投标人须具备独立法人资格，按国家法律经营。</w:t>
      </w:r>
    </w:p>
    <w:p w14:paraId="67C13573">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4.2.2</w:t>
      </w:r>
      <w:r>
        <w:rPr>
          <w:rFonts w:hint="eastAsia" w:ascii="宋体" w:hAnsi="宋体" w:eastAsia="宋体" w:cs="宋体"/>
          <w:color w:val="auto"/>
          <w:kern w:val="0"/>
          <w:sz w:val="24"/>
          <w:szCs w:val="24"/>
          <w:highlight w:val="none"/>
        </w:rPr>
        <w:t>投标人须持有行政主管部门颁发的企业资质证书。</w:t>
      </w:r>
    </w:p>
    <w:p w14:paraId="62DDC3C4">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4.2.3</w:t>
      </w:r>
      <w:r>
        <w:rPr>
          <w:rFonts w:hint="eastAsia" w:ascii="宋体" w:hAnsi="宋体" w:eastAsia="宋体" w:cs="宋体"/>
          <w:b w:val="0"/>
          <w:bCs w:val="0"/>
          <w:color w:val="auto"/>
          <w:kern w:val="0"/>
          <w:sz w:val="24"/>
          <w:szCs w:val="24"/>
          <w:highlight w:val="none"/>
        </w:rPr>
        <w:t>参加投标的投标人可以是单一独立法人或由不超过</w:t>
      </w: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rPr>
        <w:t>家独立法人组成的联合体（必须注明其中一家为牵头人），联合体各方不得再以自己的名义单独申请，也不得同时参加两个或两个以上的联合体进行本项目的投标。单一独立法人必须至少同时具备以下①～②资质，组成联合体投标的，联合后必须至少具备以下①～②资质，联合体牵头人必须具备①资质，由同一专业的单位组成的联合体，按照资质等级较低的单位确定资质等级</w:t>
      </w:r>
      <w:r>
        <w:rPr>
          <w:rFonts w:hint="eastAsia" w:ascii="宋体" w:hAnsi="宋体" w:eastAsia="宋体" w:cs="宋体"/>
          <w:color w:val="auto"/>
          <w:sz w:val="24"/>
          <w:szCs w:val="24"/>
          <w:highlight w:val="none"/>
        </w:rPr>
        <w:t>：</w:t>
      </w:r>
    </w:p>
    <w:p w14:paraId="4E99E6FD">
      <w:pPr>
        <w:pageBreakBefore w:val="0"/>
        <w:kinsoku/>
        <w:wordWrap w:val="0"/>
        <w:overflowPunct/>
        <w:topLinePunct w:val="0"/>
        <w:bidi w:val="0"/>
        <w:adjustRightInd w:val="0"/>
        <w:snapToGrid w:val="0"/>
        <w:spacing w:line="440" w:lineRule="exact"/>
        <w:ind w:firstLine="480" w:firstLineChars="200"/>
        <w:textAlignment w:val="auto"/>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rPr>
        <w:t>①施工资质：具备市政公用工程施工总承包二级以上（含二级）资质，</w:t>
      </w:r>
      <w:r>
        <w:rPr>
          <w:rFonts w:hint="eastAsia" w:ascii="宋体" w:hAnsi="宋体" w:eastAsia="宋体" w:cs="宋体"/>
          <w:color w:val="auto"/>
          <w:kern w:val="2"/>
          <w:sz w:val="24"/>
          <w:szCs w:val="24"/>
          <w:highlight w:val="none"/>
          <w:lang w:val="en-US" w:eastAsia="zh-CN" w:bidi="ar"/>
        </w:rPr>
        <w:t>并持有有效期内安全生产许可证</w:t>
      </w:r>
      <w:r>
        <w:rPr>
          <w:rFonts w:hint="eastAsia" w:hAnsi="宋体" w:eastAsia="宋体" w:cs="宋体"/>
          <w:color w:val="auto"/>
          <w:kern w:val="2"/>
          <w:sz w:val="24"/>
          <w:szCs w:val="24"/>
          <w:highlight w:val="none"/>
          <w:lang w:val="en-US" w:eastAsia="zh-CN" w:bidi="ar"/>
        </w:rPr>
        <w:t>。</w:t>
      </w:r>
    </w:p>
    <w:p w14:paraId="38D79B2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②设计资质必须具备建设行政主管部门颁发的以下资质之一：</w:t>
      </w:r>
    </w:p>
    <w:p w14:paraId="3C9B6A1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（1）工程设计综合甲级资质；</w:t>
      </w:r>
    </w:p>
    <w:p w14:paraId="557D61F7">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（2）工程设计市政行业乙级以上（含乙级）资质；</w:t>
      </w:r>
    </w:p>
    <w:p w14:paraId="59CAA0D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（3）工程设计市政行业(燃气工程、轨道交通工程除外)乙级以上（含乙级）资质；</w:t>
      </w:r>
    </w:p>
    <w:p w14:paraId="02A7FF3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（4）工程设计市政行业(给水工程、排水工程)专业乙级以上（含乙级）资质。</w:t>
      </w:r>
    </w:p>
    <w:p w14:paraId="7DF99BFA">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kern w:val="0"/>
          <w:sz w:val="24"/>
          <w:szCs w:val="24"/>
          <w:highlight w:val="none"/>
        </w:rPr>
        <w:t>4.2.4</w:t>
      </w:r>
      <w:r>
        <w:rPr>
          <w:rFonts w:hint="eastAsia" w:ascii="宋体" w:hAnsi="宋体" w:eastAsia="宋体" w:cs="宋体"/>
          <w:color w:val="auto"/>
          <w:sz w:val="24"/>
          <w:szCs w:val="24"/>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3BC65D6">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w:t>
      </w:r>
      <w:r>
        <w:rPr>
          <w:rFonts w:hint="eastAsia" w:ascii="宋体" w:hAnsi="宋体" w:eastAsia="宋体" w:cs="宋体"/>
          <w:color w:val="auto"/>
          <w:sz w:val="24"/>
          <w:szCs w:val="24"/>
          <w:highlight w:val="none"/>
        </w:rPr>
        <w:t>相关人员要求</w:t>
      </w:r>
    </w:p>
    <w:p w14:paraId="1CF4AD94">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4.3.1</w:t>
      </w:r>
      <w:r>
        <w:rPr>
          <w:rFonts w:hint="eastAsia"/>
          <w:sz w:val="24"/>
          <w:szCs w:val="24"/>
        </w:rPr>
        <w:t>拟派项目经理为具有市政公用工程专业一级注册建造师，一级注册建造师应持有国家住建部印发的有效注册证书。同时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color w:val="auto"/>
          <w:sz w:val="24"/>
          <w:szCs w:val="24"/>
          <w:highlight w:val="none"/>
        </w:rPr>
        <w:t>。</w:t>
      </w:r>
    </w:p>
    <w:p w14:paraId="580752CB">
      <w:pPr>
        <w:pStyle w:val="40"/>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4.3.2</w:t>
      </w:r>
      <w:r>
        <w:rPr>
          <w:rFonts w:hint="eastAsia" w:ascii="宋体" w:hAnsi="宋体" w:eastAsia="宋体" w:cs="宋体"/>
          <w:b/>
          <w:bCs/>
          <w:color w:val="auto"/>
          <w:kern w:val="0"/>
          <w:sz w:val="24"/>
          <w:szCs w:val="24"/>
          <w:highlight w:val="none"/>
          <w:lang w:val="en-US" w:eastAsia="zh-CN"/>
        </w:rPr>
        <w:t xml:space="preserve"> </w:t>
      </w:r>
      <w:r>
        <w:rPr>
          <w:rFonts w:hint="eastAsia"/>
          <w:sz w:val="24"/>
          <w:szCs w:val="24"/>
        </w:rPr>
        <w:t>拟派项目技术负责人须具备市政工程相关专业中级或及以上技术职称</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color w:val="auto"/>
          <w:sz w:val="24"/>
          <w:szCs w:val="24"/>
          <w:highlight w:val="none"/>
        </w:rPr>
        <w:t>。</w:t>
      </w:r>
    </w:p>
    <w:p w14:paraId="38D5277D">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4.3.3</w:t>
      </w:r>
      <w:r>
        <w:rPr>
          <w:rFonts w:hint="eastAsia" w:ascii="宋体" w:hAnsi="宋体" w:eastAsia="宋体" w:cs="宋体"/>
          <w:b/>
          <w:bCs/>
          <w:color w:val="auto"/>
          <w:kern w:val="0"/>
          <w:sz w:val="24"/>
          <w:szCs w:val="24"/>
          <w:highlight w:val="none"/>
          <w:lang w:val="en-US" w:eastAsia="zh-CN"/>
        </w:rPr>
        <w:t xml:space="preserve"> </w:t>
      </w:r>
      <w:r>
        <w:rPr>
          <w:rFonts w:hint="eastAsia"/>
          <w:sz w:val="24"/>
          <w:szCs w:val="24"/>
        </w:rPr>
        <w:t>拟派专职安全生产管理人员须具备有效安全生产考核合格证明（C证，安全生产考核合格证书或广东省建筑施工企业管理人员安全生产考核系统考核合格信息打印页），且不少</w:t>
      </w:r>
      <w:r>
        <w:rPr>
          <w:rFonts w:hint="eastAsia"/>
          <w:color w:val="auto"/>
          <w:sz w:val="24"/>
          <w:szCs w:val="24"/>
          <w:highlight w:val="none"/>
        </w:rPr>
        <w:t>于</w:t>
      </w:r>
      <w:r>
        <w:rPr>
          <w:rFonts w:hint="eastAsia"/>
          <w:color w:val="auto"/>
          <w:sz w:val="24"/>
          <w:szCs w:val="24"/>
          <w:highlight w:val="none"/>
          <w:lang w:val="en-US" w:eastAsia="zh-CN"/>
        </w:rPr>
        <w:t>2</w:t>
      </w:r>
      <w:r>
        <w:rPr>
          <w:rFonts w:hint="eastAsia"/>
          <w:color w:val="auto"/>
          <w:sz w:val="24"/>
          <w:szCs w:val="24"/>
          <w:highlight w:val="none"/>
        </w:rPr>
        <w:t>人</w:t>
      </w:r>
      <w:r>
        <w:rPr>
          <w:rFonts w:hint="eastAsia" w:ascii="宋体" w:hAnsi="宋体" w:eastAsia="宋体" w:cs="宋体"/>
          <w:b/>
          <w:bCs/>
          <w:color w:val="auto"/>
          <w:sz w:val="24"/>
          <w:szCs w:val="24"/>
          <w:highlight w:val="none"/>
          <w:lang w:val="zh-CN"/>
        </w:rPr>
        <w:t>（若组成联合体时，由联合体</w:t>
      </w:r>
      <w:r>
        <w:rPr>
          <w:rFonts w:hint="eastAsia" w:ascii="宋体" w:hAnsi="宋体" w:eastAsia="宋体" w:cs="宋体"/>
          <w:b/>
          <w:bCs/>
          <w:color w:val="auto"/>
          <w:sz w:val="24"/>
          <w:szCs w:val="24"/>
          <w:highlight w:val="none"/>
          <w:lang w:val="en-US" w:eastAsia="zh-CN"/>
        </w:rPr>
        <w:t>施工方</w:t>
      </w:r>
      <w:r>
        <w:rPr>
          <w:rFonts w:hint="eastAsia" w:ascii="宋体" w:hAnsi="宋体" w:eastAsia="宋体" w:cs="宋体"/>
          <w:b/>
          <w:bCs/>
          <w:color w:val="auto"/>
          <w:sz w:val="24"/>
          <w:szCs w:val="24"/>
          <w:highlight w:val="none"/>
          <w:lang w:val="zh-CN"/>
        </w:rPr>
        <w:t>提供）</w:t>
      </w:r>
      <w:r>
        <w:rPr>
          <w:rFonts w:hint="eastAsia" w:ascii="宋体" w:hAnsi="宋体" w:eastAsia="宋体" w:cs="宋体"/>
          <w:color w:val="auto"/>
          <w:sz w:val="24"/>
          <w:szCs w:val="24"/>
          <w:highlight w:val="none"/>
        </w:rPr>
        <w:t>。</w:t>
      </w:r>
    </w:p>
    <w:p w14:paraId="5614B558">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rPr>
        <w:t>4.3.4</w:t>
      </w:r>
      <w:r>
        <w:rPr>
          <w:rFonts w:hint="eastAsia" w:ascii="宋体" w:hAnsi="宋体" w:eastAsia="宋体" w:cs="宋体"/>
          <w:b/>
          <w:bCs/>
          <w:color w:val="auto"/>
          <w:kern w:val="0"/>
          <w:sz w:val="24"/>
          <w:szCs w:val="24"/>
          <w:highlight w:val="none"/>
          <w:lang w:val="en-US" w:eastAsia="zh-CN"/>
        </w:rPr>
        <w:t xml:space="preserve"> </w:t>
      </w:r>
      <w:r>
        <w:rPr>
          <w:rFonts w:hint="eastAsia"/>
          <w:sz w:val="24"/>
          <w:szCs w:val="24"/>
        </w:rPr>
        <w:t>拟委派担任本工程的设计负责人必须具备市政工程相关专业中级以上（含中级）技术职称</w:t>
      </w:r>
      <w:r>
        <w:rPr>
          <w:rFonts w:hint="eastAsia" w:ascii="宋体" w:hAnsi="宋体" w:eastAsia="宋体" w:cs="宋体"/>
          <w:b/>
          <w:bCs/>
          <w:color w:val="auto"/>
          <w:sz w:val="24"/>
          <w:szCs w:val="24"/>
          <w:highlight w:val="none"/>
        </w:rPr>
        <w:t>（若组成联合体时，由联合体设计方提供）</w:t>
      </w:r>
      <w:r>
        <w:rPr>
          <w:rFonts w:hint="eastAsia" w:ascii="宋体" w:hAnsi="宋体" w:eastAsia="宋体" w:cs="宋体"/>
          <w:color w:val="auto"/>
          <w:sz w:val="24"/>
          <w:szCs w:val="24"/>
          <w:highlight w:val="none"/>
        </w:rPr>
        <w:t>。</w:t>
      </w:r>
    </w:p>
    <w:p w14:paraId="712465D6">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w:t>
      </w: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358F4294">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w:t>
      </w:r>
      <w:r>
        <w:rPr>
          <w:rFonts w:hint="eastAsia" w:ascii="宋体" w:hAnsi="宋体" w:eastAsia="宋体" w:cs="宋体"/>
          <w:snapToGrid w:val="0"/>
          <w:color w:val="auto"/>
          <w:kern w:val="0"/>
          <w:sz w:val="24"/>
          <w:szCs w:val="24"/>
          <w:highlight w:val="none"/>
        </w:rPr>
        <w:t>禁止投标条款：</w:t>
      </w:r>
    </w:p>
    <w:p w14:paraId="16B2F8D5">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kern w:val="0"/>
          <w:sz w:val="24"/>
          <w:szCs w:val="24"/>
          <w:highlight w:val="none"/>
        </w:rPr>
        <w:t>4.4.1</w:t>
      </w:r>
      <w:r>
        <w:rPr>
          <w:rFonts w:hint="eastAsia" w:ascii="宋体" w:hAnsi="宋体" w:eastAsia="宋体" w:cs="宋体"/>
          <w:snapToGrid w:val="0"/>
          <w:color w:val="auto"/>
          <w:kern w:val="0"/>
          <w:sz w:val="24"/>
          <w:szCs w:val="24"/>
          <w:highlight w:val="none"/>
        </w:rPr>
        <w:t>投标人不得存在下列情形之一：</w:t>
      </w:r>
    </w:p>
    <w:p w14:paraId="7F10250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732B6699">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（2）为本招标工程前期准备提供咨询服务的；</w:t>
      </w:r>
    </w:p>
    <w:p w14:paraId="5FB2499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（3）与本招标工程的其他投标人为同一个单位负责人；</w:t>
      </w:r>
    </w:p>
    <w:p w14:paraId="0194BF51">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（4）与本招标工程的其他投标人存在控股、管理关系；</w:t>
      </w:r>
    </w:p>
    <w:p w14:paraId="265B5A4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（5）为本招标工程的监理人；</w:t>
      </w:r>
    </w:p>
    <w:p w14:paraId="52CA627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（6）为本招标工程的代建人；</w:t>
      </w:r>
    </w:p>
    <w:p w14:paraId="0830E73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（7）为本招标工程的招标代理机构；</w:t>
      </w:r>
    </w:p>
    <w:p w14:paraId="37E9A732">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（8）与本招标工程的监理人或代建人或招标代理机构同为一个法定代表人；</w:t>
      </w:r>
    </w:p>
    <w:p w14:paraId="7D4CF49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（9）与本招标工程的监理人或代建人或招标代理机构存在控股或参股关系；</w:t>
      </w:r>
    </w:p>
    <w:p w14:paraId="16EA906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（10）与本招标工程的监理人或代建人或招标代理机构存在相互任职或工作关系；</w:t>
      </w:r>
    </w:p>
    <w:p w14:paraId="497F262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15250D8B">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60D67201">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1295A1FD">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（14）在最近三年内发生重大工程质量问题或安全问题（以相关行业主管部门的行政处罚决定或司法机关出具的有关法律文书为准）；</w:t>
      </w:r>
    </w:p>
    <w:p w14:paraId="577647A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（15）被“信用中国”网站（https://www.creditchina.gov.cn）发布的《法人和非法人组织公共信用信息报告》列入严重失信主体名单的。</w:t>
      </w:r>
    </w:p>
    <w:p w14:paraId="26D905CE">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4.4.2</w:t>
      </w:r>
      <w:r>
        <w:rPr>
          <w:rFonts w:hint="eastAsia" w:ascii="宋体" w:hAnsi="宋体" w:eastAsia="宋体" w:cs="宋体"/>
          <w:snapToGrid w:val="0"/>
          <w:color w:val="auto"/>
          <w:kern w:val="0"/>
          <w:sz w:val="24"/>
          <w:szCs w:val="24"/>
          <w:highlight w:val="none"/>
        </w:rPr>
        <w:t>招标人拒绝以下名单中的单位参加本次投标：</w:t>
      </w:r>
    </w:p>
    <w:tbl>
      <w:tblPr>
        <w:tblStyle w:val="24"/>
        <w:tblW w:w="8906" w:type="dxa"/>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3567"/>
        <w:gridCol w:w="4593"/>
      </w:tblGrid>
      <w:tr w14:paraId="2ACCA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4656681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567" w:type="dxa"/>
            <w:vAlign w:val="center"/>
          </w:tcPr>
          <w:p w14:paraId="4A2BDFA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4593" w:type="dxa"/>
            <w:vAlign w:val="center"/>
          </w:tcPr>
          <w:p w14:paraId="2A79DD8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原因</w:t>
            </w:r>
          </w:p>
        </w:tc>
      </w:tr>
      <w:tr w14:paraId="5BE6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4B16EC3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567" w:type="dxa"/>
            <w:vAlign w:val="center"/>
          </w:tcPr>
          <w:p w14:paraId="7A2BFB0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南雄市政府投资建设项目代建管理中心</w:t>
            </w:r>
          </w:p>
        </w:tc>
        <w:tc>
          <w:tcPr>
            <w:tcW w:w="4593" w:type="dxa"/>
            <w:vAlign w:val="center"/>
          </w:tcPr>
          <w:p w14:paraId="486D072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76B3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3C05F97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567" w:type="dxa"/>
            <w:vAlign w:val="center"/>
          </w:tcPr>
          <w:p w14:paraId="4B7BA63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南雄市住房和城乡建设局</w:t>
            </w:r>
          </w:p>
        </w:tc>
        <w:tc>
          <w:tcPr>
            <w:tcW w:w="4593" w:type="dxa"/>
            <w:vAlign w:val="center"/>
          </w:tcPr>
          <w:p w14:paraId="65ED90B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为本招标项目的业主单位</w:t>
            </w:r>
          </w:p>
        </w:tc>
      </w:tr>
      <w:tr w14:paraId="1C1F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247907F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val="en-US" w:eastAsia="zh-CN"/>
              </w:rPr>
              <w:t>3</w:t>
            </w:r>
          </w:p>
        </w:tc>
        <w:tc>
          <w:tcPr>
            <w:tcW w:w="3567" w:type="dxa"/>
            <w:vAlign w:val="center"/>
          </w:tcPr>
          <w:p w14:paraId="7326189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eastAsia="zh-CN"/>
              </w:rPr>
            </w:pPr>
            <w:r>
              <w:rPr>
                <w:rFonts w:hint="eastAsia" w:hAnsi="宋体" w:eastAsia="宋体" w:cs="宋体"/>
                <w:color w:val="auto"/>
                <w:sz w:val="24"/>
                <w:szCs w:val="24"/>
                <w:highlight w:val="none"/>
                <w:lang w:eastAsia="zh-CN"/>
              </w:rPr>
              <w:t>广东君霖项目管理有限公司</w:t>
            </w:r>
          </w:p>
        </w:tc>
        <w:tc>
          <w:tcPr>
            <w:tcW w:w="4593" w:type="dxa"/>
            <w:vAlign w:val="center"/>
          </w:tcPr>
          <w:p w14:paraId="75F7E94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6CAA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vAlign w:val="center"/>
          </w:tcPr>
          <w:p w14:paraId="15A1DE5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4</w:t>
            </w:r>
          </w:p>
        </w:tc>
        <w:tc>
          <w:tcPr>
            <w:tcW w:w="3567" w:type="dxa"/>
            <w:vAlign w:val="center"/>
          </w:tcPr>
          <w:p w14:paraId="00D88CEE">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asciiTheme="minorEastAsia" w:hAnsiTheme="minorEastAsia" w:eastAsiaTheme="minorEastAsia" w:cstheme="minorEastAsia"/>
                <w:color w:val="000000" w:themeColor="text1"/>
                <w:szCs w:val="24"/>
                <w:highlight w:val="none"/>
                <w14:textFill>
                  <w14:solidFill>
                    <w14:schemeClr w14:val="tx1"/>
                  </w14:solidFill>
                </w14:textFill>
              </w:rPr>
              <w:t>广州高新工程顾问有限公司</w:t>
            </w:r>
          </w:p>
        </w:tc>
        <w:tc>
          <w:tcPr>
            <w:tcW w:w="4593" w:type="dxa"/>
            <w:vAlign w:val="center"/>
          </w:tcPr>
          <w:p w14:paraId="48D5326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asciiTheme="minorEastAsia" w:hAnsiTheme="minorEastAsia" w:eastAsiaTheme="minorEastAsia" w:cstheme="minorEastAsia"/>
                <w:color w:val="000000" w:themeColor="text1"/>
                <w:szCs w:val="24"/>
                <w:highlight w:val="none"/>
                <w14:textFill>
                  <w14:solidFill>
                    <w14:schemeClr w14:val="tx1"/>
                  </w14:solidFill>
                </w14:textFill>
              </w:rPr>
              <w:t>为本招标项目的可行性研究报告编制单位</w:t>
            </w:r>
          </w:p>
        </w:tc>
      </w:tr>
      <w:tr w14:paraId="233E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shd w:val="clear" w:color="auto" w:fill="auto"/>
            <w:vAlign w:val="center"/>
          </w:tcPr>
          <w:p w14:paraId="1714DD03">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val="en-US" w:eastAsia="zh-CN"/>
              </w:rPr>
              <w:t>5</w:t>
            </w:r>
          </w:p>
        </w:tc>
        <w:tc>
          <w:tcPr>
            <w:tcW w:w="3567" w:type="dxa"/>
            <w:shd w:val="clear" w:color="auto" w:fill="auto"/>
            <w:vAlign w:val="center"/>
          </w:tcPr>
          <w:p w14:paraId="07E44D9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hAnsi="宋体" w:eastAsia="宋体" w:cs="宋体"/>
                <w:color w:val="auto"/>
                <w:sz w:val="24"/>
                <w:szCs w:val="24"/>
                <w:highlight w:val="none"/>
                <w:lang w:eastAsia="zh-CN"/>
              </w:rPr>
              <w:t>南京市测绘勘察研究院股份有限公司</w:t>
            </w:r>
          </w:p>
        </w:tc>
        <w:tc>
          <w:tcPr>
            <w:tcW w:w="4593" w:type="dxa"/>
            <w:shd w:val="clear" w:color="auto" w:fill="auto"/>
            <w:vAlign w:val="center"/>
          </w:tcPr>
          <w:p w14:paraId="497FCE5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勘察</w:t>
            </w:r>
            <w:r>
              <w:rPr>
                <w:rFonts w:hint="eastAsia" w:ascii="宋体" w:hAnsi="宋体" w:eastAsia="宋体" w:cs="宋体"/>
                <w:color w:val="auto"/>
                <w:sz w:val="24"/>
                <w:szCs w:val="24"/>
                <w:highlight w:val="none"/>
                <w:lang w:eastAsia="zh-CN"/>
              </w:rPr>
              <w:t>单位</w:t>
            </w:r>
          </w:p>
        </w:tc>
      </w:tr>
      <w:tr w14:paraId="55AD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6" w:type="dxa"/>
            <w:shd w:val="clear" w:color="auto" w:fill="auto"/>
            <w:vAlign w:val="center"/>
          </w:tcPr>
          <w:p w14:paraId="3722B36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6</w:t>
            </w:r>
          </w:p>
        </w:tc>
        <w:tc>
          <w:tcPr>
            <w:tcW w:w="3567" w:type="dxa"/>
            <w:shd w:val="clear" w:color="auto" w:fill="auto"/>
            <w:vAlign w:val="center"/>
          </w:tcPr>
          <w:p w14:paraId="228FF77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待定</w:t>
            </w:r>
          </w:p>
        </w:tc>
        <w:tc>
          <w:tcPr>
            <w:tcW w:w="4593" w:type="dxa"/>
            <w:shd w:val="clear" w:color="auto" w:fill="auto"/>
            <w:vAlign w:val="center"/>
          </w:tcPr>
          <w:p w14:paraId="7978C4C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为本招标项目的监理单位</w:t>
            </w:r>
          </w:p>
        </w:tc>
      </w:tr>
    </w:tbl>
    <w:p w14:paraId="7DC39705">
      <w:pPr>
        <w:pageBreakBefore w:val="0"/>
        <w:kinsoku/>
        <w:wordWrap w:val="0"/>
        <w:overflowPunct/>
        <w:topLinePunct w:val="0"/>
        <w:bidi w:val="0"/>
        <w:adjustRightInd w:val="0"/>
        <w:snapToGrid w:val="0"/>
        <w:spacing w:line="440" w:lineRule="exact"/>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省外企业（包括组成联合体的所有成员单位）</w:t>
      </w:r>
      <w:r>
        <w:rPr>
          <w:rFonts w:hint="eastAsia" w:ascii="宋体" w:hAnsi="宋体" w:eastAsia="宋体" w:cs="宋体"/>
          <w:color w:val="auto"/>
          <w:sz w:val="24"/>
          <w:szCs w:val="24"/>
          <w:highlight w:val="none"/>
        </w:rPr>
        <w:t>及其拟派往本项目管理机构的所有人员均</w:t>
      </w:r>
      <w:r>
        <w:rPr>
          <w:rFonts w:hint="eastAsia" w:ascii="宋体" w:hAnsi="宋体" w:eastAsia="宋体" w:cs="宋体"/>
          <w:snapToGrid w:val="0"/>
          <w:color w:val="auto"/>
          <w:kern w:val="0"/>
          <w:sz w:val="24"/>
          <w:szCs w:val="24"/>
          <w:highlight w:val="none"/>
        </w:rPr>
        <w:t>须按照《广东省住房和城乡建设厅关于取消省外建筑企业和人员进粤信息备案有关工作的通知》（粤建市﹝2015﹞52号）规定在“进粤企业和人员诚信信息登记平台”录入相关信息并通过数据规范检查。</w:t>
      </w:r>
    </w:p>
    <w:p w14:paraId="1389BE0E">
      <w:pPr>
        <w:pStyle w:val="39"/>
        <w:keepNext/>
        <w:keepLines/>
        <w:pageBreakBefore w:val="0"/>
        <w:kinsoku/>
        <w:overflowPunct/>
        <w:topLinePunct w:val="0"/>
        <w:bidi w:val="0"/>
        <w:spacing w:line="440" w:lineRule="exact"/>
        <w:ind w:firstLine="482" w:firstLineChars="200"/>
        <w:jc w:val="both"/>
        <w:textAlignment w:val="auto"/>
        <w:rPr>
          <w:rFonts w:hint="eastAsia" w:ascii="宋体" w:hAnsi="宋体" w:eastAsia="宋体" w:cs="宋体"/>
          <w:b/>
          <w:color w:val="auto"/>
          <w:kern w:val="2"/>
          <w:sz w:val="24"/>
          <w:szCs w:val="24"/>
          <w:highlight w:val="none"/>
        </w:rPr>
      </w:pPr>
      <w:bookmarkStart w:id="68" w:name="_Toc2707"/>
      <w:bookmarkStart w:id="69" w:name="_Toc20378"/>
      <w:bookmarkStart w:id="70" w:name="_Toc18291"/>
      <w:bookmarkStart w:id="71" w:name="_Toc18979"/>
      <w:bookmarkStart w:id="72" w:name="_Toc24391"/>
      <w:bookmarkStart w:id="73" w:name="_Toc17645"/>
      <w:bookmarkStart w:id="74" w:name="_Toc3588"/>
      <w:bookmarkStart w:id="75" w:name="_Toc3094"/>
      <w:bookmarkStart w:id="76" w:name="_Toc8294"/>
      <w:r>
        <w:rPr>
          <w:rFonts w:hint="eastAsia" w:ascii="宋体" w:hAnsi="宋体" w:eastAsia="宋体" w:cs="宋体"/>
          <w:b/>
          <w:color w:val="auto"/>
          <w:kern w:val="2"/>
          <w:sz w:val="24"/>
          <w:szCs w:val="24"/>
          <w:highlight w:val="none"/>
        </w:rPr>
        <w:t>5 、工程招标内容及要求</w:t>
      </w:r>
      <w:bookmarkEnd w:id="68"/>
      <w:bookmarkEnd w:id="69"/>
      <w:bookmarkEnd w:id="70"/>
      <w:bookmarkEnd w:id="71"/>
      <w:bookmarkEnd w:id="72"/>
      <w:bookmarkEnd w:id="73"/>
      <w:bookmarkEnd w:id="74"/>
      <w:bookmarkEnd w:id="75"/>
      <w:bookmarkEnd w:id="76"/>
    </w:p>
    <w:p w14:paraId="6438F23D">
      <w:pPr>
        <w:pStyle w:val="45"/>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设计阶段包括所有相关报建、报批、施工设计文件、施工图设计、施工图预算（含工程量清单）及施工配合、后续设计服务工作等</w:t>
      </w:r>
      <w:r>
        <w:rPr>
          <w:rFonts w:hint="eastAsia" w:ascii="宋体" w:hAnsi="宋体" w:eastAsia="宋体" w:cs="宋体"/>
          <w:color w:val="auto"/>
          <w:sz w:val="24"/>
          <w:szCs w:val="24"/>
          <w:highlight w:val="none"/>
        </w:rPr>
        <w:t>；</w:t>
      </w:r>
    </w:p>
    <w:p w14:paraId="2CFBB6A4">
      <w:pPr>
        <w:pStyle w:val="45"/>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施工包括施工图设计文件及工程量清单范围内的所有工程及配套设施等的施工及配合阶段验收、档案整理、保修期维护等总承包范围工作。</w:t>
      </w:r>
    </w:p>
    <w:p w14:paraId="5082342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5.1本次设计工程的内容及要求：</w:t>
      </w:r>
    </w:p>
    <w:p w14:paraId="3FAA00AE">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5.5.1</w:t>
      </w:r>
      <w:r>
        <w:rPr>
          <w:rFonts w:hint="eastAsia" w:ascii="宋体" w:hAnsi="宋体" w:eastAsia="宋体" w:cs="宋体"/>
          <w:snapToGrid w:val="0"/>
          <w:color w:val="auto"/>
          <w:kern w:val="0"/>
          <w:sz w:val="24"/>
          <w:szCs w:val="24"/>
          <w:highlight w:val="none"/>
        </w:rPr>
        <w:t>本次设计工程的内容及要求：</w:t>
      </w:r>
    </w:p>
    <w:p w14:paraId="3BE21A63">
      <w:pPr>
        <w:pStyle w:val="45"/>
        <w:pageBreakBefore w:val="0"/>
        <w:widowControl/>
        <w:kinsoku/>
        <w:overflowPunct/>
        <w:topLinePunct w:val="0"/>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5.1.1.1</w:t>
      </w:r>
      <w:r>
        <w:rPr>
          <w:rFonts w:hint="eastAsia" w:ascii="宋体" w:hAnsi="宋体" w:eastAsia="宋体" w:cs="宋体"/>
          <w:color w:val="auto"/>
          <w:sz w:val="24"/>
          <w:szCs w:val="24"/>
          <w:highlight w:val="none"/>
        </w:rPr>
        <w:t>本项目设计包括工程所有专业及其配套设施工程和其他工程等所有招标范围工程项目报建、报批、施工设计文件、施工图（含配套附属工程等）设计（含预算编制）的编制。</w:t>
      </w:r>
    </w:p>
    <w:p w14:paraId="3D8ACEF9">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5.1.1.2</w:t>
      </w:r>
      <w:r>
        <w:rPr>
          <w:rFonts w:hint="eastAsia" w:ascii="宋体" w:hAnsi="宋体" w:eastAsia="宋体" w:cs="宋体"/>
          <w:color w:val="auto"/>
          <w:sz w:val="24"/>
          <w:szCs w:val="24"/>
          <w:highlight w:val="none"/>
        </w:rPr>
        <w:t>本工程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本工程施工图设计必须先经招标人确认才能送审，并经招标人委托的有资质的审图机构审查合格。若招标人或审图机构在审查过程中提出的设计修改或变更，中标人必须无条件进行修改或优化设计，招标人不再支付由此而增加的设计费用。</w:t>
      </w:r>
    </w:p>
    <w:p w14:paraId="00A596FB">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5.1.1.3</w:t>
      </w:r>
      <w:r>
        <w:rPr>
          <w:rFonts w:hint="eastAsia" w:ascii="宋体" w:hAnsi="宋体" w:eastAsia="宋体" w:cs="宋体"/>
          <w:color w:val="auto"/>
          <w:sz w:val="24"/>
          <w:szCs w:val="24"/>
          <w:highlight w:val="none"/>
        </w:rPr>
        <w:t>本工程设计要求的质量标准：符合国家或行业颁布的现行有效的有关设计的规范要求，符合设计任务书的相关要求，且必须通过有关部门的审查及经有资质的审图机构审查合格。</w:t>
      </w:r>
    </w:p>
    <w:p w14:paraId="7FAFFB4F">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5.2</w:t>
      </w:r>
      <w:r>
        <w:rPr>
          <w:rFonts w:hint="eastAsia" w:ascii="宋体" w:hAnsi="宋体" w:eastAsia="宋体" w:cs="宋体"/>
          <w:color w:val="auto"/>
          <w:sz w:val="24"/>
          <w:szCs w:val="24"/>
          <w:highlight w:val="none"/>
        </w:rPr>
        <w:t>设计承包内容：中标人按合同约定、招标文件内容要求、法律法规及国家强制性标准要求提供完整的设计文件及建设期间的服务等内容。</w:t>
      </w:r>
    </w:p>
    <w:p w14:paraId="33C47002">
      <w:pPr>
        <w:pStyle w:val="45"/>
        <w:keepNext w:val="0"/>
        <w:keepLines w:val="0"/>
        <w:pageBreakBefore w:val="0"/>
        <w:widowControl/>
        <w:kinsoku/>
        <w:wordWrap/>
        <w:overflowPunct/>
        <w:topLinePunct w:val="0"/>
        <w:autoSpaceDE/>
        <w:autoSpaceDN/>
        <w:bidi w:val="0"/>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施工图设计文件（含施工图预算）1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套、施工图预算（含工程量清单）5套。提供的所有资料均含电子版（含CAD及PDF文件格式）。</w:t>
      </w:r>
    </w:p>
    <w:p w14:paraId="0F6019EB">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5.3</w:t>
      </w:r>
      <w:r>
        <w:rPr>
          <w:rFonts w:hint="eastAsia" w:ascii="宋体" w:hAnsi="宋体" w:eastAsia="宋体" w:cs="宋体"/>
          <w:color w:val="auto"/>
          <w:sz w:val="24"/>
          <w:szCs w:val="24"/>
          <w:highlight w:val="none"/>
        </w:rPr>
        <w:t xml:space="preserve"> 中标人要按照批准的设计任务书、投资概算、批准的可行性研究报告、初步设计成果资料等控制施工图设计及施工图预算，即限额设计。中标人要无条件对设计文件出现的遗漏或错误负责修改或补充、优化设计，直到满足要求。</w:t>
      </w:r>
    </w:p>
    <w:p w14:paraId="064FB3E5">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5.4</w:t>
      </w:r>
      <w:r>
        <w:rPr>
          <w:rFonts w:hint="eastAsia" w:ascii="宋体" w:hAnsi="宋体" w:eastAsia="宋体" w:cs="宋体"/>
          <w:color w:val="auto"/>
          <w:sz w:val="24"/>
          <w:szCs w:val="24"/>
          <w:highlight w:val="none"/>
        </w:rPr>
        <w:t xml:space="preserve"> 施工期间若遇到工程变更、突发事件或不可预见的事件等情况，中标人接到建设单位或监理单位通知后应当立即到达施工现场，研究并及时处理问题。</w:t>
      </w:r>
    </w:p>
    <w:p w14:paraId="36E456A7">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5.5关于设计深度的要求</w:t>
      </w:r>
    </w:p>
    <w:p w14:paraId="483B3962">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5.5.1</w:t>
      </w:r>
      <w:r>
        <w:rPr>
          <w:rFonts w:hint="eastAsia" w:ascii="宋体" w:hAnsi="宋体" w:eastAsia="宋体" w:cs="宋体"/>
          <w:color w:val="auto"/>
          <w:sz w:val="24"/>
          <w:szCs w:val="24"/>
          <w:highlight w:val="none"/>
        </w:rPr>
        <w:t>按现行的设计文件深度规定等有关技术标准、设计规范（标准）要求。</w:t>
      </w:r>
    </w:p>
    <w:p w14:paraId="0EEB8473">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5.5.2</w:t>
      </w:r>
      <w:r>
        <w:rPr>
          <w:rFonts w:hint="eastAsia" w:ascii="宋体" w:hAnsi="宋体" w:eastAsia="宋体" w:cs="宋体"/>
          <w:color w:val="auto"/>
          <w:sz w:val="24"/>
          <w:szCs w:val="24"/>
          <w:highlight w:val="none"/>
        </w:rPr>
        <w:t>各专业设计应同步进行，中标人应指定总体中标人统筹布局，做好各项设施的协调和衔接、位置预留，不得留待施工中临时变更。</w:t>
      </w:r>
    </w:p>
    <w:p w14:paraId="5FC754B5">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5.5.3</w:t>
      </w:r>
      <w:r>
        <w:rPr>
          <w:rFonts w:hint="eastAsia" w:ascii="宋体" w:hAnsi="宋体" w:eastAsia="宋体" w:cs="宋体"/>
          <w:color w:val="auto"/>
          <w:sz w:val="24"/>
          <w:szCs w:val="24"/>
          <w:highlight w:val="none"/>
        </w:rPr>
        <w:t>对技术复杂或造价、规模较大的主要分项工程应作方案比较。</w:t>
      </w:r>
    </w:p>
    <w:p w14:paraId="5B573A26">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5.5.4</w:t>
      </w:r>
      <w:r>
        <w:rPr>
          <w:rFonts w:hint="eastAsia" w:ascii="宋体" w:hAnsi="宋体" w:eastAsia="宋体" w:cs="宋体"/>
          <w:color w:val="auto"/>
          <w:sz w:val="24"/>
          <w:szCs w:val="24"/>
          <w:highlight w:val="none"/>
        </w:rPr>
        <w:t>施工图设计文件的深度，应当满足预算的编制需求以及施工要求；重点设备应注明建设工程合理使用年限。</w:t>
      </w:r>
    </w:p>
    <w:p w14:paraId="1D35869A">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5.5.5</w:t>
      </w:r>
      <w:r>
        <w:rPr>
          <w:rFonts w:hint="eastAsia" w:ascii="宋体" w:hAnsi="宋体" w:eastAsia="宋体" w:cs="宋体"/>
          <w:color w:val="auto"/>
          <w:sz w:val="24"/>
          <w:szCs w:val="24"/>
          <w:highlight w:val="none"/>
        </w:rPr>
        <w:t>相关的设计方案需取得政府主管部门或规划部门认可。</w:t>
      </w:r>
    </w:p>
    <w:p w14:paraId="1FB3C215">
      <w:pPr>
        <w:pStyle w:val="45"/>
        <w:keepNext w:val="0"/>
        <w:keepLines w:val="0"/>
        <w:pageBreakBefore w:val="0"/>
        <w:widowControl/>
        <w:kinsoku/>
        <w:wordWrap/>
        <w:overflowPunct/>
        <w:topLinePunct w:val="0"/>
        <w:autoSpaceDE/>
        <w:autoSpaceDN/>
        <w:bidi w:val="0"/>
        <w:spacing w:line="44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5.5.6</w:t>
      </w:r>
      <w:r>
        <w:rPr>
          <w:rFonts w:hint="eastAsia" w:ascii="宋体" w:hAnsi="宋体" w:eastAsia="宋体" w:cs="宋体"/>
          <w:color w:val="auto"/>
          <w:sz w:val="24"/>
          <w:szCs w:val="24"/>
          <w:highlight w:val="none"/>
        </w:rPr>
        <w:t>施工图设计文件应考虑交通维护、临时施工便道、危大工程、对周边建筑物的影响等因素，并提供相应的设计方案及计算书（可另册装订），以指导现场施工及过程评审。</w:t>
      </w:r>
    </w:p>
    <w:p w14:paraId="1412833B">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w:t>
      </w:r>
      <w:r>
        <w:rPr>
          <w:rFonts w:hint="eastAsia" w:ascii="宋体" w:hAnsi="宋体" w:eastAsia="宋体" w:cs="宋体"/>
          <w:b/>
          <w:bCs/>
          <w:color w:val="auto"/>
          <w:kern w:val="0"/>
          <w:sz w:val="24"/>
          <w:szCs w:val="24"/>
          <w:highlight w:val="none"/>
        </w:rPr>
        <w:t>．</w:t>
      </w:r>
      <w:r>
        <w:rPr>
          <w:rFonts w:hint="eastAsia" w:ascii="宋体" w:hAnsi="宋体" w:eastAsia="宋体" w:cs="宋体"/>
          <w:snapToGrid w:val="0"/>
          <w:color w:val="auto"/>
          <w:kern w:val="0"/>
          <w:sz w:val="24"/>
          <w:szCs w:val="24"/>
          <w:highlight w:val="none"/>
        </w:rPr>
        <w:t>设计后期配合施工工作</w:t>
      </w:r>
    </w:p>
    <w:p w14:paraId="5E5B1496">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5.6.1</w:t>
      </w:r>
      <w:r>
        <w:rPr>
          <w:rFonts w:hint="eastAsia" w:ascii="宋体" w:hAnsi="宋体" w:eastAsia="宋体" w:cs="宋体"/>
          <w:b/>
          <w:bCs/>
          <w:color w:val="auto"/>
          <w:kern w:val="0"/>
          <w:sz w:val="24"/>
          <w:szCs w:val="24"/>
          <w:highlight w:val="none"/>
        </w:rPr>
        <w:t>．</w:t>
      </w:r>
      <w:r>
        <w:rPr>
          <w:rFonts w:hint="eastAsia" w:ascii="宋体" w:hAnsi="宋体" w:eastAsia="宋体" w:cs="宋体"/>
          <w:snapToGrid w:val="0"/>
          <w:color w:val="auto"/>
          <w:kern w:val="0"/>
          <w:sz w:val="24"/>
          <w:szCs w:val="24"/>
          <w:highlight w:val="none"/>
        </w:rPr>
        <w:t>施工图设计完成并经有关单位审查后，才能进入施工阶段，设计单位必须按投标文件的承诺至少派1名参与并熟悉本项目设计、有现场处理经验的设计代表驻现场以配合，建设管理单位不另外支付配合施工费用。</w:t>
      </w:r>
    </w:p>
    <w:p w14:paraId="2A41BCAE">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5.6.2</w:t>
      </w:r>
      <w:r>
        <w:rPr>
          <w:rFonts w:hint="eastAsia" w:ascii="宋体" w:hAnsi="宋体" w:eastAsia="宋体" w:cs="宋体"/>
          <w:b/>
          <w:bCs/>
          <w:color w:val="auto"/>
          <w:kern w:val="0"/>
          <w:sz w:val="24"/>
          <w:szCs w:val="24"/>
          <w:highlight w:val="none"/>
        </w:rPr>
        <w:t>．</w:t>
      </w:r>
      <w:r>
        <w:rPr>
          <w:rFonts w:hint="eastAsia" w:ascii="宋体" w:hAnsi="宋体" w:eastAsia="宋体" w:cs="宋体"/>
          <w:snapToGrid w:val="0"/>
          <w:color w:val="auto"/>
          <w:kern w:val="0"/>
          <w:sz w:val="24"/>
          <w:szCs w:val="24"/>
          <w:highlight w:val="none"/>
        </w:rPr>
        <w:t>设计单位配合施工、监理及业主单位的工作内容如下：</w:t>
      </w:r>
    </w:p>
    <w:p w14:paraId="72365B1A">
      <w:pPr>
        <w:pageBreakBefore w:val="0"/>
        <w:numPr>
          <w:ilvl w:val="0"/>
          <w:numId w:val="2"/>
        </w:numPr>
        <w:tabs>
          <w:tab w:val="left" w:pos="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施工图设计（技术）交底；</w:t>
      </w:r>
    </w:p>
    <w:p w14:paraId="22D23FE7">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参加本项目建设有关会议；</w:t>
      </w:r>
    </w:p>
    <w:p w14:paraId="6C97D4BA">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变更设计和所有补充设计；</w:t>
      </w:r>
    </w:p>
    <w:p w14:paraId="4110ED5D">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会签设计变更审批表；</w:t>
      </w:r>
    </w:p>
    <w:p w14:paraId="24ABDD5C">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参加处理施工中发生的工程质量和安全事故；</w:t>
      </w:r>
    </w:p>
    <w:p w14:paraId="60DA67BF">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参加隐蔽工程及工程竣工验收；</w:t>
      </w:r>
    </w:p>
    <w:p w14:paraId="33138AD6">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解决与设计有关的施工问题；</w:t>
      </w:r>
    </w:p>
    <w:p w14:paraId="7CDD963A">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配合质量检测；</w:t>
      </w:r>
    </w:p>
    <w:p w14:paraId="3EB33457">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参加审查施工单位的施工组织设计和专项施工方案；</w:t>
      </w:r>
    </w:p>
    <w:p w14:paraId="2A3A45D6">
      <w:pPr>
        <w:pageBreakBefore w:val="0"/>
        <w:numPr>
          <w:ilvl w:val="0"/>
          <w:numId w:val="2"/>
        </w:numPr>
        <w:tabs>
          <w:tab w:val="left" w:pos="240"/>
        </w:tabs>
        <w:kinsoku/>
        <w:overflowPunct/>
        <w:topLinePunct w:val="0"/>
        <w:bidi w:val="0"/>
        <w:spacing w:line="440" w:lineRule="exact"/>
        <w:ind w:left="240" w:lef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在监理招标期间配合建设及相关单位解释及完善施工图相关内容。</w:t>
      </w:r>
    </w:p>
    <w:p w14:paraId="329DE1DA">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5.6.3</w:t>
      </w:r>
      <w:r>
        <w:rPr>
          <w:rFonts w:hint="eastAsia" w:ascii="宋体" w:hAnsi="宋体" w:eastAsia="宋体" w:cs="宋体"/>
          <w:snapToGrid w:val="0"/>
          <w:color w:val="auto"/>
          <w:kern w:val="0"/>
          <w:sz w:val="24"/>
          <w:szCs w:val="24"/>
          <w:highlight w:val="none"/>
        </w:rPr>
        <w:t>设计工作技术总结</w:t>
      </w:r>
    </w:p>
    <w:p w14:paraId="0FEB351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人对设计文件及施工过程中发生的补充设计进行检查，并提出设计文件质量检查报告，在竣工验收前交招标人。工程完工后，中标人应组织设计技术工作人员将全部资料进行整理并撰写工程技术总结，并于竣工后一个月内完成，交招标人。</w:t>
      </w:r>
    </w:p>
    <w:p w14:paraId="19F7535B">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w:t>
      </w:r>
      <w:r>
        <w:rPr>
          <w:rFonts w:hint="eastAsia" w:ascii="宋体" w:hAnsi="宋体" w:eastAsia="宋体" w:cs="宋体"/>
          <w:snapToGrid w:val="0"/>
          <w:color w:val="auto"/>
          <w:kern w:val="0"/>
          <w:sz w:val="24"/>
          <w:szCs w:val="24"/>
          <w:highlight w:val="none"/>
        </w:rPr>
        <w:t>限额设计要求：</w:t>
      </w:r>
    </w:p>
    <w:p w14:paraId="158A2D4E">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5.7.1</w:t>
      </w:r>
      <w:r>
        <w:rPr>
          <w:rFonts w:hint="eastAsia" w:ascii="宋体" w:hAnsi="宋体" w:eastAsia="宋体" w:cs="宋体"/>
          <w:snapToGrid w:val="0"/>
          <w:color w:val="auto"/>
          <w:kern w:val="0"/>
          <w:sz w:val="24"/>
          <w:szCs w:val="24"/>
          <w:highlight w:val="none"/>
        </w:rPr>
        <w:t>施工图预算中的建安工程费预算价不得超过经发改部门审定的概算建安工程费</w:t>
      </w:r>
      <w:r>
        <w:rPr>
          <w:rFonts w:hint="eastAsia" w:ascii="宋体" w:hAnsi="宋体" w:eastAsia="宋体" w:cs="宋体"/>
          <w:color w:val="auto"/>
          <w:sz w:val="24"/>
          <w:szCs w:val="24"/>
          <w:highlight w:val="none"/>
        </w:rPr>
        <w:t>且不得超过建安工程费的中标价</w:t>
      </w:r>
      <w:r>
        <w:rPr>
          <w:rFonts w:hint="eastAsia" w:ascii="宋体" w:hAnsi="宋体" w:eastAsia="宋体" w:cs="宋体"/>
          <w:snapToGrid w:val="0"/>
          <w:color w:val="auto"/>
          <w:kern w:val="0"/>
          <w:sz w:val="24"/>
          <w:szCs w:val="24"/>
          <w:highlight w:val="none"/>
        </w:rPr>
        <w:t>。</w:t>
      </w:r>
    </w:p>
    <w:p w14:paraId="761BF253">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5.7.2</w:t>
      </w:r>
      <w:r>
        <w:rPr>
          <w:rFonts w:hint="eastAsia" w:ascii="宋体" w:hAnsi="宋体" w:eastAsia="宋体" w:cs="宋体"/>
          <w:snapToGrid w:val="0"/>
          <w:color w:val="auto"/>
          <w:kern w:val="0"/>
          <w:sz w:val="24"/>
          <w:szCs w:val="24"/>
          <w:highlight w:val="none"/>
        </w:rPr>
        <w:t>中标人在提交设计施工图时必须同时提交施工图预算。施工图预算作为中标人自我核算是否符合限额设计要求的依据。若造价咨询单位按施工图编制或审核的建安工程费高于5.7.1条规定时，中标人必须无条件对施工图进行修改，直至满足限额设计要求，</w:t>
      </w:r>
      <w:r>
        <w:rPr>
          <w:rFonts w:hint="eastAsia" w:ascii="宋体" w:hAnsi="宋体" w:eastAsia="宋体" w:cs="宋体"/>
          <w:color w:val="auto"/>
          <w:sz w:val="24"/>
          <w:szCs w:val="24"/>
          <w:highlight w:val="none"/>
        </w:rPr>
        <w:t>不另行增加设计费</w:t>
      </w:r>
      <w:r>
        <w:rPr>
          <w:rFonts w:hint="eastAsia" w:ascii="宋体" w:hAnsi="宋体" w:eastAsia="宋体" w:cs="宋体"/>
          <w:snapToGrid w:val="0"/>
          <w:color w:val="auto"/>
          <w:kern w:val="0"/>
          <w:sz w:val="24"/>
          <w:szCs w:val="24"/>
          <w:highlight w:val="none"/>
        </w:rPr>
        <w:t>。由此造成造价咨询单位重复编制或审核施工图预算的费用由中标人承担，结算时在设计费中扣除。</w:t>
      </w:r>
    </w:p>
    <w:p w14:paraId="5BA3652C">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5.7.3</w:t>
      </w:r>
      <w:r>
        <w:rPr>
          <w:rFonts w:hint="eastAsia" w:ascii="宋体" w:hAnsi="宋体" w:eastAsia="宋体" w:cs="宋体"/>
          <w:snapToGrid w:val="0"/>
          <w:color w:val="auto"/>
          <w:kern w:val="0"/>
          <w:sz w:val="24"/>
          <w:szCs w:val="24"/>
          <w:highlight w:val="none"/>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14:paraId="52C7612F">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5.8</w:t>
      </w:r>
      <w:r>
        <w:rPr>
          <w:rFonts w:hint="eastAsia" w:ascii="宋体" w:hAnsi="宋体" w:eastAsia="宋体" w:cs="宋体"/>
          <w:snapToGrid w:val="0"/>
          <w:color w:val="auto"/>
          <w:kern w:val="0"/>
          <w:sz w:val="24"/>
          <w:szCs w:val="24"/>
          <w:highlight w:val="none"/>
        </w:rPr>
        <w:t>设计时需要考虑与周边环境相结合。</w:t>
      </w:r>
    </w:p>
    <w:p w14:paraId="3102050D">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5.9</w:t>
      </w:r>
      <w:r>
        <w:rPr>
          <w:rFonts w:hint="eastAsia" w:ascii="宋体" w:hAnsi="宋体" w:eastAsia="宋体" w:cs="宋体"/>
          <w:snapToGrid w:val="0"/>
          <w:color w:val="auto"/>
          <w:kern w:val="0"/>
          <w:sz w:val="24"/>
          <w:szCs w:val="24"/>
          <w:highlight w:val="none"/>
        </w:rPr>
        <w:t>凡参加本次招标的投标人被视为已充分认识和理解了任何与本工程有关的影响事项和困难等情况。</w:t>
      </w:r>
    </w:p>
    <w:p w14:paraId="3B833664">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u w:val="single"/>
        </w:rPr>
        <w:t>（注：上述招标内容</w:t>
      </w:r>
      <w:r>
        <w:rPr>
          <w:rFonts w:hint="eastAsia" w:ascii="宋体" w:hAnsi="宋体" w:eastAsia="宋体" w:cs="宋体"/>
          <w:b/>
          <w:bCs/>
          <w:snapToGrid w:val="0"/>
          <w:color w:val="auto"/>
          <w:kern w:val="0"/>
          <w:sz w:val="24"/>
          <w:szCs w:val="24"/>
          <w:highlight w:val="none"/>
          <w:u w:val="single"/>
          <w:lang w:val="en-US" w:eastAsia="zh-CN"/>
        </w:rPr>
        <w:t>招标人</w:t>
      </w:r>
      <w:r>
        <w:rPr>
          <w:rFonts w:hint="eastAsia" w:ascii="宋体" w:hAnsi="宋体" w:eastAsia="宋体" w:cs="宋体"/>
          <w:b/>
          <w:bCs/>
          <w:snapToGrid w:val="0"/>
          <w:color w:val="auto"/>
          <w:kern w:val="0"/>
          <w:sz w:val="24"/>
          <w:szCs w:val="24"/>
          <w:highlight w:val="none"/>
          <w:u w:val="single"/>
        </w:rPr>
        <w:t>在实施过程中可根据实际情况对工程规模、任务内容等进行合理、适当调整。）</w:t>
      </w:r>
    </w:p>
    <w:p w14:paraId="2AB6C479">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trike w:val="0"/>
          <w:dstrike w:val="0"/>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5.10</w:t>
      </w:r>
      <w:r>
        <w:rPr>
          <w:rFonts w:hint="eastAsia" w:ascii="宋体" w:hAnsi="宋体" w:eastAsia="宋体" w:cs="宋体"/>
          <w:snapToGrid w:val="0"/>
          <w:color w:val="auto"/>
          <w:kern w:val="0"/>
          <w:sz w:val="24"/>
          <w:szCs w:val="24"/>
          <w:highlight w:val="none"/>
        </w:rPr>
        <w:t>工程技术要求：本工程须严格以国家和广东省的有关施工技术规范及现行标准为依据</w:t>
      </w:r>
      <w:bookmarkStart w:id="77" w:name="_Hlt74496021"/>
      <w:bookmarkEnd w:id="77"/>
      <w:r>
        <w:rPr>
          <w:rFonts w:hint="eastAsia" w:ascii="宋体" w:hAnsi="宋体" w:eastAsia="宋体" w:cs="宋体"/>
          <w:snapToGrid w:val="0"/>
          <w:color w:val="auto"/>
          <w:kern w:val="0"/>
          <w:sz w:val="24"/>
          <w:szCs w:val="24"/>
          <w:highlight w:val="none"/>
        </w:rPr>
        <w:t>，工程必须达到《建筑工程施工质量验收统一标准》(GB50300-2013)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color w:val="auto"/>
          <w:sz w:val="24"/>
          <w:szCs w:val="24"/>
          <w:highlight w:val="none"/>
        </w:rPr>
        <w:t>《建筑与市政工程施工质量控制通用规范》（GB55032-2022）</w:t>
      </w:r>
      <w:r>
        <w:rPr>
          <w:rFonts w:hint="eastAsia" w:ascii="宋体" w:hAnsi="宋体" w:eastAsia="宋体" w:cs="宋体"/>
          <w:snapToGrid w:val="0"/>
          <w:color w:val="auto"/>
          <w:kern w:val="0"/>
          <w:sz w:val="24"/>
          <w:szCs w:val="24"/>
          <w:highlight w:val="none"/>
        </w:rPr>
        <w:t>合格标准，如工程未达到合格标准，中标人则按合同价款的1%向招标人缴纳质量违约金，返修费用由中标人承担，同时，招标人有权就因此造成的损失向中标人索赔。招标人有权提请建设行政主管部门对其作不良行为记录</w:t>
      </w:r>
      <w:r>
        <w:rPr>
          <w:rFonts w:hint="eastAsia" w:ascii="宋体" w:hAnsi="宋体" w:eastAsia="宋体" w:cs="宋体"/>
          <w:strike w:val="0"/>
          <w:dstrike w:val="0"/>
          <w:snapToGrid w:val="0"/>
          <w:color w:val="auto"/>
          <w:kern w:val="0"/>
          <w:sz w:val="24"/>
          <w:szCs w:val="24"/>
          <w:highlight w:val="none"/>
        </w:rPr>
        <w:t>，有权给予中标人履约评价为不合格</w:t>
      </w:r>
      <w:r>
        <w:rPr>
          <w:rFonts w:hint="eastAsia" w:ascii="宋体" w:hAnsi="宋体" w:eastAsia="宋体" w:cs="宋体"/>
          <w:strike w:val="0"/>
          <w:dstrike w:val="0"/>
          <w:snapToGrid w:val="0"/>
          <w:color w:val="auto"/>
          <w:kern w:val="0"/>
          <w:sz w:val="24"/>
          <w:szCs w:val="24"/>
          <w:highlight w:val="none"/>
          <w:lang w:eastAsia="zh-CN"/>
        </w:rPr>
        <w:t>。</w:t>
      </w:r>
    </w:p>
    <w:p w14:paraId="144F38C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5.11</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中标人在施工中如果工程质量不符合设计要求和有关规定，招标人或监理单位要求停工和返工的必须立即执行，并由中标人承担由此产生的各种费用，工期不予顺延。</w:t>
      </w:r>
    </w:p>
    <w:p w14:paraId="2A176299">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5.12 </w:t>
      </w:r>
      <w:r>
        <w:rPr>
          <w:rFonts w:hint="eastAsia" w:ascii="宋体" w:hAnsi="宋体" w:eastAsia="宋体" w:cs="宋体"/>
          <w:snapToGrid w:val="0"/>
          <w:color w:val="auto"/>
          <w:kern w:val="0"/>
          <w:sz w:val="24"/>
          <w:szCs w:val="24"/>
          <w:highlight w:val="none"/>
        </w:rPr>
        <w:t>保修期限按中华人民共和国国务院令第279号文《建设工程质量管理条例》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A3D298A">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5.13 </w:t>
      </w:r>
      <w:r>
        <w:rPr>
          <w:rFonts w:hint="eastAsia" w:ascii="宋体" w:hAnsi="宋体" w:eastAsia="宋体" w:cs="宋体"/>
          <w:snapToGrid w:val="0"/>
          <w:color w:val="auto"/>
          <w:kern w:val="0"/>
          <w:sz w:val="24"/>
          <w:szCs w:val="24"/>
          <w:highlight w:val="none"/>
        </w:rPr>
        <w:t>工程使用的主要材料质量要求：不低于国家规范及强制标准所列的要求。主要材料必须先提供样板或相关资料给招标人、业主同意确定其规格、型号、颜色、等级等，</w:t>
      </w:r>
      <w:r>
        <w:rPr>
          <w:rFonts w:hint="eastAsia" w:ascii="宋体" w:hAnsi="宋体" w:eastAsia="宋体" w:cs="宋体"/>
          <w:snapToGrid w:val="0"/>
          <w:color w:val="auto"/>
          <w:kern w:val="0"/>
          <w:sz w:val="24"/>
          <w:szCs w:val="24"/>
          <w:highlight w:val="none"/>
          <w:lang w:val="zh-CN"/>
        </w:rPr>
        <w:t>并经检测部门检测合格</w:t>
      </w:r>
      <w:r>
        <w:rPr>
          <w:rFonts w:hint="eastAsia" w:ascii="宋体" w:hAnsi="宋体" w:eastAsia="宋体" w:cs="宋体"/>
          <w:snapToGrid w:val="0"/>
          <w:color w:val="auto"/>
          <w:kern w:val="0"/>
          <w:sz w:val="24"/>
          <w:szCs w:val="24"/>
          <w:highlight w:val="none"/>
        </w:rPr>
        <w:t>方可使用，所有材料必须使用合格产品。</w:t>
      </w:r>
      <w:bookmarkStart w:id="78" w:name="_Hlt74493474"/>
      <w:bookmarkEnd w:id="78"/>
      <w:bookmarkStart w:id="79" w:name="_Hlt111690342"/>
      <w:bookmarkEnd w:id="79"/>
      <w:bookmarkStart w:id="80" w:name="_Hlt69699204"/>
      <w:bookmarkEnd w:id="80"/>
      <w:bookmarkStart w:id="81" w:name="_Hlt74496537"/>
      <w:bookmarkEnd w:id="81"/>
      <w:bookmarkStart w:id="82" w:name="_Hlt88974078"/>
      <w:bookmarkEnd w:id="82"/>
      <w:bookmarkStart w:id="83" w:name="_Hlt120502666"/>
      <w:bookmarkEnd w:id="83"/>
      <w:bookmarkStart w:id="84" w:name="_Hlt69356505"/>
      <w:bookmarkEnd w:id="84"/>
      <w:bookmarkStart w:id="85" w:name="_Hlt121563076"/>
      <w:bookmarkEnd w:id="85"/>
    </w:p>
    <w:p w14:paraId="67407B76">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86" w:name="_Toc20827"/>
      <w:bookmarkStart w:id="87" w:name="_Toc19652"/>
      <w:bookmarkStart w:id="88" w:name="_Toc16432"/>
      <w:bookmarkStart w:id="89" w:name="_Toc10812"/>
      <w:bookmarkStart w:id="90" w:name="_Toc24793"/>
      <w:bookmarkStart w:id="91" w:name="_Toc19911"/>
      <w:bookmarkStart w:id="92" w:name="_Toc3193"/>
      <w:bookmarkStart w:id="93" w:name="_Toc17958"/>
      <w:bookmarkStart w:id="94" w:name="_Toc12891"/>
      <w:r>
        <w:rPr>
          <w:rFonts w:hint="eastAsia" w:ascii="宋体" w:hAnsi="宋体" w:eastAsia="宋体" w:cs="宋体"/>
          <w:b/>
          <w:color w:val="auto"/>
          <w:kern w:val="2"/>
          <w:sz w:val="24"/>
          <w:szCs w:val="24"/>
          <w:highlight w:val="none"/>
        </w:rPr>
        <w:t>6 、招标工程施工条件及现场踏勘</w:t>
      </w:r>
      <w:bookmarkEnd w:id="86"/>
      <w:bookmarkEnd w:id="87"/>
      <w:bookmarkEnd w:id="88"/>
      <w:bookmarkEnd w:id="89"/>
      <w:bookmarkEnd w:id="90"/>
      <w:bookmarkEnd w:id="91"/>
      <w:bookmarkEnd w:id="92"/>
      <w:bookmarkEnd w:id="93"/>
      <w:bookmarkEnd w:id="94"/>
    </w:p>
    <w:p w14:paraId="37C92E24">
      <w:pPr>
        <w:pStyle w:val="46"/>
        <w:pageBreakBefore w:val="0"/>
        <w:kinsoku/>
        <w:overflowPunct/>
        <w:topLinePunct w:val="0"/>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6.1本工程招标人仅在征地红线范围内提供场地，其他一切场地费用由中标人自行负责（含临时道路）。</w:t>
      </w:r>
    </w:p>
    <w:p w14:paraId="6463F9BF">
      <w:pPr>
        <w:pageBreakBefore w:val="0"/>
        <w:kinsoku/>
        <w:wordWrap w:val="0"/>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 xml:space="preserve"> 6.2 施工用水：</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施工用水及水源由中标人自行解决，费用含在投标报价中，不另计</w:t>
      </w:r>
      <w:r>
        <w:rPr>
          <w:rFonts w:hint="eastAsia" w:ascii="宋体" w:hAnsi="宋体" w:eastAsia="宋体" w:cs="宋体"/>
          <w:color w:val="auto"/>
          <w:kern w:val="0"/>
          <w:sz w:val="24"/>
          <w:szCs w:val="24"/>
          <w:highlight w:val="none"/>
          <w:u w:val="single"/>
        </w:rPr>
        <w:t>。</w:t>
      </w:r>
    </w:p>
    <w:p w14:paraId="273DC92D">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6.3 施工用电：</w:t>
      </w:r>
      <w:r>
        <w:rPr>
          <w:rFonts w:hint="eastAsia" w:ascii="宋体" w:hAnsi="宋体" w:eastAsia="宋体" w:cs="宋体"/>
          <w:color w:val="auto"/>
          <w:sz w:val="24"/>
          <w:szCs w:val="24"/>
          <w:highlight w:val="none"/>
          <w:u w:val="single"/>
        </w:rPr>
        <w:t>招标人协调，</w:t>
      </w:r>
      <w:r>
        <w:rPr>
          <w:rFonts w:hint="eastAsia" w:ascii="宋体" w:hAnsi="宋体" w:eastAsia="宋体" w:cs="宋体"/>
          <w:snapToGrid w:val="0"/>
          <w:color w:val="auto"/>
          <w:kern w:val="0"/>
          <w:sz w:val="24"/>
          <w:szCs w:val="24"/>
          <w:highlight w:val="none"/>
          <w:u w:val="single"/>
        </w:rPr>
        <w:t>施工用电及电源由中标人自行解决，费用含在投标报价中，不另计</w:t>
      </w:r>
      <w:r>
        <w:rPr>
          <w:rFonts w:hint="eastAsia" w:ascii="宋体" w:hAnsi="宋体" w:eastAsia="宋体" w:cs="宋体"/>
          <w:color w:val="auto"/>
          <w:kern w:val="0"/>
          <w:sz w:val="24"/>
          <w:szCs w:val="24"/>
          <w:highlight w:val="none"/>
          <w:u w:val="single"/>
        </w:rPr>
        <w:t>。</w:t>
      </w:r>
    </w:p>
    <w:p w14:paraId="730EAF78">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6.4施工用水、用电由中标人负责报装并接入施工红线范围，并由中标人负责购置及安装满足施工所需的临时用电变压器、水表、电表，其水、电费按工程所在地</w:t>
      </w:r>
      <w:r>
        <w:rPr>
          <w:rFonts w:hint="eastAsia" w:ascii="宋体" w:hAnsi="宋体" w:eastAsia="宋体" w:cs="宋体"/>
          <w:color w:val="auto"/>
          <w:sz w:val="24"/>
          <w:szCs w:val="24"/>
          <w:highlight w:val="none"/>
          <w:u w:val="single"/>
        </w:rPr>
        <w:t>南雄市</w:t>
      </w:r>
      <w:r>
        <w:rPr>
          <w:rFonts w:hint="eastAsia" w:ascii="宋体" w:hAnsi="宋体" w:eastAsia="宋体" w:cs="宋体"/>
          <w:color w:val="auto"/>
          <w:sz w:val="24"/>
          <w:szCs w:val="24"/>
          <w:highlight w:val="none"/>
        </w:rPr>
        <w:t>基建工程水、电计费标准计算并由中标人缴纳，相关线路、管路费用及安装费用以及购置及安装临时用电变压器的费用由中标人自行承担。</w:t>
      </w:r>
    </w:p>
    <w:p w14:paraId="5A934829">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6.5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100EF42D">
      <w:pPr>
        <w:pStyle w:val="3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6.6在现场踏勘过程中，投标人应确保自身安全，投标人如果发生人身伤亡、财物或其他损失，法律法规有规定的按有关规定处理，没有规定的由投标人自行负责。</w:t>
      </w:r>
    </w:p>
    <w:p w14:paraId="356BAEFD">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6.7现场踏勘期间的交通、食宿由投标人自行安排，费用自理。</w:t>
      </w:r>
    </w:p>
    <w:p w14:paraId="4EFB1F05">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bCs/>
          <w:color w:val="auto"/>
          <w:sz w:val="24"/>
          <w:szCs w:val="24"/>
          <w:highlight w:val="none"/>
        </w:rPr>
      </w:pPr>
      <w:bookmarkStart w:id="95" w:name="_Toc23962"/>
      <w:bookmarkStart w:id="96" w:name="_Toc25942"/>
      <w:bookmarkStart w:id="97" w:name="_Toc17548"/>
      <w:bookmarkStart w:id="98" w:name="_Toc8518"/>
      <w:bookmarkStart w:id="99" w:name="_Toc10147"/>
      <w:bookmarkStart w:id="100" w:name="_Toc5795"/>
      <w:bookmarkStart w:id="101" w:name="_Toc22484"/>
      <w:bookmarkStart w:id="102" w:name="_Toc27595"/>
      <w:bookmarkStart w:id="103" w:name="_Toc3294"/>
      <w:r>
        <w:rPr>
          <w:rFonts w:hint="eastAsia" w:ascii="宋体" w:hAnsi="宋体" w:eastAsia="宋体" w:cs="宋体"/>
          <w:b/>
          <w:color w:val="auto"/>
          <w:kern w:val="2"/>
          <w:sz w:val="24"/>
          <w:szCs w:val="24"/>
          <w:highlight w:val="none"/>
        </w:rPr>
        <w:t xml:space="preserve">7 </w:t>
      </w:r>
      <w:bookmarkStart w:id="104" w:name="_Toc488220856"/>
      <w:bookmarkStart w:id="105" w:name="_Toc371968705"/>
      <w:r>
        <w:rPr>
          <w:rFonts w:hint="eastAsia" w:ascii="宋体" w:hAnsi="宋体" w:eastAsia="宋体" w:cs="宋体"/>
          <w:b/>
          <w:color w:val="auto"/>
          <w:kern w:val="2"/>
          <w:sz w:val="24"/>
          <w:szCs w:val="24"/>
          <w:highlight w:val="none"/>
        </w:rPr>
        <w:t>、其他招标说明</w:t>
      </w:r>
      <w:bookmarkEnd w:id="95"/>
      <w:bookmarkEnd w:id="96"/>
      <w:bookmarkEnd w:id="97"/>
      <w:bookmarkEnd w:id="98"/>
      <w:bookmarkEnd w:id="99"/>
      <w:bookmarkEnd w:id="100"/>
      <w:bookmarkEnd w:id="101"/>
      <w:bookmarkEnd w:id="102"/>
      <w:bookmarkEnd w:id="103"/>
      <w:bookmarkEnd w:id="104"/>
    </w:p>
    <w:bookmarkEnd w:id="105"/>
    <w:p w14:paraId="4566EB55">
      <w:pPr>
        <w:pageBreakBefore w:val="0"/>
        <w:kinsoku/>
        <w:wordWrap w:val="0"/>
        <w:overflowPunct/>
        <w:topLinePunct w:val="0"/>
        <w:bidi w:val="0"/>
        <w:snapToGrid w:val="0"/>
        <w:spacing w:line="440" w:lineRule="exact"/>
        <w:ind w:firstLine="480"/>
        <w:textAlignment w:val="auto"/>
        <w:rPr>
          <w:rFonts w:hint="eastAsia" w:ascii="宋体" w:hAnsi="宋体" w:eastAsia="宋体" w:cs="宋体"/>
          <w:b/>
          <w:snapToGrid w:val="0"/>
          <w:color w:val="auto"/>
          <w:sz w:val="24"/>
          <w:szCs w:val="24"/>
          <w:highlight w:val="none"/>
        </w:rPr>
      </w:pPr>
      <w:bookmarkStart w:id="106" w:name="_Toc28014"/>
      <w:bookmarkStart w:id="107" w:name="_Toc10210"/>
      <w:r>
        <w:rPr>
          <w:rFonts w:hint="eastAsia" w:ascii="宋体" w:hAnsi="宋体" w:eastAsia="宋体" w:cs="宋体"/>
          <w:b/>
          <w:snapToGrid w:val="0"/>
          <w:color w:val="auto"/>
          <w:sz w:val="24"/>
          <w:szCs w:val="24"/>
          <w:highlight w:val="none"/>
        </w:rPr>
        <w:t>7.1．</w:t>
      </w:r>
      <w:r>
        <w:rPr>
          <w:rStyle w:val="27"/>
          <w:rFonts w:hint="eastAsia" w:ascii="宋体" w:hAnsi="宋体" w:eastAsia="宋体" w:cs="宋体"/>
          <w:color w:val="auto"/>
          <w:sz w:val="24"/>
          <w:szCs w:val="24"/>
          <w:highlight w:val="none"/>
          <w:shd w:val="clear" w:color="auto" w:fill="FFFFFF"/>
        </w:rPr>
        <w:t>获取招标文件</w:t>
      </w:r>
      <w:bookmarkEnd w:id="106"/>
      <w:bookmarkEnd w:id="107"/>
    </w:p>
    <w:p w14:paraId="029FBE66">
      <w:pPr>
        <w:pStyle w:val="22"/>
        <w:pageBreakBefore w:val="0"/>
        <w:widowControl w:val="0"/>
        <w:kinsoku/>
        <w:wordWrap w:val="0"/>
        <w:overflowPunct/>
        <w:topLinePunct w:val="0"/>
        <w:bidi w:val="0"/>
        <w:adjustRightInd w:val="0"/>
        <w:snapToGrid w:val="0"/>
        <w:spacing w:beforeAutospacing="0" w:afterAutospacing="0" w:line="440" w:lineRule="exact"/>
        <w:ind w:firstLine="482"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b/>
          <w:bCs/>
          <w:snapToGrid w:val="0"/>
          <w:color w:val="auto"/>
          <w:sz w:val="24"/>
          <w:szCs w:val="24"/>
          <w:highlight w:val="none"/>
        </w:rPr>
        <w:t>7.1.1</w:t>
      </w:r>
      <w:r>
        <w:rPr>
          <w:rFonts w:hint="eastAsia" w:ascii="宋体" w:hAnsi="宋体" w:eastAsia="宋体" w:cs="宋体"/>
          <w:snapToGrid w:val="0"/>
          <w:color w:val="auto"/>
          <w:sz w:val="24"/>
          <w:szCs w:val="24"/>
          <w:highlight w:val="none"/>
        </w:rPr>
        <w:t>本次招标实行电子投标。</w:t>
      </w:r>
      <w:r>
        <w:rPr>
          <w:rFonts w:hint="eastAsia" w:ascii="宋体" w:hAnsi="宋体" w:eastAsia="宋体" w:cs="宋体"/>
          <w:color w:val="auto"/>
          <w:sz w:val="24"/>
          <w:szCs w:val="24"/>
          <w:highlight w:val="none"/>
          <w:shd w:val="clear" w:color="auto" w:fill="FFFFFF"/>
        </w:rPr>
        <w:t>本项目招标文件随招标公告一并在</w:t>
      </w:r>
      <w:r>
        <w:rPr>
          <w:rFonts w:hint="eastAsia" w:ascii="宋体" w:hAnsi="宋体" w:eastAsia="宋体" w:cs="宋体"/>
          <w:bCs/>
          <w:snapToGrid w:val="0"/>
          <w:color w:val="auto"/>
          <w:sz w:val="24"/>
          <w:szCs w:val="24"/>
          <w:highlight w:val="none"/>
        </w:rPr>
        <w:t>广东省招标投标监管网http://zbtb.gd.gov.cn、</w:t>
      </w:r>
      <w:r>
        <w:rPr>
          <w:rFonts w:hint="eastAsia" w:ascii="宋体" w:hAnsi="宋体" w:eastAsia="宋体" w:cs="宋体"/>
          <w:color w:val="auto"/>
          <w:sz w:val="24"/>
          <w:szCs w:val="24"/>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宋体" w:hAnsi="宋体" w:eastAsia="宋体" w:cs="宋体"/>
          <w:snapToGrid w:val="0"/>
          <w:color w:val="auto"/>
          <w:sz w:val="24"/>
          <w:szCs w:val="24"/>
          <w:highlight w:val="none"/>
        </w:rPr>
        <w:t>期间</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snapToGrid w:val="0"/>
          <w:color w:val="auto"/>
          <w:sz w:val="24"/>
          <w:szCs w:val="24"/>
          <w:highlight w:val="none"/>
        </w:rPr>
        <w:t>见本章第二节“重要事项时间地点一览表”，招标文件获取期间与招标公告发布时间一致</w:t>
      </w:r>
      <w:r>
        <w:rPr>
          <w:rFonts w:hint="eastAsia" w:ascii="宋体" w:hAnsi="宋体" w:eastAsia="宋体" w:cs="宋体"/>
          <w:color w:val="auto"/>
          <w:sz w:val="24"/>
          <w:szCs w:val="24"/>
          <w:highlight w:val="none"/>
          <w:shd w:val="clear" w:color="auto" w:fill="FFFFFF"/>
        </w:rPr>
        <w:t>），投标人须登录全国公共资源交易平台（广东省·韶关市）（https://ygp.gdzwfw.gov.cn/ggzy-portal/#/440200/index）</w:t>
      </w:r>
      <w:r>
        <w:rPr>
          <w:rFonts w:hint="eastAsia" w:ascii="宋体" w:hAnsi="宋体" w:eastAsia="宋体" w:cs="宋体"/>
          <w:snapToGrid w:val="0"/>
          <w:color w:val="auto"/>
          <w:sz w:val="24"/>
          <w:szCs w:val="24"/>
          <w:highlight w:val="none"/>
        </w:rPr>
        <w:t>下载</w:t>
      </w:r>
      <w:r>
        <w:rPr>
          <w:rFonts w:hint="eastAsia" w:ascii="宋体" w:hAnsi="宋体" w:eastAsia="宋体" w:cs="宋体"/>
          <w:color w:val="auto"/>
          <w:sz w:val="24"/>
          <w:szCs w:val="24"/>
          <w:highlight w:val="none"/>
          <w:shd w:val="clear" w:color="auto" w:fill="FFFFFF"/>
        </w:rPr>
        <w:t>招标文件及相关附件，并于电子投标截止时间（</w:t>
      </w:r>
      <w:r>
        <w:rPr>
          <w:rFonts w:hint="eastAsia" w:ascii="宋体" w:hAnsi="宋体" w:eastAsia="宋体" w:cs="宋体"/>
          <w:snapToGrid w:val="0"/>
          <w:color w:val="auto"/>
          <w:sz w:val="24"/>
          <w:szCs w:val="24"/>
          <w:highlight w:val="none"/>
        </w:rPr>
        <w:t>见本章第二节“重要事项时间地点一览表”</w:t>
      </w:r>
      <w:r>
        <w:rPr>
          <w:rFonts w:hint="eastAsia" w:ascii="宋体" w:hAnsi="宋体" w:eastAsia="宋体" w:cs="宋体"/>
          <w:color w:val="auto"/>
          <w:sz w:val="24"/>
          <w:szCs w:val="24"/>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4E9D45E2">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b/>
          <w:bCs/>
          <w:snapToGrid w:val="0"/>
          <w:color w:val="auto"/>
          <w:kern w:val="0"/>
          <w:sz w:val="24"/>
          <w:szCs w:val="24"/>
          <w:highlight w:val="none"/>
        </w:rPr>
        <w:t xml:space="preserve">7.1.2 </w:t>
      </w:r>
      <w:r>
        <w:rPr>
          <w:rFonts w:hint="eastAsia" w:ascii="宋体" w:hAnsi="宋体" w:eastAsia="宋体" w:cs="宋体"/>
          <w:color w:val="auto"/>
          <w:sz w:val="24"/>
          <w:szCs w:val="24"/>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6F8A408F">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53403513">
      <w:pPr>
        <w:pStyle w:val="40"/>
        <w:pageBreakBefore w:val="0"/>
        <w:kinsoku/>
        <w:wordWrap w:val="0"/>
        <w:overflowPunct/>
        <w:topLinePunct w:val="0"/>
        <w:bidi w:val="0"/>
        <w:adjustRightInd w:val="0"/>
        <w:snapToGrid w:val="0"/>
        <w:spacing w:line="440" w:lineRule="exact"/>
        <w:ind w:firstLine="48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17A0BB60">
      <w:pPr>
        <w:pageBreakBefore w:val="0"/>
        <w:tabs>
          <w:tab w:val="left" w:pos="7020"/>
        </w:tabs>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snapToGrid w:val="0"/>
          <w:color w:val="auto"/>
          <w:sz w:val="24"/>
          <w:szCs w:val="24"/>
          <w:highlight w:val="none"/>
        </w:rPr>
        <w:t>。</w:t>
      </w:r>
    </w:p>
    <w:p w14:paraId="25D5FBFC">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4FFA04A2">
      <w:pPr>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7.3 </w:t>
      </w:r>
      <w:r>
        <w:rPr>
          <w:rFonts w:hint="eastAsia" w:ascii="宋体" w:hAnsi="宋体" w:eastAsia="宋体" w:cs="宋体"/>
          <w:b/>
          <w:bCs/>
          <w:color w:val="auto"/>
          <w:sz w:val="24"/>
          <w:szCs w:val="24"/>
          <w:highlight w:val="none"/>
        </w:rPr>
        <w:t>纪律与保密要求：</w:t>
      </w:r>
    </w:p>
    <w:p w14:paraId="053CB921">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w:t>
      </w:r>
      <w:r>
        <w:rPr>
          <w:rFonts w:hint="eastAsia" w:ascii="宋体" w:hAnsi="宋体" w:eastAsia="宋体" w:cs="宋体"/>
          <w:b/>
          <w:color w:val="auto"/>
          <w:sz w:val="24"/>
          <w:szCs w:val="24"/>
          <w:highlight w:val="none"/>
        </w:rPr>
        <w:t>对招标人的纪律要求</w:t>
      </w:r>
      <w:r>
        <w:rPr>
          <w:rFonts w:hint="eastAsia" w:ascii="宋体" w:hAnsi="宋体" w:eastAsia="宋体" w:cs="宋体"/>
          <w:color w:val="auto"/>
          <w:sz w:val="24"/>
          <w:szCs w:val="24"/>
          <w:highlight w:val="none"/>
        </w:rPr>
        <w:t>：招标人不得泄露招标投标活动中应当保密的情况和资料，不得与投标人串通损害国家利益、社会公共利益或者他人合法权益。</w:t>
      </w:r>
    </w:p>
    <w:p w14:paraId="71267F61">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7.3.2 </w:t>
      </w:r>
      <w:r>
        <w:rPr>
          <w:rFonts w:hint="eastAsia" w:ascii="宋体" w:hAnsi="宋体" w:eastAsia="宋体" w:cs="宋体"/>
          <w:b/>
          <w:color w:val="auto"/>
          <w:sz w:val="24"/>
          <w:szCs w:val="24"/>
          <w:highlight w:val="none"/>
        </w:rPr>
        <w:t>对投标人的纪律要求</w:t>
      </w:r>
      <w:r>
        <w:rPr>
          <w:rFonts w:hint="eastAsia" w:ascii="宋体" w:hAnsi="宋体" w:eastAsia="宋体" w:cs="宋体"/>
          <w:color w:val="auto"/>
          <w:sz w:val="24"/>
          <w:szCs w:val="24"/>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5EC443D">
      <w:pPr>
        <w:pageBreakBefore w:val="0"/>
        <w:kinsoku/>
        <w:overflowPunct/>
        <w:topLinePunct w:val="0"/>
        <w:bidi w:val="0"/>
        <w:spacing w:line="440" w:lineRule="exact"/>
        <w:ind w:firstLine="49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7.3.3 </w:t>
      </w:r>
      <w:r>
        <w:rPr>
          <w:rFonts w:hint="eastAsia" w:ascii="宋体" w:hAnsi="宋体" w:eastAsia="宋体" w:cs="宋体"/>
          <w:color w:val="auto"/>
          <w:spacing w:val="8"/>
          <w:sz w:val="24"/>
          <w:szCs w:val="24"/>
          <w:highlight w:val="none"/>
        </w:rPr>
        <w:t>参与招</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投标活</w:t>
      </w:r>
      <w:r>
        <w:rPr>
          <w:rFonts w:hint="eastAsia" w:ascii="宋体" w:hAnsi="宋体" w:eastAsia="宋体" w:cs="宋体"/>
          <w:color w:val="auto"/>
          <w:sz w:val="24"/>
          <w:szCs w:val="24"/>
          <w:highlight w:val="none"/>
        </w:rPr>
        <w:t>动</w:t>
      </w:r>
      <w:r>
        <w:rPr>
          <w:rFonts w:hint="eastAsia" w:ascii="宋体" w:hAnsi="宋体" w:eastAsia="宋体" w:cs="宋体"/>
          <w:color w:val="auto"/>
          <w:spacing w:val="8"/>
          <w:sz w:val="24"/>
          <w:szCs w:val="24"/>
          <w:highlight w:val="none"/>
        </w:rPr>
        <w:t>的各方</w:t>
      </w:r>
      <w:r>
        <w:rPr>
          <w:rFonts w:hint="eastAsia" w:ascii="宋体" w:hAnsi="宋体" w:eastAsia="宋体" w:cs="宋体"/>
          <w:color w:val="auto"/>
          <w:sz w:val="24"/>
          <w:szCs w:val="24"/>
          <w:highlight w:val="none"/>
        </w:rPr>
        <w:t>应</w:t>
      </w:r>
      <w:r>
        <w:rPr>
          <w:rFonts w:hint="eastAsia" w:ascii="宋体" w:hAnsi="宋体" w:eastAsia="宋体" w:cs="宋体"/>
          <w:color w:val="auto"/>
          <w:spacing w:val="8"/>
          <w:sz w:val="24"/>
          <w:szCs w:val="24"/>
          <w:highlight w:val="none"/>
        </w:rPr>
        <w:t>对招标</w:t>
      </w:r>
      <w:r>
        <w:rPr>
          <w:rFonts w:hint="eastAsia" w:ascii="宋体" w:hAnsi="宋体" w:eastAsia="宋体" w:cs="宋体"/>
          <w:color w:val="auto"/>
          <w:sz w:val="24"/>
          <w:szCs w:val="24"/>
          <w:highlight w:val="none"/>
        </w:rPr>
        <w:t>文</w:t>
      </w:r>
      <w:r>
        <w:rPr>
          <w:rFonts w:hint="eastAsia" w:ascii="宋体" w:hAnsi="宋体" w:eastAsia="宋体" w:cs="宋体"/>
          <w:color w:val="auto"/>
          <w:spacing w:val="8"/>
          <w:sz w:val="24"/>
          <w:szCs w:val="24"/>
          <w:highlight w:val="none"/>
        </w:rPr>
        <w:t>件和投</w:t>
      </w:r>
      <w:r>
        <w:rPr>
          <w:rFonts w:hint="eastAsia" w:ascii="宋体" w:hAnsi="宋体" w:eastAsia="宋体" w:cs="宋体"/>
          <w:color w:val="auto"/>
          <w:sz w:val="24"/>
          <w:szCs w:val="24"/>
          <w:highlight w:val="none"/>
        </w:rPr>
        <w:t>标</w:t>
      </w:r>
      <w:r>
        <w:rPr>
          <w:rFonts w:hint="eastAsia" w:ascii="宋体" w:hAnsi="宋体" w:eastAsia="宋体" w:cs="宋体"/>
          <w:color w:val="auto"/>
          <w:spacing w:val="8"/>
          <w:sz w:val="24"/>
          <w:szCs w:val="24"/>
          <w:highlight w:val="none"/>
        </w:rPr>
        <w:t>文件中</w:t>
      </w:r>
      <w:r>
        <w:rPr>
          <w:rFonts w:hint="eastAsia" w:ascii="宋体" w:hAnsi="宋体" w:eastAsia="宋体" w:cs="宋体"/>
          <w:color w:val="auto"/>
          <w:sz w:val="24"/>
          <w:szCs w:val="24"/>
          <w:highlight w:val="none"/>
        </w:rPr>
        <w:t>的</w:t>
      </w:r>
      <w:r>
        <w:rPr>
          <w:rFonts w:hint="eastAsia" w:ascii="宋体" w:hAnsi="宋体" w:eastAsia="宋体" w:cs="宋体"/>
          <w:color w:val="auto"/>
          <w:spacing w:val="8"/>
          <w:sz w:val="24"/>
          <w:szCs w:val="24"/>
          <w:highlight w:val="none"/>
        </w:rPr>
        <w:t>商业和</w:t>
      </w:r>
      <w:r>
        <w:rPr>
          <w:rFonts w:hint="eastAsia" w:ascii="宋体" w:hAnsi="宋体" w:eastAsia="宋体" w:cs="宋体"/>
          <w:color w:val="auto"/>
          <w:sz w:val="24"/>
          <w:szCs w:val="24"/>
          <w:highlight w:val="none"/>
        </w:rPr>
        <w:t>技</w:t>
      </w:r>
      <w:r>
        <w:rPr>
          <w:rFonts w:hint="eastAsia" w:ascii="宋体" w:hAnsi="宋体" w:eastAsia="宋体" w:cs="宋体"/>
          <w:color w:val="auto"/>
          <w:spacing w:val="8"/>
          <w:sz w:val="24"/>
          <w:szCs w:val="24"/>
          <w:highlight w:val="none"/>
        </w:rPr>
        <w:t>术等秘密</w:t>
      </w:r>
      <w:r>
        <w:rPr>
          <w:rFonts w:hint="eastAsia" w:ascii="宋体" w:hAnsi="宋体" w:eastAsia="宋体" w:cs="宋体"/>
          <w:color w:val="auto"/>
          <w:sz w:val="24"/>
          <w:szCs w:val="24"/>
          <w:highlight w:val="none"/>
        </w:rPr>
        <w:t>保密，违者应对由此造成的后果承担法律责任。</w:t>
      </w:r>
      <w:bookmarkStart w:id="108" w:name="_Toc371968706"/>
    </w:p>
    <w:p w14:paraId="1D44FC7A">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w:t>
      </w:r>
      <w:bookmarkStart w:id="109" w:name="_Toc353462300"/>
      <w:bookmarkStart w:id="110" w:name="_Toc143766459"/>
      <w:bookmarkStart w:id="111" w:name="_Toc353462191"/>
      <w:r>
        <w:rPr>
          <w:rFonts w:hint="eastAsia" w:ascii="宋体" w:hAnsi="宋体" w:eastAsia="宋体" w:cs="宋体"/>
          <w:color w:val="auto"/>
          <w:sz w:val="24"/>
          <w:szCs w:val="24"/>
          <w:highlight w:val="none"/>
        </w:rPr>
        <w:t xml:space="preserve">4 </w:t>
      </w:r>
      <w:r>
        <w:rPr>
          <w:rFonts w:hint="eastAsia" w:ascii="宋体" w:hAnsi="宋体" w:eastAsia="宋体" w:cs="宋体"/>
          <w:b/>
          <w:bCs/>
          <w:color w:val="auto"/>
          <w:sz w:val="24"/>
          <w:szCs w:val="24"/>
          <w:highlight w:val="none"/>
        </w:rPr>
        <w:t>语言、计量及投标费用</w:t>
      </w:r>
      <w:bookmarkEnd w:id="108"/>
      <w:bookmarkEnd w:id="109"/>
      <w:bookmarkEnd w:id="110"/>
      <w:bookmarkEnd w:id="111"/>
      <w:r>
        <w:rPr>
          <w:rFonts w:hint="eastAsia" w:ascii="宋体" w:hAnsi="宋体" w:eastAsia="宋体" w:cs="宋体"/>
          <w:b/>
          <w:bCs/>
          <w:color w:val="auto"/>
          <w:sz w:val="24"/>
          <w:szCs w:val="24"/>
          <w:highlight w:val="none"/>
        </w:rPr>
        <w:t>：</w:t>
      </w:r>
    </w:p>
    <w:p w14:paraId="2781EBF3">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7.4.1 除专用术语外</w:t>
      </w:r>
      <w:r>
        <w:rPr>
          <w:rFonts w:hint="eastAsia" w:ascii="宋体" w:hAnsi="宋体" w:eastAsia="宋体" w:cs="宋体"/>
          <w:color w:val="auto"/>
          <w:spacing w:val="-80"/>
          <w:sz w:val="24"/>
          <w:szCs w:val="24"/>
          <w:highlight w:val="none"/>
        </w:rPr>
        <w:t>，</w:t>
      </w:r>
      <w:r>
        <w:rPr>
          <w:rFonts w:hint="eastAsia" w:ascii="宋体" w:hAnsi="宋体" w:eastAsia="宋体" w:cs="宋体"/>
          <w:color w:val="auto"/>
          <w:sz w:val="24"/>
          <w:szCs w:val="24"/>
          <w:highlight w:val="none"/>
        </w:rPr>
        <w:t>与招标投标有关的语言均使用中文</w:t>
      </w:r>
      <w:r>
        <w:rPr>
          <w:rFonts w:hint="eastAsia" w:ascii="宋体" w:hAnsi="宋体" w:eastAsia="宋体" w:cs="宋体"/>
          <w:color w:val="auto"/>
          <w:spacing w:val="-80"/>
          <w:sz w:val="24"/>
          <w:szCs w:val="24"/>
          <w:highlight w:val="none"/>
        </w:rPr>
        <w:t>。</w:t>
      </w:r>
    </w:p>
    <w:p w14:paraId="6EDB4474">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7.4.2 所有计量均采用中华人民共和国法定计量单位。</w:t>
      </w:r>
    </w:p>
    <w:p w14:paraId="2FF4BB74">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7.4.3 招标文件、投标文件中所指的币种均为人民币。</w:t>
      </w:r>
    </w:p>
    <w:p w14:paraId="5C2A390A">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7.4.4 投标人准备和参加投标活动发生的所有费用自理。</w:t>
      </w:r>
      <w:bookmarkStart w:id="112" w:name="_Toc371968707"/>
    </w:p>
    <w:p w14:paraId="3C992A08">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7.5</w:t>
      </w:r>
      <w:r>
        <w:rPr>
          <w:rFonts w:hint="eastAsia" w:ascii="宋体" w:hAnsi="宋体" w:eastAsia="宋体" w:cs="宋体"/>
          <w:b/>
          <w:bCs/>
          <w:color w:val="auto"/>
          <w:sz w:val="24"/>
          <w:szCs w:val="24"/>
          <w:highlight w:val="none"/>
        </w:rPr>
        <w:t>知识产权和专利权</w:t>
      </w:r>
      <w:bookmarkEnd w:id="112"/>
      <w:r>
        <w:rPr>
          <w:rFonts w:hint="eastAsia" w:ascii="宋体" w:hAnsi="宋体" w:eastAsia="宋体" w:cs="宋体"/>
          <w:b/>
          <w:bCs/>
          <w:color w:val="auto"/>
          <w:sz w:val="24"/>
          <w:szCs w:val="24"/>
          <w:highlight w:val="none"/>
        </w:rPr>
        <w:t>：</w:t>
      </w:r>
    </w:p>
    <w:p w14:paraId="5D0FB63B">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7.5.1 投标人保证投标文件及资料均未侵犯他人的知识产权，否则必须承担全部责任。若投标人使用了他人的专利、专有技术，涉及的费用由投标人负责。投标价应包括所有应支付的对专利权和版权、设计和其他知识产权而需要向其他方支付的版税。</w:t>
      </w:r>
    </w:p>
    <w:p w14:paraId="3844CC3B">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7.5.2 中标人应保证招标人在本项目建设过程中使用其设计文件和设计文件的任何一部分时，招标人免受第三方提出侵犯其专利权、商标权或其他知识产权的起诉。</w:t>
      </w:r>
    </w:p>
    <w:p w14:paraId="100F9C0E">
      <w:pPr>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7.5.3 中标人提交给招标人的设计文件，其著作权、版权、专利权和使用权归招标人所有（署名权除外）。</w:t>
      </w:r>
    </w:p>
    <w:p w14:paraId="2763ED97">
      <w:pPr>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bookmarkStart w:id="113" w:name="_Toc371968708"/>
      <w:r>
        <w:rPr>
          <w:rFonts w:hint="eastAsia" w:ascii="宋体" w:hAnsi="宋体" w:eastAsia="宋体" w:cs="宋体"/>
          <w:color w:val="auto"/>
          <w:sz w:val="24"/>
          <w:szCs w:val="24"/>
          <w:highlight w:val="none"/>
        </w:rPr>
        <w:t>7.</w:t>
      </w:r>
      <w:bookmarkEnd w:id="113"/>
      <w:r>
        <w:rPr>
          <w:rFonts w:hint="eastAsia" w:ascii="宋体" w:hAnsi="宋体" w:eastAsia="宋体" w:cs="宋体"/>
          <w:color w:val="auto"/>
          <w:sz w:val="24"/>
          <w:szCs w:val="24"/>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61B3F27F">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14" w:name="_Toc24516"/>
      <w:bookmarkStart w:id="115" w:name="_Toc30148"/>
      <w:r>
        <w:rPr>
          <w:rFonts w:hint="eastAsia" w:ascii="宋体" w:hAnsi="宋体" w:eastAsia="宋体" w:cs="宋体"/>
          <w:b/>
          <w:color w:val="auto"/>
          <w:kern w:val="2"/>
          <w:sz w:val="24"/>
          <w:szCs w:val="24"/>
          <w:highlight w:val="none"/>
        </w:rPr>
        <w:t>8 、招标答疑</w:t>
      </w:r>
      <w:bookmarkEnd w:id="114"/>
      <w:bookmarkEnd w:id="115"/>
      <w:bookmarkStart w:id="116" w:name="_Hlt74496410"/>
      <w:bookmarkEnd w:id="116"/>
    </w:p>
    <w:p w14:paraId="7011DF7A">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8.1招标人不集中组织答疑，实行网上答疑。</w:t>
      </w:r>
      <w:r>
        <w:rPr>
          <w:rFonts w:hint="eastAsia" w:ascii="宋体" w:hAnsi="宋体" w:eastAsia="宋体" w:cs="宋体"/>
          <w:snapToGrid w:val="0"/>
          <w:color w:val="auto"/>
          <w:kern w:val="0"/>
          <w:sz w:val="24"/>
          <w:szCs w:val="24"/>
          <w:highlight w:val="none"/>
        </w:rPr>
        <w:t>投标人若对招标文件有疑问</w:t>
      </w:r>
      <w:r>
        <w:rPr>
          <w:rFonts w:hint="eastAsia" w:ascii="宋体" w:hAnsi="宋体" w:eastAsia="宋体" w:cs="宋体"/>
          <w:color w:val="auto"/>
          <w:sz w:val="24"/>
          <w:szCs w:val="24"/>
          <w:highlight w:val="none"/>
        </w:rPr>
        <w:t>应在提问截止时间（</w:t>
      </w:r>
      <w:r>
        <w:rPr>
          <w:rFonts w:hint="eastAsia" w:ascii="宋体" w:hAnsi="宋体" w:eastAsia="宋体" w:cs="宋体"/>
          <w:snapToGrid w:val="0"/>
          <w:color w:val="auto"/>
          <w:kern w:val="0"/>
          <w:sz w:val="24"/>
          <w:szCs w:val="24"/>
          <w:highlight w:val="none"/>
        </w:rPr>
        <w:t>见本章第二节“重要事项时间地点一览表”</w:t>
      </w:r>
      <w:r>
        <w:rPr>
          <w:rFonts w:hint="eastAsia" w:ascii="宋体" w:hAnsi="宋体" w:eastAsia="宋体" w:cs="宋体"/>
          <w:color w:val="auto"/>
          <w:sz w:val="24"/>
          <w:szCs w:val="24"/>
          <w:highlight w:val="none"/>
        </w:rPr>
        <w:t>）前在交易平台提出问题。未在指定时间前、未采用指定方式提出的，招标人不予受理。</w:t>
      </w:r>
    </w:p>
    <w:p w14:paraId="0DC2F847">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8.2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384C334">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）对招标文件的修改或补充内容作为招标文件的组成部分，具有约束作用。招标文件的澄清、修改、补充等内容均以答疑书（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）中明确的内容为准。当招标文件、招标文件的澄清、修改、补充等文件在同一内容的表述上不一致时，以最后发出的答疑书（</w:t>
      </w:r>
      <w:r>
        <w:rPr>
          <w:rFonts w:hint="eastAsia" w:ascii="宋体" w:hAnsi="宋体" w:eastAsia="宋体" w:cs="宋体"/>
          <w:snapToGrid w:val="0"/>
          <w:color w:val="auto"/>
          <w:kern w:val="0"/>
          <w:sz w:val="24"/>
          <w:szCs w:val="24"/>
          <w:highlight w:val="none"/>
        </w:rPr>
        <w:t>或修改</w:t>
      </w:r>
      <w:r>
        <w:rPr>
          <w:rFonts w:hint="eastAsia" w:ascii="宋体" w:hAnsi="宋体" w:eastAsia="宋体" w:cs="宋体"/>
          <w:color w:val="auto"/>
          <w:sz w:val="24"/>
          <w:szCs w:val="24"/>
          <w:highlight w:val="none"/>
        </w:rPr>
        <w:t>）为准。</w:t>
      </w:r>
    </w:p>
    <w:p w14:paraId="5E7F475C">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69C46734">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0BD14DBD">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117" w:name="_Hlt69699188"/>
      <w:bookmarkEnd w:id="117"/>
      <w:bookmarkStart w:id="118" w:name="_Hlt92513711"/>
      <w:bookmarkEnd w:id="118"/>
      <w:bookmarkStart w:id="119" w:name="_Hlt92513715"/>
      <w:bookmarkEnd w:id="119"/>
      <w:bookmarkStart w:id="120" w:name="_Toc15195"/>
      <w:bookmarkStart w:id="121" w:name="_Toc31064"/>
      <w:bookmarkStart w:id="122" w:name="_Toc20643"/>
      <w:bookmarkStart w:id="123" w:name="_Toc11301"/>
      <w:bookmarkStart w:id="124" w:name="_Toc30627"/>
      <w:bookmarkStart w:id="125" w:name="_Toc28777"/>
      <w:bookmarkStart w:id="126" w:name="_Toc8032"/>
      <w:bookmarkStart w:id="127" w:name="_Toc405"/>
      <w:bookmarkStart w:id="128" w:name="_Toc25532"/>
      <w:r>
        <w:rPr>
          <w:rFonts w:hint="eastAsia" w:ascii="宋体" w:hAnsi="宋体" w:eastAsia="宋体" w:cs="宋体"/>
          <w:b/>
          <w:color w:val="auto"/>
          <w:kern w:val="2"/>
          <w:sz w:val="24"/>
          <w:szCs w:val="24"/>
          <w:highlight w:val="none"/>
        </w:rPr>
        <w:t>9 、投标报价的编制</w:t>
      </w:r>
      <w:bookmarkEnd w:id="120"/>
      <w:bookmarkEnd w:id="121"/>
      <w:bookmarkEnd w:id="122"/>
      <w:bookmarkEnd w:id="123"/>
      <w:bookmarkEnd w:id="124"/>
      <w:bookmarkEnd w:id="125"/>
      <w:bookmarkEnd w:id="126"/>
      <w:bookmarkEnd w:id="127"/>
      <w:bookmarkEnd w:id="128"/>
      <w:bookmarkStart w:id="129" w:name="_Hlt74498519"/>
      <w:bookmarkEnd w:id="129"/>
    </w:p>
    <w:p w14:paraId="1FA225CB">
      <w:pPr>
        <w:pStyle w:val="37"/>
        <w:pageBreakBefore w:val="0"/>
        <w:kinsoku/>
        <w:overflowPunct/>
        <w:topLinePunct w:val="0"/>
        <w:bidi w:val="0"/>
        <w:spacing w:line="440" w:lineRule="exact"/>
        <w:ind w:firstLine="528" w:firstLineChars="200"/>
        <w:textAlignment w:val="auto"/>
        <w:rPr>
          <w:rFonts w:hint="eastAsia" w:ascii="宋体" w:hAnsi="宋体" w:eastAsia="宋体" w:cs="宋体"/>
          <w:color w:val="auto"/>
          <w:spacing w:val="12"/>
          <w:sz w:val="24"/>
          <w:szCs w:val="24"/>
          <w:highlight w:val="none"/>
        </w:rPr>
      </w:pPr>
      <w:r>
        <w:rPr>
          <w:rFonts w:hint="eastAsia" w:ascii="宋体" w:hAnsi="宋体" w:eastAsia="宋体" w:cs="宋体"/>
          <w:color w:val="auto"/>
          <w:spacing w:val="12"/>
          <w:sz w:val="24"/>
          <w:szCs w:val="24"/>
          <w:highlight w:val="none"/>
        </w:rPr>
        <w:t>9.1 本工程计价依据为：</w:t>
      </w:r>
    </w:p>
    <w:p w14:paraId="5AB4E08C">
      <w:pPr>
        <w:pStyle w:val="37"/>
        <w:pageBreakBefore w:val="0"/>
        <w:kinsoku/>
        <w:overflowPunct/>
        <w:topLinePunct w:val="0"/>
        <w:bidi w:val="0"/>
        <w:spacing w:line="440" w:lineRule="exact"/>
        <w:ind w:firstLine="480" w:firstLineChars="200"/>
        <w:textAlignment w:val="auto"/>
        <w:rPr>
          <w:rFonts w:hint="eastAsia" w:ascii="宋体" w:hAnsi="宋体" w:eastAsia="宋体" w:cs="宋体"/>
          <w:strike/>
          <w:dstrike w:val="0"/>
          <w:color w:val="auto"/>
          <w:sz w:val="24"/>
          <w:szCs w:val="24"/>
          <w:highlight w:val="none"/>
        </w:rPr>
      </w:pPr>
      <w:r>
        <w:rPr>
          <w:rFonts w:hint="eastAsia" w:ascii="宋体" w:hAnsi="宋体" w:eastAsia="宋体" w:cs="宋体"/>
          <w:color w:val="auto"/>
          <w:sz w:val="24"/>
          <w:szCs w:val="24"/>
          <w:highlight w:val="none"/>
        </w:rPr>
        <w:t>（1）《工程勘察设计收费管理规定》（计价格〔2002〕10号）</w:t>
      </w:r>
      <w:r>
        <w:rPr>
          <w:rFonts w:hint="eastAsia" w:ascii="宋体" w:hAnsi="宋体" w:eastAsia="宋体" w:cs="宋体"/>
          <w:strike w:val="0"/>
          <w:dstrike w:val="0"/>
          <w:color w:val="auto"/>
          <w:sz w:val="24"/>
          <w:szCs w:val="24"/>
          <w:highlight w:val="none"/>
        </w:rPr>
        <w:t>；</w:t>
      </w:r>
    </w:p>
    <w:p w14:paraId="381997DD">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2024版清单计价计算标准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具体包括：</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p>
    <w:p w14:paraId="5C68DE9F">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4BF5943E">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snapToGrid w:val="0"/>
          <w:color w:val="auto"/>
          <w:kern w:val="0"/>
          <w:sz w:val="24"/>
          <w:szCs w:val="24"/>
          <w:highlight w:val="none"/>
        </w:rPr>
        <w:t>招标文件及其答疑（或修改）公告</w:t>
      </w:r>
      <w:r>
        <w:rPr>
          <w:rFonts w:hint="eastAsia" w:ascii="宋体" w:hAnsi="宋体" w:eastAsia="宋体" w:cs="宋体"/>
          <w:color w:val="auto"/>
          <w:sz w:val="24"/>
          <w:szCs w:val="24"/>
          <w:highlight w:val="none"/>
        </w:rPr>
        <w:t>；</w:t>
      </w:r>
    </w:p>
    <w:p w14:paraId="7952DCEF">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）施工现场情况、工程特点及常规施工方案；</w:t>
      </w:r>
    </w:p>
    <w:p w14:paraId="16B8C0BE">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）项目所在地工程造价管理机构发布的工程造价信息，工程造价信息缺项的，参照市场价格；</w:t>
      </w:r>
    </w:p>
    <w:p w14:paraId="61F3CA80">
      <w:pPr>
        <w:pStyle w:val="37"/>
        <w:pageBreakBefore w:val="0"/>
        <w:kinsoku/>
        <w:overflowPunct/>
        <w:topLinePunct w:val="0"/>
        <w:bidi w:val="0"/>
        <w:spacing w:line="440" w:lineRule="exact"/>
        <w:ind w:firstLine="560"/>
        <w:textAlignment w:val="auto"/>
        <w:rPr>
          <w:rFonts w:hint="eastAsia" w:ascii="宋体" w:hAnsi="宋体" w:eastAsia="宋体" w:cs="宋体"/>
          <w:color w:val="auto"/>
          <w:spacing w:val="12"/>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）与建设项目相关的标准、规范、技术资料</w:t>
      </w:r>
      <w:r>
        <w:rPr>
          <w:rFonts w:hint="eastAsia" w:ascii="宋体" w:hAnsi="宋体" w:eastAsia="宋体" w:cs="宋体"/>
          <w:color w:val="auto"/>
          <w:sz w:val="24"/>
          <w:szCs w:val="24"/>
          <w:highlight w:val="none"/>
          <w:lang w:eastAsia="zh-CN"/>
        </w:rPr>
        <w:t>。</w:t>
      </w:r>
    </w:p>
    <w:p w14:paraId="09C0226F">
      <w:pPr>
        <w:pStyle w:val="37"/>
        <w:pageBreakBefore w:val="0"/>
        <w:kinsoku/>
        <w:overflowPunct/>
        <w:topLinePunct w:val="0"/>
        <w:bidi w:val="0"/>
        <w:spacing w:line="440" w:lineRule="exact"/>
        <w:ind w:firstLine="792" w:firstLineChars="3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9.2</w:t>
      </w:r>
      <w:r>
        <w:rPr>
          <w:rFonts w:hint="eastAsia" w:ascii="宋体" w:hAnsi="宋体" w:eastAsia="宋体" w:cs="宋体"/>
          <w:color w:val="auto"/>
          <w:sz w:val="24"/>
          <w:szCs w:val="24"/>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30" w:name="_Hlt66509056"/>
      <w:bookmarkEnd w:id="130"/>
      <w:r>
        <w:rPr>
          <w:rFonts w:hint="eastAsia" w:ascii="宋体" w:hAnsi="宋体" w:eastAsia="宋体" w:cs="宋体"/>
          <w:color w:val="auto"/>
          <w:sz w:val="24"/>
          <w:szCs w:val="24"/>
          <w:highlight w:val="none"/>
        </w:rPr>
        <w:t>接资料。投标人应针对现场情况编制施工组织设计，并在写投标报价时考虑现场情况的影响。</w:t>
      </w:r>
    </w:p>
    <w:p w14:paraId="2074841B">
      <w:pPr>
        <w:pStyle w:val="47"/>
        <w:pageBreakBefore w:val="0"/>
        <w:kinsoku/>
        <w:overflowPunct/>
        <w:topLinePunct w:val="0"/>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9.</w:t>
      </w:r>
      <w:bookmarkStart w:id="131" w:name="_Hlt88974322"/>
      <w:r>
        <w:rPr>
          <w:rFonts w:hint="eastAsia" w:ascii="宋体" w:hAnsi="宋体" w:eastAsia="宋体" w:cs="宋体"/>
          <w:color w:val="auto"/>
          <w:spacing w:val="12"/>
          <w:sz w:val="24"/>
          <w:szCs w:val="24"/>
          <w:highlight w:val="none"/>
        </w:rPr>
        <w:t>3</w:t>
      </w:r>
      <w:r>
        <w:rPr>
          <w:rFonts w:hint="eastAsia" w:ascii="宋体" w:hAnsi="宋体" w:eastAsia="宋体" w:cs="宋体"/>
          <w:color w:val="auto"/>
          <w:sz w:val="24"/>
          <w:szCs w:val="24"/>
          <w:highlight w:val="none"/>
        </w:rPr>
        <w:t xml:space="preserve"> 现场踏勘费以及其它施工措施项目费，由投标人在投标报价中综合考虑，一次包定。无论投标人是否列出费用，招标人将一律视为已确认所有现场条件和可能发生的异常情况。</w:t>
      </w:r>
    </w:p>
    <w:bookmarkEnd w:id="131"/>
    <w:p w14:paraId="408DE3E1">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9.4 招标人向投标人提供的有关现场的数据和资料，是招标人现有的能被投标人利用的资料，招标人对投标人做出的任何推论、理解和结论均不负责任。</w:t>
      </w:r>
    </w:p>
    <w:p w14:paraId="7000A26F">
      <w:pPr>
        <w:pageBreakBefore w:val="0"/>
        <w:kinsoku/>
        <w:overflowPunct/>
        <w:topLinePunct w:val="0"/>
        <w:bidi w:val="0"/>
        <w:spacing w:line="440" w:lineRule="exact"/>
        <w:ind w:firstLine="6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zh-CN"/>
        </w:rPr>
        <w:t>投标人负责协调处理因项目实施与周边企业和村民等关系并承担相关费用。</w:t>
      </w:r>
    </w:p>
    <w:p w14:paraId="71A22BC7">
      <w:pPr>
        <w:pageBreakBefore w:val="0"/>
        <w:kinsoku/>
        <w:overflowPunct/>
        <w:topLinePunct w:val="0"/>
        <w:bidi w:val="0"/>
        <w:spacing w:line="440" w:lineRule="exact"/>
        <w:ind w:firstLine="6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zh-CN"/>
        </w:rPr>
        <w:t>投标人应采取设计优化的方式，通过土方平衡方法解决弃土问题，若仍有弃土，按实结算。</w:t>
      </w:r>
    </w:p>
    <w:p w14:paraId="2A47F1E7">
      <w:pPr>
        <w:pageBreakBefore w:val="0"/>
        <w:kinsoku/>
        <w:overflowPunct/>
        <w:topLinePunct w:val="0"/>
        <w:bidi w:val="0"/>
        <w:spacing w:line="440" w:lineRule="exact"/>
        <w:ind w:firstLine="570"/>
        <w:textAlignment w:val="auto"/>
        <w:rPr>
          <w:rFonts w:hint="eastAsia" w:ascii="宋体" w:hAnsi="宋体" w:eastAsia="宋体" w:cs="宋体"/>
          <w:b/>
          <w:color w:val="auto"/>
          <w:sz w:val="24"/>
          <w:szCs w:val="24"/>
          <w:highlight w:val="none"/>
          <w:u w:val="doubl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bookmarkStart w:id="132" w:name="_Toc319917951"/>
      <w:r>
        <w:rPr>
          <w:rFonts w:hint="eastAsia" w:ascii="宋体" w:hAnsi="宋体" w:eastAsia="宋体" w:cs="宋体"/>
          <w:color w:val="auto"/>
          <w:sz w:val="24"/>
          <w:szCs w:val="24"/>
          <w:highlight w:val="none"/>
        </w:rPr>
        <w:t>7</w:t>
      </w:r>
      <w:r>
        <w:rPr>
          <w:rFonts w:hint="eastAsia" w:ascii="宋体" w:hAnsi="宋体" w:eastAsia="宋体" w:cs="宋体"/>
          <w:b/>
          <w:color w:val="auto"/>
          <w:sz w:val="24"/>
          <w:szCs w:val="24"/>
          <w:highlight w:val="none"/>
          <w:u w:val="double"/>
        </w:rPr>
        <w:t>投标人的投标报价不得超过招标人公布的最高投标限价。本项目为限额设计，工程结算总造价不得超过中标价。</w:t>
      </w:r>
    </w:p>
    <w:p w14:paraId="3E86B7AE">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9.8</w:t>
      </w:r>
      <w:r>
        <w:rPr>
          <w:rFonts w:hint="eastAsia" w:ascii="宋体" w:hAnsi="宋体" w:eastAsia="宋体" w:cs="宋体"/>
          <w:b/>
          <w:color w:val="auto"/>
          <w:sz w:val="24"/>
          <w:szCs w:val="24"/>
          <w:highlight w:val="none"/>
          <w:lang w:val="zh-CN"/>
        </w:rPr>
        <w:t>投标单位应充分考虑本招标文件“第二章 拟签订合同的主要条款”所列的结算原则进行投标及报价。</w:t>
      </w:r>
      <w:bookmarkEnd w:id="132"/>
    </w:p>
    <w:p w14:paraId="75017F48">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投标人的投标总报价应考虑完成招标文件中招标规模、内容及设计任务书所规定的所有工程及设备的费用，并承担结算原则中规定的一切风险，还应考虑预算编制费、报建和施工时应由施工单位承担的一切费用。各项费用的主要内容及其报价方式：</w:t>
      </w:r>
    </w:p>
    <w:p w14:paraId="570F8C50">
      <w:pPr>
        <w:pageBreakBefore w:val="0"/>
        <w:kinsoku/>
        <w:overflowPunct/>
        <w:topLinePunct w:val="0"/>
        <w:bidi w:val="0"/>
        <w:spacing w:line="440" w:lineRule="exact"/>
        <w:ind w:firstLine="57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.1设计费投标报价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在最高投标限价范围内，投标人自行报总价，结算按设计费的中标价包干不作任何调整。设计费的报价应包含各个不同专业的施工图设计费用、进行优化设计或修改设计所增加的设计费用、各项专家评审的专家费用、预算编制费等</w:t>
      </w:r>
      <w:r>
        <w:rPr>
          <w:rFonts w:hint="eastAsia" w:ascii="宋体" w:hAnsi="宋体" w:eastAsia="宋体" w:cs="宋体"/>
          <w:color w:val="auto"/>
          <w:sz w:val="24"/>
          <w:szCs w:val="24"/>
          <w:highlight w:val="none"/>
        </w:rPr>
        <w:t>（不含第三方施工图审查费）</w:t>
      </w:r>
      <w:r>
        <w:rPr>
          <w:rFonts w:hint="eastAsia" w:ascii="宋体" w:hAnsi="宋体" w:eastAsia="宋体" w:cs="宋体"/>
          <w:color w:val="auto"/>
          <w:sz w:val="24"/>
          <w:szCs w:val="24"/>
          <w:highlight w:val="none"/>
          <w:lang w:val="zh-CN"/>
        </w:rPr>
        <w:t>，由投标人自行考虑所有设计工作的辅助费用。如其他专业需要分包的，需向招标人报备。另外，中标人需向招标人提供合格施工图一式1</w:t>
      </w:r>
      <w:r>
        <w:rPr>
          <w:rFonts w:hint="eastAsia"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val="zh-CN"/>
        </w:rPr>
        <w:t>份。</w:t>
      </w:r>
    </w:p>
    <w:p w14:paraId="257E80DA">
      <w:pPr>
        <w:pageBreakBefore w:val="0"/>
        <w:kinsoku/>
        <w:overflowPunct/>
        <w:topLinePunct w:val="0"/>
        <w:bidi w:val="0"/>
        <w:spacing w:line="440" w:lineRule="exact"/>
        <w:ind w:firstLine="570"/>
        <w:textAlignment w:val="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本项目在实施过程中可能出现设计成果已通过确认，仍需进行设计变更、修改、调整等情况，不另行增加设计费。</w:t>
      </w:r>
    </w:p>
    <w:p w14:paraId="794D6DEE">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建安</w:t>
      </w:r>
      <w:r>
        <w:rPr>
          <w:rFonts w:hint="eastAsia" w:ascii="宋体" w:hAnsi="宋体" w:eastAsia="宋体" w:cs="宋体"/>
          <w:color w:val="auto"/>
          <w:sz w:val="24"/>
          <w:szCs w:val="24"/>
          <w:highlight w:val="none"/>
        </w:rPr>
        <w:t>工程费用</w:t>
      </w:r>
      <w:r>
        <w:rPr>
          <w:rFonts w:hint="eastAsia" w:ascii="宋体" w:hAnsi="宋体" w:eastAsia="宋体" w:cs="宋体"/>
          <w:color w:val="auto"/>
          <w:sz w:val="24"/>
          <w:szCs w:val="24"/>
          <w:highlight w:val="none"/>
          <w:lang w:val="zh-CN"/>
        </w:rPr>
        <w:t>：采用下浮率的方式进行报价</w:t>
      </w:r>
      <w:r>
        <w:rPr>
          <w:rFonts w:hint="eastAsia" w:ascii="宋体" w:hAnsi="宋体" w:eastAsia="宋体" w:cs="宋体"/>
          <w:color w:val="auto"/>
          <w:sz w:val="24"/>
          <w:szCs w:val="24"/>
          <w:highlight w:val="none"/>
        </w:rPr>
        <w:t>，结算时按招标文件有关结算原则计算后再按报价</w:t>
      </w:r>
      <w:r>
        <w:rPr>
          <w:rFonts w:hint="eastAsia" w:ascii="宋体" w:hAnsi="宋体" w:eastAsia="宋体" w:cs="宋体"/>
          <w:color w:val="auto"/>
          <w:sz w:val="24"/>
          <w:szCs w:val="24"/>
          <w:highlight w:val="none"/>
          <w:lang w:val="zh-CN"/>
        </w:rPr>
        <w:t>下浮率</w:t>
      </w:r>
      <w:r>
        <w:rPr>
          <w:rFonts w:hint="eastAsia" w:ascii="宋体" w:hAnsi="宋体" w:eastAsia="宋体" w:cs="宋体"/>
          <w:color w:val="auto"/>
          <w:sz w:val="24"/>
          <w:szCs w:val="24"/>
          <w:highlight w:val="none"/>
        </w:rPr>
        <w:t>下浮。</w:t>
      </w:r>
      <w:r>
        <w:rPr>
          <w:rFonts w:hint="eastAsia" w:ascii="宋体" w:hAnsi="宋体" w:eastAsia="宋体" w:cs="宋体"/>
          <w:b/>
          <w:bCs/>
          <w:color w:val="auto"/>
          <w:sz w:val="24"/>
          <w:szCs w:val="24"/>
          <w:highlight w:val="none"/>
        </w:rPr>
        <w:t>建安工程费投标报价=计算基数×（1-下浮率）。</w:t>
      </w:r>
    </w:p>
    <w:p w14:paraId="56A5DDEC">
      <w:pPr>
        <w:pageBreakBefore w:val="0"/>
        <w:kinsoku/>
        <w:overflowPunct/>
        <w:topLinePunct w:val="0"/>
        <w:bidi w:val="0"/>
        <w:spacing w:line="440" w:lineRule="exact"/>
        <w:ind w:firstLine="588" w:firstLineChars="245"/>
        <w:textAlignment w:val="auto"/>
        <w:rPr>
          <w:rFonts w:hint="eastAsia" w:ascii="宋体" w:hAnsi="宋体" w:eastAsia="宋体" w:cs="宋体"/>
          <w:strike/>
          <w:color w:val="auto"/>
          <w:sz w:val="24"/>
          <w:szCs w:val="24"/>
          <w:highlight w:val="none"/>
        </w:rPr>
      </w:pPr>
      <w:r>
        <w:rPr>
          <w:rFonts w:hint="eastAsia" w:ascii="宋体" w:hAnsi="宋体" w:eastAsia="宋体" w:cs="宋体"/>
          <w:color w:val="auto"/>
          <w:sz w:val="24"/>
          <w:szCs w:val="24"/>
          <w:highlight w:val="none"/>
        </w:rPr>
        <w:t>如投标人的建安工程费用投标报价</w:t>
      </w:r>
      <w:r>
        <w:rPr>
          <w:rFonts w:hint="eastAsia" w:ascii="宋体" w:hAnsi="宋体" w:eastAsia="宋体" w:cs="宋体"/>
          <w:color w:val="auto"/>
          <w:sz w:val="24"/>
          <w:szCs w:val="24"/>
          <w:highlight w:val="none"/>
          <w:lang w:val="zh-CN"/>
        </w:rPr>
        <w:t>下浮率</w:t>
      </w:r>
      <w:r>
        <w:rPr>
          <w:rFonts w:hint="eastAsia" w:ascii="宋体" w:hAnsi="宋体" w:eastAsia="宋体" w:cs="宋体"/>
          <w:color w:val="auto"/>
          <w:sz w:val="24"/>
          <w:szCs w:val="24"/>
          <w:highlight w:val="none"/>
        </w:rPr>
        <w:t>高于15%时，投标人必须在投标报价书中另行作出详细合理的书面说明并提供相关证明材料供评标委员会评审，否则评标委员会将认定该投标人以低于成本报价竞标。</w:t>
      </w:r>
    </w:p>
    <w:p w14:paraId="20DD5D71">
      <w:pPr>
        <w:pStyle w:val="2"/>
        <w:pageBreakBefore w:val="0"/>
        <w:kinsoku/>
        <w:overflowPunct/>
        <w:topLinePunct w:val="0"/>
        <w:bidi w:val="0"/>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rPr>
        <w:t xml:space="preserve">    建安工程费的报价应考虑完成招标文件中招标规模、内容及设计任务书所规定的所有工程的费用，并承担结算原则中规定的一切风险，还应包含工程报建和施工时应由施工单位承担的一切费用。</w:t>
      </w:r>
    </w:p>
    <w:p w14:paraId="2FEC961E">
      <w:pPr>
        <w:pageBreakBefore w:val="0"/>
        <w:kinsoku/>
        <w:overflowPunct/>
        <w:topLinePunct w:val="0"/>
        <w:bidi w:val="0"/>
        <w:spacing w:line="440" w:lineRule="exact"/>
        <w:ind w:firstLine="588" w:firstLineChars="245"/>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9.9.3预算包干费：根据2018年《广东省市政工程综合定额》、2018年《广东省房屋建筑与装饰工程综合定额》、2018年《广东省传统建筑保护修复工程综合定额》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相关规定</w:t>
      </w:r>
      <w:r>
        <w:rPr>
          <w:rFonts w:hint="eastAsia" w:ascii="宋体" w:hAnsi="宋体" w:eastAsia="宋体" w:cs="宋体"/>
          <w:color w:val="auto"/>
          <w:sz w:val="24"/>
          <w:szCs w:val="24"/>
          <w:highlight w:val="none"/>
          <w:lang w:eastAsia="zh-CN"/>
        </w:rPr>
        <w:t>。</w:t>
      </w:r>
    </w:p>
    <w:p w14:paraId="774D5082">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9.9.4投标人在投标报价时，自行考虑高温补贴费、施工视频监控系统费用，专业分包的总包服务及配合费，预算（含工程量清单编制费）等，并承担相应风险，结算时不另行计取。</w:t>
      </w:r>
    </w:p>
    <w:p w14:paraId="6AA7F23A">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 xml:space="preserve">9.5 </w:t>
      </w:r>
      <w:r>
        <w:rPr>
          <w:rFonts w:hint="eastAsia" w:ascii="宋体" w:hAnsi="宋体" w:eastAsia="宋体" w:cs="宋体"/>
          <w:bCs/>
          <w:color w:val="auto"/>
          <w:sz w:val="24"/>
          <w:szCs w:val="24"/>
          <w:highlight w:val="none"/>
        </w:rPr>
        <w:t>招标人可根据本项目实际情况对规模及内容进行调整</w:t>
      </w:r>
      <w:r>
        <w:rPr>
          <w:rFonts w:hint="eastAsia" w:ascii="宋体" w:hAnsi="宋体" w:eastAsia="宋体" w:cs="宋体"/>
          <w:color w:val="auto"/>
          <w:sz w:val="24"/>
          <w:szCs w:val="24"/>
          <w:highlight w:val="none"/>
        </w:rPr>
        <w:t>或减少，投标人中标后不得因此调整或减少向招标人索赔，并且必须按调整或减少后的规模及内容完成工程建设。投标人在投标报价时需综合考虑该因素并报价</w:t>
      </w:r>
      <w:r>
        <w:rPr>
          <w:rFonts w:hint="eastAsia" w:ascii="宋体" w:hAnsi="宋体" w:eastAsia="宋体" w:cs="宋体"/>
          <w:bCs/>
          <w:color w:val="auto"/>
          <w:sz w:val="24"/>
          <w:szCs w:val="24"/>
          <w:highlight w:val="none"/>
        </w:rPr>
        <w:t>。</w:t>
      </w:r>
    </w:p>
    <w:p w14:paraId="00797DBB">
      <w:pPr>
        <w:pageBreakBefore w:val="0"/>
        <w:kinsoku/>
        <w:overflowPunct/>
        <w:topLinePunct w:val="0"/>
        <w:bidi w:val="0"/>
        <w:spacing w:line="440" w:lineRule="exact"/>
        <w:ind w:firstLine="588" w:firstLineChars="245"/>
        <w:textAlignment w:val="auto"/>
        <w:rPr>
          <w:rFonts w:hint="eastAsia" w:ascii="宋体" w:hAnsi="宋体" w:eastAsia="宋体" w:cs="宋体"/>
          <w:color w:val="auto"/>
          <w:sz w:val="24"/>
          <w:szCs w:val="24"/>
          <w:highlight w:val="none"/>
        </w:rPr>
      </w:pPr>
    </w:p>
    <w:p w14:paraId="4F5A373F">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sz w:val="24"/>
          <w:szCs w:val="24"/>
          <w:highlight w:val="none"/>
        </w:rPr>
      </w:pPr>
      <w:bookmarkStart w:id="133" w:name="_Toc4147"/>
      <w:r>
        <w:rPr>
          <w:rFonts w:hint="eastAsia" w:ascii="宋体" w:hAnsi="宋体" w:eastAsia="宋体" w:cs="宋体"/>
          <w:b/>
          <w:color w:val="auto"/>
          <w:sz w:val="24"/>
          <w:szCs w:val="24"/>
          <w:highlight w:val="none"/>
        </w:rPr>
        <w:t>10、 最高</w:t>
      </w:r>
      <w:r>
        <w:rPr>
          <w:rFonts w:hint="eastAsia" w:ascii="宋体" w:hAnsi="宋体" w:eastAsia="宋体" w:cs="宋体"/>
          <w:b/>
          <w:color w:val="auto"/>
          <w:kern w:val="2"/>
          <w:sz w:val="24"/>
          <w:szCs w:val="24"/>
          <w:highlight w:val="none"/>
        </w:rPr>
        <w:t>投标</w:t>
      </w:r>
      <w:r>
        <w:rPr>
          <w:rFonts w:hint="eastAsia" w:ascii="宋体" w:hAnsi="宋体" w:eastAsia="宋体" w:cs="宋体"/>
          <w:b/>
          <w:color w:val="auto"/>
          <w:sz w:val="24"/>
          <w:szCs w:val="24"/>
          <w:highlight w:val="none"/>
        </w:rPr>
        <w:t>限价的确定</w:t>
      </w:r>
      <w:bookmarkEnd w:id="133"/>
      <w:bookmarkStart w:id="134" w:name="_Hlt69335617"/>
      <w:bookmarkStart w:id="135" w:name="_Hlt121629839"/>
    </w:p>
    <w:p w14:paraId="6CA0A857">
      <w:pPr>
        <w:pStyle w:val="2"/>
        <w:pageBreakBefore w:val="0"/>
        <w:kinsoku/>
        <w:overflowPunct/>
        <w:topLinePunct w:val="0"/>
        <w:bidi w:val="0"/>
        <w:spacing w:line="440" w:lineRule="exact"/>
        <w:ind w:firstLine="482" w:firstLineChars="200"/>
        <w:jc w:val="left"/>
        <w:textAlignment w:val="auto"/>
        <w:rPr>
          <w:rFonts w:hint="eastAsia" w:ascii="宋体" w:hAnsi="宋体" w:cs="宋体"/>
          <w:color w:val="auto"/>
          <w:sz w:val="24"/>
          <w:szCs w:val="24"/>
          <w:highlight w:val="none"/>
          <w:lang w:eastAsia="zh-CN"/>
        </w:rPr>
      </w:pPr>
      <w:bookmarkStart w:id="136" w:name="_Toc13350"/>
      <w:bookmarkStart w:id="137" w:name="_Toc7307"/>
      <w:bookmarkStart w:id="138" w:name="_Toc24510"/>
      <w:bookmarkStart w:id="139" w:name="_Toc5483"/>
      <w:bookmarkStart w:id="140" w:name="_Toc32578"/>
      <w:bookmarkStart w:id="141" w:name="_Toc29734"/>
      <w:bookmarkStart w:id="142" w:name="_Toc4604"/>
      <w:bookmarkStart w:id="143" w:name="_Toc15152"/>
      <w:r>
        <w:rPr>
          <w:rFonts w:hint="eastAsia" w:ascii="宋体" w:hAnsi="宋体" w:cs="宋体"/>
          <w:color w:val="auto"/>
          <w:sz w:val="24"/>
          <w:szCs w:val="24"/>
          <w:highlight w:val="none"/>
          <w:lang w:eastAsia="zh-CN"/>
        </w:rPr>
        <w:t>本项目最高投标限价为人民币(大写)：肆仟贰佰壹拾贰万叁仟叁佰元整(￥42123300.00元)，具体详见下表：</w:t>
      </w:r>
    </w:p>
    <w:tbl>
      <w:tblPr>
        <w:tblStyle w:val="25"/>
        <w:tblW w:w="9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2267"/>
        <w:gridCol w:w="2928"/>
        <w:gridCol w:w="3452"/>
      </w:tblGrid>
      <w:tr w14:paraId="0664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931" w:type="dxa"/>
            <w:vAlign w:val="center"/>
          </w:tcPr>
          <w:p w14:paraId="0130FDC6">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360" w:lineRule="atLeast"/>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序号</w:t>
            </w:r>
          </w:p>
        </w:tc>
        <w:tc>
          <w:tcPr>
            <w:tcW w:w="2267" w:type="dxa"/>
            <w:vAlign w:val="center"/>
          </w:tcPr>
          <w:p w14:paraId="767B37D1">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360" w:lineRule="atLeast"/>
              <w:ind w:left="0" w:leftChars="0" w:right="0" w:rightChars="0" w:firstLine="42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项目名称</w:t>
            </w:r>
          </w:p>
        </w:tc>
        <w:tc>
          <w:tcPr>
            <w:tcW w:w="2928" w:type="dxa"/>
            <w:vAlign w:val="center"/>
          </w:tcPr>
          <w:p w14:paraId="39A2D2B2">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360" w:lineRule="atLeast"/>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最高投标限价（元）</w:t>
            </w:r>
          </w:p>
        </w:tc>
        <w:tc>
          <w:tcPr>
            <w:tcW w:w="3452" w:type="dxa"/>
            <w:vAlign w:val="center"/>
          </w:tcPr>
          <w:p w14:paraId="5FC49F56">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360" w:lineRule="atLeast"/>
              <w:ind w:left="0" w:leftChars="0" w:right="0" w:rightChars="0" w:firstLine="42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报价要求</w:t>
            </w:r>
          </w:p>
        </w:tc>
      </w:tr>
      <w:tr w14:paraId="36994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trPr>
        <w:tc>
          <w:tcPr>
            <w:tcW w:w="931" w:type="dxa"/>
            <w:vAlign w:val="center"/>
          </w:tcPr>
          <w:p w14:paraId="52FDFBAB">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2267" w:type="dxa"/>
            <w:vAlign w:val="center"/>
          </w:tcPr>
          <w:p w14:paraId="1786E508">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设计费</w:t>
            </w:r>
          </w:p>
        </w:tc>
        <w:tc>
          <w:tcPr>
            <w:tcW w:w="2928" w:type="dxa"/>
            <w:vAlign w:val="center"/>
          </w:tcPr>
          <w:p w14:paraId="26E548C4">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536800.00</w:t>
            </w:r>
          </w:p>
        </w:tc>
        <w:tc>
          <w:tcPr>
            <w:tcW w:w="3452" w:type="dxa"/>
            <w:vAlign w:val="center"/>
          </w:tcPr>
          <w:p w14:paraId="5B08411A">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设计费自行报价，结算按设计费的中标价包干不作任何调整。设计费的报价应包含各个不同专业的设计费用、进行优化设计或修改设计所增加的设计费用、各项专家评审的专家费用、预算编制费等（不含第三方施工图审查费）。</w:t>
            </w:r>
          </w:p>
        </w:tc>
      </w:tr>
      <w:tr w14:paraId="58A5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31" w:type="dxa"/>
            <w:vAlign w:val="center"/>
          </w:tcPr>
          <w:p w14:paraId="3AD40969">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p>
        </w:tc>
        <w:tc>
          <w:tcPr>
            <w:tcW w:w="2267" w:type="dxa"/>
            <w:vAlign w:val="center"/>
          </w:tcPr>
          <w:p w14:paraId="31CCBADF">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建安工程费</w:t>
            </w:r>
          </w:p>
        </w:tc>
        <w:tc>
          <w:tcPr>
            <w:tcW w:w="2928" w:type="dxa"/>
            <w:vAlign w:val="center"/>
          </w:tcPr>
          <w:p w14:paraId="798D2FB0">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39245000.00</w:t>
            </w:r>
          </w:p>
        </w:tc>
        <w:tc>
          <w:tcPr>
            <w:tcW w:w="3452" w:type="dxa"/>
            <w:vAlign w:val="center"/>
          </w:tcPr>
          <w:p w14:paraId="7A6282B6">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建安工程费下浮率≥</w:t>
            </w:r>
            <w:r>
              <w:rPr>
                <w:rFonts w:hint="eastAsia" w:hAnsi="宋体" w:eastAsia="宋体" w:cs="宋体"/>
                <w:snapToGrid w:val="0"/>
                <w:color w:val="auto"/>
                <w:kern w:val="0"/>
                <w:sz w:val="24"/>
                <w:szCs w:val="24"/>
                <w:highlight w:val="none"/>
                <w:lang w:val="en-US" w:eastAsia="zh-CN" w:bidi="ar-SA"/>
              </w:rPr>
              <w:t>5</w:t>
            </w:r>
            <w:r>
              <w:rPr>
                <w:rFonts w:hint="eastAsia" w:ascii="宋体" w:hAnsi="宋体" w:eastAsia="宋体" w:cs="宋体"/>
                <w:snapToGrid w:val="0"/>
                <w:color w:val="auto"/>
                <w:kern w:val="0"/>
                <w:sz w:val="24"/>
                <w:szCs w:val="24"/>
                <w:highlight w:val="none"/>
                <w:lang w:val="en-US" w:eastAsia="zh-CN" w:bidi="ar-SA"/>
              </w:rPr>
              <w:t>.00%。</w:t>
            </w:r>
          </w:p>
        </w:tc>
      </w:tr>
      <w:tr w14:paraId="3688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31" w:type="dxa"/>
            <w:vAlign w:val="center"/>
          </w:tcPr>
          <w:p w14:paraId="5FE41C49">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p>
        </w:tc>
        <w:tc>
          <w:tcPr>
            <w:tcW w:w="2267" w:type="dxa"/>
            <w:vAlign w:val="center"/>
          </w:tcPr>
          <w:p w14:paraId="4BCE8CF0">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预备费</w:t>
            </w:r>
          </w:p>
        </w:tc>
        <w:tc>
          <w:tcPr>
            <w:tcW w:w="2928" w:type="dxa"/>
            <w:vAlign w:val="center"/>
          </w:tcPr>
          <w:p w14:paraId="06635F30">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2341500.00</w:t>
            </w:r>
          </w:p>
        </w:tc>
        <w:tc>
          <w:tcPr>
            <w:tcW w:w="3452" w:type="dxa"/>
            <w:vAlign w:val="center"/>
          </w:tcPr>
          <w:p w14:paraId="31DF6A2B">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统一报价，按实际发生结算。</w:t>
            </w:r>
          </w:p>
        </w:tc>
      </w:tr>
      <w:tr w14:paraId="187C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198" w:type="dxa"/>
            <w:gridSpan w:val="2"/>
            <w:vAlign w:val="center"/>
          </w:tcPr>
          <w:p w14:paraId="397FD1B1">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合计</w:t>
            </w:r>
          </w:p>
        </w:tc>
        <w:tc>
          <w:tcPr>
            <w:tcW w:w="2928" w:type="dxa"/>
            <w:vAlign w:val="center"/>
          </w:tcPr>
          <w:p w14:paraId="5CD3D207">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42123300.00</w:t>
            </w:r>
          </w:p>
        </w:tc>
        <w:tc>
          <w:tcPr>
            <w:tcW w:w="3452" w:type="dxa"/>
            <w:vAlign w:val="center"/>
          </w:tcPr>
          <w:p w14:paraId="1F55614A">
            <w:pPr>
              <w:keepNext w:val="0"/>
              <w:keepLines w:val="0"/>
              <w:suppressLineNumbers w:val="0"/>
              <w:spacing w:before="0" w:beforeAutospacing="0" w:after="0" w:afterAutospacing="0"/>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w:t>
            </w:r>
          </w:p>
        </w:tc>
      </w:tr>
    </w:tbl>
    <w:p w14:paraId="4545BFED">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sz w:val="24"/>
          <w:szCs w:val="24"/>
          <w:highlight w:val="none"/>
        </w:rPr>
      </w:pPr>
      <w:bookmarkStart w:id="144" w:name="_Toc20501"/>
      <w:r>
        <w:rPr>
          <w:rFonts w:hint="eastAsia" w:ascii="宋体" w:hAnsi="宋体" w:eastAsia="宋体" w:cs="宋体"/>
          <w:b/>
          <w:color w:val="auto"/>
          <w:sz w:val="24"/>
          <w:szCs w:val="24"/>
          <w:highlight w:val="none"/>
        </w:rPr>
        <w:t>11、</w:t>
      </w:r>
      <w:r>
        <w:rPr>
          <w:rFonts w:hint="eastAsia" w:ascii="宋体" w:hAnsi="宋体" w:eastAsia="宋体" w:cs="宋体"/>
          <w:b/>
          <w:color w:val="auto"/>
          <w:kern w:val="2"/>
          <w:sz w:val="24"/>
          <w:szCs w:val="24"/>
          <w:highlight w:val="none"/>
        </w:rPr>
        <w:t>投标</w:t>
      </w:r>
      <w:r>
        <w:rPr>
          <w:rFonts w:hint="eastAsia" w:ascii="宋体" w:hAnsi="宋体" w:eastAsia="宋体" w:cs="宋体"/>
          <w:b/>
          <w:color w:val="auto"/>
          <w:sz w:val="24"/>
          <w:szCs w:val="24"/>
          <w:highlight w:val="none"/>
        </w:rPr>
        <w:t>文件的编制</w:t>
      </w:r>
      <w:bookmarkStart w:id="145" w:name="_Hlt69208262"/>
      <w:bookmarkEnd w:id="145"/>
      <w:bookmarkStart w:id="146" w:name="_Hlt69332370"/>
      <w:bookmarkEnd w:id="146"/>
      <w:r>
        <w:rPr>
          <w:rFonts w:hint="eastAsia" w:ascii="宋体" w:hAnsi="宋体" w:eastAsia="宋体" w:cs="宋体"/>
          <w:b/>
          <w:color w:val="auto"/>
          <w:sz w:val="24"/>
          <w:szCs w:val="24"/>
          <w:highlight w:val="none"/>
        </w:rPr>
        <w:t>要求</w:t>
      </w:r>
      <w:bookmarkEnd w:id="136"/>
      <w:bookmarkEnd w:id="137"/>
      <w:bookmarkEnd w:id="138"/>
      <w:bookmarkEnd w:id="139"/>
      <w:bookmarkEnd w:id="140"/>
      <w:bookmarkEnd w:id="141"/>
      <w:bookmarkEnd w:id="142"/>
      <w:bookmarkEnd w:id="143"/>
      <w:bookmarkEnd w:id="144"/>
    </w:p>
    <w:p w14:paraId="1BB2C596">
      <w:pPr>
        <w:pStyle w:val="48"/>
        <w:pageBreakBefore w:val="0"/>
        <w:kinsoku/>
        <w:overflowPunct/>
        <w:topLinePunct w:val="0"/>
        <w:bidi w:val="0"/>
        <w:spacing w:line="440" w:lineRule="exact"/>
        <w:ind w:firstLine="482" w:firstLineChars="200"/>
        <w:jc w:val="both"/>
        <w:textAlignment w:val="auto"/>
        <w:outlineLvl w:val="9"/>
        <w:rPr>
          <w:rFonts w:hint="eastAsia" w:ascii="宋体" w:hAnsi="宋体" w:eastAsia="宋体" w:cs="宋体"/>
          <w:b/>
          <w:color w:val="auto"/>
          <w:sz w:val="24"/>
          <w:szCs w:val="24"/>
          <w:highlight w:val="none"/>
        </w:rPr>
      </w:pPr>
      <w:bookmarkStart w:id="147" w:name="_Hlt74497202"/>
      <w:bookmarkEnd w:id="147"/>
      <w:bookmarkStart w:id="148" w:name="_Hlt78768224"/>
      <w:bookmarkEnd w:id="148"/>
      <w:bookmarkStart w:id="149" w:name="_Hlt74495594"/>
      <w:bookmarkEnd w:id="149"/>
      <w:bookmarkStart w:id="150" w:name="_Toc31856"/>
      <w:bookmarkStart w:id="151" w:name="_Toc6695"/>
      <w:bookmarkStart w:id="152" w:name="_Toc2841"/>
      <w:bookmarkStart w:id="153" w:name="_Toc32061"/>
      <w:bookmarkStart w:id="154" w:name="_Toc17330"/>
      <w:bookmarkStart w:id="155" w:name="_Toc20541"/>
      <w:bookmarkStart w:id="156" w:name="_Toc10996"/>
      <w:bookmarkStart w:id="157" w:name="_Toc13676"/>
      <w:bookmarkStart w:id="158" w:name="_Toc9696"/>
      <w:bookmarkStart w:id="159" w:name="_Toc20091"/>
      <w:bookmarkStart w:id="160" w:name="_Toc437"/>
      <w:bookmarkStart w:id="161" w:name="_Toc5812"/>
      <w:bookmarkStart w:id="162" w:name="_Toc25295"/>
      <w:bookmarkStart w:id="163" w:name="_Toc12050"/>
      <w:bookmarkStart w:id="164" w:name="_Toc29847"/>
      <w:bookmarkStart w:id="165" w:name="_Toc13462"/>
      <w:r>
        <w:rPr>
          <w:rFonts w:hint="eastAsia" w:ascii="宋体" w:hAnsi="宋体" w:eastAsia="宋体" w:cs="宋体"/>
          <w:b/>
          <w:color w:val="auto"/>
          <w:sz w:val="24"/>
          <w:szCs w:val="24"/>
          <w:highlight w:val="none"/>
        </w:rPr>
        <w:t>11.1 一般要求</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6494599D">
      <w:pPr>
        <w:pStyle w:val="46"/>
        <w:pageBreakBefore w:val="0"/>
        <w:kinsoku/>
        <w:overflowPunct/>
        <w:topLinePunct w:val="0"/>
        <w:bidi w:val="0"/>
        <w:spacing w:line="440" w:lineRule="exact"/>
        <w:ind w:firstLineChars="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投标文件应按第七章投标文件格式规定的内容，投标人提交的投标文件应当使用招标文件所提供的投标文件全部格式。</w:t>
      </w:r>
    </w:p>
    <w:p w14:paraId="6FE107F8">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11.1.1</w:t>
      </w:r>
      <w:r>
        <w:rPr>
          <w:rFonts w:hint="eastAsia" w:ascii="宋体" w:hAnsi="宋体" w:eastAsia="宋体" w:cs="宋体"/>
          <w:snapToGrid w:val="0"/>
          <w:color w:val="auto"/>
          <w:kern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1A31778">
      <w:pPr>
        <w:pStyle w:val="37"/>
        <w:pageBreakBefore w:val="0"/>
        <w:kinsoku/>
        <w:overflowPunct/>
        <w:topLinePunct w:val="0"/>
        <w:bidi w:val="0"/>
        <w:spacing w:line="440" w:lineRule="exac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w:t>
      </w:r>
      <w:r>
        <w:rPr>
          <w:rFonts w:hint="eastAsia" w:ascii="宋体" w:hAnsi="宋体" w:eastAsia="宋体" w:cs="宋体"/>
          <w:snapToGrid w:val="0"/>
          <w:color w:val="auto"/>
          <w:kern w:val="0"/>
          <w:sz w:val="24"/>
          <w:szCs w:val="24"/>
          <w:highlight w:val="none"/>
        </w:rPr>
        <w:t>投标文件包含投标标书</w:t>
      </w:r>
      <w:r>
        <w:rPr>
          <w:rFonts w:hint="eastAsia" w:ascii="宋体" w:hAnsi="宋体" w:eastAsia="宋体" w:cs="宋体"/>
          <w:snapToGrid w:val="0"/>
          <w:color w:val="auto"/>
          <w:kern w:val="0"/>
          <w:sz w:val="24"/>
          <w:szCs w:val="24"/>
          <w:highlight w:val="none"/>
          <w:lang w:val="en-US" w:eastAsia="zh-CN"/>
        </w:rPr>
        <w:t>、定标文件两个分</w:t>
      </w:r>
      <w:r>
        <w:rPr>
          <w:rFonts w:hint="eastAsia" w:ascii="宋体" w:hAnsi="宋体" w:eastAsia="宋体" w:cs="宋体"/>
          <w:snapToGrid w:val="0"/>
          <w:color w:val="auto"/>
          <w:kern w:val="0"/>
          <w:sz w:val="24"/>
          <w:szCs w:val="24"/>
          <w:highlight w:val="none"/>
        </w:rPr>
        <w:t>册。投标文件在电子投标时全部采用电子文档（中标人自中标通知书发出之日起五个工作日内再提供正本1份、副本</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 韶关市）（https://ygp.gdzwfw.gov.cn/ggzy-portal/#/440200/index）交易指引。</w:t>
      </w:r>
      <w:r>
        <w:rPr>
          <w:rFonts w:hint="eastAsia" w:ascii="宋体" w:hAnsi="宋体" w:eastAsia="宋体" w:cs="宋体"/>
          <w:color w:val="auto"/>
          <w:sz w:val="24"/>
          <w:szCs w:val="24"/>
          <w:highlight w:val="none"/>
        </w:rPr>
        <w:t>（注：组成联合体时，只须加盖联合体牵头人的公章，联合体其它成员可不盖章）。</w:t>
      </w:r>
    </w:p>
    <w:p w14:paraId="107B3FD0">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 投标文件需按以下要求签字、盖章：</w:t>
      </w:r>
    </w:p>
    <w:p w14:paraId="69C1D8AA">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电子投标文件：</w:t>
      </w:r>
    </w:p>
    <w:p w14:paraId="67AFC506">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5850DB29">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11.1.3.2 投标文件封套、封面、组成内容中凡要求录入投标人名称且注明“盖单位章”处盖单位法人公章（电子印章）</w:t>
      </w:r>
    </w:p>
    <w:p w14:paraId="39D0C879">
      <w:pPr>
        <w:pStyle w:val="37"/>
        <w:pageBreakBefore w:val="0"/>
        <w:kinsoku/>
        <w:overflowPunct/>
        <w:topLinePunct w:val="0"/>
        <w:bidi w:val="0"/>
        <w:spacing w:line="440" w:lineRule="exact"/>
        <w:ind w:firstLine="56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11.1.3.3 投标文件的签字均为签字人本人亲笔署名或签章（电子印章），其余部分的彩色扫描件无须另行签字、盖章。</w:t>
      </w:r>
    </w:p>
    <w:p w14:paraId="521763EE">
      <w:pPr>
        <w:pStyle w:val="37"/>
        <w:pageBreakBefore w:val="0"/>
        <w:kinsoku/>
        <w:overflowPunct/>
        <w:topLinePunct w:val="0"/>
        <w:bidi w:val="0"/>
        <w:spacing w:line="440" w:lineRule="exact"/>
        <w:ind w:firstLine="560"/>
        <w:textAlignment w:val="auto"/>
        <w:rPr>
          <w:rFonts w:hint="eastAsia" w:ascii="宋体" w:hAnsi="宋体" w:eastAsia="宋体" w:cs="宋体"/>
          <w:b/>
          <w:color w:val="auto"/>
          <w:sz w:val="24"/>
          <w:szCs w:val="24"/>
          <w:highlight w:val="none"/>
        </w:rPr>
      </w:pPr>
      <w:r>
        <w:rPr>
          <w:rFonts w:hint="eastAsia" w:ascii="宋体" w:hAnsi="宋体" w:eastAsia="宋体" w:cs="宋体"/>
          <w:snapToGrid w:val="0"/>
          <w:color w:val="auto"/>
          <w:kern w:val="0"/>
          <w:sz w:val="24"/>
          <w:szCs w:val="24"/>
          <w:highlight w:val="none"/>
        </w:rPr>
        <w:t>11.1.3.4 联合体投标的，除《联合体协议书》外，由联合体牵头人按以上要求签字（电子印章）、盖章（电子印章）即可。</w:t>
      </w:r>
      <w:bookmarkStart w:id="166" w:name="_Toc257031159"/>
      <w:bookmarkStart w:id="167" w:name="_Toc274313880"/>
    </w:p>
    <w:p w14:paraId="79F57532">
      <w:pPr>
        <w:pStyle w:val="48"/>
        <w:pageBreakBefore w:val="0"/>
        <w:kinsoku/>
        <w:overflowPunct/>
        <w:topLinePunct w:val="0"/>
        <w:bidi w:val="0"/>
        <w:spacing w:line="440" w:lineRule="exact"/>
        <w:ind w:firstLine="482" w:firstLineChars="200"/>
        <w:jc w:val="both"/>
        <w:textAlignment w:val="auto"/>
        <w:outlineLvl w:val="9"/>
        <w:rPr>
          <w:rFonts w:hint="eastAsia" w:ascii="宋体" w:hAnsi="宋体" w:eastAsia="宋体" w:cs="宋体"/>
          <w:b/>
          <w:color w:val="auto"/>
          <w:sz w:val="24"/>
          <w:szCs w:val="24"/>
          <w:highlight w:val="none"/>
        </w:rPr>
      </w:pPr>
      <w:bookmarkStart w:id="168" w:name="_Toc27670"/>
      <w:bookmarkStart w:id="169" w:name="_Toc38"/>
      <w:bookmarkStart w:id="170" w:name="_Toc27606"/>
      <w:bookmarkStart w:id="171" w:name="_Toc6622"/>
      <w:bookmarkStart w:id="172" w:name="_Toc18076"/>
      <w:bookmarkStart w:id="173" w:name="_Toc8355"/>
      <w:bookmarkStart w:id="174" w:name="_Toc16107"/>
      <w:bookmarkStart w:id="175" w:name="_Toc26859"/>
      <w:bookmarkStart w:id="176" w:name="_Toc17946"/>
      <w:bookmarkStart w:id="177" w:name="_Toc26289"/>
      <w:bookmarkStart w:id="178" w:name="_Toc29894"/>
      <w:bookmarkStart w:id="179" w:name="_Toc15270"/>
      <w:bookmarkStart w:id="180" w:name="_Toc4699"/>
      <w:bookmarkStart w:id="181" w:name="_Toc7654"/>
      <w:bookmarkStart w:id="182" w:name="_Toc18670"/>
      <w:bookmarkStart w:id="183" w:name="_Toc23484"/>
      <w:r>
        <w:rPr>
          <w:rFonts w:hint="eastAsia" w:ascii="宋体" w:hAnsi="宋体" w:eastAsia="宋体" w:cs="宋体"/>
          <w:b/>
          <w:color w:val="auto"/>
          <w:sz w:val="24"/>
          <w:szCs w:val="24"/>
          <w:highlight w:val="none"/>
        </w:rPr>
        <w:t xml:space="preserve">11.2 </w:t>
      </w:r>
      <w:bookmarkEnd w:id="166"/>
      <w:bookmarkEnd w:id="167"/>
      <w:bookmarkEnd w:id="168"/>
      <w:bookmarkEnd w:id="169"/>
      <w:bookmarkEnd w:id="170"/>
      <w:bookmarkEnd w:id="171"/>
      <w:bookmarkEnd w:id="172"/>
      <w:bookmarkEnd w:id="173"/>
      <w:bookmarkEnd w:id="174"/>
      <w:bookmarkEnd w:id="175"/>
      <w:r>
        <w:rPr>
          <w:rFonts w:hint="eastAsia" w:ascii="宋体" w:hAnsi="宋体" w:eastAsia="宋体" w:cs="宋体"/>
          <w:b/>
          <w:color w:val="auto"/>
          <w:sz w:val="24"/>
          <w:szCs w:val="24"/>
          <w:highlight w:val="none"/>
        </w:rPr>
        <w:t>投标标书的编制要求</w:t>
      </w:r>
      <w:bookmarkEnd w:id="176"/>
      <w:bookmarkEnd w:id="177"/>
      <w:bookmarkEnd w:id="178"/>
      <w:bookmarkEnd w:id="179"/>
      <w:bookmarkEnd w:id="180"/>
      <w:bookmarkEnd w:id="181"/>
      <w:bookmarkEnd w:id="182"/>
      <w:bookmarkEnd w:id="183"/>
    </w:p>
    <w:p w14:paraId="5D7E7A48">
      <w:pPr>
        <w:pStyle w:val="37"/>
        <w:pageBreakBefore w:val="0"/>
        <w:kinsoku/>
        <w:overflowPunct/>
        <w:topLinePunct w:val="0"/>
        <w:bidi w:val="0"/>
        <w:spacing w:line="440" w:lineRule="exact"/>
        <w:ind w:firstLine="561"/>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11.2.1 投标标书包括但不限于以下内容：</w:t>
      </w:r>
    </w:p>
    <w:p w14:paraId="48F54A2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41CCC8EE">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7257100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（3）《投标函》及《工程项目总价表》（格式二）；</w:t>
      </w:r>
    </w:p>
    <w:p w14:paraId="6ED8C58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4BB55F5F">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74443B2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203E9D2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5188367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z w:val="24"/>
          <w:szCs w:val="24"/>
          <w:highlight w:val="none"/>
        </w:rPr>
        <w:t>《韶关市公共资源交易一体化平台保证金缴纳信息》</w:t>
      </w:r>
      <w:r>
        <w:rPr>
          <w:rFonts w:hint="eastAsia" w:ascii="宋体" w:hAnsi="宋体" w:eastAsia="宋体" w:cs="宋体"/>
          <w:b/>
          <w:bCs/>
          <w:snapToGrid w:val="0"/>
          <w:color w:val="auto"/>
          <w:kern w:val="0"/>
          <w:sz w:val="24"/>
          <w:szCs w:val="24"/>
          <w:highlight w:val="none"/>
        </w:rPr>
        <w:t>页面截图</w:t>
      </w:r>
      <w:r>
        <w:rPr>
          <w:rFonts w:hint="eastAsia" w:ascii="宋体" w:hAnsi="宋体" w:eastAsia="宋体" w:cs="宋体"/>
          <w:snapToGrid w:val="0"/>
          <w:color w:val="auto"/>
          <w:kern w:val="0"/>
          <w:sz w:val="24"/>
          <w:szCs w:val="24"/>
          <w:highlight w:val="none"/>
        </w:rPr>
        <w:t>）。</w:t>
      </w:r>
    </w:p>
    <w:p w14:paraId="08A38F36">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6E7AD9EE">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6AA38F8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1D5D2AC7">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7C85547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（13）《项目设计负责人简历表》（格式十一）及所附资料；</w:t>
      </w:r>
    </w:p>
    <w:p w14:paraId="5A76A644">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（14）《项目管理机构组成表》（格式十二）及所附资料；</w:t>
      </w:r>
    </w:p>
    <w:p w14:paraId="13731438">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（15）本章第14.2目“评标方法”要求提供的评审资料（如有）；</w:t>
      </w:r>
    </w:p>
    <w:p w14:paraId="0E16F873">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16）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关于投标总价下浮率超过15%的书面说明和佐证材料）。</w:t>
      </w:r>
    </w:p>
    <w:p w14:paraId="32F36A35">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2 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目中所列出的投标标书组成内容中，第（1）至第（15）项所有投标人均应提供，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1DDE27DC">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11.2.</w:t>
      </w:r>
      <w:r>
        <w:rPr>
          <w:rFonts w:hint="eastAsia" w:ascii="宋体" w:hAnsi="宋体" w:eastAsia="宋体" w:cs="宋体"/>
          <w:snapToGrid w:val="0"/>
          <w:color w:val="auto"/>
          <w:kern w:val="0"/>
          <w:sz w:val="24"/>
          <w:szCs w:val="24"/>
          <w:highlight w:val="none"/>
        </w:rPr>
        <w:t>3 投标标书的组成内容按本章第</w:t>
      </w:r>
      <w:r>
        <w:rPr>
          <w:rFonts w:hint="eastAsia" w:ascii="宋体" w:hAnsi="宋体" w:eastAsia="宋体" w:cs="宋体"/>
          <w:b/>
          <w:bCs/>
          <w:snapToGrid w:val="0"/>
          <w:color w:val="auto"/>
          <w:kern w:val="0"/>
          <w:sz w:val="24"/>
          <w:szCs w:val="24"/>
          <w:highlight w:val="none"/>
        </w:rPr>
        <w:t>11.2.1</w:t>
      </w:r>
      <w:r>
        <w:rPr>
          <w:rFonts w:hint="eastAsia" w:ascii="宋体" w:hAnsi="宋体" w:eastAsia="宋体" w:cs="宋体"/>
          <w:snapToGrid w:val="0"/>
          <w:color w:val="auto"/>
          <w:kern w:val="0"/>
          <w:sz w:val="24"/>
          <w:szCs w:val="24"/>
          <w:highlight w:val="none"/>
        </w:rPr>
        <w:t>目规定的顺序整理、编排后，逐页连续标记页码。</w:t>
      </w:r>
    </w:p>
    <w:p w14:paraId="7199576B">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特别说明：</w:t>
      </w:r>
    </w:p>
    <w:p w14:paraId="4DDE7197">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64CBDB57">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 xml:space="preserve">2、本次招标投标时不要求按编制工程量清单计价模式进行投标报价。投标人若中标后依据经审图合格后的设计施工图编制施工图预算，该施工图预算必须达到办理合同备案及开工手续的要求；中标人须向招标人提供一式伍份完整的预算资料（含工程量计算表、施工图预算书及电子版）。 </w:t>
      </w:r>
      <w:bookmarkStart w:id="184" w:name="_Toc1583"/>
      <w:bookmarkStart w:id="185" w:name="_Toc27175"/>
      <w:bookmarkStart w:id="186" w:name="_Toc11926"/>
      <w:bookmarkStart w:id="187" w:name="_Toc14130"/>
      <w:bookmarkStart w:id="188" w:name="_Toc17812"/>
      <w:bookmarkStart w:id="189" w:name="_Toc11313"/>
      <w:bookmarkStart w:id="190" w:name="_Toc17459"/>
      <w:bookmarkStart w:id="191" w:name="_Toc13003"/>
    </w:p>
    <w:p w14:paraId="7F1B0F7F">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p>
    <w:p w14:paraId="64217743">
      <w:pPr>
        <w:pStyle w:val="48"/>
        <w:pageBreakBefore w:val="0"/>
        <w:kinsoku/>
        <w:overflowPunct/>
        <w:topLinePunct w:val="0"/>
        <w:bidi w:val="0"/>
        <w:spacing w:line="440" w:lineRule="exact"/>
        <w:ind w:firstLine="482" w:firstLineChars="200"/>
        <w:jc w:val="both"/>
        <w:textAlignment w:val="auto"/>
        <w:outlineLvl w:val="9"/>
        <w:rPr>
          <w:rFonts w:hint="eastAsia" w:ascii="宋体" w:hAnsi="宋体" w:eastAsia="宋体" w:cs="宋体"/>
          <w:b/>
          <w:color w:val="auto"/>
          <w:sz w:val="24"/>
          <w:szCs w:val="24"/>
          <w:highlight w:val="none"/>
        </w:rPr>
      </w:pPr>
      <w:bookmarkStart w:id="192" w:name="_Toc17579"/>
      <w:bookmarkStart w:id="193" w:name="_Toc9889"/>
      <w:r>
        <w:rPr>
          <w:rFonts w:hint="eastAsia" w:ascii="宋体" w:hAnsi="宋体" w:eastAsia="宋体" w:cs="宋体"/>
          <w:b/>
          <w:color w:val="auto"/>
          <w:sz w:val="24"/>
          <w:szCs w:val="24"/>
          <w:highlight w:val="none"/>
        </w:rPr>
        <w:t>11.</w:t>
      </w:r>
      <w:r>
        <w:rPr>
          <w:rFonts w:hint="eastAsia" w:ascii="宋体" w:hAnsi="宋体" w:eastAsia="宋体" w:cs="宋体"/>
          <w:b/>
          <w:color w:val="auto"/>
          <w:sz w:val="24"/>
          <w:szCs w:val="24"/>
          <w:highlight w:val="none"/>
          <w:lang w:val="en-US" w:eastAsia="zh-CN"/>
        </w:rPr>
        <w:t>3定标</w:t>
      </w:r>
      <w:r>
        <w:rPr>
          <w:rFonts w:hint="eastAsia" w:ascii="宋体" w:hAnsi="宋体" w:eastAsia="宋体" w:cs="宋体"/>
          <w:b/>
          <w:color w:val="auto"/>
          <w:sz w:val="24"/>
          <w:szCs w:val="24"/>
          <w:highlight w:val="none"/>
        </w:rPr>
        <w:t>的编制要求</w:t>
      </w:r>
      <w:bookmarkEnd w:id="192"/>
      <w:bookmarkEnd w:id="193"/>
    </w:p>
    <w:p w14:paraId="5B7655C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1.3</w:t>
      </w:r>
      <w:r>
        <w:rPr>
          <w:rFonts w:hint="eastAsia" w:ascii="宋体" w:hAnsi="宋体" w:eastAsia="宋体" w:cs="宋体"/>
          <w:b w:val="0"/>
          <w:bCs w:val="0"/>
          <w:color w:val="auto"/>
          <w:sz w:val="24"/>
          <w:szCs w:val="24"/>
          <w:highlight w:val="none"/>
        </w:rPr>
        <w:t xml:space="preserve">.1 </w:t>
      </w:r>
      <w:r>
        <w:rPr>
          <w:rFonts w:hint="eastAsia" w:ascii="宋体" w:hAnsi="宋体" w:eastAsia="宋体" w:cs="宋体"/>
          <w:b w:val="0"/>
          <w:bCs w:val="0"/>
          <w:color w:val="auto"/>
          <w:sz w:val="24"/>
          <w:szCs w:val="24"/>
          <w:highlight w:val="none"/>
          <w:lang w:val="en-US" w:eastAsia="zh-CN"/>
        </w:rPr>
        <w:t>定标文件</w:t>
      </w:r>
      <w:r>
        <w:rPr>
          <w:rFonts w:hint="eastAsia" w:ascii="宋体" w:hAnsi="宋体" w:eastAsia="宋体" w:cs="宋体"/>
          <w:b w:val="0"/>
          <w:bCs w:val="0"/>
          <w:color w:val="auto"/>
          <w:sz w:val="24"/>
          <w:szCs w:val="24"/>
          <w:highlight w:val="none"/>
        </w:rPr>
        <w:t>包括以下内容：</w:t>
      </w:r>
    </w:p>
    <w:p w14:paraId="348F905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（1）封面（格式一）</w:t>
      </w:r>
    </w:p>
    <w:p w14:paraId="4E0DB72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（2）目录（格式自拟）；</w:t>
      </w:r>
    </w:p>
    <w:p w14:paraId="2128235A">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（3）定标因素评审资料（格式十四）。</w:t>
      </w:r>
    </w:p>
    <w:p w14:paraId="60CF08C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val="en-US" w:eastAsia="zh-CN"/>
        </w:rPr>
        <w:t>1.3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 xml:space="preserve"> 本节第1</w:t>
      </w:r>
      <w:r>
        <w:rPr>
          <w:rFonts w:hint="eastAsia" w:ascii="宋体" w:hAnsi="宋体" w:eastAsia="宋体" w:cs="宋体"/>
          <w:b w:val="0"/>
          <w:bCs w:val="0"/>
          <w:color w:val="auto"/>
          <w:sz w:val="24"/>
          <w:szCs w:val="24"/>
          <w:highlight w:val="none"/>
          <w:lang w:val="en-US" w:eastAsia="zh-CN"/>
        </w:rPr>
        <w:t>1.3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目中所列出的组成内容中，第</w:t>
      </w:r>
      <w:r>
        <w:rPr>
          <w:rFonts w:hint="eastAsia" w:ascii="宋体" w:hAnsi="宋体" w:eastAsia="宋体" w:cs="宋体"/>
          <w:b w:val="0"/>
          <w:bCs w:val="0"/>
          <w:color w:val="auto"/>
          <w:sz w:val="24"/>
          <w:szCs w:val="24"/>
          <w:highlight w:val="none"/>
          <w:lang w:val="en-US" w:eastAsia="zh-CN"/>
        </w:rPr>
        <w:t>（1）至</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）项所有投标人均应提供。</w:t>
      </w:r>
    </w:p>
    <w:p w14:paraId="66E3215E">
      <w:pPr>
        <w:pStyle w:val="51"/>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 w:val="24"/>
          <w:szCs w:val="24"/>
          <w:highlight w:val="none"/>
          <w:u w:val="single"/>
        </w:rPr>
      </w:pPr>
    </w:p>
    <w:p w14:paraId="4D600FA2">
      <w:pPr>
        <w:pStyle w:val="51"/>
        <w:pageBreakBefore w:val="0"/>
        <w:kinsoku/>
        <w:overflowPunct/>
        <w:topLinePunct w:val="0"/>
        <w:bidi w:val="0"/>
        <w:spacing w:line="440" w:lineRule="exact"/>
        <w:ind w:firstLine="482" w:firstLineChars="200"/>
        <w:textAlignment w:val="auto"/>
        <w:rPr>
          <w:rFonts w:hint="eastAsia" w:ascii="宋体" w:hAnsi="宋体" w:eastAsia="宋体" w:cs="宋体"/>
          <w:b/>
          <w:snapToGrid w:val="0"/>
          <w:color w:val="auto"/>
          <w:sz w:val="24"/>
          <w:szCs w:val="24"/>
          <w:highlight w:val="none"/>
        </w:rPr>
      </w:pPr>
      <w:r>
        <w:rPr>
          <w:rFonts w:hint="eastAsia" w:ascii="宋体" w:hAnsi="宋体" w:eastAsia="宋体" w:cs="宋体"/>
          <w:b/>
          <w:color w:val="auto"/>
          <w:sz w:val="24"/>
          <w:szCs w:val="24"/>
          <w:highlight w:val="none"/>
        </w:rPr>
        <w:t>11.</w:t>
      </w:r>
      <w:bookmarkEnd w:id="184"/>
      <w:bookmarkEnd w:id="185"/>
      <w:bookmarkEnd w:id="186"/>
      <w:bookmarkEnd w:id="187"/>
      <w:bookmarkEnd w:id="188"/>
      <w:bookmarkEnd w:id="189"/>
      <w:bookmarkEnd w:id="190"/>
      <w:bookmarkEnd w:id="191"/>
      <w:r>
        <w:rPr>
          <w:rFonts w:hint="eastAsia" w:ascii="宋体" w:hAnsi="宋体" w:eastAsia="宋体" w:cs="宋体"/>
          <w:b/>
          <w:color w:val="auto"/>
          <w:sz w:val="24"/>
          <w:szCs w:val="24"/>
          <w:highlight w:val="none"/>
          <w:lang w:val="en-US" w:eastAsia="zh-CN"/>
        </w:rPr>
        <w:t>4</w:t>
      </w:r>
      <w:r>
        <w:rPr>
          <w:rFonts w:hint="eastAsia" w:ascii="宋体" w:hAnsi="宋体" w:eastAsia="宋体" w:cs="宋体"/>
          <w:b/>
          <w:snapToGrid w:val="0"/>
          <w:color w:val="auto"/>
          <w:sz w:val="24"/>
          <w:szCs w:val="24"/>
          <w:highlight w:val="none"/>
        </w:rPr>
        <w:t>电子投标</w:t>
      </w:r>
      <w:bookmarkStart w:id="194" w:name="_Hlt66511038"/>
      <w:bookmarkEnd w:id="194"/>
      <w:bookmarkStart w:id="195" w:name="_Hlt88627590"/>
      <w:bookmarkEnd w:id="195"/>
      <w:bookmarkStart w:id="196" w:name="_Hlt66200498"/>
      <w:bookmarkEnd w:id="196"/>
      <w:bookmarkStart w:id="197" w:name="_Toc27961"/>
    </w:p>
    <w:p w14:paraId="1106D28F">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1、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41910842">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5416E496">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投标文件完成上传后，投标人应使用 CA 数字证书对投标文件进行文件加密，形成加密的投标文件并提交标书。</w:t>
      </w:r>
    </w:p>
    <w:p w14:paraId="769E98E5">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05B7758A">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.3电子投标及投标解密失败及突发情况的补救方案</w:t>
      </w:r>
    </w:p>
    <w:p w14:paraId="538DE733">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.3.1按照交易平台关于全流程电子化项目的相关指南进行操作。详见：全国公共资源交易平台（广东省·韶关市）发布的最新版操作指南。</w:t>
      </w:r>
    </w:p>
    <w:p w14:paraId="204058BE">
      <w:pPr>
        <w:pStyle w:val="51"/>
        <w:pageBreakBefore w:val="0"/>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.3.2补救方案</w:t>
      </w:r>
    </w:p>
    <w:p w14:paraId="1F333772">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投标文件解密失败的补救方案：</w:t>
      </w:r>
      <w:bookmarkStart w:id="198" w:name="_Toc28927"/>
    </w:p>
    <w:p w14:paraId="3ABB8686">
      <w:pPr>
        <w:pStyle w:val="51"/>
        <w:pageBreakBefore w:val="0"/>
        <w:kinsoku/>
        <w:overflowPunct/>
        <w:topLinePunct w:val="0"/>
        <w:bidi w:val="0"/>
        <w:spacing w:line="440" w:lineRule="exact"/>
        <w:ind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198"/>
      <w:bookmarkStart w:id="199" w:name="_Toc9612"/>
    </w:p>
    <w:p w14:paraId="343EED83">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评标时突发情况的补救方案</w:t>
      </w:r>
      <w:bookmarkEnd w:id="199"/>
      <w:bookmarkStart w:id="200" w:name="_Toc6314"/>
      <w:r>
        <w:rPr>
          <w:rFonts w:hint="eastAsia" w:ascii="宋体" w:hAnsi="宋体" w:eastAsia="宋体" w:cs="宋体"/>
          <w:bCs/>
          <w:color w:val="auto"/>
          <w:sz w:val="24"/>
          <w:szCs w:val="24"/>
          <w:highlight w:val="none"/>
        </w:rPr>
        <w:t>：</w:t>
      </w:r>
    </w:p>
    <w:p w14:paraId="62697EE0">
      <w:pPr>
        <w:pStyle w:val="51"/>
        <w:pageBreakBefore w:val="0"/>
        <w:kinsoku/>
        <w:overflowPunct/>
        <w:topLinePunct w:val="0"/>
        <w:bidi w:val="0"/>
        <w:spacing w:line="440" w:lineRule="exact"/>
        <w:ind w:firstLine="720" w:firstLineChars="3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00"/>
      <w:bookmarkStart w:id="201" w:name="_Toc10157"/>
    </w:p>
    <w:p w14:paraId="4DEA9785">
      <w:pPr>
        <w:pStyle w:val="51"/>
        <w:pageBreakBefore w:val="0"/>
        <w:numPr>
          <w:ilvl w:val="0"/>
          <w:numId w:val="3"/>
        </w:numPr>
        <w:kinsoku/>
        <w:overflowPunct/>
        <w:topLinePunct w:val="0"/>
        <w:bidi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除发生上述情况外，开标评标均以投标人通过交易平台网上递交的电子投标文件为准。</w:t>
      </w:r>
      <w:bookmarkEnd w:id="201"/>
      <w:bookmarkStart w:id="202" w:name="_Toc12675"/>
    </w:p>
    <w:p w14:paraId="250D3925">
      <w:pPr>
        <w:pStyle w:val="51"/>
        <w:pageBreakBefore w:val="0"/>
        <w:kinsoku/>
        <w:overflowPunct/>
        <w:topLinePunct w:val="0"/>
        <w:bidi w:val="0"/>
        <w:spacing w:line="440" w:lineRule="exact"/>
        <w:ind w:left="480" w:left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 xml:space="preserve"> 投标文件的提交、修改和撤回</w:t>
      </w:r>
      <w:bookmarkEnd w:id="197"/>
      <w:bookmarkEnd w:id="202"/>
      <w:bookmarkStart w:id="203" w:name="_Hlt92512875"/>
      <w:bookmarkEnd w:id="203"/>
      <w:bookmarkStart w:id="204" w:name="_Hlt66608380"/>
      <w:bookmarkEnd w:id="204"/>
      <w:bookmarkStart w:id="205" w:name="_Hlt69699424"/>
      <w:bookmarkEnd w:id="205"/>
      <w:bookmarkStart w:id="206" w:name="_Hlt74494779"/>
      <w:bookmarkEnd w:id="206"/>
      <w:bookmarkStart w:id="207" w:name="_Hlt75685366"/>
      <w:bookmarkEnd w:id="207"/>
      <w:bookmarkStart w:id="208" w:name="_Toc24469"/>
      <w:bookmarkStart w:id="209" w:name="_Toc4483"/>
      <w:bookmarkStart w:id="210" w:name="_Toc28454"/>
      <w:bookmarkStart w:id="211" w:name="_Toc3050"/>
      <w:bookmarkStart w:id="212" w:name="_Toc24322"/>
      <w:bookmarkStart w:id="213" w:name="_Toc30635"/>
      <w:bookmarkStart w:id="214" w:name="_Toc104711075"/>
      <w:bookmarkStart w:id="215" w:name="_Toc7631"/>
      <w:bookmarkStart w:id="216" w:name="_Toc9838"/>
      <w:bookmarkStart w:id="217" w:name="_Toc106418820"/>
      <w:bookmarkStart w:id="218" w:name="_Toc22741"/>
    </w:p>
    <w:p w14:paraId="489A9FD5">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.1在投标文件提交截止时间前，投标人通过交易平台提交已加密投标文件。逾期提交的电子投标文件，交易平台将予以拒收。</w:t>
      </w:r>
      <w:bookmarkEnd w:id="208"/>
      <w:bookmarkStart w:id="219" w:name="_Toc25103"/>
    </w:p>
    <w:p w14:paraId="088AEAC6">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.2提交时间：见本章第二节“重要事项时间地点一览表”。</w:t>
      </w:r>
      <w:bookmarkEnd w:id="219"/>
      <w:bookmarkStart w:id="220" w:name="_Toc9791"/>
    </w:p>
    <w:p w14:paraId="353FB7CB">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20"/>
      <w:bookmarkStart w:id="221" w:name="_Toc25029"/>
    </w:p>
    <w:p w14:paraId="08C1EC3D">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.4 递交时间和地点：见本章第二节“重要事项时间地点一览表”。</w:t>
      </w:r>
      <w:bookmarkEnd w:id="221"/>
      <w:bookmarkStart w:id="222" w:name="_Toc5665"/>
    </w:p>
    <w:p w14:paraId="2BCD9F0E">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.5 投标人代表到达现场后，应出示以下身份证明材料：</w:t>
      </w:r>
      <w:bookmarkEnd w:id="222"/>
      <w:bookmarkStart w:id="223" w:name="_Toc1714"/>
    </w:p>
    <w:p w14:paraId="10B6103B">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（1）本人有效的第二代居民身份证；</w:t>
      </w:r>
      <w:bookmarkEnd w:id="223"/>
      <w:bookmarkStart w:id="224" w:name="_Toc30210"/>
      <w:bookmarkStart w:id="225" w:name="_Toc22519"/>
      <w:bookmarkStart w:id="226" w:name="_Toc1212"/>
    </w:p>
    <w:p w14:paraId="2E2EA4EE">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（2）法定代表人到场的，出示《法定代表人身份证明》（格式五）；委托代理人到场的，应同时出示《授权委托书》（格式四）和《法定代表人身份证明》。</w:t>
      </w:r>
      <w:bookmarkEnd w:id="224"/>
      <w:bookmarkEnd w:id="225"/>
      <w:bookmarkEnd w:id="226"/>
      <w:bookmarkStart w:id="227" w:name="_Toc29016"/>
      <w:bookmarkStart w:id="228" w:name="_Toc3014"/>
      <w:bookmarkStart w:id="229" w:name="_Toc8927"/>
    </w:p>
    <w:p w14:paraId="7D63A6DE">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.6联合体投标的，由联合体牵头人按以上要求递交投标相关资料。</w:t>
      </w:r>
      <w:bookmarkEnd w:id="227"/>
      <w:bookmarkEnd w:id="228"/>
      <w:bookmarkEnd w:id="229"/>
      <w:bookmarkStart w:id="230" w:name="_Toc13697"/>
      <w:bookmarkStart w:id="231" w:name="_Toc16539"/>
      <w:bookmarkStart w:id="232" w:name="_Toc13703"/>
    </w:p>
    <w:p w14:paraId="56638C33">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.7招标人或其授权的招标代理机构核对、接收投标人递交的投标相关资料后，应并妥善保管。</w:t>
      </w:r>
      <w:bookmarkEnd w:id="230"/>
      <w:bookmarkEnd w:id="231"/>
      <w:bookmarkEnd w:id="232"/>
      <w:bookmarkStart w:id="233" w:name="_Toc20579"/>
      <w:bookmarkStart w:id="234" w:name="_Toc6708"/>
      <w:bookmarkStart w:id="235" w:name="_Toc5287"/>
    </w:p>
    <w:p w14:paraId="252FF60C">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.8 投标人发生以下情形的，其投标相关资料招标人不予接收：</w:t>
      </w:r>
      <w:bookmarkEnd w:id="233"/>
      <w:bookmarkEnd w:id="234"/>
      <w:bookmarkEnd w:id="235"/>
      <w:bookmarkStart w:id="236" w:name="_Toc32603"/>
      <w:bookmarkStart w:id="237" w:name="_Toc18916"/>
      <w:bookmarkStart w:id="238" w:name="_Toc31045"/>
    </w:p>
    <w:p w14:paraId="797EE010">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（1）未在指定的时间和地点递交的；</w:t>
      </w:r>
      <w:bookmarkEnd w:id="236"/>
      <w:bookmarkEnd w:id="237"/>
      <w:bookmarkEnd w:id="238"/>
      <w:bookmarkStart w:id="239" w:name="_Toc15124"/>
      <w:bookmarkStart w:id="240" w:name="_Toc15823"/>
      <w:bookmarkStart w:id="241" w:name="_Toc17194"/>
    </w:p>
    <w:p w14:paraId="7030DB0C">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（2）到场人员未出示身份证明材料的。</w:t>
      </w:r>
      <w:bookmarkEnd w:id="239"/>
      <w:bookmarkEnd w:id="240"/>
      <w:bookmarkEnd w:id="241"/>
      <w:bookmarkStart w:id="242" w:name="_Toc2022"/>
      <w:bookmarkStart w:id="243" w:name="_Toc17679"/>
      <w:bookmarkStart w:id="244" w:name="_Toc23037"/>
    </w:p>
    <w:p w14:paraId="6FD19336">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w:t>
      </w: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.9出现下述情形之一，属于未成功提交投标文件，按无效投标处理：</w:t>
      </w:r>
      <w:bookmarkEnd w:id="242"/>
      <w:bookmarkEnd w:id="243"/>
      <w:bookmarkEnd w:id="244"/>
      <w:bookmarkStart w:id="245" w:name="_Toc27579"/>
      <w:bookmarkStart w:id="246" w:name="_Toc22805"/>
      <w:bookmarkStart w:id="247" w:name="_Toc30279"/>
    </w:p>
    <w:p w14:paraId="40B3BDA5">
      <w:pPr>
        <w:pStyle w:val="51"/>
        <w:pageBreakBefore w:val="0"/>
        <w:kinsoku/>
        <w:overflowPunct/>
        <w:topLinePunct w:val="0"/>
        <w:bidi w:val="0"/>
        <w:spacing w:line="440" w:lineRule="exact"/>
        <w:ind w:left="480" w:left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（1）至提交投标文件截止时，投标文件未完整上传或未提交投标；</w:t>
      </w:r>
      <w:bookmarkEnd w:id="245"/>
      <w:bookmarkEnd w:id="246"/>
      <w:bookmarkEnd w:id="247"/>
      <w:bookmarkStart w:id="248" w:name="_Toc26257"/>
      <w:bookmarkStart w:id="249" w:name="_Toc17052"/>
      <w:bookmarkStart w:id="250" w:name="_Toc1293"/>
    </w:p>
    <w:p w14:paraId="4ED77320">
      <w:pPr>
        <w:pStyle w:val="51"/>
        <w:pageBreakBefore w:val="0"/>
        <w:kinsoku/>
        <w:overflowPunct/>
        <w:topLinePunct w:val="0"/>
        <w:bidi w:val="0"/>
        <w:spacing w:line="44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（2）投标文件未按投标格式中注明需签字盖章的要求进行签名（含电子签名）和加盖电子印章，或签名（含电子签名）或电子印章不完整的；</w:t>
      </w:r>
      <w:bookmarkEnd w:id="248"/>
      <w:bookmarkEnd w:id="249"/>
      <w:bookmarkEnd w:id="250"/>
    </w:p>
    <w:p w14:paraId="5E721B20">
      <w:pPr>
        <w:pStyle w:val="39"/>
        <w:keepNext/>
        <w:keepLines/>
        <w:pageBreakBefore w:val="0"/>
        <w:kinsoku/>
        <w:overflowPunct/>
        <w:topLinePunct w:val="0"/>
        <w:bidi w:val="0"/>
        <w:spacing w:line="440" w:lineRule="exact"/>
        <w:ind w:firstLine="480"/>
        <w:jc w:val="both"/>
        <w:textAlignment w:val="auto"/>
        <w:outlineLvl w:val="9"/>
        <w:rPr>
          <w:rFonts w:hint="eastAsia" w:ascii="宋体" w:hAnsi="宋体" w:eastAsia="宋体" w:cs="宋体"/>
          <w:bCs/>
          <w:color w:val="auto"/>
          <w:kern w:val="2"/>
          <w:sz w:val="24"/>
          <w:szCs w:val="24"/>
          <w:highlight w:val="none"/>
        </w:rPr>
      </w:pPr>
      <w:bookmarkStart w:id="251" w:name="_Toc17587"/>
      <w:bookmarkStart w:id="252" w:name="_Toc444"/>
      <w:bookmarkStart w:id="253" w:name="_Toc30827"/>
      <w:bookmarkStart w:id="254" w:name="_Toc23907"/>
      <w:bookmarkStart w:id="255" w:name="_Toc7367"/>
      <w:bookmarkStart w:id="256" w:name="_Toc29359"/>
      <w:r>
        <w:rPr>
          <w:rFonts w:hint="eastAsia" w:ascii="宋体" w:hAnsi="宋体" w:eastAsia="宋体" w:cs="宋体"/>
          <w:bCs/>
          <w:color w:val="auto"/>
          <w:kern w:val="2"/>
          <w:sz w:val="24"/>
          <w:szCs w:val="24"/>
          <w:highlight w:val="none"/>
        </w:rPr>
        <w:t>（3）解密失败且在规定时间内未重新提交投标文件的；</w:t>
      </w:r>
      <w:bookmarkEnd w:id="251"/>
      <w:bookmarkEnd w:id="252"/>
      <w:bookmarkEnd w:id="253"/>
      <w:bookmarkEnd w:id="254"/>
      <w:bookmarkEnd w:id="255"/>
      <w:bookmarkEnd w:id="256"/>
    </w:p>
    <w:p w14:paraId="04BD9BD1">
      <w:pPr>
        <w:pStyle w:val="39"/>
        <w:keepNext/>
        <w:keepLines/>
        <w:pageBreakBefore w:val="0"/>
        <w:kinsoku/>
        <w:overflowPunct/>
        <w:topLinePunct w:val="0"/>
        <w:bidi w:val="0"/>
        <w:spacing w:line="440" w:lineRule="exact"/>
        <w:ind w:firstLine="480"/>
        <w:jc w:val="both"/>
        <w:textAlignment w:val="auto"/>
        <w:outlineLvl w:val="9"/>
        <w:rPr>
          <w:rFonts w:hint="eastAsia" w:ascii="宋体" w:hAnsi="宋体" w:eastAsia="宋体" w:cs="宋体"/>
          <w:bCs/>
          <w:color w:val="auto"/>
          <w:kern w:val="2"/>
          <w:sz w:val="24"/>
          <w:szCs w:val="24"/>
          <w:highlight w:val="none"/>
        </w:rPr>
      </w:pPr>
      <w:bookmarkStart w:id="257" w:name="_Toc19725"/>
      <w:bookmarkStart w:id="258" w:name="_Toc21719"/>
      <w:bookmarkStart w:id="259" w:name="_Toc30936"/>
      <w:bookmarkStart w:id="260" w:name="_Toc1851"/>
      <w:bookmarkStart w:id="261" w:name="_Toc13"/>
      <w:bookmarkStart w:id="262" w:name="_Toc26444"/>
      <w:r>
        <w:rPr>
          <w:rFonts w:hint="eastAsia" w:ascii="宋体" w:hAnsi="宋体" w:eastAsia="宋体" w:cs="宋体"/>
          <w:bCs/>
          <w:color w:val="auto"/>
          <w:kern w:val="2"/>
          <w:sz w:val="24"/>
          <w:szCs w:val="24"/>
          <w:highlight w:val="none"/>
        </w:rPr>
        <w:t>（4）投标文件损坏或格式不正确的。</w:t>
      </w:r>
      <w:bookmarkEnd w:id="257"/>
      <w:bookmarkEnd w:id="258"/>
      <w:bookmarkEnd w:id="259"/>
      <w:bookmarkEnd w:id="260"/>
      <w:bookmarkEnd w:id="261"/>
      <w:bookmarkEnd w:id="262"/>
    </w:p>
    <w:p w14:paraId="6EC98270">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63" w:name="_Toc23010"/>
      <w:bookmarkStart w:id="264" w:name="_Toc4144"/>
      <w:r>
        <w:rPr>
          <w:rFonts w:hint="eastAsia" w:ascii="宋体" w:hAnsi="宋体" w:eastAsia="宋体" w:cs="宋体"/>
          <w:b/>
          <w:color w:val="auto"/>
          <w:kern w:val="2"/>
          <w:sz w:val="24"/>
          <w:szCs w:val="24"/>
          <w:highlight w:val="none"/>
        </w:rPr>
        <w:t>12、 投标有效期及对投标人的其他要求</w:t>
      </w:r>
      <w:bookmarkEnd w:id="209"/>
      <w:bookmarkEnd w:id="210"/>
      <w:bookmarkEnd w:id="211"/>
      <w:bookmarkEnd w:id="212"/>
      <w:bookmarkEnd w:id="213"/>
      <w:bookmarkEnd w:id="214"/>
      <w:bookmarkEnd w:id="215"/>
      <w:bookmarkEnd w:id="216"/>
      <w:bookmarkEnd w:id="217"/>
      <w:bookmarkEnd w:id="218"/>
      <w:bookmarkEnd w:id="263"/>
      <w:bookmarkEnd w:id="264"/>
    </w:p>
    <w:p w14:paraId="1973F270">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本次招标投标有效期为</w:t>
      </w:r>
      <w:r>
        <w:rPr>
          <w:rFonts w:hint="eastAsia" w:ascii="宋体" w:hAnsi="宋体" w:eastAsia="宋体" w:cs="宋体"/>
          <w:snapToGrid w:val="0"/>
          <w:color w:val="auto"/>
          <w:kern w:val="0"/>
          <w:sz w:val="24"/>
          <w:szCs w:val="24"/>
          <w:highlight w:val="none"/>
          <w:u w:val="single"/>
        </w:rPr>
        <w:t xml:space="preserve"> 120 </w:t>
      </w:r>
      <w:r>
        <w:rPr>
          <w:rFonts w:hint="eastAsia" w:ascii="宋体" w:hAnsi="宋体" w:eastAsia="宋体" w:cs="宋体"/>
          <w:snapToGrid w:val="0"/>
          <w:color w:val="auto"/>
          <w:kern w:val="0"/>
          <w:sz w:val="24"/>
          <w:szCs w:val="24"/>
          <w:highlight w:val="none"/>
        </w:rPr>
        <w:t>个日历天，投标有效期从提交投标文件的截止之日起计算。在此期间，投标人不得撤销或修改其投标文件，否则其投标保证不予退还。</w:t>
      </w:r>
    </w:p>
    <w:bookmarkEnd w:id="134"/>
    <w:p w14:paraId="3229AFBD">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65" w:name="_Hlt111081624"/>
      <w:bookmarkEnd w:id="265"/>
      <w:bookmarkStart w:id="266" w:name="_Toc32093"/>
      <w:r>
        <w:rPr>
          <w:rFonts w:hint="eastAsia" w:ascii="宋体" w:hAnsi="宋体" w:eastAsia="宋体" w:cs="宋体"/>
          <w:b/>
          <w:color w:val="auto"/>
          <w:kern w:val="2"/>
          <w:sz w:val="24"/>
          <w:szCs w:val="24"/>
          <w:highlight w:val="none"/>
        </w:rPr>
        <w:t>13、开标</w:t>
      </w:r>
      <w:bookmarkEnd w:id="266"/>
    </w:p>
    <w:p w14:paraId="55D9B2EA">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49D6993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13.1.1 开标时间和地点：见本章第二节“重要事项时间地点一览表”。</w:t>
      </w:r>
    </w:p>
    <w:p w14:paraId="0F7637B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79B48ED9">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AFC5F4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13.2 开标程序</w:t>
      </w:r>
    </w:p>
    <w:p w14:paraId="6320E63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（1）主持人（招标人代表或招标人授权的招标代理机构人员）宣读开标纪律。</w:t>
      </w:r>
    </w:p>
    <w:p w14:paraId="15A2C38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（2）主持人宣布唱标人、记录人、见证人、监督人等有关人员姓名。</w:t>
      </w:r>
    </w:p>
    <w:p w14:paraId="45BFB39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（3）唱标人公布在投标截止时间前进行投标文件的投标人数量和名称</w:t>
      </w:r>
    </w:p>
    <w:p w14:paraId="497E8DB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（4）招标代理机构会同交易场所工作人员对投标人的电子投标信息进行解密，建设工程交易系统自动生成《投标保证缴纳情况表》和《开标一览表》。</w:t>
      </w:r>
    </w:p>
    <w:p w14:paraId="4BA3B51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6A970A4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3491E65E">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2B29A1B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13.4 招标代理机构将资料原件（若有）、《开标一览表》以及其他有关资料移交评标委员会。</w:t>
      </w:r>
    </w:p>
    <w:p w14:paraId="60E2AD9F">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67" w:name="_Toc21041"/>
      <w:bookmarkStart w:id="268" w:name="_Toc18990"/>
      <w:r>
        <w:rPr>
          <w:rFonts w:hint="eastAsia" w:ascii="宋体" w:hAnsi="宋体" w:eastAsia="宋体" w:cs="宋体"/>
          <w:b/>
          <w:color w:val="auto"/>
          <w:kern w:val="2"/>
          <w:sz w:val="24"/>
          <w:szCs w:val="24"/>
          <w:highlight w:val="none"/>
        </w:rPr>
        <w:t>14</w:t>
      </w:r>
      <w:bookmarkStart w:id="269" w:name="_Hlt127093805"/>
      <w:bookmarkEnd w:id="269"/>
      <w:r>
        <w:rPr>
          <w:rFonts w:hint="eastAsia" w:ascii="宋体" w:hAnsi="宋体" w:eastAsia="宋体" w:cs="宋体"/>
          <w:b/>
          <w:color w:val="auto"/>
          <w:kern w:val="2"/>
          <w:sz w:val="24"/>
          <w:szCs w:val="24"/>
          <w:highlight w:val="none"/>
        </w:rPr>
        <w:t>、评标的方法和标准</w:t>
      </w:r>
      <w:bookmarkEnd w:id="267"/>
      <w:bookmarkEnd w:id="268"/>
    </w:p>
    <w:p w14:paraId="36092F9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已明确的定标候选人数量（不标明排序），并向招标人提交由全体评标委员会成员签字的评标报告。</w:t>
      </w:r>
    </w:p>
    <w:p w14:paraId="2DA203CD">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70" w:name="_Toc32313"/>
      <w:bookmarkStart w:id="271" w:name="_Toc23778"/>
      <w:bookmarkStart w:id="272" w:name="_Toc13469"/>
      <w:r>
        <w:rPr>
          <w:rFonts w:hint="eastAsia" w:ascii="宋体" w:hAnsi="宋体" w:eastAsia="宋体" w:cs="宋体"/>
          <w:b/>
          <w:color w:val="auto"/>
          <w:kern w:val="2"/>
          <w:sz w:val="24"/>
          <w:szCs w:val="24"/>
          <w:highlight w:val="none"/>
        </w:rPr>
        <w:t>14.1 评标</w:t>
      </w:r>
      <w:bookmarkStart w:id="273" w:name="_Hlt69208274"/>
      <w:bookmarkEnd w:id="273"/>
      <w:r>
        <w:rPr>
          <w:rFonts w:hint="eastAsia" w:ascii="宋体" w:hAnsi="宋体" w:eastAsia="宋体" w:cs="宋体"/>
          <w:b/>
          <w:color w:val="auto"/>
          <w:kern w:val="2"/>
          <w:sz w:val="24"/>
          <w:szCs w:val="24"/>
          <w:highlight w:val="none"/>
        </w:rPr>
        <w:t>委员会</w:t>
      </w:r>
      <w:bookmarkEnd w:id="270"/>
      <w:bookmarkEnd w:id="271"/>
      <w:bookmarkEnd w:id="272"/>
      <w:bookmarkStart w:id="274" w:name="_Hlt69338169"/>
      <w:bookmarkEnd w:id="274"/>
    </w:p>
    <w:p w14:paraId="02FD601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14.1.1 根据《广东省发展和改革委员会等部门关于印发广东省远程异地评标招标项目范围规定（试行）的通知》（粤发改规〔2026〕8号）文件要求，采用异地评审方式（注：远程异地评标的项目，主场、副场评标专家抽取按相关文件规定）。评标委员会由 5人组成，其中招标人代表 0人，专家 5人。专家从广东省综合评标评审专家库中随机抽取，其中技术类专家3人，经济类专家 2人。评标委员会的负责人在评委中民主选出，负责人的权力与评委成员相等。</w:t>
      </w:r>
    </w:p>
    <w:p w14:paraId="0C7826F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 评标委员会应认真、公正、诚实、廉洁地履行职责。有下列情形之一的，不得担任评标委员会成员：</w:t>
      </w:r>
    </w:p>
    <w:p w14:paraId="4E054DD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14.1.2.1 投标人或者投标人主要负责人的近亲属；</w:t>
      </w:r>
    </w:p>
    <w:p w14:paraId="0B24CA0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14.1.2.2 项目主管部门或者行政监督部门的人员；</w:t>
      </w:r>
    </w:p>
    <w:p w14:paraId="1CED56A1">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14.1.2.3 与投标人有经济利益关系，可能影响对投标公正评审的；</w:t>
      </w:r>
    </w:p>
    <w:p w14:paraId="5ACE70F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14.1.2.4 曾因在</w:t>
      </w:r>
      <w:bookmarkStart w:id="275" w:name="_Hlt69700387"/>
      <w:bookmarkEnd w:id="275"/>
      <w:r>
        <w:rPr>
          <w:rFonts w:hint="eastAsia" w:ascii="宋体" w:hAnsi="宋体" w:eastAsia="宋体" w:cs="宋体"/>
          <w:bCs/>
          <w:color w:val="auto"/>
          <w:sz w:val="24"/>
          <w:szCs w:val="24"/>
          <w:highlight w:val="none"/>
        </w:rPr>
        <w:t>招标、评标以及其他与招标投标有关活动中从事违法行为而受过行政处罚或刑事处罚的。</w:t>
      </w:r>
    </w:p>
    <w:p w14:paraId="3C342B5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14.1.3 评标委员会成员有前款规定情形之一的，应主动提出回避。</w:t>
      </w:r>
    </w:p>
    <w:p w14:paraId="700EDDF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14.1.4 评标全过程实行封闭式管理，在中标结果公布前，禁止评标委员会成员以任何方式私下接触投标人。</w:t>
      </w:r>
    </w:p>
    <w:p w14:paraId="38F86F75">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14.1.5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3ADEE7B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14.1.6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58D101BC">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p>
    <w:p w14:paraId="3BE0E24C">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bookmarkStart w:id="276" w:name="_Toc104711078"/>
      <w:bookmarkStart w:id="277" w:name="_Toc106418823"/>
      <w:bookmarkStart w:id="278" w:name="_Toc17385"/>
      <w:bookmarkStart w:id="279" w:name="_Toc17742"/>
      <w:bookmarkStart w:id="280" w:name="_Toc22205"/>
      <w:r>
        <w:rPr>
          <w:rFonts w:hint="eastAsia" w:ascii="宋体" w:hAnsi="宋体" w:eastAsia="宋体" w:cs="宋体"/>
          <w:b/>
          <w:color w:val="auto"/>
          <w:kern w:val="2"/>
          <w:sz w:val="24"/>
          <w:szCs w:val="24"/>
          <w:highlight w:val="none"/>
        </w:rPr>
        <w:t>14.2</w:t>
      </w:r>
      <w:bookmarkEnd w:id="276"/>
      <w:bookmarkEnd w:id="277"/>
      <w:r>
        <w:rPr>
          <w:rFonts w:hint="eastAsia" w:ascii="宋体" w:hAnsi="宋体" w:eastAsia="宋体" w:cs="宋体"/>
          <w:b/>
          <w:color w:val="auto"/>
          <w:kern w:val="2"/>
          <w:sz w:val="24"/>
          <w:szCs w:val="24"/>
          <w:highlight w:val="none"/>
        </w:rPr>
        <w:t>评标方法</w:t>
      </w:r>
      <w:bookmarkEnd w:id="278"/>
      <w:bookmarkEnd w:id="279"/>
      <w:bookmarkEnd w:id="280"/>
    </w:p>
    <w:p w14:paraId="28C9F7EA">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81" w:name="_Hlt66591657"/>
      <w:bookmarkEnd w:id="281"/>
      <w:r>
        <w:rPr>
          <w:rFonts w:hint="eastAsia" w:ascii="宋体" w:hAnsi="宋体" w:eastAsia="宋体" w:cs="宋体"/>
          <w:bCs/>
          <w:color w:val="auto"/>
          <w:sz w:val="24"/>
          <w:szCs w:val="24"/>
          <w:highlight w:val="none"/>
        </w:rPr>
        <w:t>根据有关法律、法规的相关规定，结合本招标项目资金来源和规模特点，本次招标采用综合评估法进行评标。</w:t>
      </w:r>
    </w:p>
    <w:p w14:paraId="758CF30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14.2.1评审范围：评标委员会应对所有投标人的投标文件进行评审。</w:t>
      </w:r>
    </w:p>
    <w:p w14:paraId="42EDA2E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14.2.2 初步评审阶段</w:t>
      </w:r>
    </w:p>
    <w:p w14:paraId="63B0ABA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初步评审阶段分为资格评审、形式评审和响应性评审三个环节。</w:t>
      </w:r>
    </w:p>
    <w:p w14:paraId="72614836">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14.2.3资格评审环节</w:t>
      </w:r>
    </w:p>
    <w:p w14:paraId="2EA2249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bookmarkStart w:id="282" w:name="OLE_LINK5"/>
      <w:r>
        <w:rPr>
          <w:rFonts w:hint="eastAsia" w:ascii="宋体" w:hAnsi="宋体" w:eastAsia="宋体" w:cs="宋体"/>
          <w:bCs/>
          <w:color w:val="auto"/>
          <w:sz w:val="24"/>
          <w:szCs w:val="24"/>
          <w:highlight w:val="none"/>
        </w:rPr>
        <w:t>资格评审</w:t>
      </w:r>
      <w:bookmarkEnd w:id="282"/>
      <w:r>
        <w:rPr>
          <w:rFonts w:hint="eastAsia" w:ascii="宋体" w:hAnsi="宋体" w:eastAsia="宋体" w:cs="宋体"/>
          <w:bCs/>
          <w:color w:val="auto"/>
          <w:sz w:val="24"/>
          <w:szCs w:val="24"/>
          <w:highlight w:val="none"/>
        </w:rPr>
        <w:t>事项包括：</w:t>
      </w:r>
    </w:p>
    <w:p w14:paraId="39F5BC7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83" w:name="OLE_LINK6"/>
      <w:r>
        <w:rPr>
          <w:rFonts w:hint="eastAsia" w:ascii="宋体" w:hAnsi="宋体" w:eastAsia="宋体" w:cs="宋体"/>
          <w:bCs/>
          <w:color w:val="auto"/>
          <w:sz w:val="24"/>
          <w:szCs w:val="24"/>
          <w:highlight w:val="none"/>
        </w:rPr>
        <w:t>投标人是否符合本章第三节第 4.4条“禁止投标条款”规定。</w:t>
      </w:r>
      <w:bookmarkEnd w:id="283"/>
    </w:p>
    <w:p w14:paraId="678F5AE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84" w:name="OLE_LINK7"/>
      <w:r>
        <w:rPr>
          <w:rFonts w:hint="eastAsia" w:ascii="宋体" w:hAnsi="宋体" w:eastAsia="宋体" w:cs="宋体"/>
          <w:bCs/>
          <w:color w:val="auto"/>
          <w:sz w:val="24"/>
          <w:szCs w:val="24"/>
          <w:highlight w:val="none"/>
        </w:rPr>
        <w:t>投标人名称是否与营业执照、资质证书、安全生产许可证一致。</w:t>
      </w:r>
      <w:bookmarkEnd w:id="284"/>
    </w:p>
    <w:p w14:paraId="792CC1F4">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bookmarkStart w:id="285" w:name="OLE_LINK8"/>
      <w:r>
        <w:rPr>
          <w:rFonts w:hint="eastAsia" w:ascii="宋体" w:hAnsi="宋体" w:eastAsia="宋体" w:cs="宋体"/>
          <w:bCs/>
          <w:color w:val="auto"/>
          <w:sz w:val="24"/>
          <w:szCs w:val="24"/>
          <w:highlight w:val="none"/>
        </w:rPr>
        <w:t>投标人的资质是否符合招标文件规定；其营业执照、资质证书、安全生产许可证是否合法、有效、准确。</w:t>
      </w:r>
      <w:bookmarkEnd w:id="285"/>
    </w:p>
    <w:p w14:paraId="34A37F6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bookmarkStart w:id="286" w:name="OLE_LINK9"/>
      <w:r>
        <w:rPr>
          <w:rFonts w:hint="eastAsia" w:ascii="宋体" w:hAnsi="宋体" w:eastAsia="宋体" w:cs="宋体"/>
          <w:bCs/>
          <w:color w:val="auto"/>
          <w:sz w:val="24"/>
          <w:szCs w:val="24"/>
          <w:highlight w:val="none"/>
        </w:rPr>
        <w:t>《项目经理简历表》中拟派项目经理是否与《开标一览表》一致。</w:t>
      </w:r>
      <w:bookmarkEnd w:id="286"/>
    </w:p>
    <w:p w14:paraId="24F82318">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bookmarkStart w:id="287" w:name="OLE_LINK10"/>
      <w:r>
        <w:rPr>
          <w:rFonts w:hint="eastAsia" w:ascii="宋体" w:hAnsi="宋体" w:eastAsia="宋体" w:cs="宋体"/>
          <w:bCs/>
          <w:color w:val="auto"/>
          <w:sz w:val="24"/>
          <w:szCs w:val="24"/>
          <w:highlight w:val="none"/>
        </w:rPr>
        <w:t>拟派项目经理、项目技术负责人、专职安全员、设计负责人的条件是否符合招标文件规定；项目管理机构组成人员的各类证书、证件、证明是否合法、有效、准确；是否擅自修改、遗漏《项目经理任职声明》的实质性内容。</w:t>
      </w:r>
      <w:bookmarkEnd w:id="287"/>
    </w:p>
    <w:p w14:paraId="1EFAA292">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w:t>
      </w:r>
      <w:bookmarkStart w:id="288" w:name="OLE_LINK11"/>
      <w:r>
        <w:rPr>
          <w:rFonts w:hint="eastAsia" w:ascii="宋体" w:hAnsi="宋体" w:eastAsia="宋体" w:cs="宋体"/>
          <w:bCs/>
          <w:color w:val="auto"/>
          <w:sz w:val="24"/>
          <w:szCs w:val="24"/>
          <w:highlight w:val="none"/>
        </w:rPr>
        <w:t>联合体投标的，是否提交《联合体协议书》；是否擅自修改、遗漏《联合体协议书》的实质性内容；联合体成员的数量、资质是否符合招标文件规定；联合体成员是否以自己名义单独或者参加其他联合体参与本招标工程投标。</w:t>
      </w:r>
      <w:bookmarkEnd w:id="288"/>
    </w:p>
    <w:p w14:paraId="7935A110">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w:t>
      </w:r>
      <w:bookmarkStart w:id="289" w:name="OLE_LINK12"/>
      <w:r>
        <w:rPr>
          <w:rFonts w:hint="eastAsia" w:ascii="宋体" w:hAnsi="宋体" w:eastAsia="宋体" w:cs="宋体"/>
          <w:bCs/>
          <w:color w:val="auto"/>
          <w:sz w:val="24"/>
          <w:szCs w:val="24"/>
          <w:highlight w:val="none"/>
        </w:rPr>
        <w:t>投标人为外省建筑企业的，是否按规定在“进粤企业和人员诚信信息登记平台”录入企业及其拟派人员有关信息并通过数据规范检查。</w:t>
      </w:r>
    </w:p>
    <w:p w14:paraId="57513D6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如果“禁止投标条款”包括失信惩戒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bookmarkEnd w:id="289"/>
    </w:p>
    <w:p w14:paraId="0AF55A47">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14.2.4 形式评审环节</w:t>
      </w:r>
    </w:p>
    <w:p w14:paraId="3322807B">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形式评审事项包括：</w:t>
      </w:r>
    </w:p>
    <w:p w14:paraId="09EA7F4B">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90" w:name="OLE_LINK13"/>
      <w:r>
        <w:rPr>
          <w:rFonts w:hint="eastAsia" w:ascii="宋体" w:hAnsi="宋体" w:eastAsia="宋体" w:cs="宋体"/>
          <w:bCs/>
          <w:color w:val="auto"/>
          <w:sz w:val="24"/>
          <w:szCs w:val="24"/>
          <w:highlight w:val="none"/>
        </w:rPr>
        <w:t>投标文件是否按招标文件规定加盖电子印章。</w:t>
      </w:r>
      <w:bookmarkEnd w:id="290"/>
    </w:p>
    <w:p w14:paraId="1677F895">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91" w:name="OLE_LINK14"/>
      <w:r>
        <w:rPr>
          <w:rFonts w:hint="eastAsia" w:ascii="宋体" w:hAnsi="宋体" w:eastAsia="宋体" w:cs="宋体"/>
          <w:bCs/>
          <w:color w:val="auto"/>
          <w:sz w:val="24"/>
          <w:szCs w:val="24"/>
          <w:highlight w:val="none"/>
        </w:rPr>
        <w:t>本节第11.2.2目中规定的“所有投标人均应提供”的组成内容（包括该组成内容的所附资料）是否完整、齐全。</w:t>
      </w:r>
      <w:bookmarkEnd w:id="291"/>
    </w:p>
    <w:p w14:paraId="3B80836C">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w:t>
      </w:r>
      <w:bookmarkStart w:id="292" w:name="OLE_LINK15"/>
      <w:r>
        <w:rPr>
          <w:rFonts w:hint="eastAsia" w:ascii="宋体" w:hAnsi="宋体" w:eastAsia="宋体" w:cs="宋体"/>
          <w:snapToGrid w:val="0"/>
          <w:color w:val="auto"/>
          <w:kern w:val="0"/>
          <w:sz w:val="24"/>
          <w:szCs w:val="24"/>
          <w:highlight w:val="none"/>
        </w:rPr>
        <w:t>是否出现关键字迹模糊、无法辨认；是否出现手工涂改、行间插字或删除，但未加盖单位章或由投标人的法定代表人或其委托代理人签字确认的</w:t>
      </w:r>
      <w:r>
        <w:rPr>
          <w:rFonts w:hint="eastAsia" w:ascii="宋体" w:hAnsi="宋体" w:eastAsia="宋体" w:cs="宋体"/>
          <w:snapToGrid w:val="0"/>
          <w:color w:val="auto"/>
          <w:kern w:val="0"/>
          <w:sz w:val="24"/>
          <w:szCs w:val="24"/>
          <w:highlight w:val="none"/>
          <w:lang w:eastAsia="zh-CN"/>
        </w:rPr>
        <w:t>。</w:t>
      </w:r>
      <w:bookmarkEnd w:id="292"/>
    </w:p>
    <w:p w14:paraId="4B9C1657">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4）</w:t>
      </w:r>
      <w:bookmarkStart w:id="293" w:name="OLE_LINK16"/>
      <w:r>
        <w:rPr>
          <w:rFonts w:hint="eastAsia" w:ascii="宋体" w:hAnsi="宋体" w:eastAsia="宋体" w:cs="宋体"/>
          <w:snapToGrid w:val="0"/>
          <w:color w:val="auto"/>
          <w:kern w:val="0"/>
          <w:sz w:val="24"/>
          <w:szCs w:val="24"/>
          <w:highlight w:val="none"/>
        </w:rPr>
        <w:t>投标文件是否按招标文件规定签字、盖章</w:t>
      </w:r>
      <w:r>
        <w:rPr>
          <w:rFonts w:hint="eastAsia" w:ascii="宋体" w:hAnsi="宋体" w:eastAsia="宋体" w:cs="宋体"/>
          <w:snapToGrid w:val="0"/>
          <w:color w:val="auto"/>
          <w:kern w:val="0"/>
          <w:sz w:val="24"/>
          <w:szCs w:val="24"/>
          <w:highlight w:val="none"/>
          <w:lang w:eastAsia="zh-CN"/>
        </w:rPr>
        <w:t>。</w:t>
      </w:r>
      <w:bookmarkEnd w:id="293"/>
    </w:p>
    <w:p w14:paraId="35C94E4F">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14.2.5 响应性评审环节</w:t>
      </w:r>
    </w:p>
    <w:p w14:paraId="3064682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响应性评审事项包括：</w:t>
      </w:r>
    </w:p>
    <w:p w14:paraId="0D037C5C">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bookmarkStart w:id="294" w:name="OLE_LINK17"/>
      <w:r>
        <w:rPr>
          <w:rFonts w:hint="eastAsia" w:ascii="宋体" w:hAnsi="宋体" w:eastAsia="宋体" w:cs="宋体"/>
          <w:bCs/>
          <w:color w:val="auto"/>
          <w:sz w:val="24"/>
          <w:szCs w:val="24"/>
          <w:highlight w:val="none"/>
        </w:rPr>
        <w:t>投标有效期、质量标准、工期等是否响应招标文件实质性要求；是否擅自修改、遗漏《投标函》《各项承诺一览表》的实质性内容。</w:t>
      </w:r>
      <w:bookmarkEnd w:id="294"/>
    </w:p>
    <w:p w14:paraId="67A48136">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bookmarkStart w:id="295" w:name="OLE_LINK18"/>
      <w:r>
        <w:rPr>
          <w:rFonts w:hint="eastAsia" w:ascii="宋体" w:hAnsi="宋体" w:eastAsia="宋体" w:cs="宋体"/>
          <w:bCs/>
          <w:color w:val="auto"/>
          <w:sz w:val="24"/>
          <w:szCs w:val="24"/>
          <w:highlight w:val="none"/>
        </w:rPr>
        <w:t>编投标总价是否唯一；投标总价是否超出最高投标限价；投标人是否以低于成本的价格竞标。</w:t>
      </w:r>
    </w:p>
    <w:p w14:paraId="10D776E1">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注：如果某投标人的投标总价下浮率（投标总价下浮率＝100%－投标总价÷</w:t>
      </w:r>
      <w:r>
        <w:rPr>
          <w:rFonts w:hint="eastAsia" w:ascii="宋体" w:hAnsi="宋体" w:eastAsia="宋体" w:cs="宋体"/>
          <w:bCs/>
          <w:strike w:val="0"/>
          <w:dstrike w:val="0"/>
          <w:color w:val="auto"/>
          <w:sz w:val="24"/>
          <w:szCs w:val="24"/>
          <w:highlight w:val="none"/>
          <w:lang w:eastAsia="zh-CN"/>
        </w:rPr>
        <w:t>最高投标限价</w:t>
      </w:r>
      <w:r>
        <w:rPr>
          <w:rFonts w:hint="eastAsia" w:ascii="宋体" w:hAnsi="宋体" w:eastAsia="宋体" w:cs="宋体"/>
          <w:bCs/>
          <w:color w:val="auto"/>
          <w:sz w:val="24"/>
          <w:szCs w:val="24"/>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bookmarkEnd w:id="295"/>
    <w:p w14:paraId="3965F7D8">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14.2.6 否决投标说明</w:t>
      </w:r>
    </w:p>
    <w:p w14:paraId="08F8B5A0">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Cs/>
          <w:color w:val="auto"/>
          <w:sz w:val="24"/>
          <w:szCs w:val="24"/>
          <w:highlight w:val="none"/>
        </w:rPr>
      </w:pPr>
      <w:bookmarkStart w:id="296" w:name="_Toc15098"/>
      <w:bookmarkStart w:id="297" w:name="_Toc18413"/>
      <w:bookmarkStart w:id="298" w:name="_Toc27709"/>
      <w:r>
        <w:rPr>
          <w:rFonts w:hint="eastAsia" w:ascii="宋体" w:hAnsi="宋体" w:eastAsia="宋体" w:cs="宋体"/>
          <w:bCs/>
          <w:color w:val="auto"/>
          <w:sz w:val="24"/>
          <w:szCs w:val="24"/>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评标委员会经评审，认为所有投标都不符合招标文件要求的，可否决所有投标，项目的所有投标被否决的，招标人应依法重新组织招标。</w:t>
      </w:r>
    </w:p>
    <w:p w14:paraId="008041CC">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14.3 详细评审阶段</w:t>
      </w:r>
      <w:bookmarkEnd w:id="296"/>
      <w:bookmarkEnd w:id="297"/>
      <w:bookmarkEnd w:id="298"/>
    </w:p>
    <w:p w14:paraId="22D01F20">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14.3.1 “综合评估法”评审程序</w:t>
      </w:r>
    </w:p>
    <w:p w14:paraId="7D66D715">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评审内容分为商务部分和经济部分两大部分，实行分项计分，以100分为满分。具体分值详见《综合评分表》。</w:t>
      </w:r>
    </w:p>
    <w:p w14:paraId="3503717A">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除特别注明外，综合得分以及商务部分得分、经济部分得分的中间过程计算值和最终值，均按“四舍五入”原则精确到两位小数。</w:t>
      </w:r>
    </w:p>
    <w:p w14:paraId="32A219B9">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（1）商务部分得分</w:t>
      </w:r>
    </w:p>
    <w:p w14:paraId="203CFE53">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①评标委员会各成员独立按照《综合评分表》商务部分指定的评分标准对各评分因素进行打分。各评分因素得分之和即为某投标人的商务部分得分。</w:t>
      </w:r>
    </w:p>
    <w:p w14:paraId="1E245A35">
      <w:pPr>
        <w:pStyle w:val="37"/>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②全体评委对该投标人的商务部分总评分取平均值，按“四舍五入”原则精确到两位小数即为该投标人商务部分的最终得分。</w:t>
      </w:r>
    </w:p>
    <w:p w14:paraId="73CACD7F">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（2）经济部分得分</w:t>
      </w:r>
    </w:p>
    <w:p w14:paraId="42A34E9D">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经济部分评分方法详见《综合评分表》。</w:t>
      </w:r>
    </w:p>
    <w:p w14:paraId="6994B143">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（3）综合得分</w:t>
      </w:r>
    </w:p>
    <w:p w14:paraId="32185ABB">
      <w:pPr>
        <w:pStyle w:val="37"/>
        <w:pageBreakBefore w:val="0"/>
        <w:kinsoku/>
        <w:overflowPunct/>
        <w:topLinePunct w:val="0"/>
        <w:autoSpaceDE w:val="0"/>
        <w:autoSpaceDN w:val="0"/>
        <w:bidi w:val="0"/>
        <w:adjustRightInd w:val="0"/>
        <w:spacing w:line="44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综合得分=商务部分得分+经济部分得分</w:t>
      </w:r>
    </w:p>
    <w:p w14:paraId="568D45C0">
      <w:pPr>
        <w:spacing w:line="440" w:lineRule="exact"/>
        <w:rPr>
          <w:rFonts w:asciiTheme="minorEastAsia" w:hAnsiTheme="minorEastAsia" w:eastAsiaTheme="minorEastAsia" w:cstheme="minorEastAsia"/>
          <w:bCs/>
          <w:color w:val="auto"/>
          <w:highlight w:val="none"/>
        </w:rPr>
      </w:pPr>
    </w:p>
    <w:p w14:paraId="753FF575">
      <w:pPr>
        <w:rPr>
          <w:color w:val="auto"/>
          <w:highlight w:val="none"/>
        </w:rPr>
      </w:pPr>
    </w:p>
    <w:p w14:paraId="3D0712C9">
      <w:pPr>
        <w:pStyle w:val="2"/>
        <w:rPr>
          <w:color w:val="auto"/>
          <w:highlight w:val="none"/>
        </w:rPr>
      </w:pPr>
    </w:p>
    <w:bookmarkEnd w:id="135"/>
    <w:p w14:paraId="051FC296">
      <w:pPr>
        <w:autoSpaceDE w:val="0"/>
        <w:autoSpaceDN w:val="0"/>
        <w:adjustRightInd w:val="0"/>
        <w:spacing w:line="360" w:lineRule="auto"/>
        <w:ind w:firstLine="562" w:firstLineChars="200"/>
        <w:jc w:val="center"/>
        <w:rPr>
          <w:rFonts w:hint="eastAsia" w:hAnsi="宋体" w:eastAsia="宋体" w:cs="宋体"/>
          <w:b/>
          <w:color w:val="auto"/>
          <w:sz w:val="28"/>
          <w:szCs w:val="28"/>
          <w:highlight w:val="none"/>
          <w:lang w:val="en-US" w:eastAsia="zh-CN"/>
        </w:rPr>
      </w:pPr>
      <w:r>
        <w:rPr>
          <w:rFonts w:hAnsi="宋体" w:eastAsia="宋体" w:cs="宋体"/>
          <w:b/>
          <w:color w:val="auto"/>
          <w:sz w:val="28"/>
          <w:szCs w:val="28"/>
          <w:highlight w:val="none"/>
        </w:rPr>
        <w:t>综合评分表</w:t>
      </w:r>
      <w:r>
        <w:rPr>
          <w:rFonts w:hint="eastAsia" w:hAnsi="宋体" w:eastAsia="宋体" w:cs="宋体"/>
          <w:b/>
          <w:color w:val="auto"/>
          <w:sz w:val="28"/>
          <w:szCs w:val="28"/>
          <w:highlight w:val="none"/>
          <w:lang w:val="en-US" w:eastAsia="zh-CN"/>
        </w:rPr>
        <w:t xml:space="preserve">  </w:t>
      </w:r>
    </w:p>
    <w:tbl>
      <w:tblPr>
        <w:tblStyle w:val="24"/>
        <w:tblW w:w="10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
        <w:gridCol w:w="888"/>
        <w:gridCol w:w="1036"/>
        <w:gridCol w:w="3785"/>
        <w:gridCol w:w="4552"/>
      </w:tblGrid>
      <w:tr w14:paraId="553E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482"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27F1E2C">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评标内容</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3DF8423D">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说    明</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1BBCF9E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备注</w:t>
            </w:r>
          </w:p>
        </w:tc>
      </w:tr>
      <w:tr w14:paraId="4D95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jc w:val="center"/>
        </w:trPr>
        <w:tc>
          <w:tcPr>
            <w:tcW w:w="55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0412CE0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w:t>
            </w:r>
          </w:p>
          <w:p w14:paraId="76651915">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部分</w:t>
            </w:r>
          </w:p>
          <w:p w14:paraId="235734C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得分</w:t>
            </w:r>
          </w:p>
          <w:p w14:paraId="2EEA6B9C">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（50分）</w:t>
            </w:r>
          </w:p>
        </w:tc>
        <w:tc>
          <w:tcPr>
            <w:tcW w:w="88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657935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施工企业（30分）</w:t>
            </w:r>
          </w:p>
          <w:p w14:paraId="535CB3FD">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联合体投标的，指联合体施工单位</w:t>
            </w: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456A9FCA">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bookmarkStart w:id="299" w:name="OLE_LINK19"/>
            <w:r>
              <w:rPr>
                <w:rFonts w:hint="eastAsia" w:ascii="宋体" w:hAnsi="宋体" w:eastAsia="宋体" w:cs="宋体"/>
                <w:color w:val="auto"/>
                <w:sz w:val="24"/>
                <w:szCs w:val="24"/>
                <w:highlight w:val="none"/>
              </w:rPr>
              <w:t>企业</w:t>
            </w:r>
          </w:p>
          <w:p w14:paraId="253BC5E8">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奖项</w:t>
            </w:r>
          </w:p>
          <w:p w14:paraId="698B076C">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bookmarkEnd w:id="299"/>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3A8DB8D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企业近年来（2021年1月1日至今）</w:t>
            </w:r>
            <w:r>
              <w:rPr>
                <w:rFonts w:hint="eastAsia" w:ascii="宋体" w:hAnsi="宋体" w:eastAsia="宋体" w:cs="宋体"/>
                <w:snapToGrid w:val="0"/>
                <w:color w:val="auto"/>
                <w:kern w:val="0"/>
                <w:sz w:val="24"/>
                <w:szCs w:val="24"/>
                <w:highlight w:val="none"/>
              </w:rPr>
              <w:t>获得</w:t>
            </w:r>
            <w:r>
              <w:rPr>
                <w:rFonts w:hint="eastAsia" w:ascii="宋体" w:hAnsi="宋体" w:eastAsia="宋体" w:cs="宋体"/>
                <w:color w:val="auto"/>
                <w:sz w:val="24"/>
                <w:szCs w:val="24"/>
                <w:highlight w:val="none"/>
              </w:rPr>
              <w:t>工</w:t>
            </w:r>
            <w:r>
              <w:rPr>
                <w:rFonts w:hint="eastAsia" w:ascii="宋体" w:hAnsi="宋体" w:eastAsia="宋体" w:cs="宋体"/>
                <w:snapToGrid w:val="0"/>
                <w:color w:val="auto"/>
                <w:kern w:val="0"/>
                <w:sz w:val="24"/>
                <w:szCs w:val="24"/>
                <w:highlight w:val="none"/>
              </w:rPr>
              <w:t>程类奖项情况：</w:t>
            </w:r>
          </w:p>
          <w:p w14:paraId="2BC57C11">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1.获得国家级奖项的，每个得3分。</w:t>
            </w:r>
          </w:p>
          <w:p w14:paraId="0B64F265">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2.获得省级奖项的，每个得2分。</w:t>
            </w:r>
          </w:p>
          <w:p w14:paraId="3CC72A95">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3.获得地市级奖项的，每个得1分。</w:t>
            </w:r>
          </w:p>
          <w:p w14:paraId="626958AC">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4.以上奖项均未获得的，不予计分。</w:t>
            </w:r>
          </w:p>
          <w:p w14:paraId="0A3E2887">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EC941D6">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1．允许投标人提交多个业绩，但同一业绩只按最高级别奖项计分一次。</w:t>
            </w:r>
          </w:p>
          <w:p w14:paraId="3B74A775">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2．需附有关奖项证明彩色扫描件（或打印件）。</w:t>
            </w:r>
          </w:p>
          <w:p w14:paraId="3740E865">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3．颁发机构：</w:t>
            </w:r>
          </w:p>
          <w:p w14:paraId="441143F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w:t>
            </w:r>
            <w:r>
              <w:rPr>
                <w:rFonts w:hint="eastAsia" w:ascii="宋体" w:hAnsi="宋体" w:eastAsia="宋体" w:cs="宋体"/>
                <w:color w:val="auto"/>
                <w:sz w:val="24"/>
                <w:szCs w:val="24"/>
                <w:highlight w:val="none"/>
              </w:rPr>
              <w:t>国家级奖项：</w:t>
            </w:r>
            <w:r>
              <w:rPr>
                <w:rFonts w:hint="eastAsia" w:ascii="宋体" w:hAnsi="宋体" w:eastAsia="宋体" w:cs="宋体"/>
                <w:color w:val="auto"/>
                <w:sz w:val="24"/>
                <w:szCs w:val="24"/>
                <w:highlight w:val="none"/>
                <w:u w:val="single"/>
              </w:rPr>
              <w:t>国务院、住建部、国家级行业协会</w:t>
            </w:r>
            <w:r>
              <w:rPr>
                <w:rFonts w:hint="eastAsia" w:ascii="宋体" w:hAnsi="宋体" w:eastAsia="宋体" w:cs="宋体"/>
                <w:color w:val="auto"/>
                <w:sz w:val="24"/>
                <w:szCs w:val="24"/>
                <w:highlight w:val="none"/>
              </w:rPr>
              <w:t>（学会）</w:t>
            </w:r>
            <w:r>
              <w:rPr>
                <w:rFonts w:hint="eastAsia" w:ascii="宋体" w:hAnsi="宋体" w:eastAsia="宋体" w:cs="宋体"/>
                <w:color w:val="auto"/>
                <w:sz w:val="24"/>
                <w:szCs w:val="24"/>
                <w:highlight w:val="none"/>
                <w:u w:val="single"/>
              </w:rPr>
              <w:t>；（相关协会需经民政部门备案）</w:t>
            </w:r>
          </w:p>
          <w:p w14:paraId="5D1143A8">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②省级或以上奖项：</w:t>
            </w:r>
            <w:r>
              <w:rPr>
                <w:rFonts w:hint="eastAsia" w:ascii="宋体" w:hAnsi="宋体" w:eastAsia="宋体" w:cs="宋体"/>
                <w:color w:val="auto"/>
                <w:sz w:val="24"/>
                <w:szCs w:val="24"/>
                <w:highlight w:val="none"/>
              </w:rPr>
              <w:t>省级人民政府、省级住建部门、省级行业协会（学会）</w:t>
            </w:r>
            <w:r>
              <w:rPr>
                <w:rFonts w:hint="eastAsia" w:ascii="宋体" w:hAnsi="宋体" w:eastAsia="宋体" w:cs="宋体"/>
                <w:snapToGrid w:val="0"/>
                <w:color w:val="auto"/>
                <w:kern w:val="0"/>
                <w:sz w:val="24"/>
                <w:szCs w:val="24"/>
                <w:highlight w:val="none"/>
              </w:rPr>
              <w:t>；</w:t>
            </w:r>
            <w:r>
              <w:rPr>
                <w:rFonts w:hint="eastAsia" w:ascii="宋体" w:hAnsi="宋体" w:eastAsia="宋体" w:cs="宋体"/>
                <w:b/>
                <w:snapToGrid w:val="0"/>
                <w:color w:val="auto"/>
                <w:kern w:val="0"/>
                <w:sz w:val="24"/>
                <w:szCs w:val="24"/>
                <w:highlight w:val="none"/>
              </w:rPr>
              <w:t>（相关协会/学会需经民政部门备案）</w:t>
            </w:r>
          </w:p>
          <w:p w14:paraId="2FB7104B">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③</w:t>
            </w:r>
            <w:r>
              <w:rPr>
                <w:rFonts w:hint="eastAsia" w:ascii="宋体" w:hAnsi="宋体" w:eastAsia="宋体" w:cs="宋体"/>
                <w:snapToGrid w:val="0"/>
                <w:color w:val="auto"/>
                <w:kern w:val="0"/>
                <w:sz w:val="24"/>
                <w:szCs w:val="24"/>
                <w:highlight w:val="none"/>
              </w:rPr>
              <w:t>地市级奖项：</w:t>
            </w:r>
            <w:r>
              <w:rPr>
                <w:rFonts w:hint="eastAsia" w:ascii="宋体" w:hAnsi="宋体" w:eastAsia="宋体" w:cs="宋体"/>
                <w:color w:val="auto"/>
                <w:sz w:val="24"/>
                <w:szCs w:val="24"/>
                <w:highlight w:val="none"/>
              </w:rPr>
              <w:t>地市级人民政府、地市级住建部门、地市级行业协会（学会）。</w:t>
            </w:r>
            <w:r>
              <w:rPr>
                <w:rFonts w:hint="eastAsia" w:ascii="宋体" w:hAnsi="宋体" w:eastAsia="宋体" w:cs="宋体"/>
                <w:b/>
                <w:snapToGrid w:val="0"/>
                <w:color w:val="auto"/>
                <w:kern w:val="0"/>
                <w:sz w:val="24"/>
                <w:szCs w:val="24"/>
                <w:highlight w:val="none"/>
              </w:rPr>
              <w:t>（相关协会/学会需经民政部门备案）</w:t>
            </w:r>
          </w:p>
          <w:p w14:paraId="517FA9A1">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4．获奖时间以奖项证明的落款日期为准。</w:t>
            </w:r>
          </w:p>
          <w:p w14:paraId="67A61C4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5．任一奖项有以下情形之一的，该奖项视为无效，不予计分：</w:t>
            </w:r>
          </w:p>
          <w:p w14:paraId="30F310E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①奖项不属于指定类别的；</w:t>
            </w:r>
          </w:p>
          <w:p w14:paraId="43C482D6">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②颁发机构不符合要求的；</w:t>
            </w:r>
          </w:p>
          <w:p w14:paraId="42EFFE93">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③获奖时间不符合要求的。</w:t>
            </w:r>
          </w:p>
          <w:p w14:paraId="5FE3F61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textAlignment w:val="baseline"/>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说明：以上所称“要求”均指本表评分标准及备注的要求，下同。</w:t>
            </w:r>
          </w:p>
          <w:p w14:paraId="36406190">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szCs w:val="20"/>
              </w:rPr>
            </w:pPr>
            <w:r>
              <w:rPr>
                <w:rFonts w:hint="eastAsia" w:ascii="宋体" w:hAnsi="宋体" w:eastAsia="宋体" w:cs="宋体"/>
                <w:snapToGrid w:val="0"/>
                <w:color w:val="auto"/>
                <w:kern w:val="0"/>
                <w:sz w:val="24"/>
                <w:szCs w:val="24"/>
                <w:highlight w:val="none"/>
                <w:lang w:val="en-US" w:eastAsia="zh-CN"/>
              </w:rPr>
              <w:t>6.组成联合体的,由牵头人提供</w:t>
            </w:r>
            <w:r>
              <w:rPr>
                <w:rFonts w:hint="eastAsia" w:ascii="宋体" w:hAnsi="宋体" w:eastAsia="宋体" w:cs="宋体"/>
                <w:b w:val="0"/>
                <w:bCs w:val="0"/>
                <w:color w:val="auto"/>
                <w:kern w:val="0"/>
                <w:sz w:val="21"/>
                <w:szCs w:val="21"/>
                <w:highlight w:val="none"/>
                <w:lang w:val="en-US" w:eastAsia="zh-CN"/>
              </w:rPr>
              <w:t>。</w:t>
            </w:r>
          </w:p>
        </w:tc>
      </w:tr>
      <w:tr w14:paraId="7329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7"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EBF6586">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7D7496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right w:val="single" w:color="auto" w:sz="4" w:space="0"/>
              <w:tl2br w:val="nil"/>
              <w:tr2bl w:val="nil"/>
            </w:tcBorders>
            <w:vAlign w:val="center"/>
          </w:tcPr>
          <w:p w14:paraId="0F4B335E">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w:t>
            </w:r>
          </w:p>
          <w:p w14:paraId="0EE1440E">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w:t>
            </w:r>
          </w:p>
          <w:p w14:paraId="01AFBFB0">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right="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right w:val="single" w:color="auto" w:sz="4" w:space="0"/>
              <w:tl2br w:val="nil"/>
              <w:tr2bl w:val="nil"/>
            </w:tcBorders>
            <w:vAlign w:val="center"/>
          </w:tcPr>
          <w:p w14:paraId="58C8CC42">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企业近年来（2021年1月1日至今）业绩情况：</w:t>
            </w:r>
          </w:p>
          <w:p w14:paraId="73B893A6">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rPr>
              <w:t xml:space="preserve"> 承接 </w:t>
            </w:r>
            <w:r>
              <w:rPr>
                <w:rFonts w:hint="eastAsia" w:ascii="宋体" w:hAnsi="宋体" w:eastAsia="宋体" w:cs="宋体"/>
                <w:snapToGrid w:val="0"/>
                <w:color w:val="auto"/>
                <w:kern w:val="0"/>
                <w:sz w:val="24"/>
                <w:szCs w:val="24"/>
                <w:highlight w:val="none"/>
              </w:rPr>
              <w:t>过类似工程的，每个得</w:t>
            </w:r>
            <w:r>
              <w:rPr>
                <w:rFonts w:hint="eastAsia"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分。</w:t>
            </w:r>
          </w:p>
          <w:p w14:paraId="475A19F8">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2．未</w:t>
            </w:r>
            <w:r>
              <w:rPr>
                <w:rFonts w:hint="eastAsia" w:ascii="宋体" w:hAnsi="宋体" w:eastAsia="宋体" w:cs="宋体"/>
                <w:snapToGrid w:val="0"/>
                <w:color w:val="auto"/>
                <w:kern w:val="0"/>
                <w:sz w:val="24"/>
                <w:szCs w:val="24"/>
                <w:highlight w:val="none"/>
                <w:u w:val="single"/>
              </w:rPr>
              <w:t xml:space="preserve"> 承接 </w:t>
            </w:r>
            <w:r>
              <w:rPr>
                <w:rFonts w:hint="eastAsia" w:ascii="宋体" w:hAnsi="宋体" w:eastAsia="宋体" w:cs="宋体"/>
                <w:snapToGrid w:val="0"/>
                <w:color w:val="auto"/>
                <w:kern w:val="0"/>
                <w:sz w:val="24"/>
                <w:szCs w:val="24"/>
                <w:highlight w:val="none"/>
              </w:rPr>
              <w:t>过类似工程的，不予计分。</w:t>
            </w:r>
          </w:p>
          <w:p w14:paraId="391EAE76">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3．本项最高得</w:t>
            </w:r>
            <w:r>
              <w:rPr>
                <w:rFonts w:hint="eastAsia"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分。 </w:t>
            </w:r>
          </w:p>
          <w:p w14:paraId="0B2CC5D5">
            <w:pPr>
              <w:pStyle w:val="7"/>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p>
          <w:p w14:paraId="7E0BB082">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800139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1．类似工程指：</w:t>
            </w:r>
            <w:r>
              <w:rPr>
                <w:rFonts w:hint="eastAsia" w:ascii="宋体" w:hAnsi="宋体" w:eastAsia="宋体" w:cs="宋体"/>
                <w:color w:val="auto"/>
                <w:sz w:val="24"/>
                <w:szCs w:val="24"/>
                <w:highlight w:val="none"/>
                <w:u w:val="single"/>
              </w:rPr>
              <w:t>单项合同金额≥</w:t>
            </w:r>
            <w:r>
              <w:rPr>
                <w:rFonts w:hint="eastAsia"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000万元的市政</w:t>
            </w:r>
            <w:r>
              <w:rPr>
                <w:rFonts w:hint="eastAsia" w:hAnsi="宋体" w:eastAsia="宋体" w:cs="宋体"/>
                <w:color w:val="auto"/>
                <w:sz w:val="24"/>
                <w:szCs w:val="24"/>
                <w:highlight w:val="none"/>
                <w:u w:val="single"/>
                <w:lang w:eastAsia="zh-CN"/>
              </w:rPr>
              <w:t>类</w:t>
            </w:r>
            <w:r>
              <w:rPr>
                <w:rFonts w:hint="eastAsia" w:ascii="宋体" w:hAnsi="宋体" w:eastAsia="宋体" w:cs="宋体"/>
                <w:color w:val="auto"/>
                <w:sz w:val="24"/>
                <w:szCs w:val="24"/>
                <w:highlight w:val="none"/>
                <w:u w:val="single"/>
              </w:rPr>
              <w:t>工程</w:t>
            </w:r>
            <w:r>
              <w:rPr>
                <w:rFonts w:hint="eastAsia" w:ascii="宋体" w:hAnsi="宋体" w:eastAsia="宋体" w:cs="宋体"/>
                <w:snapToGrid w:val="0"/>
                <w:color w:val="auto"/>
                <w:kern w:val="0"/>
                <w:sz w:val="24"/>
                <w:szCs w:val="24"/>
                <w:highlight w:val="none"/>
              </w:rPr>
              <w:t>。</w:t>
            </w:r>
          </w:p>
          <w:p w14:paraId="487C045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i/>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2．需附有关业绩（仅限于以施工总承包单位身份参建的项目）(或设计施工总承包或勘察（测）设计施工总承包项目或</w:t>
            </w:r>
            <w:r>
              <w:rPr>
                <w:rFonts w:hint="eastAsia" w:hAnsi="宋体" w:eastAsia="宋体" w:cs="宋体"/>
                <w:snapToGrid w:val="0"/>
                <w:color w:val="auto"/>
                <w:kern w:val="0"/>
                <w:sz w:val="24"/>
                <w:szCs w:val="24"/>
                <w:highlight w:val="none"/>
                <w:lang w:eastAsia="zh-CN"/>
              </w:rPr>
              <w:t>设计施工总承包</w:t>
            </w:r>
            <w:r>
              <w:rPr>
                <w:rFonts w:hint="eastAsia" w:ascii="宋体" w:hAnsi="宋体" w:eastAsia="宋体" w:cs="宋体"/>
                <w:snapToGrid w:val="0"/>
                <w:color w:val="auto"/>
                <w:kern w:val="0"/>
                <w:sz w:val="24"/>
                <w:szCs w:val="24"/>
                <w:highlight w:val="none"/>
              </w:rPr>
              <w:t>)。</w:t>
            </w:r>
          </w:p>
          <w:p w14:paraId="6FED7944">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3.需附有关业绩合同协议书关键页和中标通知书的彩色扫描件（或打印件）并加盖单位公章，否则不得分</w:t>
            </w:r>
          </w:p>
          <w:p w14:paraId="445B5EA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4.业绩时间以合同协议书日期为准。</w:t>
            </w:r>
          </w:p>
          <w:p w14:paraId="48D3CE6D">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5．任一业绩有以下情形之一的，该业绩视为无效，不予计分：</w:t>
            </w:r>
          </w:p>
          <w:p w14:paraId="502D4160">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0B80D74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②不是以指定身份参建的；</w:t>
            </w:r>
          </w:p>
          <w:p w14:paraId="042AC7D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③业绩时间不符合要求的</w:t>
            </w:r>
            <w:r>
              <w:rPr>
                <w:rFonts w:hint="eastAsia" w:hAnsi="宋体" w:eastAsia="宋体" w:cs="宋体"/>
                <w:snapToGrid w:val="0"/>
                <w:color w:val="auto"/>
                <w:kern w:val="0"/>
                <w:sz w:val="24"/>
                <w:szCs w:val="24"/>
                <w:highlight w:val="none"/>
                <w:lang w:eastAsia="zh-CN"/>
              </w:rPr>
              <w:t>。</w:t>
            </w:r>
          </w:p>
          <w:p w14:paraId="53E632A1">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szCs w:val="20"/>
              </w:rPr>
            </w:pPr>
            <w:r>
              <w:rPr>
                <w:rFonts w:hint="eastAsia" w:ascii="宋体" w:hAnsi="宋体" w:eastAsia="宋体" w:cs="宋体"/>
                <w:snapToGrid w:val="0"/>
                <w:color w:val="auto"/>
                <w:kern w:val="0"/>
                <w:sz w:val="24"/>
                <w:szCs w:val="24"/>
                <w:highlight w:val="none"/>
                <w:lang w:val="en-US" w:eastAsia="zh-CN"/>
              </w:rPr>
              <w:t>6.组成联合体的,由牵头人提供</w:t>
            </w:r>
            <w:r>
              <w:rPr>
                <w:rFonts w:hint="eastAsia" w:ascii="宋体" w:hAnsi="宋体" w:eastAsia="宋体" w:cs="宋体"/>
                <w:b w:val="0"/>
                <w:bCs w:val="0"/>
                <w:color w:val="auto"/>
                <w:kern w:val="0"/>
                <w:sz w:val="21"/>
                <w:szCs w:val="21"/>
                <w:highlight w:val="none"/>
                <w:lang w:val="en-US" w:eastAsia="zh-CN"/>
              </w:rPr>
              <w:t>。</w:t>
            </w:r>
          </w:p>
        </w:tc>
      </w:tr>
      <w:tr w14:paraId="7161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6D3B386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FD2B1BD">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1C7DCA1F">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420" w:lineRule="exact"/>
              <w:ind w:left="0" w:leftChars="0" w:right="0" w:righ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项目经理（3分）</w:t>
            </w:r>
          </w:p>
        </w:tc>
        <w:tc>
          <w:tcPr>
            <w:tcW w:w="3785" w:type="dxa"/>
            <w:tcBorders>
              <w:top w:val="single" w:color="auto" w:sz="4" w:space="0"/>
              <w:left w:val="single" w:color="auto" w:sz="4" w:space="0"/>
              <w:right w:val="single" w:color="auto" w:sz="4" w:space="0"/>
              <w:tl2br w:val="nil"/>
              <w:tr2bl w:val="nil"/>
            </w:tcBorders>
            <w:vAlign w:val="center"/>
          </w:tcPr>
          <w:p w14:paraId="6EAD5E74">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项目经理工程类技术职称情况：</w:t>
            </w:r>
          </w:p>
          <w:p w14:paraId="1E22FA3A">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具备工程师或以上职称的，得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5263823E">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具备助理工程师职称的，得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分。</w:t>
            </w:r>
          </w:p>
          <w:p w14:paraId="2BAEA334">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不具备以上职称的，不予计分。</w:t>
            </w:r>
          </w:p>
        </w:tc>
        <w:tc>
          <w:tcPr>
            <w:tcW w:w="4552" w:type="dxa"/>
            <w:tcBorders>
              <w:top w:val="single" w:color="auto" w:sz="4" w:space="0"/>
              <w:left w:val="single" w:color="auto" w:sz="4" w:space="0"/>
              <w:right w:val="single" w:color="auto" w:sz="4" w:space="0"/>
              <w:tl2br w:val="nil"/>
              <w:tr2bl w:val="nil"/>
            </w:tcBorders>
            <w:vAlign w:val="center"/>
          </w:tcPr>
          <w:p w14:paraId="4F4E55A4">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szCs w:val="20"/>
              </w:rPr>
            </w:pPr>
            <w:r>
              <w:rPr>
                <w:rFonts w:hint="eastAsia" w:ascii="宋体" w:hAnsi="宋体" w:eastAsia="宋体" w:cs="宋体"/>
                <w:snapToGrid w:val="0"/>
                <w:color w:val="auto"/>
                <w:kern w:val="0"/>
                <w:sz w:val="24"/>
                <w:szCs w:val="24"/>
                <w:highlight w:val="none"/>
              </w:rPr>
              <w:t>1．需附项目经理称证彩色扫描件（或打印件）并加盖投标人公章。</w:t>
            </w:r>
          </w:p>
        </w:tc>
      </w:tr>
      <w:tr w14:paraId="79D0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jc w:val="center"/>
        </w:trPr>
        <w:tc>
          <w:tcPr>
            <w:tcW w:w="558" w:type="dxa"/>
            <w:vMerge w:val="continue"/>
            <w:tcBorders>
              <w:left w:val="single" w:color="auto" w:sz="4" w:space="0"/>
              <w:bottom w:val="single" w:color="auto" w:sz="4" w:space="0"/>
              <w:right w:val="single" w:color="auto" w:sz="4" w:space="0"/>
              <w:tl2br w:val="nil"/>
              <w:tr2bl w:val="nil"/>
            </w:tcBorders>
            <w:vAlign w:val="center"/>
          </w:tcPr>
          <w:p w14:paraId="3CB1D0FD">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jc w:val="center"/>
              <w:rPr>
                <w:szCs w:val="20"/>
              </w:rPr>
            </w:pPr>
          </w:p>
        </w:tc>
        <w:tc>
          <w:tcPr>
            <w:tcW w:w="888" w:type="dxa"/>
            <w:vMerge w:val="continue"/>
            <w:tcBorders>
              <w:left w:val="single" w:color="auto" w:sz="4" w:space="0"/>
              <w:bottom w:val="single" w:color="auto" w:sz="4" w:space="0"/>
              <w:right w:val="single" w:color="auto" w:sz="4" w:space="0"/>
              <w:tl2br w:val="nil"/>
              <w:tr2bl w:val="nil"/>
            </w:tcBorders>
            <w:vAlign w:val="center"/>
          </w:tcPr>
          <w:p w14:paraId="0E14065B">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jc w:val="center"/>
              <w:rPr>
                <w:szCs w:val="20"/>
              </w:rPr>
            </w:pPr>
          </w:p>
        </w:tc>
        <w:tc>
          <w:tcPr>
            <w:tcW w:w="10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FCCA64A">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企业管理体系认证</w:t>
            </w:r>
          </w:p>
          <w:p w14:paraId="3CAC6528">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785" w:type="dxa"/>
            <w:tcBorders>
              <w:left w:val="single" w:color="auto" w:sz="4" w:space="0"/>
              <w:bottom w:val="single" w:color="auto" w:sz="4" w:space="0"/>
              <w:right w:val="single" w:color="auto" w:sz="4" w:space="0"/>
              <w:tl2br w:val="nil"/>
              <w:tr2bl w:val="nil"/>
            </w:tcBorders>
            <w:shd w:val="clear" w:color="auto" w:fill="auto"/>
            <w:vAlign w:val="center"/>
          </w:tcPr>
          <w:p w14:paraId="025946F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投标人提供质量管理体系认证证书、职业健康安全管理体系认证证书、环境管理体系认证：</w:t>
            </w:r>
          </w:p>
          <w:p w14:paraId="14B49D8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以上3项证书的得5分；</w:t>
            </w:r>
          </w:p>
          <w:p w14:paraId="7CF1CDF8">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其中2项证书的得3分；</w:t>
            </w:r>
          </w:p>
          <w:p w14:paraId="6993C8C9">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其中1项证书的得1分；</w:t>
            </w:r>
          </w:p>
          <w:p w14:paraId="6DC7DC3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4.未获得以上认证的，不予计分。</w:t>
            </w:r>
          </w:p>
          <w:p w14:paraId="65AE736D">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本项最高得5分。</w:t>
            </w:r>
          </w:p>
        </w:tc>
        <w:tc>
          <w:tcPr>
            <w:tcW w:w="4552" w:type="dxa"/>
            <w:tcBorders>
              <w:left w:val="single" w:color="auto" w:sz="4" w:space="0"/>
              <w:bottom w:val="single" w:color="auto" w:sz="4" w:space="0"/>
              <w:right w:val="single" w:color="auto" w:sz="4" w:space="0"/>
              <w:tl2br w:val="nil"/>
              <w:tr2bl w:val="nil"/>
            </w:tcBorders>
            <w:shd w:val="clear" w:color="auto" w:fill="auto"/>
            <w:vAlign w:val="center"/>
          </w:tcPr>
          <w:p w14:paraId="007E3C33">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1．需附在有效期内的认证证书彩色扫描件（或打印件）,并加盖单位公章，否则不得分。</w:t>
            </w:r>
          </w:p>
          <w:p w14:paraId="6687FBD9">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2．需提供全国认证认可信息公共服务平台官网网页截图,否则不得分。</w:t>
            </w:r>
          </w:p>
          <w:p w14:paraId="41F42076">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3．证书有效性在全国认证认可信息公共服务平台可查。</w:t>
            </w:r>
          </w:p>
          <w:p w14:paraId="569078CA">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等线" w:eastAsia="等线" w:cs="Times New Roman"/>
                <w:kern w:val="2"/>
                <w:sz w:val="24"/>
                <w:szCs w:val="20"/>
                <w:lang w:val="en-US" w:eastAsia="zh-CN" w:bidi="ar-SA"/>
              </w:rPr>
            </w:pPr>
            <w:r>
              <w:rPr>
                <w:rFonts w:hint="eastAsia"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lang w:val="en-US" w:eastAsia="zh-CN"/>
              </w:rPr>
              <w:t>.组成联合体的,由牵头人提供</w:t>
            </w:r>
            <w:r>
              <w:rPr>
                <w:rFonts w:hint="eastAsia" w:ascii="宋体" w:hAnsi="宋体" w:eastAsia="宋体" w:cs="宋体"/>
                <w:b w:val="0"/>
                <w:bCs w:val="0"/>
                <w:color w:val="auto"/>
                <w:kern w:val="0"/>
                <w:sz w:val="21"/>
                <w:szCs w:val="21"/>
                <w:highlight w:val="none"/>
                <w:lang w:val="en-US" w:eastAsia="zh-CN"/>
              </w:rPr>
              <w:t>。</w:t>
            </w:r>
          </w:p>
        </w:tc>
      </w:tr>
      <w:tr w14:paraId="39704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1C3B5E3F">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1E8009E">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721ACF9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企业纳税信用</w:t>
            </w:r>
          </w:p>
          <w:p w14:paraId="0BC19AE5">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27C862B7">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投标人获得纳税信用A级纳税人的情况（其中必须有2025年度）：</w:t>
            </w:r>
          </w:p>
          <w:p w14:paraId="0B389310">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1.企业连续</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年及以上获得的，得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2A27768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2.企业连续</w:t>
            </w: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年获得的，得</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534036F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3.企业连续</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年获得的，得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p>
          <w:p w14:paraId="33A7240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5.其他情形的，不予计分。</w:t>
            </w:r>
          </w:p>
          <w:p w14:paraId="44080232">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6.本项最高得</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52657867">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1．必须提供企业纳税信用A级纳税人证明材料（或证书）彩色扫描件</w:t>
            </w:r>
            <w:r>
              <w:rPr>
                <w:rFonts w:hint="eastAsia"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或打印件</w:t>
            </w:r>
            <w:r>
              <w:rPr>
                <w:rFonts w:hint="eastAsia"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及国家税务总局网上查询截图，否则不得分。</w:t>
            </w:r>
          </w:p>
          <w:p w14:paraId="13B373B4">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color w:val="auto"/>
                <w:kern w:val="0"/>
                <w:sz w:val="24"/>
                <w:szCs w:val="24"/>
                <w:highlight w:val="none"/>
              </w:rPr>
              <w:t>只计算投标人自身（不计算投标人的分公司、子公司及分支机构）。</w:t>
            </w:r>
          </w:p>
          <w:p w14:paraId="7BE23B20">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szCs w:val="20"/>
              </w:rPr>
            </w:pP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.组成联合体的,由牵头人提供</w:t>
            </w:r>
            <w:r>
              <w:rPr>
                <w:rFonts w:hint="eastAsia" w:ascii="宋体" w:hAnsi="宋体" w:eastAsia="宋体" w:cs="宋体"/>
                <w:b w:val="0"/>
                <w:bCs w:val="0"/>
                <w:color w:val="auto"/>
                <w:kern w:val="0"/>
                <w:sz w:val="21"/>
                <w:szCs w:val="21"/>
                <w:highlight w:val="none"/>
                <w:lang w:val="en-US" w:eastAsia="zh-CN"/>
              </w:rPr>
              <w:t>。</w:t>
            </w:r>
          </w:p>
        </w:tc>
      </w:tr>
      <w:tr w14:paraId="62C8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7BF8A26">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D042E03">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72232B5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企业信誉</w:t>
            </w:r>
          </w:p>
          <w:p w14:paraId="0621DD5A">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（5分）</w:t>
            </w:r>
          </w:p>
          <w:p w14:paraId="29214A6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kern w:val="0"/>
                <w:sz w:val="24"/>
                <w:szCs w:val="24"/>
                <w:highlight w:val="none"/>
              </w:rPr>
            </w:pP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166D98B1">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投标人获得地级市及以上建筑协会颁发的建筑企业信誉AAA级施工企业情况（其中必须有2024年度）：</w:t>
            </w:r>
          </w:p>
          <w:p w14:paraId="6AD2839A">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1.企业连续15年及以上获得的，得5分；</w:t>
            </w:r>
          </w:p>
          <w:p w14:paraId="71DC494B">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2.企业连续11-14年获得的，得3分；</w:t>
            </w:r>
          </w:p>
          <w:p w14:paraId="13BF1616">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3.企业连续6-10年获得的，得2分；</w:t>
            </w:r>
          </w:p>
          <w:p w14:paraId="1B143434">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4.企业连续1-5年获得的，得1分；</w:t>
            </w:r>
          </w:p>
          <w:p w14:paraId="04896884">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5.其他情形的，不予计分。</w:t>
            </w:r>
          </w:p>
          <w:p w14:paraId="2484AB2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6.本项最高得5分。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58C6A4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1.需提供“企业信誉”称号证书</w:t>
            </w:r>
            <w:r>
              <w:rPr>
                <w:rFonts w:hint="eastAsia" w:ascii="宋体" w:hAnsi="宋体" w:eastAsia="宋体" w:cs="宋体"/>
                <w:color w:val="auto"/>
                <w:sz w:val="24"/>
                <w:szCs w:val="24"/>
                <w:highlight w:val="none"/>
                <w:u w:val="single"/>
              </w:rPr>
              <w:t>彩色扫描件（或打印件）及发文材料</w:t>
            </w:r>
            <w:r>
              <w:rPr>
                <w:rFonts w:hint="eastAsia" w:ascii="宋体" w:hAnsi="宋体" w:eastAsia="宋体" w:cs="宋体"/>
                <w:color w:val="auto"/>
                <w:sz w:val="24"/>
                <w:szCs w:val="24"/>
                <w:highlight w:val="none"/>
              </w:rPr>
              <w:t>并加盖单位公章，否则不得分。</w:t>
            </w:r>
          </w:p>
          <w:p w14:paraId="4ABAE99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2.颁发机构不符合要求的；不予计分。</w:t>
            </w:r>
          </w:p>
          <w:p w14:paraId="2373DCE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szCs w:val="20"/>
              </w:rPr>
            </w:pP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lang w:val="en-US" w:eastAsia="zh-CN"/>
              </w:rPr>
              <w:t>.组成联合体的,由牵头人提供</w:t>
            </w:r>
            <w:r>
              <w:rPr>
                <w:rFonts w:hint="eastAsia" w:ascii="宋体" w:hAnsi="宋体" w:eastAsia="宋体" w:cs="宋体"/>
                <w:b w:val="0"/>
                <w:bCs w:val="0"/>
                <w:color w:val="auto"/>
                <w:kern w:val="0"/>
                <w:sz w:val="21"/>
                <w:szCs w:val="21"/>
                <w:highlight w:val="none"/>
                <w:lang w:val="en-US" w:eastAsia="zh-CN"/>
              </w:rPr>
              <w:t>。</w:t>
            </w:r>
          </w:p>
        </w:tc>
      </w:tr>
      <w:tr w14:paraId="72EC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558" w:type="dxa"/>
            <w:tcBorders>
              <w:top w:val="single" w:color="auto" w:sz="4" w:space="0"/>
              <w:left w:val="single" w:color="auto" w:sz="4" w:space="0"/>
              <w:bottom w:val="single" w:color="auto" w:sz="4" w:space="0"/>
              <w:right w:val="single" w:color="auto" w:sz="4" w:space="0"/>
              <w:tl2br w:val="nil"/>
              <w:tr2bl w:val="nil"/>
            </w:tcBorders>
            <w:vAlign w:val="center"/>
          </w:tcPr>
          <w:p w14:paraId="6286DD0B">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tcBorders>
              <w:top w:val="single" w:color="auto" w:sz="4" w:space="0"/>
              <w:left w:val="single" w:color="auto" w:sz="4" w:space="0"/>
              <w:bottom w:val="single" w:color="auto" w:sz="4" w:space="0"/>
              <w:right w:val="single" w:color="auto" w:sz="4" w:space="0"/>
              <w:tl2br w:val="nil"/>
              <w:tr2bl w:val="nil"/>
            </w:tcBorders>
            <w:vAlign w:val="center"/>
          </w:tcPr>
          <w:p w14:paraId="0844299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6359843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val="en-US" w:eastAsia="zh-CN"/>
              </w:rPr>
              <w:t>荣</w:t>
            </w:r>
            <w:r>
              <w:rPr>
                <w:rFonts w:hint="eastAsia" w:ascii="宋体" w:hAnsi="宋体" w:eastAsia="宋体" w:cs="宋体"/>
                <w:color w:val="auto"/>
                <w:sz w:val="24"/>
                <w:szCs w:val="24"/>
                <w:highlight w:val="none"/>
              </w:rPr>
              <w:t>誉</w:t>
            </w:r>
          </w:p>
          <w:p w14:paraId="6EB2346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5AA932D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color w:val="auto"/>
                <w:sz w:val="24"/>
                <w:szCs w:val="24"/>
                <w:highlight w:val="none"/>
              </w:rPr>
              <w:t>企业近年来（2021年1月1日至今）</w:t>
            </w:r>
            <w:r>
              <w:rPr>
                <w:rFonts w:hint="eastAsia" w:ascii="宋体" w:hAnsi="宋体" w:eastAsia="宋体" w:cs="宋体"/>
                <w:snapToGrid w:val="0"/>
                <w:color w:val="auto"/>
                <w:kern w:val="0"/>
                <w:sz w:val="24"/>
                <w:szCs w:val="24"/>
                <w:highlight w:val="none"/>
              </w:rPr>
              <w:t>获得过人民武装部颁发的“支持国防建设模范单位</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或先进单位）</w:t>
            </w:r>
            <w:r>
              <w:rPr>
                <w:rFonts w:hint="eastAsia" w:ascii="宋体" w:hAnsi="宋体" w:eastAsia="宋体" w:cs="宋体"/>
                <w:snapToGrid w:val="0"/>
                <w:color w:val="auto"/>
                <w:kern w:val="0"/>
                <w:sz w:val="24"/>
                <w:szCs w:val="24"/>
                <w:highlight w:val="none"/>
              </w:rPr>
              <w:t>”证书的得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p w14:paraId="6BB5384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2.其他情形的，不予计分；</w:t>
            </w:r>
          </w:p>
          <w:p w14:paraId="44CC0EBC">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3.本项最高得</w:t>
            </w:r>
            <w:r>
              <w:rPr>
                <w:rFonts w:hint="eastAsia"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360EB2E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hAnsi="宋体" w:eastAsia="宋体" w:cs="宋体"/>
                <w:snapToGrid w:val="0"/>
                <w:color w:val="auto"/>
                <w:kern w:val="0"/>
                <w:sz w:val="24"/>
                <w:szCs w:val="24"/>
                <w:highlight w:val="none"/>
                <w:lang w:val="en-US" w:eastAsia="zh-CN"/>
              </w:rPr>
            </w:pPr>
            <w:r>
              <w:rPr>
                <w:rFonts w:hint="eastAsia" w:hAnsi="宋体" w:eastAsia="宋体" w:cs="宋体"/>
                <w:snapToGrid w:val="0"/>
                <w:color w:val="auto"/>
                <w:kern w:val="0"/>
                <w:sz w:val="24"/>
                <w:szCs w:val="24"/>
                <w:highlight w:val="none"/>
                <w:lang w:val="en-US" w:eastAsia="zh-CN"/>
              </w:rPr>
              <w:t xml:space="preserve">1.须提供有关证书彩色扫描件（或打印件）。 </w:t>
            </w:r>
          </w:p>
          <w:p w14:paraId="18F9DC54">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hAnsi="宋体" w:eastAsia="宋体" w:cs="宋体"/>
                <w:snapToGrid w:val="0"/>
                <w:color w:val="auto"/>
                <w:kern w:val="0"/>
                <w:sz w:val="24"/>
                <w:szCs w:val="24"/>
                <w:highlight w:val="none"/>
                <w:lang w:val="en-US" w:eastAsia="zh-CN"/>
              </w:rPr>
            </w:pPr>
            <w:r>
              <w:rPr>
                <w:rFonts w:hint="eastAsia" w:hAnsi="宋体" w:eastAsia="宋体" w:cs="宋体"/>
                <w:snapToGrid w:val="0"/>
                <w:color w:val="auto"/>
                <w:kern w:val="0"/>
                <w:sz w:val="24"/>
                <w:szCs w:val="24"/>
                <w:highlight w:val="none"/>
                <w:lang w:val="en-US" w:eastAsia="zh-CN"/>
              </w:rPr>
              <w:t>2.颁发机构、时间不符合要求的，按第2项标准处理。</w:t>
            </w:r>
          </w:p>
          <w:p w14:paraId="71058BF0">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hAnsi="宋体" w:eastAsia="宋体" w:cs="宋体"/>
                <w:snapToGrid w:val="0"/>
                <w:color w:val="auto"/>
                <w:kern w:val="0"/>
                <w:sz w:val="24"/>
                <w:szCs w:val="24"/>
                <w:highlight w:val="none"/>
                <w:lang w:val="en-US" w:eastAsia="zh-CN"/>
              </w:rPr>
            </w:pPr>
            <w:r>
              <w:rPr>
                <w:rFonts w:hint="eastAsia" w:hAnsi="宋体" w:eastAsia="宋体" w:cs="宋体"/>
                <w:snapToGrid w:val="0"/>
                <w:color w:val="auto"/>
                <w:kern w:val="0"/>
                <w:sz w:val="24"/>
                <w:szCs w:val="24"/>
                <w:highlight w:val="none"/>
                <w:lang w:val="en-US" w:eastAsia="zh-CN"/>
              </w:rPr>
              <w:t>3.组成联合体的,由牵头人提供。</w:t>
            </w:r>
          </w:p>
        </w:tc>
      </w:tr>
      <w:tr w14:paraId="36EE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5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362019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9BFC6F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设计企业（20分）</w:t>
            </w:r>
          </w:p>
          <w:p w14:paraId="78C576A4">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联合体投标的，指联合体设计单位</w:t>
            </w: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2ADC6FC0">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企业奖项</w:t>
            </w:r>
          </w:p>
          <w:p w14:paraId="45D866A3">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7247C563">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企业近年来（2021年1月1日至今）</w:t>
            </w:r>
            <w:r>
              <w:rPr>
                <w:rFonts w:hint="eastAsia" w:ascii="宋体" w:hAnsi="宋体" w:eastAsia="宋体" w:cs="宋体"/>
                <w:snapToGrid w:val="0"/>
                <w:color w:val="auto"/>
                <w:kern w:val="0"/>
                <w:sz w:val="24"/>
                <w:szCs w:val="24"/>
                <w:highlight w:val="none"/>
              </w:rPr>
              <w:t>获得设计奖项情况：</w:t>
            </w:r>
          </w:p>
          <w:p w14:paraId="04503B0D">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1.获得国家级奖项的，每个得3分；</w:t>
            </w:r>
          </w:p>
          <w:p w14:paraId="2F7A0DBB">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2.获得省级奖项的，每个得2分；</w:t>
            </w:r>
          </w:p>
          <w:p w14:paraId="15437DE1">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3.获得地市级奖项，每个得1分；</w:t>
            </w:r>
          </w:p>
          <w:p w14:paraId="3D82D822">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4.以上奖项均未获得的，不予计分。</w:t>
            </w:r>
          </w:p>
          <w:p w14:paraId="4EA873C1">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5.本项最高得</w:t>
            </w:r>
            <w:r>
              <w:rPr>
                <w:rFonts w:hint="eastAsia"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1F8121CD">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1．同一项目投标人可以提交多个等级奖项供评审，但同一等级奖项只能计分一次，且同一项目只按最高等级奖项计分。</w:t>
            </w:r>
          </w:p>
          <w:p w14:paraId="4C227EF7">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2．获奖协会包含以下协会：</w:t>
            </w:r>
          </w:p>
          <w:p w14:paraId="6744C8E8">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国家、省、市工程勘察设计行业协会或勘察设计业协会或建筑协会；</w:t>
            </w:r>
          </w:p>
          <w:p w14:paraId="4B4EAF7D">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3.需附有关奖项证明彩色扫描件</w:t>
            </w:r>
            <w:r>
              <w:rPr>
                <w:rFonts w:hint="eastAsia" w:ascii="宋体" w:hAnsi="宋体" w:eastAsia="宋体" w:cs="宋体"/>
                <w:color w:val="auto"/>
                <w:kern w:val="0"/>
                <w:sz w:val="24"/>
                <w:szCs w:val="24"/>
                <w:highlight w:val="none"/>
              </w:rPr>
              <w:t>（或打印件）</w:t>
            </w:r>
            <w:r>
              <w:rPr>
                <w:rFonts w:hint="eastAsia" w:ascii="宋体" w:hAnsi="宋体" w:eastAsia="宋体" w:cs="宋体"/>
                <w:snapToGrid w:val="0"/>
                <w:color w:val="auto"/>
                <w:kern w:val="0"/>
                <w:sz w:val="24"/>
                <w:szCs w:val="24"/>
                <w:highlight w:val="none"/>
              </w:rPr>
              <w:t>；</w:t>
            </w:r>
          </w:p>
          <w:p w14:paraId="2B979190">
            <w:pPr>
              <w:pStyle w:val="10"/>
              <w:keepNext w:val="0"/>
              <w:keepLines w:val="0"/>
              <w:pageBreakBefore w:val="0"/>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4．获奖时间以奖项证明的落款日期为准。</w:t>
            </w:r>
          </w:p>
        </w:tc>
      </w:tr>
      <w:tr w14:paraId="7F36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5"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2783F278">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5C644EB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5A932473">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1CFE8125">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161C27C2">
            <w:pPr>
              <w:keepNext w:val="0"/>
              <w:keepLines w:val="0"/>
              <w:pageBreakBefore w:val="0"/>
              <w:widowControl/>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企业近年来（2021年1月1日至今）承接过类似工程设计的，每个得</w:t>
            </w:r>
            <w:r>
              <w:rPr>
                <w:rFonts w:hint="eastAsia"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w:t>
            </w:r>
            <w:r>
              <w:rPr>
                <w:rFonts w:hint="eastAsia" w:ascii="宋体" w:hAnsi="宋体" w:eastAsia="宋体" w:cs="宋体"/>
                <w:color w:val="auto"/>
                <w:kern w:val="0"/>
                <w:sz w:val="24"/>
                <w:szCs w:val="24"/>
                <w:highlight w:val="none"/>
              </w:rPr>
              <w:t>最高得</w:t>
            </w:r>
            <w:r>
              <w:rPr>
                <w:rFonts w:hint="eastAsia"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6B162FBE">
            <w:pPr>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类似工程业绩指：</w:t>
            </w:r>
            <w:r>
              <w:rPr>
                <w:rFonts w:hint="eastAsia" w:ascii="宋体" w:hAnsi="宋体" w:eastAsia="宋体" w:cs="宋体"/>
                <w:color w:val="auto"/>
                <w:kern w:val="0"/>
                <w:sz w:val="24"/>
                <w:szCs w:val="24"/>
                <w:highlight w:val="none"/>
                <w:u w:val="single"/>
              </w:rPr>
              <w:t>市政工程</w:t>
            </w:r>
            <w:r>
              <w:rPr>
                <w:rFonts w:hint="eastAsia" w:hAnsi="宋体" w:eastAsia="宋体" w:cs="宋体"/>
                <w:color w:val="auto"/>
                <w:kern w:val="0"/>
                <w:sz w:val="24"/>
                <w:szCs w:val="24"/>
                <w:highlight w:val="none"/>
                <w:u w:val="single"/>
                <w:lang w:eastAsia="zh-CN"/>
              </w:rPr>
              <w:t>类</w:t>
            </w:r>
            <w:r>
              <w:rPr>
                <w:rFonts w:hint="eastAsia" w:ascii="宋体" w:hAnsi="宋体" w:eastAsia="宋体" w:cs="宋体"/>
                <w:color w:val="auto"/>
                <w:kern w:val="0"/>
                <w:sz w:val="24"/>
                <w:szCs w:val="24"/>
                <w:highlight w:val="none"/>
                <w:u w:val="single"/>
              </w:rPr>
              <w:t>设计。</w:t>
            </w:r>
          </w:p>
          <w:p w14:paraId="38916EA4">
            <w:pPr>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2.须提供设计中标通知书或设计合同关键页彩色扫描件</w:t>
            </w:r>
            <w:r>
              <w:rPr>
                <w:rFonts w:hint="eastAsia" w:ascii="宋体" w:hAnsi="宋体" w:eastAsia="宋体" w:cs="宋体"/>
                <w:color w:val="auto"/>
                <w:kern w:val="0"/>
                <w:sz w:val="24"/>
                <w:szCs w:val="24"/>
                <w:highlight w:val="none"/>
              </w:rPr>
              <w:t>（或打印件）</w:t>
            </w:r>
            <w:r>
              <w:rPr>
                <w:rFonts w:hint="eastAsia" w:ascii="宋体" w:hAnsi="宋体" w:eastAsia="宋体" w:cs="宋体"/>
                <w:color w:val="auto"/>
                <w:sz w:val="24"/>
                <w:szCs w:val="24"/>
                <w:highlight w:val="none"/>
              </w:rPr>
              <w:t>，时间以合同签订时间为准。</w:t>
            </w:r>
          </w:p>
          <w:p w14:paraId="718605F8">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3.任一业绩有以下情形之一的，该业绩视为无效，不予计分：</w:t>
            </w:r>
          </w:p>
          <w:p w14:paraId="67D5A95A">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①业绩不属于类似工程的；</w:t>
            </w:r>
          </w:p>
          <w:p w14:paraId="70DA5E42">
            <w:pPr>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②业绩时间不符合要求的。</w:t>
            </w:r>
          </w:p>
        </w:tc>
      </w:tr>
      <w:tr w14:paraId="68CF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6900A7E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5920A9B0">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23F918E9">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企业荣誉</w:t>
            </w:r>
          </w:p>
          <w:p w14:paraId="4C9E6549">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37EEA978">
            <w:pPr>
              <w:keepNext w:val="0"/>
              <w:keepLines w:val="0"/>
              <w:pageBreakBefore w:val="0"/>
              <w:numPr>
                <w:ilvl w:val="0"/>
                <w:numId w:val="0"/>
              </w:numPr>
              <w:suppressLineNumbers w:val="0"/>
              <w:kinsoku/>
              <w:wordWrap w:val="0"/>
              <w:overflowPunct/>
              <w:topLinePunct w:val="0"/>
              <w:autoSpaceDE/>
              <w:autoSpaceDN/>
              <w:bidi w:val="0"/>
              <w:adjustRightInd w:val="0"/>
              <w:snapToGrid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企业近年来（2021年1月1日至今）</w:t>
            </w:r>
            <w:r>
              <w:rPr>
                <w:rFonts w:hint="eastAsia" w:ascii="宋体" w:hAnsi="宋体" w:eastAsia="宋体" w:cs="宋体"/>
                <w:color w:val="auto"/>
                <w:kern w:val="0"/>
                <w:sz w:val="24"/>
                <w:szCs w:val="24"/>
                <w:highlight w:val="none"/>
              </w:rPr>
              <w:t>获得过地级市或地级市以上的优秀典型设计企业的，得</w:t>
            </w:r>
            <w:r>
              <w:rPr>
                <w:rFonts w:hint="eastAsia"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2D3D6490">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1.须提供证书彩色扫描件（或打印件）和相关网站截图。  </w:t>
            </w:r>
          </w:p>
          <w:p w14:paraId="299AD90D">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2.获荣誉时间以荣誉证明的落款日期为准。</w:t>
            </w:r>
          </w:p>
        </w:tc>
      </w:tr>
      <w:tr w14:paraId="61E3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563CED7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88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3BFC7FCC">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036" w:type="dxa"/>
            <w:tcBorders>
              <w:top w:val="single" w:color="auto" w:sz="4" w:space="0"/>
              <w:left w:val="single" w:color="auto" w:sz="4" w:space="0"/>
              <w:bottom w:val="single" w:color="auto" w:sz="4" w:space="0"/>
              <w:right w:val="single" w:color="auto" w:sz="4" w:space="0"/>
              <w:tl2br w:val="nil"/>
              <w:tr2bl w:val="nil"/>
            </w:tcBorders>
            <w:vAlign w:val="center"/>
          </w:tcPr>
          <w:p w14:paraId="2CD33D6C">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企业管理体系认证</w:t>
            </w:r>
          </w:p>
          <w:p w14:paraId="13A48E17">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3785" w:type="dxa"/>
            <w:tcBorders>
              <w:top w:val="single" w:color="auto" w:sz="4" w:space="0"/>
              <w:left w:val="single" w:color="auto" w:sz="4" w:space="0"/>
              <w:bottom w:val="single" w:color="auto" w:sz="4" w:space="0"/>
              <w:right w:val="single" w:color="auto" w:sz="4" w:space="0"/>
              <w:tl2br w:val="nil"/>
              <w:tr2bl w:val="nil"/>
            </w:tcBorders>
            <w:vAlign w:val="center"/>
          </w:tcPr>
          <w:p w14:paraId="087140DB">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投标人提供质量管理体系认证证书、职业健康安全管理体系认证证书、环境管理体系认证：</w:t>
            </w:r>
          </w:p>
          <w:p w14:paraId="3A9E2B00">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以上3项证书的得5分；</w:t>
            </w:r>
          </w:p>
          <w:p w14:paraId="7A29653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其中2项证书的得3分；</w:t>
            </w:r>
          </w:p>
          <w:p w14:paraId="04C6D1C7">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其中1项证书的得1分；</w:t>
            </w:r>
          </w:p>
          <w:p w14:paraId="00D99F33">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4.未获得以上认证的，不予计分。</w:t>
            </w:r>
          </w:p>
          <w:p w14:paraId="58A9C4BD">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420" w:lineRule="exact"/>
              <w:ind w:left="0"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本项最高得5分。</w:t>
            </w:r>
          </w:p>
        </w:tc>
        <w:tc>
          <w:tcPr>
            <w:tcW w:w="4552" w:type="dxa"/>
            <w:tcBorders>
              <w:top w:val="single" w:color="auto" w:sz="4" w:space="0"/>
              <w:left w:val="single" w:color="auto" w:sz="4" w:space="0"/>
              <w:bottom w:val="single" w:color="auto" w:sz="4" w:space="0"/>
              <w:right w:val="single" w:color="auto" w:sz="4" w:space="0"/>
              <w:tl2br w:val="nil"/>
              <w:tr2bl w:val="nil"/>
            </w:tcBorders>
            <w:vAlign w:val="center"/>
          </w:tcPr>
          <w:p w14:paraId="69A10B1D">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1．需附在有效期内的认证证书彩色扫描件（或打印件）,并加盖单位公章，否则不得分。</w:t>
            </w:r>
          </w:p>
          <w:p w14:paraId="070EFA81">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2．需提供全国认证认可信息公共服务平台官网网页截图,否则不得分。</w:t>
            </w:r>
          </w:p>
          <w:p w14:paraId="074E3829">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3．证书有效性在全国认证认可信息公共服务平台可查。</w:t>
            </w:r>
          </w:p>
        </w:tc>
      </w:tr>
      <w:tr w14:paraId="5E21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55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1AD2ECF">
            <w:pPr>
              <w:keepNext w:val="0"/>
              <w:keepLines w:val="0"/>
              <w:pageBreakBefore w:val="0"/>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经济部分得分（50分）</w:t>
            </w:r>
          </w:p>
        </w:tc>
        <w:tc>
          <w:tcPr>
            <w:tcW w:w="192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584C5D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outlineLvl w:val="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评标基准价D</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6B47E4">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4"/>
              <w:tblW w:w="78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5"/>
              <w:gridCol w:w="1263"/>
              <w:gridCol w:w="811"/>
              <w:gridCol w:w="938"/>
              <w:gridCol w:w="887"/>
              <w:gridCol w:w="1033"/>
              <w:gridCol w:w="975"/>
              <w:gridCol w:w="803"/>
            </w:tblGrid>
            <w:tr w14:paraId="62941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24EFFD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4445F7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A21F9C">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171D9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82ECA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33922D7">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F9E7F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B4DE48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r>
            <w:tr w14:paraId="403A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DF6427D">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F78AE2">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.0</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6D0A81">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.1</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CCF884">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.2</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758B937">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.3</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E1CB0C">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.4</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91DB4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.5</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DDE84E4">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.6</w:t>
                  </w:r>
                </w:p>
              </w:tc>
            </w:tr>
            <w:tr w14:paraId="01687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73D902">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703C9A">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160071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412ACE3">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86DE0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EBF97F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665906">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FCFFDF">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r>
            <w:tr w14:paraId="0F2C5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627F8C">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DA6C95">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.7</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C6386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.8</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562003">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.9</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F8D91DD">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.0</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25D6258">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.1</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A6B7CED">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.2</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E190711">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.3</w:t>
                  </w:r>
                </w:p>
              </w:tc>
            </w:tr>
            <w:tr w14:paraId="1151E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C26398">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号球</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73D954">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527CF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B604380">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95193B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3E7B3B5">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DA96341">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1E08A83">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r>
            <w:tr w14:paraId="0798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114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25F4F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下浮系数（%）</w:t>
                  </w:r>
                </w:p>
              </w:tc>
              <w:tc>
                <w:tcPr>
                  <w:tcW w:w="126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823729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.4</w:t>
                  </w:r>
                </w:p>
              </w:tc>
              <w:tc>
                <w:tcPr>
                  <w:tcW w:w="811"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6C03E3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.5</w:t>
                  </w:r>
                </w:p>
              </w:tc>
              <w:tc>
                <w:tcPr>
                  <w:tcW w:w="938"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AF2B03">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.6</w:t>
                  </w:r>
                </w:p>
              </w:tc>
              <w:tc>
                <w:tcPr>
                  <w:tcW w:w="887"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2F3B542">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.7</w:t>
                  </w:r>
                </w:p>
              </w:tc>
              <w:tc>
                <w:tcPr>
                  <w:tcW w:w="103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3971AA6">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.8</w:t>
                  </w:r>
                </w:p>
              </w:tc>
              <w:tc>
                <w:tcPr>
                  <w:tcW w:w="975"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F526D7F">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.9</w:t>
                  </w:r>
                </w:p>
              </w:tc>
              <w:tc>
                <w:tcPr>
                  <w:tcW w:w="803" w:type="dxa"/>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288C28">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.0</w:t>
                  </w:r>
                </w:p>
              </w:tc>
            </w:tr>
          </w:tbl>
          <w:p w14:paraId="10A3614D">
            <w:pPr>
              <w:pStyle w:val="9"/>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（2）评标基准价D＝招标控制价×（1－n）</w:t>
            </w:r>
          </w:p>
        </w:tc>
      </w:tr>
      <w:tr w14:paraId="2C28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10F431B2">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92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4C45D3B">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投标报价得分N</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7AAEA5">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采用内插法计算某投标人的投标报价得分N，即当投标人的投标总价等于评标基准价时得50分，每高于评标基准价一个百分点扣1分,每低于评标基准价一个百分点扣0.5分，扣完为止。公式如下：</w:t>
            </w:r>
          </w:p>
          <w:p w14:paraId="725B4AE0">
            <w:pPr>
              <w:keepNext/>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N＝50－（|Di－D|÷D）×100×E</w:t>
            </w:r>
          </w:p>
          <w:p w14:paraId="2DF82517">
            <w:pPr>
              <w:pStyle w:val="9"/>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式中：D为评标基准价；Di为某投标人的投标总价；E为扣分因子，当Di＞D时，E＝1；当Di＜D时，E＝0.5。</w:t>
            </w:r>
          </w:p>
        </w:tc>
      </w:tr>
      <w:tr w14:paraId="19F90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58" w:type="dxa"/>
            <w:vMerge w:val="continue"/>
            <w:tcBorders>
              <w:top w:val="single" w:color="auto" w:sz="4" w:space="0"/>
              <w:left w:val="single" w:color="auto" w:sz="4" w:space="0"/>
              <w:bottom w:val="single" w:color="auto" w:sz="4" w:space="0"/>
              <w:right w:val="single" w:color="auto" w:sz="4" w:space="0"/>
              <w:tl2br w:val="nil"/>
              <w:tr2bl w:val="nil"/>
            </w:tcBorders>
            <w:vAlign w:val="top"/>
          </w:tcPr>
          <w:p w14:paraId="66581769">
            <w:pPr>
              <w:keepNext w:val="0"/>
              <w:keepLines w:val="0"/>
              <w:pageBreakBefore w:val="0"/>
              <w:widowControl/>
              <w:suppressLineNumbers w:val="0"/>
              <w:kinsoku/>
              <w:overflowPunct/>
              <w:topLinePunct w:val="0"/>
              <w:autoSpaceDE/>
              <w:autoSpaceDN/>
              <w:bidi w:val="0"/>
              <w:spacing w:before="0" w:beforeLines="0" w:beforeAutospacing="0" w:after="0" w:afterLines="0" w:afterAutospacing="0" w:line="420" w:lineRule="exact"/>
              <w:ind w:left="0" w:right="0"/>
              <w:jc w:val="left"/>
              <w:rPr>
                <w:rFonts w:hint="eastAsia" w:ascii="宋体" w:hAnsi="宋体" w:eastAsia="宋体" w:cs="宋体"/>
                <w:color w:val="auto"/>
                <w:kern w:val="0"/>
                <w:sz w:val="24"/>
                <w:szCs w:val="24"/>
                <w:highlight w:val="none"/>
              </w:rPr>
            </w:pPr>
          </w:p>
        </w:tc>
        <w:tc>
          <w:tcPr>
            <w:tcW w:w="192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9D4CA39">
            <w:pPr>
              <w:keepNext/>
              <w:keepLines w:val="0"/>
              <w:pageBreakBefore w:val="0"/>
              <w:widowControl/>
              <w:suppressLineNumbers w:val="0"/>
              <w:kinsoku/>
              <w:overflowPunct/>
              <w:topLinePunct w:val="0"/>
              <w:autoSpaceDE/>
              <w:autoSpaceDN/>
              <w:bidi w:val="0"/>
              <w:snapToGrid w:val="0"/>
              <w:spacing w:before="0" w:beforeLines="0" w:beforeAutospacing="0" w:after="0" w:afterLines="0" w:afterAutospacing="0" w:line="42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833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A4AF7DD">
            <w:pPr>
              <w:pStyle w:val="9"/>
              <w:keepNext w:val="0"/>
              <w:keepLines w:val="0"/>
              <w:pageBreakBefore w:val="0"/>
              <w:numPr>
                <w:ilvl w:val="0"/>
                <w:numId w:val="0"/>
              </w:numPr>
              <w:suppressLineNumbers w:val="0"/>
              <w:kinsoku/>
              <w:overflowPunct/>
              <w:topLinePunct w:val="0"/>
              <w:autoSpaceDE/>
              <w:autoSpaceDN/>
              <w:bidi w:val="0"/>
              <w:spacing w:before="0" w:beforeLines="0" w:beforeAutospacing="0" w:after="0" w:afterLines="0" w:afterAutospacing="0" w:line="420" w:lineRule="exact"/>
              <w:ind w:left="0" w:right="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综合得分=商务部分得分+经济部分得分</w:t>
            </w:r>
          </w:p>
        </w:tc>
      </w:tr>
    </w:tbl>
    <w:p w14:paraId="0D8E17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pacing w:val="10"/>
          <w:kern w:val="0"/>
          <w:sz w:val="24"/>
          <w:szCs w:val="24"/>
          <w:highlight w:val="none"/>
        </w:rPr>
      </w:pPr>
      <w:r>
        <w:rPr>
          <w:rFonts w:hint="eastAsia" w:ascii="宋体" w:hAnsi="宋体" w:eastAsia="宋体" w:cs="宋体"/>
          <w:color w:val="auto"/>
          <w:spacing w:val="10"/>
          <w:kern w:val="0"/>
          <w:sz w:val="24"/>
          <w:szCs w:val="24"/>
          <w:highlight w:val="none"/>
        </w:rPr>
        <w:t>备注：</w:t>
      </w:r>
    </w:p>
    <w:p w14:paraId="64D44CD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u w:val="doubl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u w:val="double"/>
        </w:rPr>
        <w:t>综合评分表中注明“扫描件”为原件扫描件</w:t>
      </w:r>
      <w:r>
        <w:rPr>
          <w:rFonts w:hint="eastAsia" w:ascii="宋体" w:hAnsi="宋体" w:eastAsia="宋体" w:cs="宋体"/>
          <w:b/>
          <w:bCs/>
          <w:color w:val="auto"/>
          <w:sz w:val="24"/>
          <w:szCs w:val="24"/>
          <w:highlight w:val="none"/>
          <w:u w:val="double"/>
          <w:lang w:eastAsia="zh-CN"/>
        </w:rPr>
        <w:t>。</w:t>
      </w:r>
    </w:p>
    <w:p w14:paraId="60120098">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u w:val="doubl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u w:val="double"/>
        </w:rPr>
        <w:t>评分如出现小数点，则保留小数点后两位，第三位四舍五入。</w:t>
      </w:r>
    </w:p>
    <w:p w14:paraId="1F97C0D7">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r>
        <w:rPr>
          <w:rFonts w:hint="eastAsia" w:ascii="宋体" w:hAnsi="宋体" w:eastAsia="宋体" w:cs="宋体"/>
          <w:b/>
          <w:bCs/>
          <w:color w:val="auto"/>
          <w:sz w:val="21"/>
          <w:szCs w:val="21"/>
          <w:highlight w:val="none"/>
          <w:u w:val="double"/>
        </w:rPr>
        <w:t>。</w:t>
      </w:r>
    </w:p>
    <w:p w14:paraId="70AE6FB5">
      <w:pPr>
        <w:pStyle w:val="8"/>
        <w:pageBreakBefore w:val="0"/>
        <w:kinsoku/>
        <w:overflowPunct/>
        <w:topLinePunct w:val="0"/>
        <w:autoSpaceDE/>
        <w:autoSpaceDN/>
        <w:bidi w:val="0"/>
        <w:spacing w:line="460" w:lineRule="exact"/>
        <w:textAlignment w:val="auto"/>
        <w:rPr>
          <w:rFonts w:hint="eastAsia" w:ascii="宋体" w:hAnsi="宋体" w:eastAsia="宋体" w:cs="宋体"/>
          <w:b/>
          <w:bCs/>
          <w:color w:val="auto"/>
          <w:sz w:val="24"/>
          <w:szCs w:val="24"/>
          <w:highlight w:val="none"/>
          <w:u w:val="double"/>
        </w:rPr>
      </w:pPr>
    </w:p>
    <w:p w14:paraId="5437EC4E">
      <w:pPr>
        <w:pageBreakBefore w:val="0"/>
        <w:kinsoku/>
        <w:wordWrap w:val="0"/>
        <w:overflowPunct/>
        <w:topLinePunct w:val="0"/>
        <w:autoSpaceDE/>
        <w:autoSpaceDN/>
        <w:bidi w:val="0"/>
        <w:adjustRightInd w:val="0"/>
        <w:snapToGrid w:val="0"/>
        <w:spacing w:line="440" w:lineRule="exact"/>
        <w:ind w:firstLine="52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pacing w:val="10"/>
          <w:kern w:val="0"/>
          <w:sz w:val="24"/>
          <w:szCs w:val="24"/>
          <w:highlight w:val="none"/>
        </w:rPr>
        <w:t>14.3.2</w:t>
      </w:r>
      <w:r>
        <w:rPr>
          <w:rFonts w:hint="eastAsia" w:ascii="宋体" w:hAnsi="宋体" w:eastAsia="宋体" w:cs="宋体"/>
          <w:snapToGrid w:val="0"/>
          <w:color w:val="auto"/>
          <w:kern w:val="0"/>
          <w:sz w:val="24"/>
          <w:szCs w:val="24"/>
          <w:highlight w:val="none"/>
        </w:rPr>
        <w:t>否决投标说明</w:t>
      </w:r>
    </w:p>
    <w:p w14:paraId="7AC21D5F">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详细评审阶段否决投标的全部条件，在本章第四节“否决投标条件”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4D72950">
      <w:pPr>
        <w:pStyle w:val="37"/>
        <w:pageBreakBefore w:val="0"/>
        <w:kinsoku/>
        <w:overflowPunct/>
        <w:topLinePunct w:val="0"/>
        <w:bidi w:val="0"/>
        <w:spacing w:line="440" w:lineRule="exact"/>
        <w:textAlignment w:val="auto"/>
        <w:rPr>
          <w:rFonts w:hint="eastAsia" w:ascii="宋体" w:hAnsi="宋体" w:eastAsia="宋体" w:cs="宋体"/>
          <w:b/>
          <w:color w:val="auto"/>
          <w:sz w:val="24"/>
          <w:szCs w:val="24"/>
          <w:highlight w:val="none"/>
        </w:rPr>
      </w:pPr>
      <w:r>
        <w:rPr>
          <w:rFonts w:hint="eastAsia" w:ascii="宋体" w:hAnsi="宋体" w:eastAsia="宋体" w:cs="宋体"/>
          <w:b/>
          <w:bCs/>
          <w:snapToGrid w:val="0"/>
          <w:color w:val="auto"/>
          <w:kern w:val="0"/>
          <w:sz w:val="24"/>
          <w:szCs w:val="24"/>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6EE04948">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300" w:name="_Toc8650"/>
      <w:bookmarkStart w:id="301" w:name="_Toc32481"/>
      <w:r>
        <w:rPr>
          <w:rFonts w:hint="eastAsia" w:ascii="宋体" w:hAnsi="宋体" w:eastAsia="宋体" w:cs="宋体"/>
          <w:b/>
          <w:color w:val="auto"/>
          <w:kern w:val="2"/>
          <w:highlight w:val="none"/>
        </w:rPr>
        <w:t>15、</w:t>
      </w:r>
      <w:bookmarkStart w:id="302" w:name="_Toc18966"/>
      <w:bookmarkStart w:id="303" w:name="_Toc2452"/>
      <w:r>
        <w:rPr>
          <w:rFonts w:hint="eastAsia" w:ascii="宋体" w:hAnsi="宋体" w:eastAsia="宋体" w:cs="宋体"/>
          <w:b/>
          <w:color w:val="auto"/>
          <w:kern w:val="2"/>
          <w:highlight w:val="none"/>
        </w:rPr>
        <w:t>推荐</w:t>
      </w:r>
      <w:r>
        <w:rPr>
          <w:rFonts w:hint="eastAsia" w:ascii="宋体" w:hAnsi="宋体" w:eastAsia="宋体" w:cs="宋体"/>
          <w:b/>
          <w:color w:val="auto"/>
          <w:kern w:val="2"/>
          <w:highlight w:val="none"/>
          <w:lang w:val="en-US" w:eastAsia="zh-CN"/>
        </w:rPr>
        <w:t>定</w:t>
      </w:r>
      <w:r>
        <w:rPr>
          <w:rFonts w:hint="eastAsia" w:ascii="宋体" w:hAnsi="宋体" w:eastAsia="宋体" w:cs="宋体"/>
          <w:b/>
          <w:color w:val="auto"/>
          <w:kern w:val="2"/>
          <w:highlight w:val="none"/>
        </w:rPr>
        <w:t>标候选人</w:t>
      </w:r>
      <w:bookmarkEnd w:id="300"/>
      <w:bookmarkEnd w:id="302"/>
      <w:bookmarkEnd w:id="303"/>
    </w:p>
    <w:p w14:paraId="6E9D1C16">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15</w:t>
      </w: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推荐方法</w:t>
      </w:r>
    </w:p>
    <w:p w14:paraId="31EC7552">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评标委员会根据招标文件规定的评分细则，对招标文件中的各评审因素进行评审、比较、打分，将得分</w:t>
      </w:r>
      <w:r>
        <w:rPr>
          <w:rFonts w:hint="eastAsia" w:ascii="宋体" w:hAnsi="宋体" w:eastAsia="宋体" w:cs="宋体"/>
          <w:color w:val="auto"/>
          <w:kern w:val="0"/>
          <w:sz w:val="24"/>
          <w:szCs w:val="24"/>
          <w:highlight w:val="none"/>
          <w:lang w:eastAsia="zh-CN"/>
        </w:rPr>
        <w:t>前5名的投标人不排序（推荐名单</w:t>
      </w:r>
      <w:r>
        <w:rPr>
          <w:rFonts w:hint="eastAsia" w:ascii="宋体" w:hAnsi="宋体" w:eastAsia="宋体" w:cs="宋体"/>
          <w:color w:val="auto"/>
          <w:kern w:val="0"/>
          <w:sz w:val="24"/>
          <w:szCs w:val="24"/>
          <w:highlight w:val="none"/>
        </w:rPr>
        <w:t>按企业统一社会信用代码后</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位大小排位</w:t>
      </w:r>
      <w:r>
        <w:rPr>
          <w:rFonts w:hint="eastAsia" w:ascii="宋体" w:hAnsi="宋体" w:eastAsia="宋体" w:cs="宋体"/>
          <w:color w:val="auto"/>
          <w:kern w:val="0"/>
          <w:sz w:val="24"/>
          <w:szCs w:val="24"/>
          <w:highlight w:val="none"/>
          <w:lang w:eastAsia="zh-CN"/>
        </w:rPr>
        <w:t>）推荐给定标委员会，</w:t>
      </w:r>
      <w:r>
        <w:rPr>
          <w:rFonts w:hint="eastAsia" w:ascii="宋体" w:hAnsi="宋体" w:eastAsia="宋体" w:cs="宋体"/>
          <w:color w:val="auto"/>
          <w:kern w:val="0"/>
          <w:sz w:val="24"/>
          <w:szCs w:val="24"/>
          <w:highlight w:val="none"/>
        </w:rPr>
        <w:t>并对每个定标候选人的优势、风险等评审情况进行说明。当投标人综合得分相等时，以投标总价低的优先；投标总价也相等的，由评标委员会投票确定。</w:t>
      </w:r>
    </w:p>
    <w:p w14:paraId="19EECD11">
      <w:pPr>
        <w:pageBreakBefore w:val="0"/>
        <w:kinsoku/>
        <w:wordWrap w:val="0"/>
        <w:overflowPunct/>
        <w:topLinePunct w:val="0"/>
        <w:autoSpaceDE/>
        <w:autoSpaceDN/>
        <w:bidi w:val="0"/>
        <w:snapToGrid w:val="0"/>
        <w:spacing w:beforeAutospacing="0" w:afterAutospacing="0" w:line="440" w:lineRule="exact"/>
        <w:ind w:firstLine="482"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 xml:space="preserve">.1.2 </w:t>
      </w:r>
      <w:r>
        <w:rPr>
          <w:rFonts w:hint="eastAsia" w:ascii="宋体" w:hAnsi="宋体" w:eastAsia="宋体" w:cs="宋体"/>
          <w:color w:val="auto"/>
          <w:kern w:val="0"/>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05720ED2">
      <w:pPr>
        <w:pageBreakBefore w:val="0"/>
        <w:kinsoku/>
        <w:wordWrap w:val="0"/>
        <w:overflowPunct/>
        <w:topLinePunct w:val="0"/>
        <w:bidi w:val="0"/>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评标委员会完成评标后，应向招标人提交由全体评标委员会成员签字的评标报告和</w:t>
      </w:r>
      <w:r>
        <w:rPr>
          <w:rFonts w:hint="eastAsia" w:ascii="宋体" w:hAnsi="宋体" w:eastAsia="宋体" w:cs="宋体"/>
          <w:color w:val="auto"/>
          <w:kern w:val="0"/>
          <w:sz w:val="24"/>
          <w:szCs w:val="24"/>
          <w:highlight w:val="none"/>
          <w:lang w:val="en-US" w:eastAsia="zh-CN"/>
        </w:rPr>
        <w:t>定</w:t>
      </w:r>
      <w:r>
        <w:rPr>
          <w:rFonts w:hint="eastAsia" w:ascii="宋体" w:hAnsi="宋体" w:eastAsia="宋体" w:cs="宋体"/>
          <w:color w:val="auto"/>
          <w:kern w:val="0"/>
          <w:sz w:val="24"/>
          <w:szCs w:val="24"/>
          <w:highlight w:val="none"/>
        </w:rPr>
        <w:t>标候选人名单。</w:t>
      </w:r>
    </w:p>
    <w:p w14:paraId="32EA1B9A">
      <w:pPr>
        <w:pStyle w:val="48"/>
        <w:pageBreakBefore w:val="0"/>
        <w:kinsoku/>
        <w:overflowPunct/>
        <w:topLinePunct w:val="0"/>
        <w:autoSpaceDE/>
        <w:autoSpaceDN/>
        <w:bidi w:val="0"/>
        <w:spacing w:line="440" w:lineRule="exact"/>
        <w:jc w:val="both"/>
        <w:textAlignment w:val="auto"/>
        <w:outlineLvl w:val="1"/>
        <w:rPr>
          <w:rFonts w:hint="eastAsia" w:ascii="宋体" w:hAnsi="宋体" w:eastAsia="宋体" w:cs="宋体"/>
          <w:b/>
          <w:color w:val="auto"/>
          <w:sz w:val="24"/>
          <w:szCs w:val="24"/>
          <w:highlight w:val="none"/>
        </w:rPr>
      </w:pPr>
      <w:bookmarkStart w:id="304" w:name="_Toc19845"/>
      <w:bookmarkStart w:id="305" w:name="_Toc22516"/>
      <w:r>
        <w:rPr>
          <w:rFonts w:hint="eastAsia" w:ascii="宋体" w:hAnsi="宋体" w:eastAsia="宋体" w:cs="宋体"/>
          <w:bCs/>
          <w:color w:val="auto"/>
          <w:sz w:val="24"/>
          <w:szCs w:val="24"/>
          <w:highlight w:val="none"/>
          <w:lang w:eastAsia="zh-CN"/>
        </w:rPr>
        <w:t>注：</w:t>
      </w:r>
      <w:r>
        <w:rPr>
          <w:rFonts w:hint="eastAsia" w:ascii="宋体" w:hAnsi="宋体" w:eastAsia="宋体" w:cs="宋体"/>
          <w:bCs/>
          <w:color w:val="auto"/>
          <w:sz w:val="24"/>
          <w:szCs w:val="24"/>
          <w:highlight w:val="none"/>
          <w:lang w:val="en-US" w:eastAsia="zh-CN"/>
        </w:rPr>
        <w:t>编写评标报告时，定标候选人不排序，按</w:t>
      </w:r>
      <w:r>
        <w:rPr>
          <w:rFonts w:hint="eastAsia" w:ascii="宋体" w:hAnsi="宋体" w:eastAsia="宋体" w:cs="宋体"/>
          <w:bCs/>
          <w:color w:val="auto"/>
          <w:sz w:val="24"/>
          <w:szCs w:val="24"/>
          <w:highlight w:val="none"/>
        </w:rPr>
        <w:t>企业</w:t>
      </w:r>
      <w:r>
        <w:rPr>
          <w:rFonts w:hint="eastAsia" w:ascii="宋体" w:hAnsi="宋体" w:eastAsia="宋体" w:cs="宋体"/>
          <w:bCs/>
          <w:color w:val="auto"/>
          <w:sz w:val="24"/>
          <w:szCs w:val="24"/>
          <w:highlight w:val="none"/>
          <w:lang w:val="en-US" w:eastAsia="zh-CN"/>
        </w:rPr>
        <w:t>统一社会信用代码后4位大小排位，如统一社会信用代码后4位出现字母情况的，字母以“0”进行代替大小排位，如出现后4位大小一致的，则随机排位</w:t>
      </w:r>
      <w:r>
        <w:rPr>
          <w:rFonts w:hint="eastAsia" w:ascii="宋体" w:hAnsi="宋体" w:eastAsia="宋体" w:cs="宋体"/>
          <w:bCs/>
          <w:color w:val="auto"/>
          <w:sz w:val="24"/>
          <w:szCs w:val="24"/>
          <w:highlight w:val="none"/>
        </w:rPr>
        <w:t>。</w:t>
      </w:r>
      <w:bookmarkEnd w:id="304"/>
      <w:bookmarkEnd w:id="305"/>
    </w:p>
    <w:p w14:paraId="231CDFD5">
      <w:pPr>
        <w:pStyle w:val="48"/>
        <w:pageBreakBefore w:val="0"/>
        <w:kinsoku/>
        <w:overflowPunct/>
        <w:topLinePunct w:val="0"/>
        <w:autoSpaceDE/>
        <w:autoSpaceDN/>
        <w:bidi w:val="0"/>
        <w:spacing w:line="440" w:lineRule="exact"/>
        <w:jc w:val="both"/>
        <w:textAlignment w:val="auto"/>
        <w:outlineLvl w:val="1"/>
        <w:rPr>
          <w:rFonts w:hint="eastAsia" w:ascii="宋体" w:hAnsi="宋体" w:eastAsia="宋体" w:cs="宋体"/>
          <w:b/>
          <w:color w:val="auto"/>
          <w:sz w:val="24"/>
          <w:szCs w:val="24"/>
          <w:highlight w:val="none"/>
        </w:rPr>
      </w:pPr>
      <w:bookmarkStart w:id="306" w:name="_Toc17945"/>
      <w:r>
        <w:rPr>
          <w:rFonts w:hint="eastAsia" w:ascii="宋体" w:hAnsi="宋体" w:eastAsia="宋体" w:cs="宋体"/>
          <w:b/>
          <w:color w:val="auto"/>
          <w:sz w:val="24"/>
          <w:szCs w:val="24"/>
          <w:highlight w:val="none"/>
          <w:lang w:val="en-US" w:eastAsia="zh-CN"/>
        </w:rPr>
        <w:t>16、</w:t>
      </w:r>
      <w:r>
        <w:rPr>
          <w:rFonts w:hint="eastAsia" w:ascii="宋体" w:hAnsi="宋体" w:eastAsia="宋体" w:cs="宋体"/>
          <w:b/>
          <w:snapToGrid w:val="0"/>
          <w:color w:val="auto"/>
          <w:sz w:val="24"/>
          <w:szCs w:val="24"/>
          <w:highlight w:val="none"/>
          <w:lang w:val="en-US" w:eastAsia="zh-CN"/>
        </w:rPr>
        <w:t>定标候选人</w:t>
      </w:r>
      <w:r>
        <w:rPr>
          <w:rFonts w:hint="eastAsia" w:ascii="宋体" w:hAnsi="宋体" w:eastAsia="宋体" w:cs="宋体"/>
          <w:b/>
          <w:color w:val="auto"/>
          <w:sz w:val="24"/>
          <w:szCs w:val="24"/>
          <w:highlight w:val="none"/>
        </w:rPr>
        <w:t>公示</w:t>
      </w:r>
      <w:bookmarkEnd w:id="301"/>
      <w:bookmarkEnd w:id="306"/>
    </w:p>
    <w:p w14:paraId="398AE48E">
      <w:pPr>
        <w:pStyle w:val="5"/>
        <w:keepNext w:val="0"/>
        <w:keepLines w:val="0"/>
        <w:pageBreakBefore w:val="0"/>
        <w:widowControl w:val="0"/>
        <w:kinsoku/>
        <w:wordWrap w:val="0"/>
        <w:overflowPunct/>
        <w:topLinePunct w:val="0"/>
        <w:autoSpaceDE/>
        <w:autoSpaceDN/>
        <w:bidi w:val="0"/>
        <w:adjustRightInd w:val="0"/>
        <w:snapToGrid w:val="0"/>
        <w:spacing w:after="260" w:line="440" w:lineRule="exact"/>
        <w:ind w:firstLine="480" w:firstLineChars="200"/>
        <w:jc w:val="left"/>
        <w:textAlignment w:val="auto"/>
        <w:rPr>
          <w:rFonts w:hint="eastAsia" w:ascii="宋体" w:hAnsi="宋体" w:eastAsia="宋体" w:cs="宋体"/>
          <w:snapToGrid w:val="0"/>
          <w:color w:val="auto"/>
          <w:kern w:val="0"/>
          <w:sz w:val="24"/>
          <w:szCs w:val="24"/>
          <w:highlight w:val="none"/>
          <w:lang w:val="en-US" w:eastAsia="zh-CN" w:bidi="ar-SA"/>
        </w:rPr>
      </w:pPr>
      <w:bookmarkStart w:id="307" w:name="_Toc6253"/>
      <w:bookmarkStart w:id="308" w:name="_Toc18607"/>
      <w:r>
        <w:rPr>
          <w:rFonts w:hint="eastAsia" w:ascii="宋体" w:hAnsi="宋体" w:eastAsia="宋体" w:cs="宋体"/>
          <w:snapToGrid w:val="0"/>
          <w:color w:val="auto"/>
          <w:kern w:val="0"/>
          <w:sz w:val="24"/>
          <w:szCs w:val="24"/>
          <w:highlight w:val="none"/>
          <w:lang w:val="en-US" w:eastAsia="zh-CN" w:bidi="ar-SA"/>
        </w:rPr>
        <w:t>16.1评标委员会按照投标人评审综合总得分由高到低的原则,向招标人推荐已明确的定标候选人数量（不标明排序）。招标人应</w:t>
      </w:r>
      <w:r>
        <w:rPr>
          <w:rFonts w:hint="eastAsia" w:hAnsi="宋体" w:eastAsia="宋体" w:cs="宋体"/>
          <w:snapToGrid w:val="0"/>
          <w:color w:val="auto"/>
          <w:kern w:val="0"/>
          <w:sz w:val="24"/>
          <w:szCs w:val="24"/>
          <w:highlight w:val="none"/>
          <w:lang w:val="en-US" w:eastAsia="zh-CN" w:bidi="ar-SA"/>
        </w:rPr>
        <w:t>在收到</w:t>
      </w:r>
      <w:r>
        <w:rPr>
          <w:rFonts w:hint="eastAsia" w:ascii="宋体" w:hAnsi="宋体" w:eastAsia="宋体" w:cs="宋体"/>
          <w:snapToGrid w:val="0"/>
          <w:color w:val="auto"/>
          <w:kern w:val="0"/>
          <w:sz w:val="24"/>
          <w:szCs w:val="24"/>
          <w:highlight w:val="none"/>
          <w:lang w:val="en-US" w:eastAsia="zh-CN" w:bidi="ar-SA"/>
        </w:rPr>
        <w:t>评标</w:t>
      </w:r>
      <w:r>
        <w:rPr>
          <w:rFonts w:hint="eastAsia" w:hAnsi="宋体" w:eastAsia="宋体" w:cs="宋体"/>
          <w:snapToGrid w:val="0"/>
          <w:color w:val="auto"/>
          <w:kern w:val="0"/>
          <w:sz w:val="24"/>
          <w:szCs w:val="24"/>
          <w:highlight w:val="none"/>
          <w:lang w:val="en-US" w:eastAsia="zh-CN" w:bidi="ar-SA"/>
        </w:rPr>
        <w:t>报告</w:t>
      </w:r>
      <w:r>
        <w:rPr>
          <w:rFonts w:hint="eastAsia" w:ascii="宋体" w:hAnsi="宋体" w:eastAsia="宋体" w:cs="宋体"/>
          <w:snapToGrid w:val="0"/>
          <w:color w:val="auto"/>
          <w:kern w:val="0"/>
          <w:sz w:val="24"/>
          <w:szCs w:val="24"/>
          <w:highlight w:val="none"/>
          <w:lang w:val="en-US" w:eastAsia="zh-CN" w:bidi="ar-SA"/>
        </w:rPr>
        <w:t>后3日内将定标候选人和评标情况在广东省招标投标监管网和全国公共资源交易平台（广东省·韶关市）网上公示，公示</w:t>
      </w:r>
      <w:r>
        <w:rPr>
          <w:rFonts w:hint="eastAsia" w:hAnsi="宋体" w:eastAsia="宋体" w:cs="宋体"/>
          <w:snapToGrid w:val="0"/>
          <w:color w:val="auto"/>
          <w:kern w:val="0"/>
          <w:sz w:val="24"/>
          <w:szCs w:val="24"/>
          <w:highlight w:val="none"/>
          <w:lang w:val="en-US" w:eastAsia="zh-CN" w:bidi="ar-SA"/>
        </w:rPr>
        <w:t>期</w:t>
      </w:r>
      <w:r>
        <w:rPr>
          <w:rFonts w:hint="eastAsia" w:ascii="宋体" w:hAnsi="宋体" w:eastAsia="宋体" w:cs="宋体"/>
          <w:snapToGrid w:val="0"/>
          <w:color w:val="auto"/>
          <w:kern w:val="0"/>
          <w:sz w:val="24"/>
          <w:szCs w:val="24"/>
          <w:highlight w:val="none"/>
          <w:lang w:val="en-US" w:eastAsia="zh-CN" w:bidi="ar-SA"/>
        </w:rPr>
        <w:t>不少于3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bookmarkEnd w:id="307"/>
      <w:bookmarkEnd w:id="308"/>
    </w:p>
    <w:p w14:paraId="5DE393B6">
      <w:pPr>
        <w:wordWrap w:val="0"/>
        <w:adjustRightInd w:val="0"/>
        <w:snapToGrid w:val="0"/>
        <w:spacing w:line="440" w:lineRule="exact"/>
        <w:jc w:val="center"/>
        <w:outlineLvl w:val="1"/>
        <w:rPr>
          <w:rFonts w:hint="default" w:asciiTheme="minorEastAsia" w:hAnsiTheme="minorEastAsia" w:eastAsiaTheme="minorEastAsia" w:cstheme="minorEastAsia"/>
          <w:snapToGrid w:val="0"/>
          <w:color w:val="auto"/>
          <w:kern w:val="0"/>
          <w:sz w:val="28"/>
          <w:szCs w:val="28"/>
          <w:highlight w:val="none"/>
        </w:rPr>
      </w:pPr>
      <w:bookmarkStart w:id="309" w:name="_Hlt69669771"/>
      <w:bookmarkEnd w:id="309"/>
      <w:bookmarkStart w:id="310" w:name="_Hlt112206772"/>
      <w:bookmarkEnd w:id="310"/>
      <w:bookmarkStart w:id="311" w:name="_Toc16203"/>
      <w:bookmarkStart w:id="312" w:name="_Toc24184"/>
      <w:bookmarkStart w:id="313" w:name="_Toc21045"/>
      <w:bookmarkStart w:id="314" w:name="_Toc16300"/>
      <w:bookmarkStart w:id="315" w:name="_Toc13416"/>
      <w:bookmarkStart w:id="316" w:name="_Toc16649"/>
      <w:bookmarkStart w:id="317" w:name="_Toc11519"/>
      <w:bookmarkStart w:id="318" w:name="_Toc9083"/>
      <w:bookmarkStart w:id="319" w:name="_Hlt69698713"/>
      <w:bookmarkStart w:id="320" w:name="_Hlt69698765"/>
      <w:r>
        <w:rPr>
          <w:rFonts w:asciiTheme="minorEastAsia" w:hAnsiTheme="minorEastAsia" w:eastAsiaTheme="minorEastAsia" w:cstheme="minorEastAsia"/>
          <w:b/>
          <w:bCs/>
          <w:snapToGrid w:val="0"/>
          <w:color w:val="auto"/>
          <w:kern w:val="0"/>
          <w:sz w:val="28"/>
          <w:szCs w:val="28"/>
          <w:highlight w:val="none"/>
        </w:rPr>
        <w:t>第四节 否决投标条件</w:t>
      </w:r>
    </w:p>
    <w:p w14:paraId="71E26E3B">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asciiTheme="minorEastAsia" w:hAnsiTheme="minorEastAsia" w:eastAsiaTheme="minorEastAsia" w:cstheme="minorEastAsia"/>
          <w:snapToGrid w:val="0"/>
          <w:color w:val="auto"/>
          <w:kern w:val="0"/>
          <w:highlight w:val="none"/>
        </w:rPr>
        <w:t>　　</w:t>
      </w:r>
      <w:r>
        <w:rPr>
          <w:rFonts w:hint="eastAsia" w:ascii="宋体" w:hAnsi="宋体" w:eastAsia="宋体" w:cs="宋体"/>
          <w:snapToGrid w:val="0"/>
          <w:color w:val="auto"/>
          <w:kern w:val="0"/>
          <w:sz w:val="24"/>
          <w:szCs w:val="24"/>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2AE2F89A">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1" w:name="_Toc25868"/>
      <w:r>
        <w:rPr>
          <w:rFonts w:hint="eastAsia" w:ascii="宋体" w:hAnsi="宋体" w:eastAsia="宋体" w:cs="宋体"/>
          <w:b/>
          <w:bCs/>
          <w:snapToGrid w:val="0"/>
          <w:color w:val="auto"/>
          <w:kern w:val="0"/>
          <w:sz w:val="24"/>
          <w:szCs w:val="24"/>
          <w:highlight w:val="none"/>
        </w:rPr>
        <w:t>1．资格评审环节</w:t>
      </w:r>
      <w:bookmarkEnd w:id="321"/>
    </w:p>
    <w:p w14:paraId="572F926E">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投标人有下列情形之一的，评标委员会应否决其投标。被否决的投标人，不进入形式评审环节。</w:t>
      </w:r>
    </w:p>
    <w:p w14:paraId="38EDEDE2">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（1）有本章第三节第4.4条“禁止投标条款”规定的任何一种情形；</w:t>
      </w:r>
    </w:p>
    <w:p w14:paraId="32CED3CC">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（2）投标人资质不符合规定的；</w:t>
      </w:r>
    </w:p>
    <w:p w14:paraId="6CC9C521">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（3）投标人名称与营业执照、资质证书、安全生产许可证上的企业名称相互不一致的；其资质证书、安全生产许可证</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安全生产许可证只需施工单位提供</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不是由住房城乡建设主管部门颁发的；营业执照、资质证书、安全生产许可证被吊销、暂扣或不在有效期内的；</w:t>
      </w:r>
    </w:p>
    <w:p w14:paraId="2B613749">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7410D084">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6EC0AA96">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（4）拟派项目经理、项目技术负责人、专职安全员、设计负责人的条件不符合规定的；拟派专职安全员数量不符合规定的；</w:t>
      </w:r>
    </w:p>
    <w:p w14:paraId="127C271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项目经理简历表》中拟派项目经理与《开标一览表》不一致的；建造师的注册证书不是住建部门颁发的；建造师的注册单位与投标人不一致的；项目管理班子组成人员的各类证书、证件、证明不在有效期内的（建造师注册证书不在使用有效期内的）；擅自修改、遗漏《项目经理任职声明》实质性内容的；</w:t>
      </w:r>
    </w:p>
    <w:p w14:paraId="7CA767C7">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温馨提示：建造师打印电子证书后，应在个人签名处手写本人签名，未手写签名或与签名图像笔迹不一致的，该电子证书无效。</w:t>
      </w:r>
    </w:p>
    <w:p w14:paraId="3BF0A317">
      <w:pPr>
        <w:keepNext w:val="0"/>
        <w:keepLines w:val="0"/>
        <w:pageBreakBefore w:val="0"/>
        <w:widowControl w:val="0"/>
        <w:kinsoku/>
        <w:wordWrap w:val="0"/>
        <w:overflowPunct/>
        <w:topLinePunct w:val="0"/>
        <w:autoSpaceDE/>
        <w:autoSpaceDN/>
        <w:bidi w:val="0"/>
        <w:adjustRightInd w:val="0"/>
        <w:snapToGrid w:val="0"/>
        <w:spacing w:line="440" w:lineRule="exact"/>
        <w:ind w:firstLine="723" w:firstLineChars="3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注：投标人已经工商变更，但其员工执业资格注册证书的注册单位名称未完成变更的，不得否决其投标。</w:t>
      </w:r>
    </w:p>
    <w:p w14:paraId="7E6B5CCD">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43C545A5">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（7）投标人为外省建筑企业，但未提供“进粤企业和人员诚信信息登记平台”企业和拟派人员信息情况打印页或网页截图的。</w:t>
      </w:r>
    </w:p>
    <w:p w14:paraId="6064BFF4">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2" w:name="_Toc16862"/>
      <w:r>
        <w:rPr>
          <w:rFonts w:hint="eastAsia" w:ascii="宋体" w:hAnsi="宋体" w:eastAsia="宋体" w:cs="宋体"/>
          <w:b/>
          <w:bCs/>
          <w:snapToGrid w:val="0"/>
          <w:color w:val="auto"/>
          <w:kern w:val="0"/>
          <w:sz w:val="24"/>
          <w:szCs w:val="24"/>
          <w:highlight w:val="none"/>
        </w:rPr>
        <w:t>2．形式评审环节</w:t>
      </w:r>
      <w:bookmarkEnd w:id="322"/>
    </w:p>
    <w:p w14:paraId="2094115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投标人有下列情形之一的，评标委员会应否决其投标。被否决的投标人，不进入响应性评审环节。</w:t>
      </w:r>
    </w:p>
    <w:p w14:paraId="5EFF727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（8）本章第三节第11.2.2目中规定的“所有投标人均应提供”的组成内容（包括该组成内容的所附资料）中，任何一项有缺漏的；</w:t>
      </w:r>
    </w:p>
    <w:p w14:paraId="388168E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0506BFC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（10）投标文件未按规定签字、盖章的；</w:t>
      </w:r>
    </w:p>
    <w:p w14:paraId="31FEE665">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3" w:name="_Toc11607"/>
      <w:r>
        <w:rPr>
          <w:rFonts w:hint="eastAsia" w:ascii="宋体" w:hAnsi="宋体" w:eastAsia="宋体" w:cs="宋体"/>
          <w:b/>
          <w:bCs/>
          <w:snapToGrid w:val="0"/>
          <w:color w:val="auto"/>
          <w:kern w:val="0"/>
          <w:sz w:val="24"/>
          <w:szCs w:val="24"/>
          <w:highlight w:val="none"/>
        </w:rPr>
        <w:t>3．响应性评审环节</w:t>
      </w:r>
      <w:bookmarkEnd w:id="323"/>
    </w:p>
    <w:p w14:paraId="1A32AD67">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投标人有下列情形之一的，评标委员会应否决其投标。被否决的投标人，不进入详细评审阶段。</w:t>
      </w:r>
    </w:p>
    <w:p w14:paraId="6471F45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（11）承诺的投标有效期短于规定的；工期超出规定的；擅自修改、遗漏《投标函》《各项承诺一览表》实质性内容的；</w:t>
      </w:r>
    </w:p>
    <w:p w14:paraId="59B37B4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两个或两个以上投标总价的（同一个投标总价大、小写不一致的除外）；投标总价超出出现最高投标限价的；投标总价下浮率超过15%，又未提供相应书面说明和佐证材料或提供的书面说明和佐证材料不能令人信服，被评标委员会认定以低于成本报价竞标的；</w:t>
      </w:r>
    </w:p>
    <w:p w14:paraId="2BEDB9BB">
      <w:pPr>
        <w:keepNext w:val="0"/>
        <w:keepLines w:val="0"/>
        <w:pageBreakBefore w:val="0"/>
        <w:widowControl w:val="0"/>
        <w:kinsoku/>
        <w:wordWrap w:val="0"/>
        <w:overflowPunct/>
        <w:topLinePunct w:val="0"/>
        <w:autoSpaceDE/>
        <w:autoSpaceDN/>
        <w:bidi w:val="0"/>
        <w:adjustRightInd w:val="0"/>
        <w:snapToGrid w:val="0"/>
        <w:spacing w:line="440" w:lineRule="exact"/>
        <w:textAlignment w:val="auto"/>
        <w:outlineLvl w:val="1"/>
        <w:rPr>
          <w:rFonts w:hint="eastAsia" w:ascii="宋体" w:hAnsi="宋体" w:eastAsia="宋体" w:cs="宋体"/>
          <w:b/>
          <w:bCs/>
          <w:snapToGrid w:val="0"/>
          <w:color w:val="auto"/>
          <w:kern w:val="0"/>
          <w:sz w:val="24"/>
          <w:szCs w:val="24"/>
          <w:highlight w:val="none"/>
        </w:rPr>
      </w:pPr>
      <w:bookmarkStart w:id="324" w:name="_Toc29578"/>
      <w:r>
        <w:rPr>
          <w:rFonts w:hint="eastAsia" w:ascii="宋体" w:hAnsi="宋体" w:eastAsia="宋体" w:cs="宋体"/>
          <w:b/>
          <w:bCs/>
          <w:snapToGrid w:val="0"/>
          <w:color w:val="auto"/>
          <w:kern w:val="0"/>
          <w:sz w:val="24"/>
          <w:szCs w:val="24"/>
          <w:highlight w:val="none"/>
        </w:rPr>
        <w:t>4．其他</w:t>
      </w:r>
      <w:bookmarkEnd w:id="324"/>
    </w:p>
    <w:p w14:paraId="12BD7D8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在任何评标环节（或阶段），投标人有下列情形之一的，评标委员会应否决其投标。被否决的投标人，不进入下一环节（或阶段）。</w:t>
      </w:r>
    </w:p>
    <w:p w14:paraId="7B1BA4E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（14）不按评标委员会要求澄清、说明或补正的；</w:t>
      </w:r>
    </w:p>
    <w:p w14:paraId="579089A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（15）有下列情形之一，被评标委员会认定属于串通投标的：</w:t>
      </w:r>
    </w:p>
    <w:p w14:paraId="1711A42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①不同投标人的投标文件两处以上（含两处）错、漏一致；</w:t>
      </w:r>
    </w:p>
    <w:p w14:paraId="7073003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②不同投标人的投标总价相近且各分项报价、综合单价分析表内容混乱不能相互对应、乱调乱压或乱抬的，而在询标时没有合理的解释或者不能提供计算依据和报价依据；</w:t>
      </w:r>
    </w:p>
    <w:p w14:paraId="6E8470F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③不同投标人的投标各项报价存在异常一致或者呈规律性变化；</w:t>
      </w:r>
    </w:p>
    <w:p w14:paraId="0A0A0F5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④不同投标人的投标文件由同一单位或者同一个人编制</w:t>
      </w:r>
      <w:r>
        <w:rPr>
          <w:rStyle w:val="53"/>
          <w:rFonts w:hint="eastAsia" w:ascii="宋体" w:hAnsi="宋体" w:eastAsia="宋体" w:cs="宋体"/>
          <w:color w:val="auto"/>
          <w:kern w:val="0"/>
          <w:sz w:val="24"/>
          <w:szCs w:val="24"/>
          <w:highlight w:val="none"/>
          <w:lang w:val="en-US" w:eastAsia="zh-CN"/>
        </w:rPr>
        <w:t>或不同投标人通过同一IP地址上传投标文件的</w:t>
      </w:r>
      <w:r>
        <w:rPr>
          <w:rFonts w:hint="eastAsia" w:ascii="宋体" w:hAnsi="宋体" w:eastAsia="宋体" w:cs="宋体"/>
          <w:snapToGrid w:val="0"/>
          <w:color w:val="auto"/>
          <w:kern w:val="0"/>
          <w:sz w:val="24"/>
          <w:szCs w:val="24"/>
          <w:highlight w:val="none"/>
        </w:rPr>
        <w:t>；</w:t>
      </w:r>
    </w:p>
    <w:p w14:paraId="139A812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⑤不同投标人的投标文件中投标资料（包括电子资料）相互混装或项目班子成员出现同一人；</w:t>
      </w:r>
    </w:p>
    <w:p w14:paraId="670C83B0">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⑥不同投标人的投标文件由同一电脑编制或同一台附属设备打印，或投标报价用同一个预算编制软件密码锁制作或出自同一电子文档；</w:t>
      </w:r>
    </w:p>
    <w:p w14:paraId="44178A2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⑦不同投标人的投标保证由同一企业或同一账户资金缴纳；</w:t>
      </w:r>
    </w:p>
    <w:p w14:paraId="14FBCAB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⑧不同投标人委托同一个人或注册在同一家企业的注册人员或同一家企业为其投标提供投标咨询、商务报价、技术咨询（招标工程本身要求采用专有技术的除外）等服务。</w:t>
      </w:r>
    </w:p>
    <w:p w14:paraId="054E2089">
      <w:pPr>
        <w:keepNext w:val="0"/>
        <w:keepLines w:val="0"/>
        <w:pageBreakBefore w:val="0"/>
        <w:widowControl w:val="0"/>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napToGrid w:val="0"/>
          <w:color w:val="auto"/>
          <w:kern w:val="0"/>
          <w:sz w:val="24"/>
          <w:szCs w:val="24"/>
          <w:highlight w:val="none"/>
        </w:rPr>
      </w:pPr>
    </w:p>
    <w:p w14:paraId="52387F2D">
      <w:pPr>
        <w:keepNext w:val="0"/>
        <w:keepLines w:val="0"/>
        <w:pageBreakBefore w:val="0"/>
        <w:widowControl w:val="0"/>
        <w:kinsoku/>
        <w:wordWrap w:val="0"/>
        <w:overflowPunct/>
        <w:topLinePunct w:val="0"/>
        <w:autoSpaceDE/>
        <w:autoSpaceDN/>
        <w:bidi w:val="0"/>
        <w:snapToGrid w:val="0"/>
        <w:spacing w:beforeAutospacing="0" w:afterAutospacing="0" w:line="460" w:lineRule="exact"/>
        <w:ind w:firstLine="0"/>
        <w:textAlignment w:val="auto"/>
        <w:rPr>
          <w:rFonts w:hint="eastAsia" w:ascii="宋体" w:hAnsi="宋体" w:eastAsia="宋体" w:cs="宋体"/>
          <w:color w:val="auto"/>
          <w:kern w:val="0"/>
          <w:sz w:val="24"/>
          <w:szCs w:val="24"/>
          <w:highlight w:val="none"/>
        </w:rPr>
        <w:sectPr>
          <w:footerReference r:id="rId5"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start="1"/>
          <w:cols w:space="0" w:num="1"/>
          <w:rtlGutter w:val="0"/>
          <w:docGrid w:linePitch="327" w:charSpace="0"/>
        </w:sectPr>
      </w:pPr>
    </w:p>
    <w:p w14:paraId="4BCAD5DB">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rPr>
      </w:pPr>
      <w:bookmarkStart w:id="325" w:name="_Toc9056"/>
      <w:bookmarkStart w:id="326" w:name="_Toc17522"/>
      <w:bookmarkStart w:id="327" w:name="_Toc22323"/>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五</w:t>
      </w:r>
      <w:r>
        <w:rPr>
          <w:rFonts w:hint="eastAsia" w:asciiTheme="minorEastAsia" w:hAnsiTheme="minorEastAsia" w:eastAsiaTheme="minorEastAsia" w:cstheme="minorEastAsia"/>
          <w:b/>
          <w:bCs/>
          <w:snapToGrid w:val="0"/>
          <w:color w:val="auto"/>
          <w:kern w:val="0"/>
          <w:sz w:val="28"/>
          <w:szCs w:val="28"/>
          <w:highlight w:val="none"/>
        </w:rPr>
        <w:t>节 定标</w:t>
      </w:r>
      <w:r>
        <w:rPr>
          <w:rFonts w:hint="eastAsia" w:asciiTheme="minorEastAsia" w:hAnsiTheme="minorEastAsia" w:eastAsiaTheme="minorEastAsia" w:cstheme="minorEastAsia"/>
          <w:b/>
          <w:bCs/>
          <w:snapToGrid w:val="0"/>
          <w:color w:val="auto"/>
          <w:kern w:val="0"/>
          <w:sz w:val="28"/>
          <w:szCs w:val="28"/>
          <w:highlight w:val="none"/>
          <w:lang w:eastAsia="zh-CN"/>
        </w:rPr>
        <w:t>规定</w:t>
      </w:r>
      <w:r>
        <w:rPr>
          <w:rFonts w:hint="eastAsia" w:asciiTheme="minorEastAsia" w:hAnsiTheme="minorEastAsia" w:eastAsiaTheme="minorEastAsia" w:cstheme="minorEastAsia"/>
          <w:b/>
          <w:bCs/>
          <w:snapToGrid w:val="0"/>
          <w:color w:val="auto"/>
          <w:kern w:val="0"/>
          <w:sz w:val="28"/>
          <w:szCs w:val="28"/>
          <w:highlight w:val="none"/>
          <w:lang w:val="en-US" w:eastAsia="zh-CN"/>
        </w:rPr>
        <w:t>及定标办法（本项目采用票决数量法定标）</w:t>
      </w:r>
      <w:bookmarkEnd w:id="325"/>
      <w:bookmarkEnd w:id="326"/>
      <w:bookmarkEnd w:id="327"/>
    </w:p>
    <w:p w14:paraId="2E8A9B8C">
      <w:pPr>
        <w:keepNext w:val="0"/>
        <w:keepLines w:val="0"/>
        <w:pageBreakBefore w:val="0"/>
        <w:kinsoku/>
        <w:overflowPunct/>
        <w:topLinePunct w:val="0"/>
        <w:autoSpaceDE/>
        <w:autoSpaceDN/>
        <w:bidi w:val="0"/>
        <w:spacing w:line="460" w:lineRule="exact"/>
        <w:ind w:firstLine="422" w:firstLineChars="200"/>
        <w:textAlignment w:val="auto"/>
        <w:rPr>
          <w:rStyle w:val="53"/>
          <w:rFonts w:hint="eastAsia" w:ascii="宋体" w:hAnsi="宋体" w:eastAsia="宋体" w:cs="宋体"/>
          <w:b/>
          <w:bCs/>
          <w:color w:val="auto"/>
          <w:kern w:val="0"/>
          <w:sz w:val="21"/>
          <w:szCs w:val="21"/>
          <w:highlight w:val="none"/>
          <w:lang w:val="en-US" w:eastAsia="zh-CN"/>
        </w:rPr>
      </w:pPr>
    </w:p>
    <w:p w14:paraId="10982347">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 定标规定</w:t>
      </w:r>
    </w:p>
    <w:p w14:paraId="4F4213A8">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lang w:val="en-US" w:eastAsia="zh-CN"/>
        </w:rPr>
        <w:t>1.1 确定定</w:t>
      </w:r>
      <w:r>
        <w:rPr>
          <w:rFonts w:hint="eastAsia" w:ascii="宋体" w:hAnsi="宋体" w:eastAsia="宋体" w:cs="宋体"/>
          <w:b/>
          <w:bCs/>
          <w:color w:val="auto"/>
          <w:sz w:val="24"/>
          <w:szCs w:val="24"/>
          <w:highlight w:val="none"/>
          <w:u w:val="none"/>
        </w:rPr>
        <w:t>标时间</w:t>
      </w:r>
    </w:p>
    <w:p w14:paraId="3C4C29EF">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招标人</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自</w:t>
      </w:r>
      <w:r>
        <w:rPr>
          <w:rFonts w:hint="eastAsia" w:ascii="宋体" w:hAnsi="宋体" w:eastAsia="宋体" w:cs="宋体"/>
          <w:color w:val="auto"/>
          <w:sz w:val="24"/>
          <w:szCs w:val="24"/>
          <w:highlight w:val="none"/>
          <w:u w:val="none"/>
          <w:lang w:val="en-US" w:eastAsia="zh-CN"/>
        </w:rPr>
        <w:t>定标候选人</w:t>
      </w:r>
      <w:r>
        <w:rPr>
          <w:rFonts w:hint="eastAsia" w:ascii="宋体" w:hAnsi="宋体" w:eastAsia="宋体" w:cs="宋体"/>
          <w:color w:val="auto"/>
          <w:sz w:val="24"/>
          <w:szCs w:val="24"/>
          <w:highlight w:val="none"/>
          <w:u w:val="none"/>
        </w:rPr>
        <w:t>公示期满后</w:t>
      </w: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个工作日内进入公共资源交易平台（与评标阶段公共资源交易平台相同）进行定标。定标会议全过程录音录像。</w:t>
      </w:r>
      <w:r>
        <w:rPr>
          <w:rFonts w:hint="eastAsia" w:hAnsi="宋体" w:eastAsia="宋体" w:cs="宋体"/>
          <w:color w:val="auto"/>
          <w:sz w:val="24"/>
          <w:szCs w:val="24"/>
          <w:highlight w:val="none"/>
          <w:u w:val="none"/>
          <w:lang w:val="en-US" w:eastAsia="zh-CN"/>
        </w:rPr>
        <w:t>如</w:t>
      </w:r>
      <w:r>
        <w:rPr>
          <w:rFonts w:hint="eastAsia" w:hAnsi="宋体" w:eastAsia="宋体" w:cs="宋体"/>
          <w:color w:val="auto"/>
          <w:szCs w:val="24"/>
          <w:highlight w:val="none"/>
          <w:u w:val="none"/>
        </w:rPr>
        <w:t>无法按时开展定标的，应当通过广东省招标投标监管网和相关公共资源交易网公告延期原因及最终定标时间。</w:t>
      </w:r>
    </w:p>
    <w:p w14:paraId="3EBFFFC5">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b/>
          <w:snapToGrid w:val="0"/>
          <w:color w:val="auto"/>
          <w:kern w:val="0"/>
          <w:sz w:val="24"/>
          <w:szCs w:val="24"/>
          <w:highlight w:val="none"/>
        </w:rPr>
      </w:pPr>
      <w:r>
        <w:rPr>
          <w:rFonts w:hint="eastAsia" w:ascii="宋体" w:hAnsi="宋体" w:eastAsia="宋体" w:cs="宋体"/>
          <w:color w:val="auto"/>
          <w:sz w:val="24"/>
          <w:szCs w:val="24"/>
          <w:highlight w:val="none"/>
          <w:u w:val="none"/>
        </w:rPr>
        <w:t>招标人需要延期定标的，</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通过公共资源交易平台公布延期原因和定标时间。</w:t>
      </w:r>
    </w:p>
    <w:p w14:paraId="2F55E8E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bCs/>
          <w:color w:val="auto"/>
          <w:sz w:val="24"/>
          <w:szCs w:val="24"/>
          <w:highlight w:val="none"/>
          <w:lang w:val="en-US" w:eastAsia="zh-CN"/>
        </w:rPr>
        <w:t xml:space="preserve">1.2 </w:t>
      </w:r>
      <w:r>
        <w:rPr>
          <w:rFonts w:hint="eastAsia" w:ascii="宋体" w:hAnsi="宋体" w:eastAsia="宋体" w:cs="宋体"/>
          <w:b/>
          <w:color w:val="auto"/>
          <w:sz w:val="24"/>
          <w:szCs w:val="24"/>
          <w:highlight w:val="none"/>
          <w:lang w:eastAsia="zh-CN"/>
        </w:rPr>
        <w:t>定标委员会</w:t>
      </w:r>
    </w:p>
    <w:p w14:paraId="1742C7DE">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1.2.1</w:t>
      </w:r>
      <w:r>
        <w:rPr>
          <w:rFonts w:hint="eastAsia" w:hAnsi="宋体" w:eastAsia="宋体" w:cs="宋体"/>
          <w:color w:val="auto"/>
          <w:szCs w:val="24"/>
          <w:highlight w:val="none"/>
          <w:u w:val="none"/>
        </w:rPr>
        <w:t>定标委员会由招标人负责组建和管理，由招标人的法定代表人或者主要负责人担任组长。</w:t>
      </w:r>
      <w:r>
        <w:rPr>
          <w:rFonts w:hint="eastAsia" w:ascii="宋体" w:hAnsi="宋体" w:eastAsia="宋体" w:cs="宋体"/>
          <w:color w:val="auto"/>
          <w:sz w:val="24"/>
          <w:szCs w:val="24"/>
          <w:highlight w:val="none"/>
          <w:u w:val="none"/>
          <w:lang w:val="en-US" w:eastAsia="zh-CN"/>
        </w:rPr>
        <w:t>定标委员会的组成方式和人员由招标人按相关规定自行确定。招标项目对技术、商务等有特别要求的可从广东省综合评标评审专家库（韶关区域）抽取专家(外部人员）</w:t>
      </w:r>
      <w:r>
        <w:rPr>
          <w:rFonts w:hint="eastAsia" w:hAnsi="宋体" w:eastAsia="宋体" w:cs="宋体"/>
          <w:color w:val="auto"/>
          <w:sz w:val="24"/>
          <w:szCs w:val="24"/>
          <w:highlight w:val="none"/>
          <w:u w:val="none"/>
          <w:lang w:val="en-US" w:eastAsia="zh-CN"/>
        </w:rPr>
        <w:t>参与</w:t>
      </w:r>
      <w:r>
        <w:rPr>
          <w:rFonts w:hint="eastAsia" w:ascii="宋体" w:hAnsi="宋体" w:eastAsia="宋体" w:cs="宋体"/>
          <w:color w:val="auto"/>
          <w:sz w:val="24"/>
          <w:szCs w:val="24"/>
          <w:highlight w:val="none"/>
          <w:u w:val="none"/>
          <w:lang w:val="en-US" w:eastAsia="zh-CN"/>
        </w:rPr>
        <w:t>，成员数量为7人及以上单数，成员数量应在招标文件中明确。专家人数原则上不超过2人。定标委员会成员数量在投标人须知前附表约定。</w:t>
      </w:r>
    </w:p>
    <w:p w14:paraId="71837FD4">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1.2.2定标委员会应当</w:t>
      </w:r>
      <w:r>
        <w:rPr>
          <w:rFonts w:hint="eastAsia" w:ascii="宋体" w:hAnsi="宋体" w:eastAsia="宋体" w:cs="宋体"/>
          <w:b w:val="0"/>
          <w:bCs w:val="0"/>
          <w:color w:val="auto"/>
          <w:spacing w:val="0"/>
          <w:sz w:val="24"/>
          <w:szCs w:val="24"/>
          <w:highlight w:val="none"/>
          <w:u w:val="none"/>
          <w:lang w:val="en-US" w:eastAsia="zh-CN"/>
        </w:rPr>
        <w:t>依据定标方案开展定标工作</w:t>
      </w:r>
      <w:r>
        <w:rPr>
          <w:rFonts w:hint="eastAsia" w:hAnsi="宋体" w:eastAsia="宋体" w:cs="宋体"/>
          <w:b w:val="0"/>
          <w:bCs w:val="0"/>
          <w:color w:val="auto"/>
          <w:spacing w:val="0"/>
          <w:sz w:val="24"/>
          <w:szCs w:val="24"/>
          <w:highlight w:val="none"/>
          <w:u w:val="none"/>
          <w:lang w:val="en-US" w:eastAsia="zh-CN"/>
        </w:rPr>
        <w:t>，</w:t>
      </w:r>
      <w:r>
        <w:rPr>
          <w:rFonts w:hint="eastAsia" w:ascii="宋体" w:hAnsi="宋体" w:eastAsia="宋体" w:cs="宋体"/>
          <w:color w:val="auto"/>
          <w:sz w:val="24"/>
          <w:szCs w:val="24"/>
          <w:highlight w:val="none"/>
          <w:u w:val="none"/>
          <w:lang w:val="en-US" w:eastAsia="zh-CN"/>
        </w:rPr>
        <w:t>根据招标文件规定的定标</w:t>
      </w:r>
      <w:r>
        <w:rPr>
          <w:rFonts w:hint="eastAsia" w:hAnsi="宋体" w:eastAsia="宋体" w:cs="宋体"/>
          <w:color w:val="auto"/>
          <w:sz w:val="24"/>
          <w:szCs w:val="24"/>
          <w:highlight w:val="none"/>
          <w:u w:val="none"/>
          <w:lang w:val="en-US" w:eastAsia="zh-CN"/>
        </w:rPr>
        <w:t>规定及定标办法</w:t>
      </w:r>
      <w:r>
        <w:rPr>
          <w:rFonts w:hint="eastAsia" w:ascii="宋体" w:hAnsi="宋体" w:eastAsia="宋体" w:cs="宋体"/>
          <w:color w:val="auto"/>
          <w:sz w:val="24"/>
          <w:szCs w:val="24"/>
          <w:highlight w:val="none"/>
          <w:u w:val="none"/>
          <w:lang w:val="en-US" w:eastAsia="zh-CN"/>
        </w:rPr>
        <w:t>，对定标候选人进行系统地评审和比较。招标文件中没有规定的定标方法和细则不得作为定标的依据。定标委员会成员应依照招标文件规定的定标方法和</w:t>
      </w:r>
      <w:r>
        <w:rPr>
          <w:rFonts w:hint="eastAsia" w:hAnsi="宋体" w:eastAsia="宋体" w:cs="宋体"/>
          <w:color w:val="auto"/>
          <w:sz w:val="24"/>
          <w:szCs w:val="24"/>
          <w:highlight w:val="none"/>
          <w:u w:val="none"/>
          <w:lang w:val="en-US" w:eastAsia="zh-CN"/>
        </w:rPr>
        <w:t>定标因素</w:t>
      </w:r>
      <w:r>
        <w:rPr>
          <w:rFonts w:hint="eastAsia" w:ascii="宋体" w:hAnsi="宋体" w:eastAsia="宋体" w:cs="宋体"/>
          <w:color w:val="auto"/>
          <w:sz w:val="24"/>
          <w:szCs w:val="24"/>
          <w:highlight w:val="none"/>
          <w:u w:val="none"/>
          <w:lang w:val="en-US" w:eastAsia="zh-CN"/>
        </w:rPr>
        <w:t>，独立完成对定标候选人的评审，对定标结果签字确认，对各定标委员会成员的定标结果进行汇总</w:t>
      </w:r>
      <w:r>
        <w:rPr>
          <w:rFonts w:hint="eastAsia" w:hAnsi="宋体" w:eastAsia="宋体" w:cs="宋体"/>
          <w:color w:val="auto"/>
          <w:sz w:val="24"/>
          <w:szCs w:val="24"/>
          <w:highlight w:val="none"/>
          <w:u w:val="none"/>
          <w:lang w:val="en-US" w:eastAsia="zh-CN"/>
        </w:rPr>
        <w:t>并向招标人提交书面定标报告</w:t>
      </w:r>
      <w:r>
        <w:rPr>
          <w:rFonts w:hint="eastAsia" w:ascii="宋体" w:hAnsi="宋体" w:eastAsia="宋体" w:cs="宋体"/>
          <w:color w:val="auto"/>
          <w:sz w:val="24"/>
          <w:szCs w:val="24"/>
          <w:highlight w:val="none"/>
          <w:u w:val="none"/>
          <w:lang w:val="en-US" w:eastAsia="zh-CN"/>
        </w:rPr>
        <w:t>。</w:t>
      </w:r>
    </w:p>
    <w:p w14:paraId="7E2601CC">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1.2</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79A340F2">
      <w:pPr>
        <w:pStyle w:val="9"/>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82"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auto"/>
          <w:sz w:val="24"/>
          <w:szCs w:val="24"/>
          <w:highlight w:val="none"/>
        </w:rPr>
        <w:t>.</w:t>
      </w:r>
      <w:r>
        <w:rPr>
          <w:rFonts w:hint="eastAsia" w:ascii="宋体" w:hAnsi="宋体" w:eastAsia="宋体" w:cs="宋体"/>
          <w:b/>
          <w:bCs/>
          <w:strike w:val="0"/>
          <w:dstrike w:val="0"/>
          <w:color w:val="auto"/>
          <w:kern w:val="2"/>
          <w:sz w:val="24"/>
          <w:szCs w:val="24"/>
          <w:highlight w:val="none"/>
          <w:u w:val="none"/>
          <w:lang w:val="en-US" w:eastAsia="zh-CN"/>
        </w:rPr>
        <w:t>组建招标监督小组</w:t>
      </w:r>
    </w:p>
    <w:p w14:paraId="33553EC9">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项目业主单位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5478E0FE">
      <w:pPr>
        <w:keepNext w:val="0"/>
        <w:keepLines w:val="0"/>
        <w:pageBreakBefore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定标办法</w:t>
      </w:r>
    </w:p>
    <w:p w14:paraId="0C370DA9">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hAnsi="宋体" w:eastAsia="宋体" w:cs="宋体"/>
          <w:color w:val="auto"/>
          <w:sz w:val="24"/>
          <w:szCs w:val="24"/>
          <w:highlight w:val="none"/>
          <w:u w:val="none"/>
          <w:lang w:val="en-US" w:eastAsia="zh-CN"/>
        </w:rPr>
        <w:t>本项目</w:t>
      </w:r>
      <w:r>
        <w:rPr>
          <w:rFonts w:hint="eastAsia" w:ascii="宋体" w:hAnsi="宋体" w:eastAsia="宋体" w:cs="宋体"/>
          <w:color w:val="auto"/>
          <w:sz w:val="24"/>
          <w:szCs w:val="24"/>
          <w:highlight w:val="none"/>
          <w:u w:val="none"/>
          <w:lang w:val="en-US" w:eastAsia="zh-CN"/>
        </w:rPr>
        <w:t>定标办法由招标人按投标人须知前附表的规定确定（只能选定其中一种定标办法）。</w:t>
      </w:r>
    </w:p>
    <w:p w14:paraId="372D49B3">
      <w:pPr>
        <w:keepNext w:val="0"/>
        <w:keepLines w:val="0"/>
        <w:pageBreakBefore w:val="0"/>
        <w:kinsoku/>
        <w:overflowPunct/>
        <w:topLinePunct w:val="0"/>
        <w:autoSpaceDE/>
        <w:autoSpaceDN/>
        <w:bidi w:val="0"/>
        <w:spacing w:line="46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本项目采用票决数量法定标。</w:t>
      </w:r>
    </w:p>
    <w:p w14:paraId="47FDD3DA">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.1票决数量法程序</w:t>
      </w:r>
    </w:p>
    <w:p w14:paraId="19CBCB63">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根据定标因素对定标候选人进行评审比较后，每名定标委员会成员有且仅有投出1票的权利，1票只能投1名定标候选人，进行票决排名确定排序的中标候选人。即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w:t>
      </w:r>
      <w:r>
        <w:rPr>
          <w:rFonts w:hint="eastAsia" w:hAnsi="宋体" w:eastAsia="宋体" w:cs="宋体"/>
          <w:color w:val="auto"/>
          <w:sz w:val="24"/>
          <w:szCs w:val="24"/>
          <w:highlight w:val="none"/>
          <w:u w:val="none"/>
          <w:lang w:val="en-US" w:eastAsia="zh-CN"/>
        </w:rPr>
        <w:t>若</w:t>
      </w:r>
      <w:r>
        <w:rPr>
          <w:rFonts w:hint="eastAsia" w:hAnsi="宋体" w:eastAsia="宋体" w:cs="宋体"/>
          <w:color w:val="auto"/>
          <w:szCs w:val="24"/>
          <w:highlight w:val="none"/>
          <w:u w:val="none"/>
        </w:rPr>
        <w:t>有效定标候选人不少于3家的，确定带排序的前3名中标候选人；有效定标候选人仅为2家且满足法定要求的，确定带排序的前2名中标候选人</w:t>
      </w:r>
      <w:r>
        <w:rPr>
          <w:rFonts w:hint="eastAsia" w:ascii="宋体" w:hAnsi="宋体" w:eastAsia="宋体" w:cs="宋体"/>
          <w:color w:val="auto"/>
          <w:sz w:val="24"/>
          <w:szCs w:val="24"/>
          <w:highlight w:val="none"/>
          <w:u w:val="none"/>
          <w:lang w:val="en-US" w:eastAsia="zh-CN"/>
        </w:rPr>
        <w:t>。票决采用记名方式并注明投票理由。</w:t>
      </w:r>
    </w:p>
    <w:p w14:paraId="4287D20D">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.1.1.</w:t>
      </w:r>
      <w:r>
        <w:rPr>
          <w:rFonts w:hint="eastAsia" w:ascii="宋体" w:hAnsi="宋体" w:eastAsia="宋体" w:cs="宋体"/>
          <w:b/>
          <w:bCs/>
          <w:color w:val="auto"/>
          <w:sz w:val="24"/>
          <w:szCs w:val="24"/>
          <w:highlight w:val="none"/>
          <w:u w:val="none"/>
          <w:shd w:val="clear" w:color="auto" w:fill="FFFFFF"/>
        </w:rPr>
        <w:t>项目情况介绍</w:t>
      </w:r>
    </w:p>
    <w:p w14:paraId="1B6B4014">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招标人代表介绍项目的概况及招标要求，以及定标方法与定标工作规则，不得发表具有倾向性的言论。</w:t>
      </w:r>
    </w:p>
    <w:p w14:paraId="3CF156B5">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.1.2.</w:t>
      </w:r>
      <w:r>
        <w:rPr>
          <w:rFonts w:hint="eastAsia" w:ascii="宋体" w:hAnsi="宋体" w:eastAsia="宋体" w:cs="宋体"/>
          <w:b/>
          <w:bCs/>
          <w:color w:val="auto"/>
          <w:sz w:val="24"/>
          <w:szCs w:val="24"/>
          <w:highlight w:val="none"/>
          <w:u w:val="none"/>
          <w:shd w:val="clear" w:color="auto" w:fill="FFFFFF"/>
        </w:rPr>
        <w:t>审阅定标资料</w:t>
      </w:r>
    </w:p>
    <w:p w14:paraId="332C556D">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定标委员会成员对各定标候选人的投标文件进行审阅，审阅内容主要是定标工作规则所规定的定标因素，聚焦于项目需求与候选人能力的匹配度。</w:t>
      </w:r>
    </w:p>
    <w:p w14:paraId="2752029B">
      <w:pPr>
        <w:pStyle w:val="2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.1.3.</w:t>
      </w:r>
      <w:r>
        <w:rPr>
          <w:rFonts w:hint="eastAsia" w:ascii="宋体" w:hAnsi="宋体" w:eastAsia="宋体" w:cs="宋体"/>
          <w:b/>
          <w:bCs/>
          <w:color w:val="auto"/>
          <w:sz w:val="24"/>
          <w:szCs w:val="24"/>
          <w:highlight w:val="none"/>
          <w:u w:val="none"/>
          <w:shd w:val="clear" w:color="auto" w:fill="FFFFFF"/>
        </w:rPr>
        <w:t>疑问澄清</w:t>
      </w:r>
    </w:p>
    <w:p w14:paraId="55DA7736">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B6F3D80">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hAnsi="宋体" w:eastAsia="宋体" w:cs="宋体"/>
          <w:b/>
          <w:bCs/>
          <w:color w:val="auto"/>
          <w:kern w:val="0"/>
          <w:sz w:val="24"/>
          <w:szCs w:val="24"/>
          <w:highlight w:val="none"/>
          <w:u w:val="none"/>
          <w:shd w:val="clear" w:color="auto" w:fill="FFFFFF"/>
          <w:lang w:val="en-US" w:eastAsia="zh-CN" w:bidi="ar-SA"/>
        </w:rPr>
        <w:t>2</w:t>
      </w:r>
      <w:r>
        <w:rPr>
          <w:rFonts w:hint="eastAsia" w:ascii="宋体" w:hAnsi="宋体" w:eastAsia="宋体" w:cs="宋体"/>
          <w:b/>
          <w:bCs/>
          <w:color w:val="auto"/>
          <w:kern w:val="0"/>
          <w:sz w:val="24"/>
          <w:szCs w:val="24"/>
          <w:highlight w:val="none"/>
          <w:u w:val="none"/>
          <w:shd w:val="clear" w:color="auto" w:fill="FFFFFF"/>
          <w:lang w:val="en-US" w:eastAsia="zh-CN" w:bidi="ar-SA"/>
        </w:rPr>
        <w:t>.1.4.投票，收票，点票和汇总</w:t>
      </w:r>
    </w:p>
    <w:p w14:paraId="58FF63FE">
      <w:pPr>
        <w:keepNext w:val="0"/>
        <w:keepLines w:val="0"/>
        <w:pageBreakBefore w:val="0"/>
        <w:shd w:val="clear" w:color="auto" w:fill="auto"/>
        <w:kinsoku/>
        <w:wordWrap w:val="0"/>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05B385BC">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hAnsi="宋体" w:eastAsia="宋体" w:cs="宋体"/>
          <w:b/>
          <w:bCs/>
          <w:color w:val="auto"/>
          <w:kern w:val="0"/>
          <w:sz w:val="24"/>
          <w:szCs w:val="24"/>
          <w:highlight w:val="none"/>
          <w:u w:val="none"/>
          <w:shd w:val="clear" w:color="auto" w:fill="FFFFFF"/>
          <w:lang w:val="en-US" w:eastAsia="zh-CN" w:bidi="ar-SA"/>
        </w:rPr>
        <w:t>2</w:t>
      </w:r>
      <w:r>
        <w:rPr>
          <w:rFonts w:hint="eastAsia" w:ascii="宋体" w:hAnsi="宋体" w:eastAsia="宋体" w:cs="宋体"/>
          <w:b/>
          <w:bCs/>
          <w:color w:val="auto"/>
          <w:kern w:val="0"/>
          <w:sz w:val="24"/>
          <w:szCs w:val="24"/>
          <w:highlight w:val="none"/>
          <w:u w:val="none"/>
          <w:shd w:val="clear" w:color="auto" w:fill="FFFFFF"/>
          <w:lang w:val="en-US" w:eastAsia="zh-CN" w:bidi="ar-SA"/>
        </w:rPr>
        <w:t>.1.5.公布结果和出具定标报告</w:t>
      </w:r>
    </w:p>
    <w:p w14:paraId="7618B4F6">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4C03BDA5">
      <w:pPr>
        <w:pStyle w:val="22"/>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.1.6.</w:t>
      </w:r>
      <w:r>
        <w:rPr>
          <w:rFonts w:hint="eastAsia" w:ascii="宋体" w:hAnsi="宋体" w:eastAsia="宋体" w:cs="宋体"/>
          <w:b/>
          <w:bCs/>
          <w:color w:val="auto"/>
          <w:sz w:val="24"/>
          <w:szCs w:val="24"/>
          <w:highlight w:val="none"/>
          <w:u w:val="none"/>
          <w:shd w:val="clear" w:color="auto" w:fill="FFFFFF"/>
        </w:rPr>
        <w:t>全程监督</w:t>
      </w:r>
    </w:p>
    <w:p w14:paraId="3B38AE69">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2BA97FF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pacing w:val="0"/>
          <w:position w:val="0"/>
          <w:sz w:val="24"/>
          <w:szCs w:val="24"/>
          <w:highlight w:val="none"/>
          <w:u w:val="none" w:color="auto"/>
          <w:lang w:val="en-US" w:eastAsia="zh-CN"/>
        </w:rPr>
        <w:t>.2定标因素</w:t>
      </w:r>
    </w:p>
    <w:p w14:paraId="6554FA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0F42D34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rPr>
        <w:t>(1)拟派团队管理能力与水平(履约能力)</w:t>
      </w:r>
    </w:p>
    <w:p w14:paraId="6CAA1EF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相对标准:拟派团队管理能力与水平(履约能力)强的定标候选人优于拟派团队管理</w:t>
      </w:r>
    </w:p>
    <w:p w14:paraId="55DCA1B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能力与水平(履约能力)一般的定标候选人。</w:t>
      </w:r>
    </w:p>
    <w:p w14:paraId="09CDCFC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lang w:val="en-US" w:eastAsia="zh-CN"/>
        </w:rPr>
        <w:t>2）</w:t>
      </w:r>
      <w:r>
        <w:rPr>
          <w:rFonts w:hint="eastAsia" w:ascii="宋体" w:hAnsi="宋体" w:eastAsia="宋体" w:cs="宋体"/>
          <w:b/>
          <w:bCs/>
          <w:color w:val="auto"/>
          <w:kern w:val="0"/>
          <w:sz w:val="24"/>
          <w:szCs w:val="24"/>
          <w:highlight w:val="none"/>
          <w:u w:val="none"/>
          <w:shd w:val="clear" w:color="auto" w:fill="FFFFFF"/>
        </w:rPr>
        <w:t>企业信誉</w:t>
      </w:r>
    </w:p>
    <w:p w14:paraId="349C1ADE">
      <w:pPr>
        <w:keepNext w:val="0"/>
        <w:keepLines w:val="0"/>
        <w:pageBreakBefore w:val="0"/>
        <w:widowControl w:val="0"/>
        <w:kinsoku/>
        <w:overflowPunct/>
        <w:topLinePunct w:val="0"/>
        <w:autoSpaceDE/>
        <w:autoSpaceDN/>
        <w:bidi w:val="0"/>
        <w:spacing w:line="44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rPr>
        <w:t>相对标准:企业信誉评价好的定标候选人优于企业信誉评价一般的定标候选人。</w:t>
      </w:r>
    </w:p>
    <w:p w14:paraId="2A98E97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jc w:val="both"/>
        <w:textAlignment w:val="auto"/>
        <w:outlineLvl w:val="9"/>
        <w:rPr>
          <w:rFonts w:hint="eastAsia"/>
          <w:color w:val="auto"/>
          <w:highlight w:val="none"/>
        </w:rPr>
      </w:pPr>
      <w:r>
        <w:rPr>
          <w:rFonts w:hint="eastAsia" w:hAnsi="宋体" w:eastAsia="宋体" w:cs="宋体"/>
          <w:b/>
          <w:bCs/>
          <w:color w:val="auto"/>
          <w:kern w:val="0"/>
          <w:sz w:val="24"/>
          <w:szCs w:val="24"/>
          <w:highlight w:val="none"/>
          <w:u w:val="none"/>
          <w:shd w:val="clear" w:color="auto" w:fill="FFFFFF"/>
          <w:lang w:eastAsia="zh-CN"/>
        </w:rPr>
        <w:t>（</w:t>
      </w:r>
      <w:r>
        <w:rPr>
          <w:rFonts w:hint="eastAsia" w:hAnsi="宋体" w:eastAsia="宋体" w:cs="宋体"/>
          <w:b/>
          <w:bCs/>
          <w:color w:val="auto"/>
          <w:kern w:val="0"/>
          <w:sz w:val="24"/>
          <w:szCs w:val="24"/>
          <w:highlight w:val="none"/>
          <w:u w:val="none"/>
          <w:shd w:val="clear" w:color="auto" w:fill="FFFFFF"/>
          <w:lang w:val="en-US" w:eastAsia="zh-CN"/>
        </w:rPr>
        <w:t>3</w:t>
      </w:r>
      <w:r>
        <w:rPr>
          <w:rFonts w:hint="eastAsia" w:hAnsi="宋体" w:eastAsia="宋体" w:cs="宋体"/>
          <w:b/>
          <w:bCs/>
          <w:color w:val="auto"/>
          <w:kern w:val="0"/>
          <w:sz w:val="24"/>
          <w:szCs w:val="24"/>
          <w:highlight w:val="none"/>
          <w:u w:val="none"/>
          <w:shd w:val="clear" w:color="auto" w:fill="FFFFFF"/>
          <w:lang w:eastAsia="zh-CN"/>
        </w:rPr>
        <w:t>）</w:t>
      </w:r>
      <w:r>
        <w:rPr>
          <w:rFonts w:hint="eastAsia" w:ascii="宋体" w:hAnsi="宋体" w:eastAsia="宋体" w:cs="宋体"/>
          <w:b/>
          <w:bCs/>
          <w:color w:val="auto"/>
          <w:kern w:val="0"/>
          <w:sz w:val="24"/>
          <w:szCs w:val="24"/>
          <w:highlight w:val="none"/>
          <w:u w:val="none"/>
          <w:shd w:val="clear" w:color="auto" w:fill="FFFFFF"/>
        </w:rPr>
        <w:t>企业实力</w:t>
      </w:r>
    </w:p>
    <w:p w14:paraId="4B002F2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相对标准：企业实力好的定标候选人优于企业实力一般的定标候选人。以企业资质等级、承接过类似业绩、财务状况等情况综合比较。</w:t>
      </w:r>
    </w:p>
    <w:p w14:paraId="7995109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目实际需求、合理可行性强的定标候选人优于响应能力一般的定标候选人。</w:t>
      </w:r>
    </w:p>
    <w:p w14:paraId="48A8163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rPr>
        <w:t>(4)评标报告</w:t>
      </w:r>
    </w:p>
    <w:p w14:paraId="2DF7B2D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rPr>
      </w:pPr>
      <w:r>
        <w:rPr>
          <w:rFonts w:hint="eastAsia" w:ascii="宋体" w:hAnsi="宋体" w:eastAsia="宋体" w:cs="宋体"/>
          <w:b w:val="0"/>
          <w:bCs w:val="0"/>
          <w:color w:val="auto"/>
          <w:kern w:val="0"/>
          <w:sz w:val="24"/>
          <w:szCs w:val="24"/>
          <w:highlight w:val="none"/>
          <w:u w:val="none"/>
          <w:shd w:val="clear" w:color="auto" w:fill="FFFFFF"/>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62D6F74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rPr>
      </w:pPr>
      <w:r>
        <w:rPr>
          <w:rFonts w:hint="eastAsia" w:ascii="宋体" w:hAnsi="宋体" w:eastAsia="宋体" w:cs="宋体"/>
          <w:b/>
          <w:bCs/>
          <w:color w:val="auto"/>
          <w:kern w:val="0"/>
          <w:sz w:val="24"/>
          <w:szCs w:val="24"/>
          <w:highlight w:val="none"/>
          <w:u w:val="none"/>
          <w:shd w:val="clear" w:color="auto" w:fill="FFFFFF"/>
        </w:rPr>
        <w:t>(5)农民工工资保障情况</w:t>
      </w:r>
    </w:p>
    <w:p w14:paraId="01AA6FD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rPr>
        <w:t>相对标准:农民工工资保障情况好的定标候选人优于农民工工资保障情况差的定标候选人(结合定标候选人提交的证明材料和招标人查询的材料进行评审)。</w:t>
      </w:r>
    </w:p>
    <w:p w14:paraId="6D1EB11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hAnsi="宋体" w:eastAsia="宋体" w:cs="宋体"/>
          <w:b/>
          <w:bCs/>
          <w:color w:val="auto"/>
          <w:kern w:val="0"/>
          <w:sz w:val="24"/>
          <w:szCs w:val="24"/>
          <w:highlight w:val="none"/>
          <w:u w:val="none"/>
          <w:shd w:val="clear" w:color="auto" w:fill="FFFFFF"/>
          <w:lang w:val="en-US" w:eastAsia="zh-CN" w:bidi="ar-SA"/>
        </w:rPr>
        <w:t>3.</w:t>
      </w:r>
      <w:r>
        <w:rPr>
          <w:rFonts w:hint="eastAsia" w:ascii="宋体" w:hAnsi="宋体" w:eastAsia="宋体" w:cs="宋体"/>
          <w:b/>
          <w:bCs/>
          <w:color w:val="auto"/>
          <w:kern w:val="0"/>
          <w:sz w:val="24"/>
          <w:szCs w:val="24"/>
          <w:highlight w:val="none"/>
          <w:u w:val="none"/>
          <w:shd w:val="clear" w:color="auto" w:fill="FFFFFF"/>
          <w:lang w:val="en-US" w:eastAsia="zh-CN" w:bidi="ar-SA"/>
        </w:rPr>
        <w:t>定标结果公示</w:t>
      </w:r>
    </w:p>
    <w:p w14:paraId="5CA4997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Style w:val="53"/>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53"/>
          <w:rFonts w:hint="eastAsia" w:ascii="宋体" w:hAnsi="宋体" w:eastAsia="宋体" w:cs="宋体"/>
          <w:b w:val="0"/>
          <w:bCs w:val="0"/>
          <w:color w:val="auto"/>
          <w:kern w:val="0"/>
          <w:sz w:val="24"/>
          <w:szCs w:val="24"/>
          <w:highlight w:val="none"/>
          <w:lang w:val="en-US" w:eastAsia="zh-CN"/>
        </w:rPr>
        <w:t>后</w:t>
      </w:r>
      <w:r>
        <w:rPr>
          <w:rStyle w:val="53"/>
          <w:rFonts w:hint="eastAsia" w:ascii="宋体" w:hAnsi="宋体" w:eastAsia="宋体" w:cs="宋体"/>
          <w:color w:val="auto"/>
          <w:kern w:val="0"/>
          <w:sz w:val="24"/>
          <w:szCs w:val="24"/>
          <w:highlight w:val="none"/>
          <w:lang w:val="en-US" w:eastAsia="zh-CN"/>
        </w:rPr>
        <w:t>，招标人应</w:t>
      </w:r>
      <w:r>
        <w:rPr>
          <w:rStyle w:val="53"/>
          <w:rFonts w:hint="eastAsia" w:hAnsi="宋体" w:eastAsia="宋体" w:cs="宋体"/>
          <w:color w:val="auto"/>
          <w:kern w:val="0"/>
          <w:sz w:val="24"/>
          <w:szCs w:val="24"/>
          <w:highlight w:val="none"/>
          <w:lang w:val="en-US" w:eastAsia="zh-CN"/>
        </w:rPr>
        <w:t>当自收到定标报告之日起</w:t>
      </w:r>
      <w:r>
        <w:rPr>
          <w:rStyle w:val="53"/>
          <w:rFonts w:hint="eastAsia" w:ascii="宋体" w:hAnsi="宋体" w:eastAsia="宋体" w:cs="宋体"/>
          <w:color w:val="auto"/>
          <w:kern w:val="0"/>
          <w:sz w:val="24"/>
          <w:szCs w:val="24"/>
          <w:highlight w:val="none"/>
          <w:lang w:val="en-US" w:eastAsia="zh-CN"/>
        </w:rPr>
        <w:t>3日内</w:t>
      </w:r>
      <w:r>
        <w:rPr>
          <w:rStyle w:val="53"/>
          <w:rFonts w:hint="eastAsia" w:hAnsi="宋体" w:eastAsia="宋体" w:cs="宋体"/>
          <w:color w:val="auto"/>
          <w:kern w:val="0"/>
          <w:sz w:val="24"/>
          <w:szCs w:val="24"/>
          <w:highlight w:val="none"/>
          <w:lang w:val="en-US" w:eastAsia="zh-CN"/>
        </w:rPr>
        <w:t>，</w:t>
      </w:r>
      <w:r>
        <w:rPr>
          <w:rStyle w:val="53"/>
          <w:rFonts w:hint="eastAsia" w:ascii="宋体" w:hAnsi="宋体" w:eastAsia="宋体" w:cs="宋体"/>
          <w:color w:val="auto"/>
          <w:kern w:val="0"/>
          <w:sz w:val="24"/>
          <w:szCs w:val="24"/>
          <w:highlight w:val="none"/>
          <w:lang w:val="en-US" w:eastAsia="zh-CN"/>
        </w:rPr>
        <w:t>将中标候选人和定标情况在广东省招标投标监管网和韶关市公共资源交易中心工程交易系统上公示，公示</w:t>
      </w:r>
      <w:r>
        <w:rPr>
          <w:rStyle w:val="53"/>
          <w:rFonts w:hint="eastAsia" w:hAnsi="宋体" w:eastAsia="宋体" w:cs="宋体"/>
          <w:color w:val="auto"/>
          <w:kern w:val="0"/>
          <w:sz w:val="24"/>
          <w:szCs w:val="24"/>
          <w:highlight w:val="none"/>
          <w:lang w:val="en-US" w:eastAsia="zh-CN"/>
        </w:rPr>
        <w:t>期</w:t>
      </w:r>
      <w:r>
        <w:rPr>
          <w:rStyle w:val="53"/>
          <w:rFonts w:hint="eastAsia" w:ascii="宋体" w:hAnsi="宋体" w:eastAsia="宋体" w:cs="宋体"/>
          <w:color w:val="auto"/>
          <w:kern w:val="0"/>
          <w:sz w:val="24"/>
          <w:szCs w:val="24"/>
          <w:highlight w:val="none"/>
          <w:lang w:val="en-US" w:eastAsia="zh-CN"/>
        </w:rPr>
        <w:t>不少于3日。公示主要内容包括：定标报告（定标成员信息除外）、中标</w:t>
      </w:r>
      <w:r>
        <w:rPr>
          <w:rStyle w:val="53"/>
          <w:rFonts w:hint="eastAsia" w:hAnsi="宋体" w:eastAsia="宋体" w:cs="宋体"/>
          <w:color w:val="auto"/>
          <w:kern w:val="0"/>
          <w:sz w:val="24"/>
          <w:szCs w:val="24"/>
          <w:highlight w:val="none"/>
          <w:lang w:val="en-US" w:eastAsia="zh-CN"/>
        </w:rPr>
        <w:t>候选人</w:t>
      </w:r>
      <w:r>
        <w:rPr>
          <w:rStyle w:val="53"/>
          <w:rFonts w:hint="eastAsia" w:ascii="宋体" w:hAnsi="宋体" w:eastAsia="宋体" w:cs="宋体"/>
          <w:color w:val="auto"/>
          <w:kern w:val="0"/>
          <w:sz w:val="24"/>
          <w:szCs w:val="24"/>
          <w:highlight w:val="none"/>
          <w:lang w:val="en-US" w:eastAsia="zh-CN"/>
        </w:rPr>
        <w:t>、中标价和拟投入本项目的项目负责人、技术负责人及各专业负责人（如有）等内容。</w:t>
      </w:r>
    </w:p>
    <w:p w14:paraId="481A77D9">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200"/>
        <w:jc w:val="both"/>
        <w:textAlignment w:val="auto"/>
        <w:outlineLvl w:val="9"/>
        <w:rPr>
          <w:rStyle w:val="53"/>
          <w:rFonts w:hint="eastAsia" w:ascii="宋体" w:hAnsi="宋体" w:eastAsia="宋体" w:cs="宋体"/>
          <w:color w:val="auto"/>
          <w:kern w:val="0"/>
          <w:sz w:val="21"/>
          <w:szCs w:val="21"/>
          <w:highlight w:val="none"/>
          <w:lang w:val="en-US" w:eastAsia="zh-CN"/>
        </w:rPr>
      </w:pPr>
    </w:p>
    <w:p w14:paraId="5FE85F18">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0" w:firstLineChars="200"/>
        <w:jc w:val="both"/>
        <w:textAlignment w:val="auto"/>
        <w:outlineLvl w:val="9"/>
        <w:rPr>
          <w:rStyle w:val="53"/>
          <w:rFonts w:hint="eastAsia" w:ascii="宋体" w:hAnsi="宋体" w:eastAsia="宋体" w:cs="宋体"/>
          <w:color w:val="auto"/>
          <w:kern w:val="0"/>
          <w:sz w:val="21"/>
          <w:szCs w:val="21"/>
          <w:highlight w:val="none"/>
          <w:lang w:val="en-US" w:eastAsia="zh-CN"/>
        </w:rPr>
      </w:pPr>
    </w:p>
    <w:p w14:paraId="653CFB98">
      <w:pPr>
        <w:rPr>
          <w:rFonts w:hint="eastAsia"/>
          <w:color w:val="auto"/>
          <w:highlight w:val="none"/>
          <w:lang w:val="en-US" w:eastAsia="zh-CN"/>
        </w:rPr>
      </w:pPr>
    </w:p>
    <w:p w14:paraId="1F3C4CF9">
      <w:pPr>
        <w:rPr>
          <w:rFonts w:hint="eastAsia"/>
          <w:color w:val="auto"/>
          <w:highlight w:val="none"/>
          <w:lang w:val="en-US" w:eastAsia="zh-CN"/>
        </w:rPr>
      </w:pPr>
    </w:p>
    <w:p w14:paraId="43AA3867">
      <w:pPr>
        <w:rPr>
          <w:rFonts w:hint="eastAsia"/>
          <w:color w:val="auto"/>
          <w:highlight w:val="none"/>
          <w:lang w:val="en-US" w:eastAsia="zh-CN"/>
        </w:rPr>
      </w:pPr>
    </w:p>
    <w:p w14:paraId="620E559B">
      <w:pPr>
        <w:rPr>
          <w:rFonts w:hint="eastAsia"/>
          <w:color w:val="auto"/>
          <w:highlight w:val="none"/>
          <w:lang w:val="en-US" w:eastAsia="zh-CN"/>
        </w:rPr>
      </w:pPr>
    </w:p>
    <w:p w14:paraId="200AB50F">
      <w:pPr>
        <w:rPr>
          <w:rFonts w:hint="eastAsia"/>
          <w:color w:val="auto"/>
          <w:highlight w:val="none"/>
          <w:lang w:val="en-US" w:eastAsia="zh-CN"/>
        </w:rPr>
      </w:pPr>
    </w:p>
    <w:p w14:paraId="76B4CCCB">
      <w:pPr>
        <w:pStyle w:val="2"/>
        <w:rPr>
          <w:rFonts w:hint="eastAsia"/>
          <w:lang w:val="en-US" w:eastAsia="zh-CN"/>
        </w:rPr>
      </w:pPr>
    </w:p>
    <w:p w14:paraId="4F82DADA">
      <w:pPr>
        <w:rPr>
          <w:rFonts w:hint="eastAsia"/>
          <w:color w:val="auto"/>
          <w:highlight w:val="none"/>
          <w:lang w:val="en-US" w:eastAsia="zh-CN"/>
        </w:rPr>
      </w:pPr>
    </w:p>
    <w:p w14:paraId="7583CCF1">
      <w:pPr>
        <w:rPr>
          <w:rFonts w:hint="eastAsia" w:asciiTheme="minorEastAsia" w:hAnsiTheme="minorEastAsia" w:eastAsiaTheme="minorEastAsia" w:cstheme="minorEastAsia"/>
          <w:b/>
          <w:bCs/>
          <w:snapToGrid w:val="0"/>
          <w:color w:val="auto"/>
          <w:kern w:val="0"/>
          <w:sz w:val="28"/>
          <w:szCs w:val="28"/>
          <w:highlight w:val="none"/>
        </w:rPr>
      </w:pPr>
      <w:bookmarkStart w:id="328" w:name="_Toc226"/>
      <w:bookmarkStart w:id="329" w:name="_Toc7606"/>
      <w:bookmarkStart w:id="330" w:name="_Toc21815"/>
      <w:r>
        <w:rPr>
          <w:rFonts w:hint="eastAsia" w:asciiTheme="minorEastAsia" w:hAnsiTheme="minorEastAsia" w:eastAsiaTheme="minorEastAsia" w:cstheme="minorEastAsia"/>
          <w:b/>
          <w:bCs/>
          <w:snapToGrid w:val="0"/>
          <w:color w:val="auto"/>
          <w:kern w:val="0"/>
          <w:sz w:val="28"/>
          <w:szCs w:val="28"/>
          <w:highlight w:val="none"/>
        </w:rPr>
        <w:br w:type="page"/>
      </w:r>
    </w:p>
    <w:p w14:paraId="387746A8">
      <w:pPr>
        <w:wordWrap w:val="0"/>
        <w:adjustRightInd w:val="0"/>
        <w:snapToGrid w:val="0"/>
        <w:spacing w:line="440" w:lineRule="exact"/>
        <w:jc w:val="center"/>
        <w:outlineLvl w:val="1"/>
        <w:rPr>
          <w:rFonts w:hint="eastAsia" w:asciiTheme="minorEastAsia" w:hAnsiTheme="minorEastAsia" w:eastAsiaTheme="minorEastAsia" w:cstheme="minorEastAsia"/>
          <w:b/>
          <w:bCs/>
          <w:snapToGrid w:val="0"/>
          <w:color w:val="auto"/>
          <w:kern w:val="0"/>
          <w:sz w:val="28"/>
          <w:szCs w:val="28"/>
          <w:highlight w:val="none"/>
          <w:lang w:val="en-US" w:eastAsia="zh-CN"/>
        </w:rPr>
      </w:pPr>
      <w:r>
        <w:rPr>
          <w:rFonts w:hint="eastAsia" w:asciiTheme="minorEastAsia" w:hAnsiTheme="minorEastAsia" w:eastAsiaTheme="minorEastAsia" w:cstheme="minorEastAsia"/>
          <w:b/>
          <w:bCs/>
          <w:snapToGrid w:val="0"/>
          <w:color w:val="auto"/>
          <w:kern w:val="0"/>
          <w:sz w:val="28"/>
          <w:szCs w:val="28"/>
          <w:highlight w:val="none"/>
        </w:rPr>
        <w:t>第</w:t>
      </w:r>
      <w:r>
        <w:rPr>
          <w:rFonts w:hint="eastAsia" w:asciiTheme="minorEastAsia" w:hAnsiTheme="minorEastAsia" w:eastAsiaTheme="minorEastAsia" w:cstheme="minorEastAsia"/>
          <w:b/>
          <w:bCs/>
          <w:snapToGrid w:val="0"/>
          <w:color w:val="auto"/>
          <w:kern w:val="0"/>
          <w:sz w:val="28"/>
          <w:szCs w:val="28"/>
          <w:highlight w:val="none"/>
          <w:lang w:val="en-US" w:eastAsia="zh-CN"/>
        </w:rPr>
        <w:t>六</w:t>
      </w:r>
      <w:r>
        <w:rPr>
          <w:rFonts w:hint="eastAsia" w:asciiTheme="minorEastAsia" w:hAnsiTheme="minorEastAsia" w:eastAsiaTheme="minorEastAsia" w:cstheme="minorEastAsia"/>
          <w:b/>
          <w:bCs/>
          <w:snapToGrid w:val="0"/>
          <w:color w:val="auto"/>
          <w:kern w:val="0"/>
          <w:sz w:val="28"/>
          <w:szCs w:val="28"/>
          <w:highlight w:val="none"/>
        </w:rPr>
        <w:t>节 中标确认</w:t>
      </w:r>
      <w:bookmarkEnd w:id="328"/>
      <w:bookmarkEnd w:id="329"/>
      <w:bookmarkEnd w:id="330"/>
    </w:p>
    <w:p w14:paraId="6B64724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94352E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 xml:space="preserve">1.1 </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w:t>
      </w:r>
      <w:r>
        <w:rPr>
          <w:rFonts w:hint="eastAsia" w:hAnsi="宋体" w:eastAsia="宋体" w:cs="宋体"/>
          <w:b w:val="0"/>
          <w:bCs w:val="0"/>
          <w:color w:val="auto"/>
          <w:kern w:val="0"/>
          <w:sz w:val="24"/>
          <w:szCs w:val="24"/>
          <w:highlight w:val="none"/>
          <w:u w:val="none"/>
          <w:shd w:val="clear" w:color="auto" w:fill="FFFFFF"/>
          <w:lang w:val="en-US" w:eastAsia="zh-CN" w:bidi="ar-SA"/>
        </w:rPr>
        <w:t>候选人</w:t>
      </w:r>
      <w:r>
        <w:rPr>
          <w:rFonts w:hint="eastAsia" w:ascii="宋体" w:hAnsi="宋体" w:eastAsia="宋体" w:cs="宋体"/>
          <w:b w:val="0"/>
          <w:bCs w:val="0"/>
          <w:color w:val="auto"/>
          <w:kern w:val="0"/>
          <w:sz w:val="24"/>
          <w:szCs w:val="24"/>
          <w:highlight w:val="none"/>
          <w:u w:val="none"/>
          <w:shd w:val="clear" w:color="auto" w:fill="FFFFFF"/>
          <w:lang w:val="en-US" w:eastAsia="zh-CN" w:bidi="ar-SA"/>
        </w:rPr>
        <w:t>公示期满</w:t>
      </w:r>
      <w:r>
        <w:rPr>
          <w:rFonts w:hint="eastAsia" w:hAnsi="宋体" w:eastAsia="宋体" w:cs="宋体"/>
          <w:b w:val="0"/>
          <w:bCs w:val="0"/>
          <w:color w:val="auto"/>
          <w:kern w:val="0"/>
          <w:sz w:val="24"/>
          <w:szCs w:val="24"/>
          <w:highlight w:val="none"/>
          <w:u w:val="none"/>
          <w:shd w:val="clear" w:color="auto" w:fill="FFFFFF"/>
          <w:lang w:val="en-US" w:eastAsia="zh-CN" w:bidi="ar-SA"/>
        </w:rPr>
        <w:t>且</w:t>
      </w:r>
      <w:r>
        <w:rPr>
          <w:rFonts w:hint="eastAsia" w:ascii="宋体" w:hAnsi="宋体" w:eastAsia="宋体" w:cs="宋体"/>
          <w:b w:val="0"/>
          <w:bCs w:val="0"/>
          <w:color w:val="auto"/>
          <w:kern w:val="0"/>
          <w:sz w:val="24"/>
          <w:szCs w:val="24"/>
          <w:highlight w:val="none"/>
          <w:u w:val="none"/>
          <w:shd w:val="clear" w:color="auto" w:fill="FFFFFF"/>
          <w:lang w:val="en-US" w:eastAsia="zh-CN" w:bidi="ar-SA"/>
        </w:rPr>
        <w:t>无异议的，招标人确认排名第一的中标候选人为中标人</w:t>
      </w:r>
      <w:r>
        <w:rPr>
          <w:rFonts w:hint="eastAsia" w:hAnsi="宋体" w:eastAsia="宋体" w:cs="宋体"/>
          <w:b w:val="0"/>
          <w:bCs w:val="0"/>
          <w:color w:val="auto"/>
          <w:kern w:val="0"/>
          <w:sz w:val="24"/>
          <w:szCs w:val="24"/>
          <w:highlight w:val="none"/>
          <w:u w:val="none"/>
          <w:shd w:val="clear" w:color="auto" w:fill="FFFFFF"/>
          <w:lang w:val="en-US" w:eastAsia="zh-CN" w:bidi="ar-SA"/>
        </w:rPr>
        <w:t>并在招标公告发布媒介发布中标结果公示</w:t>
      </w:r>
      <w:r>
        <w:rPr>
          <w:rFonts w:hint="eastAsia" w:ascii="宋体" w:hAnsi="宋体" w:eastAsia="宋体" w:cs="宋体"/>
          <w:b w:val="0"/>
          <w:bCs w:val="0"/>
          <w:color w:val="auto"/>
          <w:kern w:val="0"/>
          <w:sz w:val="24"/>
          <w:szCs w:val="24"/>
          <w:highlight w:val="none"/>
          <w:u w:val="none"/>
          <w:shd w:val="clear" w:color="auto" w:fill="FFFFFF"/>
          <w:lang w:val="en-US" w:eastAsia="zh-CN" w:bidi="ar-SA"/>
        </w:rPr>
        <w:t>。</w:t>
      </w:r>
    </w:p>
    <w:p w14:paraId="542C439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35ACF84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09063761">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139A3A7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标结果有异议的，应当在定标候选人和</w:t>
      </w:r>
      <w:r>
        <w:rPr>
          <w:rFonts w:hint="default" w:ascii="宋体" w:hAnsi="宋体" w:eastAsia="宋体" w:cs="宋体"/>
          <w:b w:val="0"/>
          <w:bCs w:val="0"/>
          <w:color w:val="auto"/>
          <w:kern w:val="0"/>
          <w:sz w:val="24"/>
          <w:szCs w:val="24"/>
          <w:highlight w:val="none"/>
          <w:u w:val="none"/>
          <w:shd w:val="clear" w:color="auto" w:fill="FFFFFF"/>
          <w:lang w:val="en-US" w:eastAsia="zh-CN" w:bidi="ar-SA"/>
        </w:rPr>
        <w:t>中</w:t>
      </w:r>
      <w:r>
        <w:rPr>
          <w:rFonts w:hint="eastAsia" w:ascii="宋体" w:hAnsi="宋体" w:eastAsia="宋体" w:cs="宋体"/>
          <w:b w:val="0"/>
          <w:bCs w:val="0"/>
          <w:color w:val="auto"/>
          <w:kern w:val="0"/>
          <w:sz w:val="24"/>
          <w:szCs w:val="24"/>
          <w:highlight w:val="none"/>
          <w:u w:val="none"/>
          <w:shd w:val="clear" w:color="auto" w:fill="FFFFFF"/>
          <w:lang w:val="en-US" w:eastAsia="zh-CN" w:bidi="ar-SA"/>
        </w:rPr>
        <w:t>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79784E0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3282DA6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144B204E">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i/>
          <w:color w:val="auto"/>
          <w:sz w:val="24"/>
          <w:szCs w:val="24"/>
          <w:highlight w:val="none"/>
        </w:rPr>
      </w:pPr>
      <w:bookmarkStart w:id="331" w:name="_Toc236550039"/>
      <w:r>
        <w:rPr>
          <w:rStyle w:val="29"/>
          <w:rFonts w:hint="eastAsia" w:ascii="宋体" w:hAnsi="宋体" w:eastAsia="宋体" w:cs="宋体"/>
          <w:b/>
          <w:bCs/>
          <w:i w:val="0"/>
          <w:color w:val="auto"/>
          <w:sz w:val="24"/>
          <w:szCs w:val="24"/>
          <w:highlight w:val="none"/>
          <w:lang w:val="en-US" w:eastAsia="zh-CN"/>
        </w:rPr>
        <w:t>3</w:t>
      </w:r>
      <w:r>
        <w:rPr>
          <w:rStyle w:val="29"/>
          <w:rFonts w:hint="eastAsia" w:ascii="宋体" w:hAnsi="宋体" w:eastAsia="宋体" w:cs="宋体"/>
          <w:b/>
          <w:bCs/>
          <w:i w:val="0"/>
          <w:color w:val="auto"/>
          <w:sz w:val="24"/>
          <w:szCs w:val="24"/>
          <w:highlight w:val="none"/>
        </w:rPr>
        <w:t>．废除授标</w:t>
      </w:r>
      <w:bookmarkEnd w:id="331"/>
      <w:r>
        <w:rPr>
          <w:rStyle w:val="29"/>
          <w:rFonts w:hint="eastAsia" w:ascii="宋体" w:hAnsi="宋体" w:eastAsia="宋体" w:cs="宋体"/>
          <w:b/>
          <w:bCs/>
          <w:i w:val="0"/>
          <w:color w:val="auto"/>
          <w:sz w:val="24"/>
          <w:szCs w:val="24"/>
          <w:highlight w:val="none"/>
        </w:rPr>
        <w:t>及授标</w:t>
      </w:r>
    </w:p>
    <w:p w14:paraId="5F1287A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254ED09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61E4B17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5BC6B73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303CB06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5757B19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7D5D9E2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304D6A5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2D1279A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2F118BD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5CC8A80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w:t>
      </w:r>
      <w:r>
        <w:rPr>
          <w:rFonts w:hint="eastAsia" w:hAnsi="宋体" w:eastAsia="宋体" w:cs="宋体"/>
          <w:b w:val="0"/>
          <w:bCs w:val="0"/>
          <w:color w:val="auto"/>
          <w:kern w:val="0"/>
          <w:sz w:val="24"/>
          <w:szCs w:val="24"/>
          <w:highlight w:val="none"/>
          <w:u w:val="none"/>
          <w:shd w:val="clear" w:color="auto" w:fill="FFFFFF"/>
          <w:lang w:val="en-US" w:eastAsia="zh-CN" w:bidi="ar-SA"/>
        </w:rPr>
        <w:t>法律法规或</w:t>
      </w:r>
      <w:r>
        <w:rPr>
          <w:rFonts w:hint="eastAsia" w:ascii="宋体" w:hAnsi="宋体" w:eastAsia="宋体" w:cs="宋体"/>
          <w:b w:val="0"/>
          <w:bCs w:val="0"/>
          <w:color w:val="auto"/>
          <w:kern w:val="0"/>
          <w:sz w:val="24"/>
          <w:szCs w:val="24"/>
          <w:highlight w:val="none"/>
          <w:u w:val="none"/>
          <w:shd w:val="clear" w:color="auto" w:fill="FFFFFF"/>
          <w:lang w:val="en-US" w:eastAsia="zh-CN" w:bidi="ar-SA"/>
        </w:rPr>
        <w:t>招标文件明确规定可以废除授标的其他情形。</w:t>
      </w:r>
    </w:p>
    <w:p w14:paraId="5F36067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62258181">
      <w:pPr>
        <w:keepNext w:val="0"/>
        <w:keepLines w:val="0"/>
        <w:pageBreakBefore w:val="0"/>
        <w:widowControl w:val="0"/>
        <w:kinsoku/>
        <w:wordWrap/>
        <w:overflowPunct/>
        <w:topLinePunct w:val="0"/>
        <w:bidi w:val="0"/>
        <w:adjustRightInd/>
        <w:spacing w:line="460" w:lineRule="exact"/>
        <w:textAlignment w:val="auto"/>
        <w:rPr>
          <w:rFonts w:hint="eastAsia"/>
          <w:color w:val="auto"/>
          <w:sz w:val="24"/>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238EBF63">
      <w:pPr>
        <w:pStyle w:val="38"/>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332" w:name="_Toc7957"/>
      <w:r>
        <w:rPr>
          <w:rFonts w:hint="eastAsia" w:asciiTheme="minorEastAsia" w:hAnsiTheme="minorEastAsia" w:eastAsiaTheme="minorEastAsia" w:cstheme="minorEastAsia"/>
          <w:b/>
          <w:color w:val="auto"/>
          <w:kern w:val="44"/>
          <w:sz w:val="36"/>
          <w:szCs w:val="36"/>
          <w:highlight w:val="none"/>
        </w:rPr>
        <w:t>第二章</w:t>
      </w:r>
      <w:bookmarkStart w:id="333" w:name="_Hlt87793831"/>
      <w:bookmarkEnd w:id="333"/>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311"/>
      <w:bookmarkEnd w:id="312"/>
      <w:bookmarkEnd w:id="313"/>
      <w:bookmarkEnd w:id="314"/>
      <w:bookmarkEnd w:id="315"/>
      <w:bookmarkEnd w:id="316"/>
      <w:bookmarkEnd w:id="317"/>
      <w:bookmarkEnd w:id="318"/>
      <w:bookmarkEnd w:id="332"/>
    </w:p>
    <w:p w14:paraId="6DDE29B5">
      <w:pPr>
        <w:pStyle w:val="37"/>
        <w:rPr>
          <w:rFonts w:asciiTheme="minorEastAsia" w:hAnsiTheme="minorEastAsia" w:eastAsiaTheme="minorEastAsia" w:cstheme="minorEastAsia"/>
          <w:color w:val="auto"/>
          <w:highlight w:val="none"/>
        </w:rPr>
      </w:pPr>
    </w:p>
    <w:bookmarkEnd w:id="319"/>
    <w:bookmarkEnd w:id="320"/>
    <w:p w14:paraId="760ABA49">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highlight w:val="none"/>
        </w:rPr>
      </w:pPr>
      <w:bookmarkStart w:id="334" w:name="_Toc22114"/>
      <w:bookmarkStart w:id="335" w:name="_Toc322793288"/>
      <w:bookmarkStart w:id="336" w:name="_Toc8407"/>
      <w:bookmarkStart w:id="337" w:name="_Toc22879"/>
      <w:bookmarkStart w:id="338" w:name="_Toc21667"/>
      <w:bookmarkStart w:id="339" w:name="_Toc28378"/>
      <w:bookmarkStart w:id="340" w:name="_Toc326916629"/>
      <w:bookmarkStart w:id="341" w:name="_Toc19931"/>
      <w:bookmarkStart w:id="342" w:name="_Toc7347"/>
      <w:bookmarkStart w:id="343" w:name="_Toc18454"/>
      <w:bookmarkStart w:id="344" w:name="_Toc12651"/>
      <w:bookmarkStart w:id="345" w:name="_Toc26552"/>
      <w:bookmarkStart w:id="346" w:name="_Hlt69698741"/>
      <w:bookmarkStart w:id="347" w:name="_Hlt69698769"/>
      <w:bookmarkStart w:id="348" w:name="_Hlt69698722"/>
      <w:r>
        <w:rPr>
          <w:rFonts w:hint="eastAsia" w:ascii="宋体" w:hAnsi="宋体" w:eastAsia="宋体" w:cs="宋体"/>
          <w:b/>
          <w:color w:val="auto"/>
          <w:kern w:val="2"/>
          <w:highlight w:val="none"/>
        </w:rPr>
        <w:t>1 工程承包方式</w:t>
      </w:r>
      <w:bookmarkEnd w:id="334"/>
      <w:bookmarkEnd w:id="335"/>
      <w:bookmarkEnd w:id="336"/>
      <w:bookmarkEnd w:id="337"/>
      <w:bookmarkEnd w:id="338"/>
      <w:bookmarkEnd w:id="339"/>
      <w:bookmarkEnd w:id="340"/>
      <w:bookmarkEnd w:id="341"/>
      <w:bookmarkEnd w:id="342"/>
      <w:bookmarkEnd w:id="343"/>
      <w:bookmarkEnd w:id="344"/>
      <w:bookmarkEnd w:id="345"/>
    </w:p>
    <w:p w14:paraId="6F2C7E08">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1.1承包人按中标价以总承包方式在规定的期限内对设计、施工（包工</w:t>
      </w:r>
      <w:bookmarkStart w:id="349" w:name="_Hlt87948212"/>
      <w:bookmarkEnd w:id="349"/>
      <w:r>
        <w:rPr>
          <w:rFonts w:hint="eastAsia" w:ascii="宋体" w:hAnsi="宋体" w:eastAsia="宋体" w:cs="宋体"/>
          <w:color w:val="auto"/>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22FC4B72">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1.1.1 包工包料：材料符合招标文件要求</w:t>
      </w:r>
      <w:r>
        <w:rPr>
          <w:rFonts w:hint="eastAsia" w:ascii="宋体" w:hAnsi="宋体" w:eastAsia="宋体" w:cs="宋体"/>
          <w:snapToGrid w:val="0"/>
          <w:color w:val="auto"/>
          <w:kern w:val="0"/>
          <w:highlight w:val="none"/>
        </w:rPr>
        <w:t>及合同的相关约定</w:t>
      </w:r>
      <w:r>
        <w:rPr>
          <w:rFonts w:hint="eastAsia" w:ascii="宋体" w:hAnsi="宋体" w:eastAsia="宋体" w:cs="宋体"/>
          <w:color w:val="auto"/>
          <w:highlight w:val="none"/>
        </w:rPr>
        <w:t>，报验使用；办理用工保险。</w:t>
      </w:r>
    </w:p>
    <w:p w14:paraId="20A02D78">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1.1.2 包质量：符合招标文件要求</w:t>
      </w:r>
      <w:r>
        <w:rPr>
          <w:rFonts w:hint="eastAsia" w:ascii="宋体" w:hAnsi="宋体" w:eastAsia="宋体" w:cs="宋体"/>
          <w:color w:val="auto"/>
          <w:szCs w:val="24"/>
          <w:highlight w:val="none"/>
        </w:rPr>
        <w:t>及合同有关质量的相关约定</w:t>
      </w:r>
      <w:r>
        <w:rPr>
          <w:rFonts w:hint="eastAsia" w:ascii="宋体" w:hAnsi="宋体" w:eastAsia="宋体" w:cs="宋体"/>
          <w:color w:val="auto"/>
          <w:highlight w:val="none"/>
        </w:rPr>
        <w:t>。</w:t>
      </w:r>
    </w:p>
    <w:p w14:paraId="5A529AFA">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2"/>
          <w:highlight w:val="none"/>
        </w:rPr>
      </w:pPr>
      <w:r>
        <w:rPr>
          <w:rFonts w:hint="eastAsia" w:ascii="宋体" w:hAnsi="宋体" w:eastAsia="宋体" w:cs="宋体"/>
          <w:color w:val="auto"/>
          <w:szCs w:val="22"/>
          <w:highlight w:val="none"/>
        </w:rPr>
        <w:t>1.1.3 包安全包文明施工：符合国家及省、市的相关规定及招标文件、合同的相关约定要求。</w:t>
      </w:r>
    </w:p>
    <w:p w14:paraId="28663B61">
      <w:pPr>
        <w:pStyle w:val="37"/>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1.1.4 包工期：本工程项目施工必须在规定的期限内完成。</w:t>
      </w:r>
    </w:p>
    <w:p w14:paraId="704F100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2"/>
          <w:highlight w:val="none"/>
        </w:rPr>
        <w:t xml:space="preserve">1.2 </w:t>
      </w:r>
      <w:r>
        <w:rPr>
          <w:rFonts w:hint="eastAsia" w:ascii="宋体" w:hAnsi="宋体" w:eastAsia="宋体" w:cs="宋体"/>
          <w:color w:val="auto"/>
          <w:szCs w:val="24"/>
          <w:highlight w:val="none"/>
        </w:rPr>
        <w:t>限额设计要求：</w:t>
      </w:r>
    </w:p>
    <w:p w14:paraId="1B4F3E1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1.2.1施工图预算中的建安工程费不得超过初步设计概算中的建安工程费且不得超过建安工程费的中标价。</w:t>
      </w:r>
    </w:p>
    <w:p w14:paraId="1325C7DF">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1.2.2 承包人在提交设计施工图时必须同时提交施工图预算。施工图预算作为承包人自我核算是否符合限额设计要求的依据。若造价咨询单位按施工图编制或审核的建安工程费高于前条1.2.1条规定时，承包人必须无条件对施工图进行修改，直至满足限额设计要求，不另行增加设计费，且由此造成发包人委托的造价咨询单位重复编制或审核施工图预算的费用由承包人承担，结算时在设计费中扣除。</w:t>
      </w:r>
    </w:p>
    <w:p w14:paraId="06320698">
      <w:pPr>
        <w:pStyle w:val="54"/>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highlight w:val="none"/>
        </w:rPr>
      </w:pPr>
      <w:bookmarkStart w:id="350" w:name="_Toc16582"/>
      <w:bookmarkStart w:id="351" w:name="_Toc27815"/>
      <w:bookmarkStart w:id="352" w:name="_Toc20951"/>
      <w:bookmarkStart w:id="353" w:name="_Toc10533"/>
      <w:bookmarkStart w:id="354" w:name="_Toc16922"/>
      <w:bookmarkStart w:id="355" w:name="_Toc467587699"/>
      <w:bookmarkStart w:id="356" w:name="_Toc16000"/>
      <w:bookmarkStart w:id="357" w:name="_Toc469940920"/>
      <w:bookmarkStart w:id="358" w:name="_Toc1359"/>
      <w:bookmarkStart w:id="359" w:name="_Toc4817"/>
      <w:bookmarkStart w:id="360" w:name="_Toc13383"/>
      <w:bookmarkStart w:id="361" w:name="_Toc3936"/>
      <w:r>
        <w:rPr>
          <w:rFonts w:hint="eastAsia" w:ascii="宋体" w:hAnsi="宋体" w:eastAsia="宋体" w:cs="宋体"/>
          <w:b/>
          <w:color w:val="auto"/>
          <w:highlight w:val="none"/>
        </w:rPr>
        <w:t>2 施工图工程量清单预算的编制原则</w:t>
      </w:r>
      <w:bookmarkEnd w:id="350"/>
      <w:bookmarkEnd w:id="351"/>
      <w:bookmarkEnd w:id="352"/>
      <w:bookmarkEnd w:id="353"/>
      <w:bookmarkEnd w:id="354"/>
      <w:bookmarkEnd w:id="355"/>
      <w:bookmarkEnd w:id="356"/>
      <w:bookmarkEnd w:id="357"/>
      <w:bookmarkEnd w:id="358"/>
      <w:bookmarkEnd w:id="359"/>
      <w:bookmarkEnd w:id="360"/>
      <w:bookmarkEnd w:id="361"/>
    </w:p>
    <w:p w14:paraId="6524591D">
      <w:pPr>
        <w:pStyle w:val="55"/>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2.1 施工图设计必须符合本项目限额设计要求。本项目的建安工程费预算价不得超过已批复概算中相应的建安工程费</w:t>
      </w:r>
      <w:r>
        <w:rPr>
          <w:rFonts w:hint="eastAsia" w:ascii="宋体" w:hAnsi="宋体" w:eastAsia="宋体" w:cs="宋体"/>
          <w:color w:val="auto"/>
          <w:szCs w:val="24"/>
          <w:highlight w:val="none"/>
        </w:rPr>
        <w:t>且不得超过建安工程费的中标价</w:t>
      </w:r>
      <w:r>
        <w:rPr>
          <w:rFonts w:hint="eastAsia" w:ascii="宋体" w:hAnsi="宋体" w:eastAsia="宋体" w:cs="宋体"/>
          <w:color w:val="auto"/>
          <w:kern w:val="0"/>
          <w:highlight w:val="none"/>
        </w:rPr>
        <w:t>。否则，承包人必须进行调整，直至符合限额设计要求为止。</w:t>
      </w:r>
    </w:p>
    <w:p w14:paraId="18A41148">
      <w:pPr>
        <w:pageBreakBefore w:val="0"/>
        <w:kinsoku/>
        <w:overflowPunct/>
        <w:topLinePunct w:val="0"/>
        <w:bidi w:val="0"/>
        <w:spacing w:line="440" w:lineRule="exact"/>
        <w:ind w:firstLine="480" w:firstLineChars="200"/>
        <w:jc w:val="left"/>
        <w:textAlignment w:val="auto"/>
        <w:rPr>
          <w:rFonts w:hint="eastAsia" w:ascii="宋体" w:hAnsi="宋体" w:eastAsia="宋体" w:cs="宋体"/>
          <w:i/>
          <w:strike/>
          <w:color w:val="auto"/>
          <w:szCs w:val="24"/>
          <w:highlight w:val="none"/>
        </w:rPr>
      </w:pPr>
      <w:r>
        <w:rPr>
          <w:rFonts w:hint="eastAsia" w:ascii="宋体" w:hAnsi="宋体" w:eastAsia="宋体" w:cs="宋体"/>
          <w:color w:val="auto"/>
          <w:kern w:val="0"/>
          <w:highlight w:val="none"/>
        </w:rPr>
        <w:t>2.2</w:t>
      </w:r>
      <w:r>
        <w:rPr>
          <w:rFonts w:hint="eastAsia" w:ascii="宋体" w:hAnsi="宋体" w:eastAsia="宋体" w:cs="宋体"/>
          <w:color w:val="auto"/>
          <w:szCs w:val="24"/>
          <w:highlight w:val="none"/>
        </w:rPr>
        <w:t xml:space="preserve"> 施工图工程量清单预算价的编制：承包人根据招标文件及设计任务书（或可行性研究报告）、初步设计等相关的文件完成本项目的设计工作，承包人设计的施工图经发包人确认后由发包人委托有资质的审图公司审查，施工图经审查合格后，由承包人编制的施工图工程量清单预算</w:t>
      </w:r>
      <w:r>
        <w:rPr>
          <w:rFonts w:hint="eastAsia" w:ascii="宋体" w:hAnsi="宋体" w:eastAsia="宋体" w:cs="宋体"/>
          <w:color w:val="auto"/>
          <w:kern w:val="0"/>
          <w:szCs w:val="24"/>
          <w:highlight w:val="none"/>
        </w:rPr>
        <w:t>需经过发包人委托的第三方</w:t>
      </w:r>
      <w:r>
        <w:rPr>
          <w:rFonts w:hint="eastAsia" w:ascii="宋体" w:hAnsi="宋体" w:eastAsia="宋体" w:cs="宋体"/>
          <w:color w:val="auto"/>
          <w:szCs w:val="24"/>
          <w:highlight w:val="none"/>
        </w:rPr>
        <w:t>造价咨询单位审核</w:t>
      </w:r>
      <w:r>
        <w:rPr>
          <w:rFonts w:hint="eastAsia" w:ascii="宋体" w:hAnsi="宋体" w:eastAsia="宋体" w:cs="宋体"/>
          <w:color w:val="auto"/>
          <w:kern w:val="0"/>
          <w:szCs w:val="24"/>
          <w:highlight w:val="none"/>
        </w:rPr>
        <w:t>通过后，并报</w:t>
      </w:r>
      <w:r>
        <w:rPr>
          <w:rFonts w:hint="eastAsia" w:ascii="宋体" w:hAnsi="宋体" w:eastAsia="宋体" w:cs="宋体"/>
          <w:color w:val="auto"/>
          <w:szCs w:val="24"/>
          <w:highlight w:val="none"/>
        </w:rPr>
        <w:t>南雄市财政局投资评审中心</w:t>
      </w:r>
      <w:r>
        <w:rPr>
          <w:rFonts w:hint="eastAsia" w:ascii="宋体" w:hAnsi="宋体" w:eastAsia="宋体" w:cs="宋体"/>
          <w:color w:val="auto"/>
          <w:kern w:val="0"/>
          <w:szCs w:val="24"/>
          <w:highlight w:val="none"/>
        </w:rPr>
        <w:t>审核</w:t>
      </w:r>
      <w:r>
        <w:rPr>
          <w:rFonts w:hint="eastAsia" w:ascii="宋体" w:hAnsi="宋体" w:eastAsia="宋体" w:cs="宋体"/>
          <w:color w:val="auto"/>
          <w:szCs w:val="24"/>
          <w:highlight w:val="none"/>
        </w:rPr>
        <w:t>。施工图工程量清单预算的编制依据为：</w:t>
      </w:r>
      <w:r>
        <w:rPr>
          <w:rFonts w:hint="eastAsia" w:ascii="宋体" w:hAnsi="宋体" w:eastAsia="宋体" w:cs="宋体"/>
          <w:color w:val="auto"/>
          <w:kern w:val="0"/>
          <w:highlight w:val="none"/>
        </w:rPr>
        <w:t>（1）2024版清单计价计算标准</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《建设工程工程量清单计价标准》（GB/T 50500-2024）</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kern w:val="0"/>
          <w:highlight w:val="none"/>
          <w:lang w:val="en-US" w:eastAsia="zh-CN"/>
        </w:rPr>
        <w:t>等</w:t>
      </w:r>
      <w:r>
        <w:rPr>
          <w:rFonts w:hint="eastAsia" w:ascii="宋体" w:hAnsi="宋体" w:eastAsia="宋体" w:cs="宋体"/>
          <w:color w:val="auto"/>
          <w:kern w:val="0"/>
          <w:highlight w:val="none"/>
        </w:rPr>
        <w:t>，</w:t>
      </w:r>
      <w:r>
        <w:rPr>
          <w:rFonts w:hint="eastAsia" w:ascii="宋体" w:hAnsi="宋体" w:eastAsia="宋体" w:cs="宋体"/>
          <w:color w:val="auto"/>
          <w:highlight w:val="none"/>
        </w:rPr>
        <w:t>（2）</w:t>
      </w:r>
      <w:r>
        <w:rPr>
          <w:rFonts w:hint="eastAsia" w:ascii="宋体" w:hAnsi="宋体" w:eastAsia="宋体" w:cs="宋体"/>
          <w:color w:val="auto"/>
          <w:szCs w:val="24"/>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zCs w:val="24"/>
          <w:highlight w:val="none"/>
          <w:lang w:eastAsia="zh-CN"/>
        </w:rPr>
        <w:t>。</w:t>
      </w:r>
      <w:r>
        <w:rPr>
          <w:rFonts w:hint="eastAsia" w:ascii="宋体" w:hAnsi="宋体" w:eastAsia="宋体" w:cs="宋体"/>
          <w:color w:val="auto"/>
          <w:kern w:val="0"/>
          <w:szCs w:val="24"/>
          <w:highlight w:val="none"/>
        </w:rPr>
        <w:t>工程量按施工图计算，主要材料价格按预算编制时（招标文件所规定的设计预算编制工期内）当季南雄市工程造价管理机构发布的人工、材料、机械台班综合单价（若南雄市未发布信息则依次参照广东省韶关市、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p>
    <w:p w14:paraId="4CE23B9C">
      <w:pPr>
        <w:pStyle w:val="5"/>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62" w:name="_Toc25565"/>
      <w:bookmarkStart w:id="363" w:name="_Toc13437"/>
      <w:bookmarkStart w:id="364" w:name="_Toc11307"/>
      <w:bookmarkStart w:id="365" w:name="_Toc466640604"/>
      <w:bookmarkStart w:id="366" w:name="_Toc30405"/>
      <w:bookmarkStart w:id="367" w:name="_Toc3958"/>
      <w:bookmarkStart w:id="368" w:name="_Toc755"/>
      <w:bookmarkStart w:id="369" w:name="_Toc12233"/>
      <w:bookmarkStart w:id="370" w:name="_Toc28537"/>
      <w:bookmarkStart w:id="371" w:name="_Toc2286"/>
      <w:bookmarkStart w:id="372" w:name="_Toc6675"/>
      <w:bookmarkStart w:id="373" w:name="_Hlt87948449"/>
      <w:bookmarkStart w:id="374" w:name="_Hlt87948447"/>
      <w:r>
        <w:rPr>
          <w:rFonts w:hint="eastAsia" w:ascii="宋体" w:hAnsi="宋体" w:eastAsia="宋体" w:cs="宋体"/>
          <w:b/>
          <w:color w:val="auto"/>
          <w:kern w:val="2"/>
          <w:szCs w:val="24"/>
          <w:highlight w:val="none"/>
        </w:rPr>
        <w:t>3 工程结算原则</w:t>
      </w:r>
      <w:bookmarkEnd w:id="362"/>
      <w:bookmarkEnd w:id="363"/>
      <w:bookmarkEnd w:id="364"/>
      <w:bookmarkEnd w:id="365"/>
      <w:bookmarkEnd w:id="366"/>
      <w:bookmarkEnd w:id="367"/>
      <w:bookmarkEnd w:id="368"/>
      <w:bookmarkEnd w:id="369"/>
      <w:bookmarkEnd w:id="370"/>
      <w:bookmarkEnd w:id="371"/>
      <w:bookmarkEnd w:id="372"/>
    </w:p>
    <w:p w14:paraId="2D85B2AB">
      <w:pPr>
        <w:pageBreakBefore w:val="0"/>
        <w:kinsoku/>
        <w:overflowPunct/>
        <w:topLinePunct w:val="0"/>
        <w:bidi w:val="0"/>
        <w:spacing w:line="440" w:lineRule="exact"/>
        <w:ind w:firstLine="480" w:firstLineChars="200"/>
        <w:jc w:val="left"/>
        <w:textAlignment w:val="auto"/>
        <w:rPr>
          <w:rFonts w:asciiTheme="minorEastAsia" w:hAnsiTheme="minorEastAsia" w:eastAsiaTheme="minorEastAsia" w:cstheme="minorEastAsia"/>
          <w:color w:val="auto"/>
          <w:kern w:val="1"/>
          <w:szCs w:val="24"/>
          <w:highlight w:val="none"/>
        </w:rPr>
      </w:pPr>
      <w:r>
        <w:rPr>
          <w:rFonts w:hint="eastAsia" w:ascii="宋体" w:hAnsi="宋体" w:eastAsia="宋体" w:cs="宋体"/>
          <w:color w:val="auto"/>
          <w:szCs w:val="24"/>
          <w:highlight w:val="none"/>
        </w:rPr>
        <w:t>3.1设计费结算原则：</w:t>
      </w:r>
      <w:r>
        <w:rPr>
          <w:rFonts w:asciiTheme="minorEastAsia" w:hAnsiTheme="minorEastAsia" w:eastAsiaTheme="minorEastAsia" w:cstheme="minorEastAsia"/>
          <w:color w:val="auto"/>
          <w:szCs w:val="24"/>
          <w:highlight w:val="none"/>
        </w:rPr>
        <w:t>设计费按中标价包干，结算时不作任何调整</w:t>
      </w:r>
      <w:r>
        <w:rPr>
          <w:rFonts w:asciiTheme="minorEastAsia" w:hAnsiTheme="minorEastAsia" w:eastAsiaTheme="minorEastAsia" w:cstheme="minorEastAsia"/>
          <w:color w:val="auto"/>
          <w:kern w:val="1"/>
          <w:szCs w:val="24"/>
          <w:highlight w:val="none"/>
        </w:rPr>
        <w:t>。</w:t>
      </w:r>
    </w:p>
    <w:p w14:paraId="0C142574">
      <w:pPr>
        <w:pageBreakBefore w:val="0"/>
        <w:kinsoku/>
        <w:overflowPunct/>
        <w:topLinePunct w:val="0"/>
        <w:bidi w:val="0"/>
        <w:spacing w:line="440" w:lineRule="exact"/>
        <w:ind w:firstLine="480" w:firstLineChars="200"/>
        <w:jc w:val="lef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3.2工程费用结算基准价的确定：以第2</w:t>
      </w:r>
      <w:r>
        <w:rPr>
          <w:rFonts w:hint="eastAsia" w:ascii="宋体" w:hAnsi="宋体" w:eastAsia="宋体" w:cs="宋体"/>
          <w:b/>
          <w:color w:val="auto"/>
          <w:highlight w:val="none"/>
        </w:rPr>
        <w:t>～</w:t>
      </w:r>
      <w:r>
        <w:rPr>
          <w:rFonts w:hint="eastAsia" w:ascii="宋体" w:hAnsi="宋体" w:eastAsia="宋体" w:cs="宋体"/>
          <w:color w:val="auto"/>
          <w:szCs w:val="24"/>
          <w:highlight w:val="none"/>
        </w:rPr>
        <w:t>2条工程预算价编制原则编制的经审核后的预算价乘以（1－承包人中标下浮率）作为此工程项目的建安工程结算基准价（不含预备费）。</w:t>
      </w:r>
    </w:p>
    <w:p w14:paraId="26F4FBB9">
      <w:pPr>
        <w:pageBreakBefore w:val="0"/>
        <w:kinsoku/>
        <w:overflowPunct/>
        <w:topLinePunct w:val="0"/>
        <w:bidi w:val="0"/>
        <w:spacing w:line="440" w:lineRule="exact"/>
        <w:ind w:firstLine="480" w:firstLineChars="200"/>
        <w:jc w:val="left"/>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3.3</w:t>
      </w:r>
      <w:r>
        <w:rPr>
          <w:rFonts w:hint="eastAsia" w:ascii="宋体" w:hAnsi="宋体" w:eastAsia="宋体" w:cs="宋体"/>
          <w:color w:val="auto"/>
          <w:szCs w:val="24"/>
          <w:highlight w:val="none"/>
        </w:rPr>
        <w:t>工程</w:t>
      </w:r>
      <w:r>
        <w:rPr>
          <w:rFonts w:hint="eastAsia" w:ascii="宋体" w:hAnsi="宋体" w:eastAsia="宋体" w:cs="宋体"/>
          <w:color w:val="auto"/>
          <w:kern w:val="0"/>
          <w:szCs w:val="24"/>
          <w:highlight w:val="none"/>
        </w:rPr>
        <w:t>费用结算原则：发包人在不增减建设规模的情况下，结算价即为</w:t>
      </w:r>
      <w:r>
        <w:rPr>
          <w:rFonts w:hint="eastAsia" w:ascii="宋体" w:hAnsi="宋体" w:eastAsia="宋体" w:cs="宋体"/>
          <w:color w:val="auto"/>
          <w:szCs w:val="24"/>
          <w:highlight w:val="none"/>
        </w:rPr>
        <w:t>结算基准价</w:t>
      </w:r>
      <w:r>
        <w:rPr>
          <w:rFonts w:hint="eastAsia" w:ascii="宋体" w:hAnsi="宋体" w:eastAsia="宋体" w:cs="宋体"/>
          <w:color w:val="auto"/>
          <w:kern w:val="0"/>
          <w:szCs w:val="24"/>
          <w:highlight w:val="none"/>
        </w:rPr>
        <w:t>，但下列情形除外：</w:t>
      </w:r>
    </w:p>
    <w:p w14:paraId="45207892">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3.3.1 国家政策性人工价差调整：</w:t>
      </w:r>
      <w:r>
        <w:rPr>
          <w:rFonts w:hint="eastAsia" w:ascii="宋体" w:hAnsi="宋体" w:eastAsia="宋体" w:cs="宋体"/>
          <w:color w:val="auto"/>
          <w:kern w:val="0"/>
          <w:szCs w:val="24"/>
          <w:highlight w:val="none"/>
        </w:rPr>
        <w:t>调整方式按省、市有关规定调整。</w:t>
      </w:r>
    </w:p>
    <w:p w14:paraId="1B2CAC29">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3.3.2 当后继相关法律、法规、规章和政策引起安全文明施工费发生变化时，应当按照省建设行政主管部门或省、韶关市、南雄市工程造价管理机构据此发布的规定调整；</w:t>
      </w:r>
    </w:p>
    <w:p w14:paraId="60C60D4E">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3.3.3 当后继相关法律、法规、规章和政策引起规费、税金等发生变化时，应当按照省政府或省、韶关市、南雄市有关主管部门据此发布的规定调整；</w:t>
      </w:r>
    </w:p>
    <w:p w14:paraId="79AD605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宋体" w:hAnsi="宋体" w:eastAsia="宋体" w:cs="宋体"/>
          <w:color w:val="auto"/>
          <w:kern w:val="0"/>
          <w:szCs w:val="24"/>
          <w:highlight w:val="none"/>
        </w:rPr>
        <w:t>人工费</w:t>
      </w:r>
      <w:r>
        <w:rPr>
          <w:rFonts w:hint="eastAsia" w:ascii="宋体" w:hAnsi="宋体" w:eastAsia="宋体" w:cs="宋体"/>
          <w:color w:val="auto"/>
          <w:szCs w:val="24"/>
          <w:highlight w:val="none"/>
        </w:rPr>
        <w:t>根据国家政策按实调整；机械费浮动超过±10%，双方同意调整10％以外部分价差。其工、料、机消耗量以发包人确认的</w:t>
      </w:r>
      <w:r>
        <w:rPr>
          <w:rFonts w:hint="eastAsia" w:ascii="宋体" w:hAnsi="宋体" w:eastAsia="宋体" w:cs="宋体"/>
          <w:color w:val="auto"/>
          <w:kern w:val="0"/>
          <w:szCs w:val="24"/>
          <w:highlight w:val="none"/>
        </w:rPr>
        <w:t>施工图工程量清单预算</w:t>
      </w:r>
      <w:r>
        <w:rPr>
          <w:rFonts w:hint="eastAsia" w:ascii="宋体" w:hAnsi="宋体" w:eastAsia="宋体" w:cs="宋体"/>
          <w:color w:val="auto"/>
          <w:szCs w:val="24"/>
          <w:highlight w:val="none"/>
        </w:rPr>
        <w:t>及进度中的消耗量为准。</w:t>
      </w:r>
    </w:p>
    <w:p w14:paraId="2B0F96E0">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kern w:val="0"/>
          <w:szCs w:val="24"/>
          <w:highlight w:val="none"/>
          <w:u w:val="single"/>
        </w:rPr>
      </w:pPr>
      <w:r>
        <w:rPr>
          <w:rFonts w:hint="eastAsia" w:ascii="宋体" w:hAnsi="宋体" w:eastAsia="宋体" w:cs="宋体"/>
          <w:b/>
          <w:bCs/>
          <w:color w:val="auto"/>
          <w:kern w:val="0"/>
          <w:szCs w:val="24"/>
          <w:highlight w:val="none"/>
          <w:u w:val="single"/>
        </w:rPr>
        <w:t>注：人工费、材料单价、机械台班的价差调整基数是以施工当季《南雄建筑工程造价信息》</w:t>
      </w:r>
      <w:r>
        <w:rPr>
          <w:rFonts w:hint="eastAsia" w:ascii="宋体" w:hAnsi="宋体" w:eastAsia="宋体" w:cs="宋体"/>
          <w:b/>
          <w:bCs/>
          <w:color w:val="auto"/>
          <w:szCs w:val="24"/>
          <w:highlight w:val="none"/>
          <w:u w:val="single"/>
        </w:rPr>
        <w:t>（如信息价没有时参考施工当月&lt;韶关建筑工程造价信息&gt;）</w:t>
      </w:r>
      <w:r>
        <w:rPr>
          <w:rFonts w:hint="eastAsia" w:ascii="宋体" w:hAnsi="宋体" w:eastAsia="宋体" w:cs="宋体"/>
          <w:b/>
          <w:bCs/>
          <w:color w:val="auto"/>
          <w:kern w:val="0"/>
          <w:szCs w:val="24"/>
          <w:highlight w:val="none"/>
          <w:u w:val="single"/>
        </w:rPr>
        <w:t>公布的信息价（包括人工费、材料单价、机械台班）为F1与编制施工图工程量清单预算当季</w:t>
      </w:r>
      <w:r>
        <w:rPr>
          <w:rFonts w:hint="eastAsia" w:ascii="宋体" w:hAnsi="宋体" w:eastAsia="宋体" w:cs="宋体"/>
          <w:b/>
          <w:color w:val="auto"/>
          <w:kern w:val="0"/>
          <w:szCs w:val="24"/>
          <w:highlight w:val="none"/>
          <w:u w:val="single"/>
        </w:rPr>
        <w:t>（招标文件所规定的设计预算编制工期内）</w:t>
      </w:r>
      <w:r>
        <w:rPr>
          <w:rFonts w:hint="eastAsia" w:ascii="宋体" w:hAnsi="宋体" w:eastAsia="宋体" w:cs="宋体"/>
          <w:b/>
          <w:bCs/>
          <w:color w:val="auto"/>
          <w:kern w:val="0"/>
          <w:szCs w:val="24"/>
          <w:highlight w:val="none"/>
          <w:u w:val="single"/>
        </w:rPr>
        <w:t>《南雄建筑工程造价信息》</w:t>
      </w:r>
      <w:r>
        <w:rPr>
          <w:rFonts w:hint="eastAsia" w:ascii="宋体" w:hAnsi="宋体" w:eastAsia="宋体" w:cs="宋体"/>
          <w:b/>
          <w:bCs/>
          <w:color w:val="auto"/>
          <w:szCs w:val="24"/>
          <w:highlight w:val="none"/>
          <w:u w:val="single"/>
        </w:rPr>
        <w:t>（如信息价没有时参考预算编制当月</w:t>
      </w:r>
      <w:r>
        <w:rPr>
          <w:rFonts w:hint="eastAsia" w:ascii="宋体" w:hAnsi="宋体" w:eastAsia="宋体" w:cs="宋体"/>
          <w:b/>
          <w:color w:val="auto"/>
          <w:kern w:val="0"/>
          <w:szCs w:val="24"/>
          <w:highlight w:val="none"/>
          <w:u w:val="single"/>
        </w:rPr>
        <w:t>（招标文件所规定的设计预算编制工期内）</w:t>
      </w:r>
      <w:r>
        <w:rPr>
          <w:rFonts w:hint="eastAsia" w:ascii="宋体" w:hAnsi="宋体" w:eastAsia="宋体" w:cs="宋体"/>
          <w:b/>
          <w:bCs/>
          <w:color w:val="auto"/>
          <w:szCs w:val="24"/>
          <w:highlight w:val="none"/>
          <w:u w:val="single"/>
        </w:rPr>
        <w:t>&lt;韶关建筑工程造价信息&gt;）</w:t>
      </w:r>
      <w:r>
        <w:rPr>
          <w:rFonts w:hint="eastAsia" w:ascii="宋体" w:hAnsi="宋体" w:eastAsia="宋体" w:cs="宋体"/>
          <w:b/>
          <w:bCs/>
          <w:color w:val="auto"/>
          <w:kern w:val="0"/>
          <w:szCs w:val="24"/>
          <w:highlight w:val="none"/>
          <w:u w:val="single"/>
        </w:rPr>
        <w:t>公布的信息价（包括人工费、材料单价、机械台班）F0比较。</w:t>
      </w:r>
    </w:p>
    <w:p w14:paraId="108FA45B">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1）人工费调整方式：按省、市有关规定调整。</w:t>
      </w:r>
    </w:p>
    <w:p w14:paraId="3727D6C7">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2）材料补差方式：</w:t>
      </w:r>
    </w:p>
    <w:p w14:paraId="3F55ED0A">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0C40517F">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当材料涨价时，材料补差= F0×（A-5%），当材料跌价时，材料补差= F0×（A+5%），材料补差只计算相应的规费和税金。</w:t>
      </w:r>
    </w:p>
    <w:p w14:paraId="16800FAC">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3）施工机械使用费补差方式：</w:t>
      </w:r>
    </w:p>
    <w:p w14:paraId="407AE3E8">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调价系数A=（F1-F0）÷F0×100%</w:t>
      </w:r>
    </w:p>
    <w:p w14:paraId="2AC7F580">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当施工机械台班费涨价时，机械台班补差= F0×（A-10%），当施工机械台班费跌价时，机械台班补差= F0×（A+10%）， 施工机械使用费补差只计算相应的规费和税金。</w:t>
      </w:r>
    </w:p>
    <w:p w14:paraId="4CC0F1AD">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4）若项目规模、建设标准等发生变化，因变化而发生的措施项目费结算时进行相应增减。</w:t>
      </w:r>
    </w:p>
    <w:p w14:paraId="117E24D8">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施工合同履行期间，由于非承包人原因导致工程变更的，发、承包双方应当按照2024版清单计价计算标准和省的有关规定，依据实际变更项目调整工程价款。工程变更引起工程量发生变化，出现本合同价款调整方式第3.3.5款情形的，应当按照其规定调整；其他情形的，按照以下规定调整：</w:t>
      </w:r>
    </w:p>
    <w:p w14:paraId="7A676A8E">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①结算基准价中有适用于变更工程项目的，按照该项目的单价或合价调整；</w:t>
      </w:r>
    </w:p>
    <w:p w14:paraId="71D40506">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②结算基准价中没有适用、只有类似于变更工程项目的，可在合理范围内参照类似项目的单价或合价调整；</w:t>
      </w:r>
    </w:p>
    <w:p w14:paraId="4C63FDAD">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693FCD60">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1765C6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6B237D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 xml:space="preserve">    6）建设工程完工后，发、承包双方和受其委托具有相应资质的工程造价咨询企业必须按照2024版清单计价计算标准和省的有关规定办理竣工结算。</w:t>
      </w:r>
    </w:p>
    <w:p w14:paraId="1E5D6A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3.3.5 工程造价调整项目若是结算基准价中没有的项目，其造价调整如下：</w:t>
      </w:r>
    </w:p>
    <w:p w14:paraId="484DDD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按</w:t>
      </w:r>
      <w:r>
        <w:rPr>
          <w:rFonts w:hint="eastAsia" w:ascii="宋体" w:hAnsi="宋体" w:eastAsia="宋体" w:cs="宋体"/>
          <w:color w:val="auto"/>
          <w:sz w:val="24"/>
          <w:szCs w:val="24"/>
          <w:highlight w:val="none"/>
        </w:rPr>
        <w:t>（1）2024版清单计价计算标准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Cs w:val="24"/>
          <w:highlight w:val="none"/>
        </w:rPr>
        <w:t>（2）2018年广东省建设工程计价依据（包括2018年《广东省市政工程综合定额》、2018年《广东省房屋建筑与装饰工程综合定额》、2018年《广东省通用安装工程综合定额》、2018年《广东省园林绿化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2018年《广东省建设工程施工机具台班费用编制规则》）</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39C5571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清单项目如只单独调整人工、材料、机械台班价差的，其人工、材料、机械台班消耗量均以审定施工图预算中的该清单项目的人工、材料、机械台班消耗量为准。</w:t>
      </w:r>
    </w:p>
    <w:p w14:paraId="3C52DF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rPr>
        <w:t>中标人</w:t>
      </w:r>
      <w:r>
        <w:rPr>
          <w:rFonts w:hint="eastAsia" w:ascii="宋体" w:hAnsi="宋体" w:eastAsia="宋体" w:cs="宋体"/>
          <w:color w:val="auto"/>
          <w:szCs w:val="24"/>
          <w:highlight w:val="none"/>
        </w:rPr>
        <w:t>不得以不完全了解现场情况为理由，提出额外付款或延长工期等要求。对此类要求，</w:t>
      </w:r>
      <w:r>
        <w:rPr>
          <w:rFonts w:hint="eastAsia" w:ascii="宋体" w:hAnsi="宋体" w:eastAsia="宋体" w:cs="宋体"/>
          <w:color w:val="auto"/>
          <w:sz w:val="24"/>
          <w:szCs w:val="24"/>
          <w:highlight w:val="none"/>
        </w:rPr>
        <w:t>招标人</w:t>
      </w:r>
      <w:r>
        <w:rPr>
          <w:rFonts w:hint="eastAsia" w:ascii="宋体" w:hAnsi="宋体" w:eastAsia="宋体" w:cs="宋体"/>
          <w:color w:val="auto"/>
          <w:szCs w:val="24"/>
          <w:highlight w:val="none"/>
        </w:rPr>
        <w:t>不作任何考虑及答复。</w:t>
      </w:r>
    </w:p>
    <w:p w14:paraId="351678B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合同履行期间，由于设计人原因导致发生设计变更或现场签证的，由此增加的工程造价费用，由承包人自行承担，发包人不予以考虑和补偿，同时按相关违约条款处罚。</w:t>
      </w:r>
    </w:p>
    <w:p w14:paraId="496DEB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    3.4 如发包人减少建设规模，则</w:t>
      </w:r>
      <w:r>
        <w:rPr>
          <w:rFonts w:hint="eastAsia" w:ascii="宋体" w:hAnsi="宋体" w:eastAsia="宋体" w:cs="宋体"/>
          <w:color w:val="auto"/>
          <w:szCs w:val="24"/>
          <w:highlight w:val="none"/>
        </w:rPr>
        <w:t>根据</w:t>
      </w:r>
      <w:r>
        <w:rPr>
          <w:rFonts w:hint="eastAsia" w:ascii="宋体" w:hAnsi="宋体" w:eastAsia="宋体" w:cs="宋体"/>
          <w:color w:val="auto"/>
          <w:kern w:val="0"/>
          <w:szCs w:val="24"/>
          <w:highlight w:val="none"/>
        </w:rPr>
        <w:t>经发包人确认的预算书</w:t>
      </w:r>
      <w:r>
        <w:rPr>
          <w:rFonts w:hint="eastAsia" w:ascii="宋体" w:hAnsi="宋体" w:eastAsia="宋体" w:cs="宋体"/>
          <w:color w:val="auto"/>
          <w:szCs w:val="24"/>
          <w:highlight w:val="none"/>
        </w:rPr>
        <w:t>扣减减少</w:t>
      </w:r>
      <w:r>
        <w:rPr>
          <w:rFonts w:hint="eastAsia" w:ascii="宋体" w:hAnsi="宋体" w:eastAsia="宋体" w:cs="宋体"/>
          <w:color w:val="auto"/>
          <w:kern w:val="0"/>
          <w:szCs w:val="24"/>
          <w:highlight w:val="none"/>
        </w:rPr>
        <w:t xml:space="preserve">部分工程造价。 </w:t>
      </w:r>
    </w:p>
    <w:p w14:paraId="13A360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trike/>
          <w:color w:val="auto"/>
          <w:szCs w:val="24"/>
          <w:highlight w:val="none"/>
        </w:rPr>
      </w:pPr>
      <w:r>
        <w:rPr>
          <w:rFonts w:hint="eastAsia" w:ascii="宋体" w:hAnsi="宋体" w:eastAsia="宋体" w:cs="宋体"/>
          <w:color w:val="auto"/>
          <w:szCs w:val="24"/>
          <w:highlight w:val="none"/>
        </w:rPr>
        <w:t xml:space="preserve">    3.5 预备费：</w:t>
      </w:r>
      <w:r>
        <w:rPr>
          <w:rFonts w:hint="eastAsia" w:ascii="宋体" w:hAnsi="宋体" w:eastAsia="宋体" w:cs="宋体"/>
          <w:b/>
          <w:color w:val="auto"/>
          <w:szCs w:val="24"/>
          <w:highlight w:val="none"/>
        </w:rPr>
        <w:t>由发包人掌握使用，不发生时不计入结算总价。使用范围用于以下情形：</w:t>
      </w:r>
    </w:p>
    <w:p w14:paraId="173EA84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int="eastAsia" w:ascii="宋体" w:hAnsi="宋体" w:eastAsia="宋体" w:cs="宋体"/>
          <w:b/>
          <w:color w:val="auto"/>
          <w:szCs w:val="24"/>
          <w:highlight w:val="none"/>
        </w:rPr>
        <w:t>不发生时不计入结算总价</w:t>
      </w:r>
      <w:r>
        <w:rPr>
          <w:rFonts w:hint="eastAsia" w:ascii="宋体" w:hAnsi="宋体" w:eastAsia="宋体" w:cs="宋体"/>
          <w:color w:val="auto"/>
          <w:szCs w:val="24"/>
          <w:highlight w:val="none"/>
        </w:rPr>
        <w:t>。</w:t>
      </w:r>
    </w:p>
    <w:p w14:paraId="0A760502">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（2）国家政策变化导致的调整。</w:t>
      </w:r>
    </w:p>
    <w:p w14:paraId="68DEDB2F">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（3）施工期间市场物价涨落，引起工程所在地工程造价管理机构发布的价格信息中材料价格变化，主要建筑材料（具体参照第3.3.4条款）价格浮动超过+5%的。</w:t>
      </w:r>
    </w:p>
    <w:p w14:paraId="3879914D">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（4）施工合同签订时尚未确定或者不可预见的所需材料、设备、服务的采购。结算时按实际发生根据本招标文件的工程结算原则第3.3.5款进行结算。</w:t>
      </w:r>
    </w:p>
    <w:p w14:paraId="2039EE5F">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（5）因不可预见的原因施工局部调整或施工技术工艺调整或应急工作需要发生的工程量。</w:t>
      </w:r>
    </w:p>
    <w:p w14:paraId="5A093B9A">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（6）土石方工程等相应的投资概算范围之外的及因地质情况引起的基础变更的工程价款调整：其工程量按实调整，结算时按实际施工工作量及招标文件、合同约定进行结算。</w:t>
      </w:r>
    </w:p>
    <w:p w14:paraId="01E33A94">
      <w:pPr>
        <w:pageBreakBefore w:val="0"/>
        <w:kinsoku/>
        <w:overflowPunct/>
        <w:topLinePunct w:val="0"/>
        <w:bidi w:val="0"/>
        <w:spacing w:line="440" w:lineRule="exact"/>
        <w:ind w:firstLine="48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3.6 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相关规定</w:t>
      </w:r>
      <w:r>
        <w:rPr>
          <w:rFonts w:hint="eastAsia" w:ascii="宋体" w:hAnsi="宋体" w:eastAsia="宋体" w:cs="宋体"/>
          <w:b/>
          <w:bCs/>
          <w:color w:val="auto"/>
          <w:szCs w:val="24"/>
          <w:highlight w:val="none"/>
          <w:lang w:eastAsia="zh-CN"/>
        </w:rPr>
        <w:t>。</w:t>
      </w:r>
    </w:p>
    <w:p w14:paraId="3747E73C">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3.7本工程结算不另行计取高温补贴费用、预算编制费、专业分包总包服务及配合费、设计优化及修改增加的费用。</w:t>
      </w:r>
    </w:p>
    <w:p w14:paraId="0F0FE369">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3.8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14:paraId="40C42218">
      <w:pPr>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3.9 因本项目为</w:t>
      </w:r>
      <w:r>
        <w:rPr>
          <w:rFonts w:hint="eastAsia" w:hAnsi="宋体" w:eastAsia="宋体" w:cs="宋体"/>
          <w:color w:val="auto"/>
          <w:szCs w:val="24"/>
          <w:highlight w:val="none"/>
          <w:lang w:val="en-US" w:eastAsia="zh-CN"/>
        </w:rPr>
        <w:t>设计施工总承包</w:t>
      </w:r>
      <w:r>
        <w:rPr>
          <w:rFonts w:hint="eastAsia" w:ascii="宋体" w:hAnsi="宋体" w:eastAsia="宋体" w:cs="宋体"/>
          <w:color w:val="auto"/>
          <w:szCs w:val="24"/>
          <w:highlight w:val="none"/>
        </w:rPr>
        <w:t>总承包，如果设计图纸、施工图预算由于设计深度原因导致的设计变更，不另行增加费用。</w:t>
      </w:r>
    </w:p>
    <w:bookmarkEnd w:id="373"/>
    <w:bookmarkEnd w:id="374"/>
    <w:p w14:paraId="480F48D4">
      <w:pPr>
        <w:pStyle w:val="39"/>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Cs w:val="24"/>
          <w:highlight w:val="none"/>
        </w:rPr>
      </w:pPr>
      <w:bookmarkStart w:id="375" w:name="_Hlt112206782"/>
      <w:bookmarkEnd w:id="375"/>
      <w:bookmarkStart w:id="376" w:name="_Toc2973"/>
      <w:bookmarkStart w:id="377" w:name="_Toc25383"/>
      <w:bookmarkStart w:id="378" w:name="_Toc322793290"/>
      <w:bookmarkStart w:id="379" w:name="_Toc29998"/>
      <w:bookmarkStart w:id="380" w:name="_Toc23408"/>
      <w:bookmarkStart w:id="381" w:name="_Toc24211"/>
      <w:bookmarkStart w:id="382" w:name="_Toc30894"/>
      <w:bookmarkStart w:id="383" w:name="_Toc16793"/>
      <w:bookmarkStart w:id="384" w:name="_Toc11208"/>
      <w:bookmarkStart w:id="385" w:name="_Toc15300"/>
      <w:bookmarkStart w:id="386" w:name="_Toc326916631"/>
      <w:bookmarkStart w:id="387" w:name="_Toc20983"/>
      <w:bookmarkStart w:id="388" w:name="_Hlt87951777"/>
      <w:r>
        <w:rPr>
          <w:rFonts w:hint="eastAsia" w:ascii="宋体" w:hAnsi="宋体" w:eastAsia="宋体" w:cs="宋体"/>
          <w:b/>
          <w:color w:val="auto"/>
          <w:kern w:val="2"/>
          <w:szCs w:val="24"/>
          <w:highlight w:val="none"/>
        </w:rPr>
        <w:t>4 工程付款办法</w:t>
      </w:r>
      <w:bookmarkEnd w:id="376"/>
      <w:bookmarkEnd w:id="377"/>
      <w:bookmarkEnd w:id="378"/>
      <w:bookmarkEnd w:id="379"/>
      <w:bookmarkEnd w:id="380"/>
      <w:bookmarkEnd w:id="381"/>
      <w:bookmarkEnd w:id="382"/>
      <w:bookmarkEnd w:id="383"/>
      <w:bookmarkEnd w:id="384"/>
      <w:bookmarkEnd w:id="385"/>
      <w:bookmarkEnd w:id="386"/>
      <w:bookmarkEnd w:id="387"/>
    </w:p>
    <w:bookmarkEnd w:id="388"/>
    <w:p w14:paraId="44BF52EA">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2"/>
          <w:highlight w:val="none"/>
        </w:rPr>
      </w:pPr>
      <w:bookmarkStart w:id="389" w:name="_Hlt70150985"/>
      <w:bookmarkEnd w:id="389"/>
      <w:bookmarkStart w:id="390" w:name="_Hlt69114106"/>
      <w:bookmarkEnd w:id="390"/>
      <w:bookmarkStart w:id="391" w:name="_Hlt66593437"/>
      <w:bookmarkEnd w:id="391"/>
      <w:bookmarkStart w:id="392" w:name="_Hlt66608388"/>
      <w:bookmarkEnd w:id="392"/>
      <w:bookmarkStart w:id="393" w:name="_Hlt69700007"/>
      <w:bookmarkEnd w:id="393"/>
      <w:bookmarkStart w:id="394" w:name="_Hlt66591689"/>
      <w:bookmarkEnd w:id="394"/>
      <w:bookmarkStart w:id="395" w:name="_Hlt69669774"/>
      <w:bookmarkEnd w:id="395"/>
      <w:bookmarkStart w:id="396" w:name="_Hlt88976467"/>
      <w:bookmarkEnd w:id="396"/>
      <w:r>
        <w:rPr>
          <w:rFonts w:hint="eastAsia" w:ascii="宋体" w:hAnsi="宋体" w:eastAsia="宋体" w:cs="宋体"/>
          <w:b/>
          <w:bCs/>
          <w:color w:val="auto"/>
          <w:szCs w:val="22"/>
          <w:highlight w:val="none"/>
        </w:rPr>
        <w:t>4.1</w:t>
      </w:r>
      <w:r>
        <w:rPr>
          <w:rFonts w:hint="eastAsia" w:ascii="宋体" w:hAnsi="宋体" w:eastAsia="宋体" w:cs="宋体"/>
          <w:b/>
          <w:bCs/>
          <w:color w:val="auto"/>
          <w:szCs w:val="21"/>
          <w:highlight w:val="none"/>
        </w:rPr>
        <w:t>设计费的支付</w:t>
      </w:r>
      <w:r>
        <w:rPr>
          <w:rFonts w:hint="eastAsia" w:ascii="宋体" w:hAnsi="宋体" w:eastAsia="宋体" w:cs="宋体"/>
          <w:color w:val="auto"/>
          <w:szCs w:val="22"/>
          <w:highlight w:val="none"/>
        </w:rPr>
        <w:t>：</w:t>
      </w:r>
    </w:p>
    <w:p w14:paraId="557AF889">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4.1.1完成本项目工程施工图设计并提交符合要求的完整送审施工图设计文件后，相关请款资料经南雄市财政局审批后10个工作日内，支付至设计费合同价款的30%。</w:t>
      </w:r>
    </w:p>
    <w:p w14:paraId="30481175">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4.1.2本项目工程施工图设计经发包人委托具有资质的第三方审图机构审查合格并提交合格的完整施工图设计成果文件后，相关请款资料经南雄市财政局审批后10个工作日内，支付至设计费合同价款的50%。</w:t>
      </w:r>
    </w:p>
    <w:p w14:paraId="5098C451">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4.1.3完成本项目工程施工图预算并经南雄市财政局投资评审中心审定后，相关请款资料经南雄市财政局审批后10个工作日内，支付至设计费合同价款的70%。</w:t>
      </w:r>
    </w:p>
    <w:p w14:paraId="3584E67E">
      <w:pPr>
        <w:pStyle w:val="37"/>
        <w:pageBreakBefore w:val="0"/>
        <w:kinsoku/>
        <w:overflowPunct/>
        <w:topLinePunct w:val="0"/>
        <w:bidi w:val="0"/>
        <w:spacing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highlight w:val="none"/>
        </w:rPr>
        <w:t>4.1.4工程竣工验收合格后，相关请款资料经南雄市财政局审批后10个工作日内支付剩余的设计费余额。</w:t>
      </w:r>
    </w:p>
    <w:p w14:paraId="05556176">
      <w:pPr>
        <w:pStyle w:val="37"/>
        <w:pageBreakBefore w:val="0"/>
        <w:kinsoku/>
        <w:overflowPunct/>
        <w:topLinePunct w:val="0"/>
        <w:bidi w:val="0"/>
        <w:spacing w:line="440" w:lineRule="exact"/>
        <w:ind w:firstLine="482" w:firstLineChars="200"/>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t xml:space="preserve">4.2 </w:t>
      </w:r>
      <w:r>
        <w:rPr>
          <w:rFonts w:hint="eastAsia" w:ascii="宋体" w:hAnsi="宋体" w:eastAsia="宋体" w:cs="宋体"/>
          <w:b/>
          <w:bCs/>
          <w:color w:val="auto"/>
          <w:szCs w:val="21"/>
          <w:highlight w:val="none"/>
        </w:rPr>
        <w:t>建安工程款的支付</w:t>
      </w:r>
      <w:r>
        <w:rPr>
          <w:rFonts w:hint="eastAsia" w:ascii="宋体" w:hAnsi="宋体" w:eastAsia="宋体" w:cs="宋体"/>
          <w:color w:val="auto"/>
          <w:szCs w:val="22"/>
          <w:highlight w:val="none"/>
        </w:rPr>
        <w:t>：</w:t>
      </w:r>
    </w:p>
    <w:p w14:paraId="0583FB5C">
      <w:pPr>
        <w:pStyle w:val="37"/>
        <w:pageBreakBefore w:val="0"/>
        <w:kinsoku/>
        <w:overflowPunct/>
        <w:topLinePunct w:val="0"/>
        <w:bidi w:val="0"/>
        <w:spacing w:line="44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4.2.1 本工程</w:t>
      </w:r>
      <w:r>
        <w:rPr>
          <w:rFonts w:hint="eastAsia" w:ascii="宋体" w:hAnsi="宋体" w:eastAsia="宋体" w:cs="宋体"/>
          <w:color w:val="auto"/>
          <w:highlight w:val="none"/>
          <w:u w:val="single"/>
        </w:rPr>
        <w:t>支付</w:t>
      </w:r>
      <w:r>
        <w:rPr>
          <w:rFonts w:hint="eastAsia" w:ascii="宋体" w:hAnsi="宋体" w:eastAsia="宋体" w:cs="宋体"/>
          <w:color w:val="auto"/>
          <w:highlight w:val="none"/>
        </w:rPr>
        <w:t>施工预付款。</w:t>
      </w:r>
    </w:p>
    <w:p w14:paraId="591B903E">
      <w:pPr>
        <w:pStyle w:val="37"/>
        <w:pageBreakBefore w:val="0"/>
        <w:kinsoku/>
        <w:overflowPunct/>
        <w:topLinePunct w:val="0"/>
        <w:bidi w:val="0"/>
        <w:spacing w:line="440" w:lineRule="exact"/>
        <w:ind w:firstLine="480"/>
        <w:textAlignment w:val="auto"/>
        <w:rPr>
          <w:rFonts w:hint="eastAsia" w:ascii="宋体" w:hAnsi="宋体" w:eastAsia="宋体" w:cs="宋体"/>
          <w:i/>
          <w:snapToGrid w:val="0"/>
          <w:color w:val="auto"/>
          <w:kern w:val="0"/>
          <w:highlight w:val="none"/>
        </w:rPr>
      </w:pPr>
      <w:r>
        <w:rPr>
          <w:rFonts w:hint="eastAsia" w:ascii="宋体" w:hAnsi="宋体" w:eastAsia="宋体" w:cs="宋体"/>
          <w:color w:val="auto"/>
          <w:highlight w:val="none"/>
        </w:rPr>
        <w:t xml:space="preserve">4.2.2 </w:t>
      </w:r>
      <w:r>
        <w:rPr>
          <w:rFonts w:hint="eastAsia" w:ascii="宋体" w:hAnsi="宋体" w:eastAsia="宋体" w:cs="宋体"/>
          <w:snapToGrid w:val="0"/>
          <w:color w:val="auto"/>
          <w:kern w:val="0"/>
          <w:highlight w:val="none"/>
        </w:rPr>
        <w:t>施工预付款必须专用于合同工程，并按以下原则支付和抵扣：</w:t>
      </w:r>
    </w:p>
    <w:p w14:paraId="3E142A3A">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 施工预付款支付比例为：按施工合同价（预备费除外）的</w:t>
      </w:r>
      <w:r>
        <w:rPr>
          <w:rFonts w:hint="eastAsia" w:ascii="宋体" w:hAnsi="宋体" w:eastAsia="宋体" w:cs="宋体"/>
          <w:snapToGrid w:val="0"/>
          <w:color w:val="auto"/>
          <w:kern w:val="0"/>
          <w:szCs w:val="24"/>
          <w:highlight w:val="none"/>
          <w:u w:val="single"/>
        </w:rPr>
        <w:t xml:space="preserve">30% </w:t>
      </w:r>
      <w:r>
        <w:rPr>
          <w:rFonts w:hint="eastAsia" w:ascii="宋体" w:hAnsi="宋体" w:eastAsia="宋体" w:cs="宋体"/>
          <w:snapToGrid w:val="0"/>
          <w:color w:val="auto"/>
          <w:kern w:val="0"/>
          <w:szCs w:val="24"/>
          <w:highlight w:val="none"/>
        </w:rPr>
        <w:t>支付，施工预付款中包含工人工资预付款，其中工人工资预付款比例为施工合同价（预备费除外）的1%。</w:t>
      </w:r>
    </w:p>
    <w:p w14:paraId="29E84531">
      <w:pPr>
        <w:pageBreakBefore w:val="0"/>
        <w:kinsoku/>
        <w:overflowPunct/>
        <w:topLinePunct w:val="0"/>
        <w:bidi w:val="0"/>
        <w:adjustRightInd w:val="0"/>
        <w:snapToGrid w:val="0"/>
        <w:spacing w:line="440" w:lineRule="exact"/>
        <w:ind w:firstLine="56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snapToGrid w:val="0"/>
          <w:color w:val="auto"/>
          <w:kern w:val="0"/>
          <w:szCs w:val="24"/>
          <w:highlight w:val="none"/>
        </w:rPr>
        <w:t>（2）本工程要求承包人提供与预付款等额的预付款银行保函（</w:t>
      </w:r>
      <w:r>
        <w:rPr>
          <w:rFonts w:hint="eastAsia" w:ascii="宋体" w:hAnsi="宋体" w:eastAsia="宋体" w:cs="宋体"/>
          <w:snapToGrid w:val="0"/>
          <w:color w:val="auto"/>
          <w:kern w:val="0"/>
          <w:szCs w:val="22"/>
          <w:highlight w:val="none"/>
        </w:rPr>
        <w:t>预付款银行保函按发包人提供的格式，详见招标文件第八章：预付款保函</w:t>
      </w:r>
      <w:r>
        <w:rPr>
          <w:rFonts w:hint="eastAsia" w:ascii="宋体" w:hAnsi="宋体" w:eastAsia="宋体" w:cs="宋体"/>
          <w:snapToGrid w:val="0"/>
          <w:color w:val="auto"/>
          <w:kern w:val="0"/>
          <w:szCs w:val="24"/>
          <w:highlight w:val="none"/>
        </w:rPr>
        <w:t>），</w:t>
      </w:r>
      <w:r>
        <w:rPr>
          <w:rFonts w:hint="eastAsia" w:ascii="宋体" w:hAnsi="宋体" w:eastAsia="宋体" w:cs="宋体"/>
          <w:b/>
          <w:snapToGrid w:val="0"/>
          <w:color w:val="auto"/>
          <w:kern w:val="0"/>
          <w:szCs w:val="24"/>
          <w:highlight w:val="none"/>
        </w:rPr>
        <w:t>且本工程预付款保函期限原则上不少于</w:t>
      </w:r>
      <w:r>
        <w:rPr>
          <w:rFonts w:hint="eastAsia" w:hAnsi="宋体" w:eastAsia="宋体" w:cs="宋体"/>
          <w:b/>
          <w:snapToGrid w:val="0"/>
          <w:color w:val="auto"/>
          <w:kern w:val="0"/>
          <w:szCs w:val="24"/>
          <w:highlight w:val="none"/>
          <w:lang w:val="en-US" w:eastAsia="zh-CN"/>
        </w:rPr>
        <w:t>15</w:t>
      </w:r>
      <w:r>
        <w:rPr>
          <w:rFonts w:hint="eastAsia" w:ascii="宋体" w:hAnsi="宋体" w:eastAsia="宋体" w:cs="宋体"/>
          <w:b/>
          <w:snapToGrid w:val="0"/>
          <w:color w:val="auto"/>
          <w:kern w:val="0"/>
          <w:szCs w:val="24"/>
          <w:highlight w:val="none"/>
        </w:rPr>
        <w:t>个月，承包人的预付款保函有效期应保证在扣回预付款前有效，未扣回预付款但保函过期的，承包人应重新开具预付款保函。</w:t>
      </w:r>
    </w:p>
    <w:p w14:paraId="277571BF">
      <w:pPr>
        <w:pStyle w:val="37"/>
        <w:pageBreakBefore w:val="0"/>
        <w:kinsoku/>
        <w:overflowPunct/>
        <w:topLinePunct w:val="0"/>
        <w:bidi w:val="0"/>
        <w:spacing w:line="44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szCs w:val="24"/>
          <w:highlight w:val="none"/>
        </w:rPr>
        <w:t>（3）承包人应在签订施工合同后，在提供等额的预付款保函及具备施工条件的前提下（如承包人主要人员及主要机械进场到位），向发包人提交预付款支付申请。</w:t>
      </w:r>
    </w:p>
    <w:p w14:paraId="5ACB0904">
      <w:pPr>
        <w:pStyle w:val="37"/>
        <w:pageBreakBefore w:val="0"/>
        <w:kinsoku/>
        <w:overflowPunct/>
        <w:topLinePunct w:val="0"/>
        <w:bidi w:val="0"/>
        <w:spacing w:line="44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发包人在收到支付申请的7天内进行核实后，按程序向财政部门申请一次性支付预付款（工人工资预付款单独支付至工人工资专用账户）。</w:t>
      </w:r>
      <w:r>
        <w:rPr>
          <w:rFonts w:hint="eastAsia" w:ascii="宋体" w:hAnsi="宋体" w:eastAsia="宋体" w:cs="宋体"/>
          <w:b/>
          <w:snapToGrid w:val="0"/>
          <w:color w:val="auto"/>
          <w:kern w:val="0"/>
          <w:highlight w:val="none"/>
        </w:rPr>
        <w:t>凡未签订合同、未提供预付款保函或不具备施工条件的工程，发包人不预付工程款。</w:t>
      </w:r>
    </w:p>
    <w:p w14:paraId="11B6A5A4">
      <w:pPr>
        <w:pStyle w:val="37"/>
        <w:pageBreakBefore w:val="0"/>
        <w:kinsoku/>
        <w:overflowPunct/>
        <w:topLinePunct w:val="0"/>
        <w:bidi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（4）预付款应从每支付期应支付给承包人的工程进度款中扣回，扣回比例为每支付期的工程进度款的50%，直到扣回的金额达到合同约定的预付款金额为止。</w:t>
      </w:r>
    </w:p>
    <w:p w14:paraId="153CFBB6">
      <w:pPr>
        <w:pStyle w:val="37"/>
        <w:pageBreakBefore w:val="0"/>
        <w:kinsoku/>
        <w:overflowPunct/>
        <w:topLinePunct w:val="0"/>
        <w:bidi w:val="0"/>
        <w:spacing w:line="440" w:lineRule="exact"/>
        <w:ind w:firstLine="480" w:firstLineChars="200"/>
        <w:textAlignment w:val="auto"/>
        <w:rPr>
          <w:rFonts w:hint="eastAsia" w:ascii="宋体" w:hAnsi="宋体" w:eastAsia="宋体" w:cs="宋体"/>
          <w:bCs/>
          <w:snapToGrid w:val="0"/>
          <w:color w:val="auto"/>
          <w:kern w:val="0"/>
          <w:highlight w:val="none"/>
        </w:rPr>
      </w:pPr>
      <w:r>
        <w:rPr>
          <w:rFonts w:hint="eastAsia" w:ascii="宋体" w:hAnsi="宋体" w:eastAsia="宋体" w:cs="宋体"/>
          <w:color w:val="auto"/>
          <w:highlight w:val="none"/>
        </w:rPr>
        <w:t xml:space="preserve"> 4.2.3工程进度款支付条件：承包人必须提供完整的施工图预算（加盖承包人公章及注册造价工程师注册章）报发包人审核后方可支付工程进度款。</w:t>
      </w:r>
    </w:p>
    <w:p w14:paraId="03832D79">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rPr>
      </w:pPr>
      <w:r>
        <w:rPr>
          <w:rFonts w:hint="eastAsia" w:ascii="宋体" w:hAnsi="宋体" w:eastAsia="宋体" w:cs="宋体"/>
          <w:color w:val="auto"/>
          <w:szCs w:val="24"/>
          <w:highlight w:val="none"/>
        </w:rPr>
        <w:t xml:space="preserve"> 4.2.4</w:t>
      </w:r>
      <w:r>
        <w:rPr>
          <w:rFonts w:hint="eastAsia" w:ascii="宋体" w:hAnsi="宋体" w:eastAsia="宋体" w:cs="宋体"/>
          <w:color w:val="auto"/>
          <w:highlight w:val="none"/>
        </w:rPr>
        <w:t xml:space="preserve"> 施工过程中按月支付工程进度款：承包人每月按</w:t>
      </w:r>
      <w:r>
        <w:rPr>
          <w:rFonts w:hint="eastAsia" w:ascii="宋体" w:hAnsi="宋体" w:eastAsia="宋体" w:cs="宋体"/>
          <w:color w:val="auto"/>
          <w:szCs w:val="22"/>
          <w:highlight w:val="none"/>
        </w:rPr>
        <w:t>工程形象进度申</w:t>
      </w:r>
      <w:r>
        <w:rPr>
          <w:rFonts w:hint="eastAsia" w:ascii="宋体" w:hAnsi="宋体" w:eastAsia="宋体" w:cs="宋体"/>
          <w:color w:val="auto"/>
          <w:highlight w:val="none"/>
        </w:rPr>
        <w:t>报，截止日为当月26日，形象进度和</w:t>
      </w:r>
      <w:r>
        <w:rPr>
          <w:rFonts w:hint="eastAsia" w:ascii="宋体" w:hAnsi="宋体" w:eastAsia="宋体" w:cs="宋体"/>
          <w:snapToGrid w:val="0"/>
          <w:color w:val="auto"/>
          <w:kern w:val="0"/>
          <w:highlight w:val="none"/>
        </w:rPr>
        <w:t>《工程付款申请书》</w:t>
      </w:r>
      <w:r>
        <w:rPr>
          <w:rFonts w:hint="eastAsia" w:ascii="宋体" w:hAnsi="宋体" w:eastAsia="宋体" w:cs="宋体"/>
          <w:color w:val="auto"/>
          <w:highlight w:val="none"/>
        </w:rPr>
        <w:t>由监理单位核实确认，经</w:t>
      </w:r>
      <w:r>
        <w:rPr>
          <w:rFonts w:hint="eastAsia" w:ascii="宋体" w:hAnsi="宋体" w:eastAsia="宋体" w:cs="宋体"/>
          <w:snapToGrid w:val="0"/>
          <w:color w:val="auto"/>
          <w:kern w:val="0"/>
          <w:highlight w:val="none"/>
        </w:rPr>
        <w:t>造价咨询单位（如有造价单位）审核，</w:t>
      </w:r>
      <w:r>
        <w:rPr>
          <w:rFonts w:hint="eastAsia" w:ascii="宋体" w:hAnsi="宋体" w:eastAsia="宋体" w:cs="宋体"/>
          <w:color w:val="auto"/>
          <w:highlight w:val="none"/>
        </w:rPr>
        <w:t>再经发包人审核确认后于申报工程进度款的次月支付。</w:t>
      </w:r>
    </w:p>
    <w:p w14:paraId="36F45B4D">
      <w:pPr>
        <w:pageBreakBefore w:val="0"/>
        <w:kinsoku/>
        <w:overflowPunct/>
        <w:topLinePunct w:val="0"/>
        <w:bidi w:val="0"/>
        <w:spacing w:line="440" w:lineRule="exac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 xml:space="preserve">     4.2.5</w:t>
      </w:r>
      <w:r>
        <w:rPr>
          <w:rFonts w:hint="eastAsia" w:ascii="宋体" w:hAnsi="宋体" w:eastAsia="宋体" w:cs="宋体"/>
          <w:snapToGrid w:val="0"/>
          <w:color w:val="auto"/>
          <w:kern w:val="0"/>
          <w:highlight w:val="none"/>
        </w:rPr>
        <w:t>每月的工程进度款按应付金额的 80 ％支付，工程进度款中的作业工人工资款项暂为该月工程进度款的 30 ％，具体工人工资拨付金额以该月实际审核确认的为准，由发包人将该月审核确认后的作业工人工资款项单独足额拨付到承包人的工资专户。</w:t>
      </w:r>
    </w:p>
    <w:p w14:paraId="58B32180">
      <w:pPr>
        <w:pStyle w:val="37"/>
        <w:pageBreakBefore w:val="0"/>
        <w:kinsoku/>
        <w:overflowPunct/>
        <w:topLinePunct w:val="0"/>
        <w:bidi w:val="0"/>
        <w:spacing w:line="440" w:lineRule="exact"/>
        <w:ind w:firstLine="480" w:firstLineChars="200"/>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4.3</w:t>
      </w:r>
      <w:r>
        <w:rPr>
          <w:rFonts w:hint="eastAsia" w:ascii="宋体" w:hAnsi="宋体" w:eastAsia="宋体" w:cs="宋体"/>
          <w:snapToGrid w:val="0"/>
          <w:color w:val="auto"/>
          <w:kern w:val="0"/>
          <w:szCs w:val="24"/>
          <w:highlight w:val="none"/>
        </w:rPr>
        <w:t>措施项目费中的“绿色施工安全防护措施费”拨付按照《广东省建设工程计价依据（2018）》执行，按照</w:t>
      </w:r>
      <w:r>
        <w:rPr>
          <w:rFonts w:hint="eastAsia" w:ascii="宋体" w:hAnsi="宋体" w:eastAsia="宋体" w:cs="宋体"/>
          <w:color w:val="auto"/>
          <w:szCs w:val="24"/>
          <w:highlight w:val="none"/>
        </w:rPr>
        <w:t>韶关市住房和城乡建设管理局《关于明确建筑工程安全防护、文明施工措施费用具体管理办法的通知》韶市建字〔2015〕26号文的</w:t>
      </w:r>
      <w:r>
        <w:rPr>
          <w:rFonts w:hint="eastAsia" w:ascii="宋体" w:hAnsi="宋体" w:eastAsia="宋体" w:cs="宋体"/>
          <w:snapToGrid w:val="0"/>
          <w:color w:val="auto"/>
          <w:kern w:val="0"/>
          <w:szCs w:val="24"/>
          <w:highlight w:val="none"/>
        </w:rPr>
        <w:t>有关规定支付。发生一般事故及以上等级重大安全事故的，发包人可扣除承包人金额相当于所有“绿色施工安全防护措施费”的工程管理费。</w:t>
      </w:r>
    </w:p>
    <w:p w14:paraId="69510043">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strike/>
          <w:color w:val="auto"/>
          <w:highlight w:val="none"/>
        </w:rPr>
      </w:pPr>
      <w:r>
        <w:rPr>
          <w:rFonts w:hint="eastAsia" w:ascii="宋体" w:hAnsi="宋体" w:eastAsia="宋体" w:cs="宋体"/>
          <w:color w:val="auto"/>
          <w:szCs w:val="24"/>
          <w:highlight w:val="none"/>
        </w:rPr>
        <w:t>4.4</w:t>
      </w:r>
      <w:r>
        <w:rPr>
          <w:rFonts w:hint="eastAsia" w:ascii="宋体" w:hAnsi="宋体" w:eastAsia="宋体" w:cs="宋体"/>
          <w:snapToGrid w:val="0"/>
          <w:color w:val="auto"/>
          <w:kern w:val="0"/>
          <w:szCs w:val="24"/>
          <w:highlight w:val="none"/>
        </w:rPr>
        <w:t>变更工程造价必须经监理单位核实及造价咨询单位（如有造价单位）审核，并经发包人核定后方可支付。</w:t>
      </w:r>
    </w:p>
    <w:p w14:paraId="7A3EAD49">
      <w:pPr>
        <w:pStyle w:val="37"/>
        <w:pageBreakBefore w:val="0"/>
        <w:kinsoku/>
        <w:overflowPunct/>
        <w:topLinePunct w:val="0"/>
        <w:bidi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4.5 结算审核完成后，于次月支付至审定总造价的97%。</w:t>
      </w:r>
      <w:r>
        <w:rPr>
          <w:rFonts w:hint="eastAsia" w:ascii="宋体" w:hAnsi="宋体" w:eastAsia="宋体" w:cs="宋体"/>
          <w:b w:val="0"/>
          <w:bCs/>
          <w:color w:val="auto"/>
          <w:sz w:val="24"/>
          <w:szCs w:val="24"/>
          <w:highlight w:val="none"/>
          <w:lang w:val="en-US" w:eastAsia="zh-CN"/>
        </w:rPr>
        <w:t>根据</w:t>
      </w:r>
      <w:r>
        <w:rPr>
          <w:rFonts w:hint="eastAsia" w:ascii="宋体" w:hAnsi="宋体" w:eastAsia="宋体" w:cs="宋体"/>
          <w:b w:val="0"/>
          <w:bCs/>
          <w:color w:val="auto"/>
          <w:sz w:val="24"/>
          <w:szCs w:val="24"/>
          <w:highlight w:val="none"/>
        </w:rPr>
        <w:t>南雄市人民政府办公室《关于加强市本级政府投资项目财政投资评审监督管理的实施意见》</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雄府办函[2023]5号</w:t>
      </w:r>
      <w:r>
        <w:rPr>
          <w:rFonts w:hint="eastAsia" w:ascii="宋体" w:hAnsi="宋体" w:eastAsia="宋体" w:cs="宋体"/>
          <w:b w:val="0"/>
          <w:bCs/>
          <w:color w:val="auto"/>
          <w:sz w:val="24"/>
          <w:szCs w:val="24"/>
          <w:highlight w:val="none"/>
          <w:lang w:eastAsia="zh-CN"/>
        </w:rPr>
        <w:t>）、《关于进一步加强政府投资项目财政投资评审监督管理的通知》的相关规定，</w:t>
      </w:r>
      <w:r>
        <w:rPr>
          <w:rFonts w:hint="eastAsia" w:ascii="宋体" w:hAnsi="宋体" w:eastAsia="宋体" w:cs="宋体"/>
          <w:b w:val="0"/>
          <w:bCs/>
          <w:color w:val="auto"/>
          <w:sz w:val="24"/>
          <w:szCs w:val="24"/>
          <w:highlight w:val="none"/>
        </w:rPr>
        <w:t>项目工程费用</w:t>
      </w:r>
      <w:r>
        <w:rPr>
          <w:rFonts w:hint="eastAsia" w:ascii="宋体" w:hAnsi="宋体" w:eastAsia="宋体" w:cs="宋体"/>
          <w:b w:val="0"/>
          <w:bCs/>
          <w:color w:val="auto"/>
          <w:sz w:val="24"/>
          <w:szCs w:val="24"/>
          <w:highlight w:val="none"/>
          <w:lang w:eastAsia="zh-CN"/>
        </w:rPr>
        <w:t>结算后，项目工程结算金额若超出</w:t>
      </w:r>
      <w:r>
        <w:rPr>
          <w:rFonts w:hint="eastAsia" w:ascii="宋体" w:hAnsi="宋体" w:eastAsia="宋体" w:cs="宋体"/>
          <w:b w:val="0"/>
          <w:bCs/>
          <w:color w:val="auto"/>
          <w:sz w:val="24"/>
          <w:szCs w:val="24"/>
          <w:highlight w:val="none"/>
          <w:lang w:val="en-US"/>
        </w:rPr>
        <w:t>南雄市财政局投资评审中心</w:t>
      </w:r>
      <w:r>
        <w:rPr>
          <w:rFonts w:hint="eastAsia" w:ascii="宋体" w:hAnsi="宋体" w:eastAsia="宋体" w:cs="宋体"/>
          <w:b w:val="0"/>
          <w:bCs/>
          <w:color w:val="auto"/>
          <w:sz w:val="24"/>
          <w:szCs w:val="24"/>
          <w:highlight w:val="none"/>
          <w:lang w:val="en-US" w:eastAsia="zh-CN"/>
        </w:rPr>
        <w:t>复核的结算金额，承包人必须无条件在30日内按规定返还超付的工程款。</w:t>
      </w:r>
    </w:p>
    <w:p w14:paraId="325CEB3D">
      <w:pPr>
        <w:pStyle w:val="37"/>
        <w:pageBreakBefore w:val="0"/>
        <w:kinsoku/>
        <w:overflowPunct/>
        <w:topLinePunct w:val="0"/>
        <w:bidi w:val="0"/>
        <w:spacing w:line="440" w:lineRule="exact"/>
        <w:textAlignment w:val="auto"/>
        <w:rPr>
          <w:rFonts w:hint="eastAsia" w:ascii="宋体" w:hAnsi="宋体" w:eastAsia="宋体" w:cs="宋体"/>
          <w:strike/>
          <w:color w:val="auto"/>
          <w:highlight w:val="none"/>
        </w:rPr>
      </w:pPr>
      <w:r>
        <w:rPr>
          <w:rFonts w:hint="eastAsia" w:ascii="宋体" w:hAnsi="宋体" w:eastAsia="宋体" w:cs="宋体"/>
          <w:color w:val="auto"/>
          <w:highlight w:val="none"/>
        </w:rPr>
        <w:t xml:space="preserve">    4.6 剩余3%为工程质量保证金，从工程竣工验收合格之日起满</w:t>
      </w:r>
      <w:r>
        <w:rPr>
          <w:rFonts w:hint="eastAsia" w:ascii="宋体" w:hAnsi="宋体" w:eastAsia="宋体" w:cs="宋体"/>
          <w:color w:val="auto"/>
          <w:highlight w:val="none"/>
          <w:u w:val="single"/>
        </w:rPr>
        <w:t>2</w:t>
      </w:r>
      <w:r>
        <w:rPr>
          <w:rFonts w:hint="eastAsia" w:ascii="宋体" w:hAnsi="宋体" w:eastAsia="宋体" w:cs="宋体"/>
          <w:color w:val="auto"/>
          <w:highlight w:val="none"/>
        </w:rPr>
        <w:t>年，</w:t>
      </w:r>
      <w:r>
        <w:rPr>
          <w:rFonts w:hint="eastAsia" w:ascii="宋体" w:hAnsi="宋体" w:eastAsia="宋体" w:cs="宋体"/>
          <w:snapToGrid w:val="0"/>
          <w:color w:val="auto"/>
          <w:kern w:val="0"/>
          <w:highlight w:val="none"/>
        </w:rPr>
        <w:t>若未发现质量问题，</w:t>
      </w:r>
      <w:r>
        <w:rPr>
          <w:rFonts w:hint="eastAsia" w:ascii="宋体" w:hAnsi="宋体" w:eastAsia="宋体" w:cs="宋体"/>
          <w:bCs/>
          <w:snapToGrid w:val="0"/>
          <w:color w:val="auto"/>
          <w:kern w:val="0"/>
          <w:highlight w:val="none"/>
        </w:rPr>
        <w:t>承包人向发包人申请退还质量保证（或保证金），发包人按照《建设工程质量保证金管理办法》及合同的有关规定和约定将质量保证（或保证金）</w:t>
      </w:r>
      <w:r>
        <w:rPr>
          <w:rFonts w:hint="eastAsia" w:ascii="宋体" w:hAnsi="宋体" w:eastAsia="宋体" w:cs="宋体"/>
          <w:bCs/>
          <w:color w:val="auto"/>
          <w:kern w:val="0"/>
          <w:highlight w:val="none"/>
        </w:rPr>
        <w:t>于次月</w:t>
      </w:r>
      <w:r>
        <w:rPr>
          <w:rFonts w:hint="eastAsia" w:ascii="宋体" w:hAnsi="宋体" w:eastAsia="宋体" w:cs="宋体"/>
          <w:bCs/>
          <w:snapToGrid w:val="0"/>
          <w:color w:val="auto"/>
          <w:kern w:val="0"/>
          <w:highlight w:val="none"/>
        </w:rPr>
        <w:t>退还给承包人</w:t>
      </w:r>
      <w:r>
        <w:rPr>
          <w:rFonts w:hint="eastAsia" w:ascii="宋体" w:hAnsi="宋体" w:eastAsia="宋体" w:cs="宋体"/>
          <w:bCs/>
          <w:color w:val="auto"/>
          <w:kern w:val="0"/>
          <w:highlight w:val="none"/>
        </w:rPr>
        <w:t>（不计息）。</w:t>
      </w:r>
    </w:p>
    <w:p w14:paraId="6B1409A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 xml:space="preserve"> 4.7承包人提供的工程款发票必须按照发包人要求提供相应增值税发票给发包人，发包人收到符合要求的发票后方可支付工程款。</w:t>
      </w:r>
      <w:r>
        <w:rPr>
          <w:rFonts w:hint="eastAsia" w:ascii="宋体" w:hAnsi="宋体" w:eastAsia="宋体" w:cs="宋体"/>
          <w:snapToGrid w:val="0"/>
          <w:color w:val="auto"/>
          <w:kern w:val="0"/>
          <w:szCs w:val="24"/>
          <w:highlight w:val="none"/>
        </w:rPr>
        <w:t>如果承包人无法提供符合要求的发票，由此造成的相应损失由承包人承担。</w:t>
      </w:r>
    </w:p>
    <w:p w14:paraId="1A4317A9">
      <w:pPr>
        <w:pStyle w:val="37"/>
        <w:pageBreakBefore w:val="0"/>
        <w:kinsoku/>
        <w:overflowPunct/>
        <w:topLinePunct w:val="0"/>
        <w:bidi w:val="0"/>
        <w:spacing w:line="44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4.8本项目为政府全额投资，所有支付手续经发包人审批后，还须报政府财政部门审批完毕方可支付，如经发包人审批后已及时履行了向财政部门申报审批手续，则发包人不支付延期付</w:t>
      </w:r>
      <w:r>
        <w:rPr>
          <w:rFonts w:hint="eastAsia" w:ascii="宋体" w:hAnsi="宋体" w:eastAsia="宋体" w:cs="宋体"/>
          <w:color w:val="auto"/>
          <w:szCs w:val="22"/>
          <w:highlight w:val="none"/>
        </w:rPr>
        <w:t>款的利息，承包人也不得因政府财政部门履行审批程序所造成的延期付款而暂停施工和相关服务。</w:t>
      </w:r>
    </w:p>
    <w:p w14:paraId="73D3004B">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u w:val="single"/>
        </w:rPr>
      </w:pPr>
      <w:r>
        <w:rPr>
          <w:rFonts w:hint="eastAsia" w:ascii="宋体" w:hAnsi="宋体" w:eastAsia="宋体" w:cs="宋体"/>
          <w:b/>
          <w:bCs/>
          <w:color w:val="auto"/>
          <w:szCs w:val="24"/>
          <w:highlight w:val="none"/>
        </w:rPr>
        <w:t>4.9</w:t>
      </w:r>
      <w:r>
        <w:rPr>
          <w:rFonts w:hint="eastAsia" w:ascii="宋体" w:hAnsi="宋体" w:eastAsia="宋体" w:cs="宋体"/>
          <w:color w:val="auto"/>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7446D43A">
      <w:pPr>
        <w:pageBreakBefore w:val="0"/>
        <w:kinsoku/>
        <w:wordWrap w:val="0"/>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color w:val="auto"/>
          <w:szCs w:val="24"/>
          <w:highlight w:val="none"/>
        </w:rPr>
        <w:t>4.10</w:t>
      </w:r>
      <w:r>
        <w:rPr>
          <w:rFonts w:hint="eastAsia" w:ascii="宋体" w:hAnsi="宋体" w:eastAsia="宋体" w:cs="宋体"/>
          <w:color w:val="auto"/>
          <w:szCs w:val="24"/>
          <w:highlight w:val="none"/>
        </w:rPr>
        <w:t>本工程按政府有关要求或资金安排情况、合同有关约定，经双方协商可调整建安费支付办法。</w:t>
      </w:r>
    </w:p>
    <w:p w14:paraId="27A2A5D0">
      <w:pPr>
        <w:pStyle w:val="37"/>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补充条款：</w:t>
      </w:r>
    </w:p>
    <w:p w14:paraId="2B78DE0C">
      <w:pPr>
        <w:pStyle w:val="37"/>
        <w:pageBreakBefore w:val="0"/>
        <w:numPr>
          <w:ilvl w:val="0"/>
          <w:numId w:val="4"/>
        </w:numPr>
        <w:kinsoku/>
        <w:overflowPunct/>
        <w:topLinePunct w:val="0"/>
        <w:bidi w:val="0"/>
        <w:spacing w:line="440" w:lineRule="exact"/>
        <w:ind w:firstLine="361" w:firstLineChars="15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施工部分</w:t>
      </w:r>
    </w:p>
    <w:p w14:paraId="12B4E976">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b/>
          <w:bCs/>
          <w:color w:val="auto"/>
          <w:highlight w:val="none"/>
          <w:lang w:val="zh-CN"/>
        </w:rPr>
      </w:pPr>
      <w:r>
        <w:rPr>
          <w:rFonts w:hint="eastAsia" w:ascii="宋体" w:hAnsi="宋体" w:eastAsia="宋体" w:cs="宋体"/>
          <w:b/>
          <w:bCs/>
          <w:color w:val="auto"/>
          <w:highlight w:val="none"/>
        </w:rPr>
        <w:t>5.1</w:t>
      </w:r>
      <w:r>
        <w:rPr>
          <w:rFonts w:hint="eastAsia" w:ascii="宋体" w:hAnsi="宋体" w:eastAsia="宋体" w:cs="宋体"/>
          <w:b/>
          <w:bCs/>
          <w:color w:val="auto"/>
          <w:highlight w:val="none"/>
          <w:lang w:val="zh-CN"/>
        </w:rPr>
        <w:t>项目管理</w:t>
      </w:r>
    </w:p>
    <w:p w14:paraId="40710C89">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5.1.1项目经理要求：</w:t>
      </w:r>
    </w:p>
    <w:p w14:paraId="1A71951D">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项目经理与投标文件承诺不一致或未及时到位，发包人将按照下列方式对承包人进行处罚：</w:t>
      </w:r>
    </w:p>
    <w:p w14:paraId="1B676C08">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w:t>
      </w:r>
      <w:r>
        <w:rPr>
          <w:rFonts w:hint="eastAsia" w:ascii="宋体" w:hAnsi="宋体" w:cs="宋体"/>
          <w:color w:val="auto"/>
          <w:highlight w:val="none"/>
          <w:u w:val="single"/>
          <w:lang w:eastAsia="zh-CN"/>
        </w:rPr>
        <w:t>。</w:t>
      </w:r>
      <w:r>
        <w:rPr>
          <w:rFonts w:hint="eastAsia" w:ascii="宋体" w:hAnsi="宋体" w:eastAsia="宋体" w:cs="宋体"/>
          <w:snapToGrid w:val="0"/>
          <w:color w:val="auto"/>
          <w:kern w:val="0"/>
          <w:szCs w:val="24"/>
          <w:highlight w:val="none"/>
          <w:u w:val="single"/>
        </w:rPr>
        <w:t>擅自更换本工程项目经理的，</w:t>
      </w:r>
      <w:r>
        <w:rPr>
          <w:rFonts w:hint="eastAsia" w:ascii="宋体" w:hAnsi="宋体" w:eastAsia="宋体" w:cs="宋体"/>
          <w:color w:val="auto"/>
          <w:highlight w:val="none"/>
          <w:u w:val="single"/>
        </w:rPr>
        <w:t>即使发包人</w:t>
      </w:r>
      <w:r>
        <w:rPr>
          <w:rFonts w:hint="eastAsia" w:ascii="宋体" w:hAnsi="宋体" w:eastAsia="宋体" w:cs="宋体"/>
          <w:snapToGrid w:val="0"/>
          <w:color w:val="auto"/>
          <w:kern w:val="0"/>
          <w:szCs w:val="24"/>
          <w:highlight w:val="none"/>
          <w:u w:val="single"/>
        </w:rPr>
        <w:t>事后</w:t>
      </w:r>
      <w:r>
        <w:rPr>
          <w:rFonts w:hint="eastAsia" w:ascii="宋体" w:hAnsi="宋体" w:eastAsia="宋体" w:cs="宋体"/>
          <w:color w:val="auto"/>
          <w:highlight w:val="none"/>
          <w:u w:val="single"/>
        </w:rPr>
        <w:t>批准同意更换，承包人仍需支付每换一次15万元的违约金（仅被羁押或判处刑罚、身亡可免责）。</w:t>
      </w:r>
    </w:p>
    <w:p w14:paraId="25A3C45A">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项目经理每延迟到位一天承包人应向发包人支付违约金5万元/天，超过10天（含10天）发包人有权单方解除合同，并要求承包人承担由此造成的一切损失。</w:t>
      </w:r>
    </w:p>
    <w:p w14:paraId="606E0EA9">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5D10E23E">
      <w:pPr>
        <w:pStyle w:val="56"/>
        <w:pageBreakBefore w:val="0"/>
        <w:widowControl/>
        <w:numPr>
          <w:ilvl w:val="0"/>
          <w:numId w:val="5"/>
        </w:numPr>
        <w:kinsoku/>
        <w:overflowPunct/>
        <w:topLinePunct w:val="0"/>
        <w:bidi w:val="0"/>
        <w:spacing w:line="440" w:lineRule="exact"/>
        <w:ind w:firstLine="420"/>
        <w:jc w:val="lef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067E7680">
      <w:pPr>
        <w:pStyle w:val="56"/>
        <w:pageBreakBefore w:val="0"/>
        <w:widowControl/>
        <w:kinsoku/>
        <w:overflowPunct/>
        <w:topLinePunct w:val="0"/>
        <w:bidi w:val="0"/>
        <w:spacing w:line="44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41144C87">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u w:val="single"/>
        </w:rPr>
        <w:t>上述违约金由承包人直接向发包人支付，未付清之前，发包人有权暂停支付工程款。</w:t>
      </w:r>
    </w:p>
    <w:p w14:paraId="410D450B">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5.1.2承包人必须遵守国家相关法律法规、政府相关规定及南雄市政府投资建设项目代建管理中心的工程管理制度。</w:t>
      </w:r>
    </w:p>
    <w:p w14:paraId="46663E28">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5.1.3承包人应根据工程实际需要，配备满足进度要求的施工机械，自备发电机保证供电稳定，所有费用已包含在合同价中。</w:t>
      </w:r>
    </w:p>
    <w:p w14:paraId="4973A822">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19C83D04">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5.1.5在合同履行中如发包人、承包人双方发生争议，承包人不得以争议未解决为由擅自停工，否则将视为违约，由此产生工期的延误不予顺延。</w:t>
      </w:r>
    </w:p>
    <w:p w14:paraId="3FE5F94C">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31A4BA50">
      <w:pPr>
        <w:pageBreakBefore w:val="0"/>
        <w:kinsoku/>
        <w:wordWrap w:val="0"/>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2F968027">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承包人未及时通知监理人到场检查，私自将隐蔽部位覆盖，监理人有权指示承包人采用钻孔探测揭开进行检查，由此增加的费用和工期延误责任由承包人承担。</w:t>
      </w:r>
    </w:p>
    <w:p w14:paraId="6EECE7B3">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5.1.7承包人必须编制合理的交通维护方案并负责实施，保证施工期间的交通组织符合南雄公安交通管理的有关规定，确保施工安全，其费用包含在合同价中。</w:t>
      </w:r>
    </w:p>
    <w:p w14:paraId="5F067D44">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5.1.8发生</w:t>
      </w:r>
      <w:r>
        <w:rPr>
          <w:rFonts w:hint="eastAsia" w:ascii="宋体" w:hAnsi="宋体" w:cs="宋体"/>
          <w:color w:val="auto"/>
          <w:szCs w:val="24"/>
          <w:highlight w:val="none"/>
          <w:lang w:eastAsia="zh-CN"/>
        </w:rPr>
        <w:t>安全</w:t>
      </w:r>
      <w:r>
        <w:rPr>
          <w:rFonts w:hint="eastAsia" w:ascii="宋体" w:hAnsi="宋体" w:eastAsia="宋体" w:cs="宋体"/>
          <w:color w:val="auto"/>
          <w:szCs w:val="24"/>
          <w:highlight w:val="none"/>
        </w:rPr>
        <w:t>事故，承包人应在第一时间通知发包人，并按规定立即上报有关部门，同时按法律、法规及相关规定的要求及时处理，</w:t>
      </w:r>
      <w:r>
        <w:rPr>
          <w:rFonts w:hint="eastAsia" w:ascii="宋体" w:hAnsi="宋体" w:cs="宋体"/>
          <w:color w:val="auto"/>
          <w:szCs w:val="24"/>
          <w:highlight w:val="none"/>
          <w:lang w:val="en-US" w:eastAsia="zh-CN"/>
        </w:rPr>
        <w:t>并记</w:t>
      </w:r>
      <w:r>
        <w:rPr>
          <w:rFonts w:hint="eastAsia" w:ascii="宋体" w:hAnsi="宋体" w:eastAsia="宋体" w:cs="宋体"/>
          <w:color w:val="auto"/>
          <w:szCs w:val="24"/>
          <w:highlight w:val="none"/>
        </w:rPr>
        <w:t>承包人严重违约责任一次。</w:t>
      </w:r>
    </w:p>
    <w:p w14:paraId="1A4880D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因承包人原因，承包人施工现场发生</w:t>
      </w:r>
      <w:r>
        <w:rPr>
          <w:rFonts w:hint="eastAsia" w:hAnsi="宋体" w:eastAsia="宋体" w:cs="宋体"/>
          <w:color w:val="auto"/>
          <w:szCs w:val="24"/>
          <w:highlight w:val="none"/>
          <w:lang w:val="en-US" w:eastAsia="zh-CN"/>
        </w:rPr>
        <w:t>安全事故</w:t>
      </w:r>
      <w:r>
        <w:rPr>
          <w:rFonts w:hint="eastAsia" w:ascii="宋体" w:hAnsi="宋体" w:eastAsia="宋体" w:cs="宋体"/>
          <w:color w:val="auto"/>
          <w:szCs w:val="24"/>
          <w:highlight w:val="none"/>
        </w:rPr>
        <w:t>或其他责任事故的，除按相关法律法规依法接受</w:t>
      </w:r>
      <w:r>
        <w:rPr>
          <w:rFonts w:hint="eastAsia" w:ascii="宋体" w:hAnsi="宋体" w:eastAsia="宋体" w:cs="宋体"/>
          <w:color w:val="auto"/>
          <w:szCs w:val="24"/>
          <w:highlight w:val="none"/>
          <w:lang w:val="en-US" w:eastAsia="zh-CN"/>
        </w:rPr>
        <w:t>相关行政部门的处罚和承担事故处理的所有费用外</w:t>
      </w:r>
      <w:r>
        <w:rPr>
          <w:rFonts w:hint="eastAsia" w:ascii="宋体" w:hAnsi="宋体" w:eastAsia="宋体" w:cs="宋体"/>
          <w:color w:val="auto"/>
          <w:szCs w:val="24"/>
          <w:highlight w:val="none"/>
        </w:rPr>
        <w:t>，承包人还须按下列标准向发包人支付惩罚性违约金：</w:t>
      </w:r>
    </w:p>
    <w:p w14:paraId="2822A93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（1）一次事故死亡3人及以上：</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专职安全员及项目相关负责人，并向发包人支付50万元的惩罚性违约金。</w:t>
      </w:r>
    </w:p>
    <w:p w14:paraId="21859D6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（2）一次事故死亡2人：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专职安全员及项目相关负责人，并向发包人支付20万元的惩罚性违约金。</w:t>
      </w:r>
    </w:p>
    <w:p w14:paraId="1B11ABF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（3）</w:t>
      </w:r>
      <w:r>
        <w:rPr>
          <w:rFonts w:hint="eastAsia" w:hAnsi="宋体" w:eastAsia="宋体" w:cs="宋体"/>
          <w:color w:val="auto"/>
          <w:szCs w:val="24"/>
          <w:highlight w:val="none"/>
          <w:lang w:val="en-US" w:eastAsia="zh-CN"/>
        </w:rPr>
        <w:t>一次事故</w:t>
      </w:r>
      <w:r>
        <w:rPr>
          <w:rFonts w:hint="eastAsia" w:ascii="宋体" w:hAnsi="宋体" w:eastAsia="宋体" w:cs="宋体"/>
          <w:color w:val="auto"/>
          <w:szCs w:val="24"/>
          <w:highlight w:val="none"/>
        </w:rPr>
        <w:t>死亡1人：</w:t>
      </w:r>
      <w:r>
        <w:rPr>
          <w:rFonts w:hint="eastAsia" w:ascii="宋体" w:hAnsi="宋体" w:eastAsia="宋体" w:cs="宋体"/>
          <w:color w:val="auto"/>
          <w:szCs w:val="24"/>
          <w:highlight w:val="none"/>
          <w:lang w:val="en-US" w:eastAsia="zh-CN"/>
        </w:rPr>
        <w:t>依法由承包人承担责任，且</w:t>
      </w:r>
      <w:r>
        <w:rPr>
          <w:rFonts w:hint="eastAsia" w:ascii="宋体" w:hAnsi="宋体" w:eastAsia="宋体" w:cs="宋体"/>
          <w:color w:val="auto"/>
          <w:szCs w:val="24"/>
          <w:highlight w:val="none"/>
        </w:rPr>
        <w:t>承包人必须撤换项目经理、</w:t>
      </w:r>
      <w:r>
        <w:rPr>
          <w:rFonts w:hint="eastAsia" w:ascii="宋体" w:hAnsi="宋体" w:eastAsia="宋体" w:cs="宋体"/>
          <w:color w:val="auto"/>
          <w:szCs w:val="24"/>
          <w:highlight w:val="none"/>
          <w:lang w:val="en-US" w:eastAsia="zh-CN"/>
        </w:rPr>
        <w:t>专职安全员及项目相关负责人，并向发包人支付10万元的惩罚性违约金。</w:t>
      </w:r>
    </w:p>
    <w:p w14:paraId="50CE9A5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（4）</w:t>
      </w:r>
      <w:r>
        <w:rPr>
          <w:rFonts w:hint="eastAsia" w:ascii="宋体" w:hAnsi="宋体" w:eastAsia="宋体" w:cs="宋体"/>
          <w:color w:val="auto"/>
          <w:szCs w:val="24"/>
          <w:highlight w:val="none"/>
          <w:lang w:val="en-US" w:eastAsia="zh-CN"/>
        </w:rPr>
        <w:t>一次重伤事故或造成5人及以上集体住院，依法由承包人承担责任，且承包人必须撤换专职安全员及项目相关负责人，并向发包人支付5万元的惩罚性违约金。</w:t>
      </w:r>
    </w:p>
    <w:p w14:paraId="0AC8532F">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（5）因施工造成的道路交通中断、通讯中断、管线漏水漏气等全部责任事故，依法由承包人承担责任，且承包人必须撤换专职安全员及项目相关负责人，并向发包人支付2万元的惩罚性违约金。</w:t>
      </w:r>
    </w:p>
    <w:p w14:paraId="3FA6B68C">
      <w:pPr>
        <w:pStyle w:val="56"/>
        <w:pageBreakBefore w:val="0"/>
        <w:widowControl/>
        <w:kinsoku/>
        <w:overflowPunct/>
        <w:topLinePunct w:val="0"/>
        <w:bidi w:val="0"/>
        <w:spacing w:line="440" w:lineRule="exact"/>
        <w:ind w:firstLine="42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0B36221B">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5.1.10 工程竣工验收合格后30天内，承包人必须及时</w:t>
      </w:r>
      <w:r>
        <w:rPr>
          <w:rFonts w:hint="eastAsia" w:ascii="宋体" w:hAnsi="宋体" w:eastAsia="宋体" w:cs="宋体"/>
          <w:snapToGrid w:val="0"/>
          <w:color w:val="auto"/>
          <w:kern w:val="0"/>
          <w:szCs w:val="24"/>
          <w:highlight w:val="none"/>
        </w:rPr>
        <w:t>按</w:t>
      </w:r>
      <w:r>
        <w:rPr>
          <w:rFonts w:hint="eastAsia" w:ascii="宋体" w:hAnsi="宋体" w:eastAsia="宋体" w:cs="宋体"/>
          <w:color w:val="auto"/>
          <w:szCs w:val="24"/>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7F72B2E4">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2ED16C12">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5.1.12 承包人全体现场施工人员佩戴安全帽，全部施工人员佩戴工作牌。</w:t>
      </w:r>
    </w:p>
    <w:p w14:paraId="680E52EE">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5.1.13 未经发包人书面许可，承包人不得在施工现场布置任何与本项目工程无关的商业广告，否则发包人有权要求承包人予以拆除，承包人并向发包人每次支付违约金10000元。</w:t>
      </w:r>
    </w:p>
    <w:p w14:paraId="630B2997">
      <w:pPr>
        <w:pageBreakBefore w:val="0"/>
        <w:kinsoku/>
        <w:overflowPunct/>
        <w:topLinePunct w:val="0"/>
        <w:autoSpaceDE w:val="0"/>
        <w:autoSpaceDN w:val="0"/>
        <w:bidi w:val="0"/>
        <w:adjustRightInd w:val="0"/>
        <w:snapToGrid w:val="0"/>
        <w:spacing w:beforeLines="50" w:line="440" w:lineRule="exact"/>
        <w:ind w:firstLine="48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612D53B0">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（1）发包人确认无法胜任工作者，包括：对分部分项工程施工进度及施工质量达不到合同要求负有责任的施工人员、不熟悉本专业的施工人员、工作责任心不强的施工人员等；</w:t>
      </w:r>
    </w:p>
    <w:p w14:paraId="349048FE">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（2）不积极配合发包人、监理工程师正常工作人员；</w:t>
      </w:r>
    </w:p>
    <w:p w14:paraId="5E60E1E4">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（3）违反承包人或发包人工地现场管理规定的人员；</w:t>
      </w:r>
    </w:p>
    <w:p w14:paraId="727F3C2D">
      <w:pPr>
        <w:pageBreakBefore w:val="0"/>
        <w:kinsoku/>
        <w:overflowPunct/>
        <w:topLinePunct w:val="0"/>
        <w:autoSpaceDE w:val="0"/>
        <w:autoSpaceDN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（4）无证上岗人员（适用于按规定必须有上岗证的）；</w:t>
      </w:r>
    </w:p>
    <w:p w14:paraId="6D8A9012">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（5）与本工程施工无关的人员。</w:t>
      </w:r>
    </w:p>
    <w:p w14:paraId="2D81D023">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398F32C5">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5.2 用工和劳务</w:t>
      </w:r>
    </w:p>
    <w:p w14:paraId="3E05A8F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5.2.1承包人不得从为发包人或工程师服务的人员中招雇任何人员。</w:t>
      </w:r>
    </w:p>
    <w:p w14:paraId="11DDD44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79F04207">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249E214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598CB6AB">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5.3施工准备工作</w:t>
      </w:r>
    </w:p>
    <w:p w14:paraId="0B39C50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5.3.1承包人应充分认识到本工程的特殊性和复杂性，施工前应切实做好各项准备工作，包括但不限于以下（1）、（2）、（3）的内容：</w:t>
      </w:r>
    </w:p>
    <w:p w14:paraId="7C2F3626">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（1）必须按要求完成临时设施建设和现场指挥部建设。</w:t>
      </w:r>
    </w:p>
    <w:p w14:paraId="337F5594">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（2）按照相关规定及发包人要求做好现场申报、宣传、走访、排查和解释工作。</w:t>
      </w:r>
    </w:p>
    <w:p w14:paraId="6160A3FA">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（3）根据现场实际环境，做好防火、防盗、防坠落等各项措施，排除安全隐患，确保施工期间施工的安全。</w:t>
      </w:r>
    </w:p>
    <w:p w14:paraId="5819E7B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5.3.2存在设计图纸疑问，必须在施工前30日提出，不得在施工时临时提出，也不得以此手段要求任何索赔，由此造成的一切损失由承包人承担。</w:t>
      </w:r>
    </w:p>
    <w:p w14:paraId="7A55169C">
      <w:pPr>
        <w:pageBreakBefore w:val="0"/>
        <w:kinsoku/>
        <w:overflowPunct/>
        <w:topLinePunct w:val="0"/>
        <w:bidi w:val="0"/>
        <w:spacing w:line="440" w:lineRule="exact"/>
        <w:ind w:left="480" w:leftChars="200"/>
        <w:textAlignment w:val="auto"/>
        <w:rPr>
          <w:rFonts w:hint="eastAsia" w:ascii="宋体" w:hAnsi="宋体" w:eastAsia="宋体" w:cs="宋体"/>
          <w:strike/>
          <w:color w:val="auto"/>
          <w:szCs w:val="24"/>
          <w:highlight w:val="none"/>
        </w:rPr>
      </w:pPr>
      <w:r>
        <w:rPr>
          <w:rFonts w:hint="eastAsia" w:ascii="宋体" w:hAnsi="宋体" w:eastAsia="宋体" w:cs="宋体"/>
          <w:b/>
          <w:bCs/>
          <w:color w:val="auto"/>
          <w:szCs w:val="24"/>
          <w:highlight w:val="none"/>
        </w:rPr>
        <w:t>5.4工程变更</w:t>
      </w:r>
    </w:p>
    <w:p w14:paraId="27FA54C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6CC13AB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1AA46A5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5.4.3承包人应按南雄市人民政府办公室《关于加强市本级政府投资项目财政投资评审监督管理的实施意见》雄府办函[2023]5号的规定及时申报办理工程变更审批手续，并于申请当期工程款之前或一并申报完整的工程变更资料予以备案；凡不符合实施意见要求的变更均为无效变更。</w:t>
      </w:r>
    </w:p>
    <w:p w14:paraId="26BE8AEE">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5.5工程量计量的约定：</w:t>
      </w:r>
    </w:p>
    <w:p w14:paraId="32BAB09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①承包人不得自行取消施工图或清单中的任何项目，发包人根据需要取消的未施工项目，经监理工程师核实后予以扣减，相应的措施费用予以扣减。</w:t>
      </w:r>
    </w:p>
    <w:p w14:paraId="47968A6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②承包人自身原因造成的返工工程量，不予计量。</w:t>
      </w:r>
    </w:p>
    <w:p w14:paraId="402F4AB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③凡超出图纸范围又未经变更审批的工程量，不予计量。</w:t>
      </w:r>
    </w:p>
    <w:p w14:paraId="6CD629A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④不符合工程质量标准的工程量，不予计量。</w:t>
      </w:r>
    </w:p>
    <w:p w14:paraId="18D8C37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⑤发包人书面通知承包人取消的工程量，不予计量。</w:t>
      </w:r>
    </w:p>
    <w:p w14:paraId="0C395027">
      <w:pPr>
        <w:pStyle w:val="2"/>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b w:val="0"/>
          <w:bCs/>
          <w:snapToGrid w:val="0"/>
          <w:color w:val="auto"/>
          <w:kern w:val="0"/>
          <w:sz w:val="24"/>
          <w:highlight w:val="none"/>
        </w:rPr>
      </w:pPr>
      <w:r>
        <w:rPr>
          <w:rFonts w:hint="eastAsia" w:ascii="宋体" w:hAnsi="宋体" w:eastAsia="宋体" w:cs="宋体"/>
          <w:b w:val="0"/>
          <w:bCs/>
          <w:snapToGrid w:val="0"/>
          <w:color w:val="auto"/>
          <w:kern w:val="0"/>
          <w:sz w:val="24"/>
          <w:highlight w:val="none"/>
        </w:rPr>
        <w:t>承包人编制的工程量预算清单中的综合单价为按技术规范与技术要求完成一个规定计量单位的工程所需的人工费、材料费、机械使用费、管理费、利润并考虑风险因素。按技术规范、招标文件、设计图纸、国标《建设工程工程量清单计价规范》、省市现行计价规程等要求为完成一个规定计量单位的工程量所需的其他一切费用，承包人不得以综合单价和措施费所含工作内容缺漏项为由，向发包人提出任何变更工程价款的要求。</w:t>
      </w:r>
    </w:p>
    <w:p w14:paraId="476C4D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lang w:val="en-US" w:eastAsia="zh-CN"/>
        </w:rPr>
      </w:pPr>
      <w:r>
        <w:rPr>
          <w:rFonts w:hint="eastAsia" w:ascii="宋体" w:hAnsi="宋体" w:eastAsia="宋体" w:cs="宋体"/>
          <w:b w:val="0"/>
          <w:bCs/>
          <w:snapToGrid w:val="0"/>
          <w:color w:val="auto"/>
          <w:kern w:val="0"/>
          <w:sz w:val="24"/>
          <w:highlight w:val="none"/>
          <w:lang w:val="en-US" w:eastAsia="zh-CN"/>
        </w:rPr>
        <w:t xml:space="preserve">    </w:t>
      </w:r>
      <w:r>
        <w:rPr>
          <w:rFonts w:hint="eastAsia" w:ascii="宋体" w:hAnsi="宋体" w:eastAsia="宋体" w:cs="宋体"/>
          <w:b/>
          <w:bCs w:val="0"/>
          <w:color w:val="auto"/>
          <w:sz w:val="24"/>
          <w:szCs w:val="24"/>
          <w:highlight w:val="none"/>
          <w:lang w:val="en-US" w:eastAsia="zh-CN"/>
        </w:rPr>
        <w:t>根据</w:t>
      </w:r>
      <w:r>
        <w:rPr>
          <w:rFonts w:hint="eastAsia" w:ascii="宋体" w:hAnsi="宋体" w:eastAsia="宋体" w:cs="宋体"/>
          <w:b/>
          <w:bCs w:val="0"/>
          <w:color w:val="auto"/>
          <w:sz w:val="24"/>
          <w:szCs w:val="24"/>
          <w:highlight w:val="none"/>
        </w:rPr>
        <w:t>南雄市人民政府办公室</w:t>
      </w:r>
      <w:r>
        <w:rPr>
          <w:rFonts w:hint="eastAsia" w:ascii="宋体" w:hAnsi="宋体" w:eastAsia="宋体" w:cs="宋体"/>
          <w:b/>
          <w:bCs w:val="0"/>
          <w:color w:val="auto"/>
          <w:sz w:val="24"/>
          <w:szCs w:val="24"/>
          <w:highlight w:val="none"/>
          <w:lang w:eastAsia="zh-CN"/>
        </w:rPr>
        <w:t>《关于进一步加强政府投资项目财政投资评审监督管理的通知》的相关规定，承包人编制的工程结算文件，结算文件质量偏差率不得超过5%（编制结算造价工程质量文件偏差率=(承包人编制的结算送审金额-经发包人位委托的造价咨询单位审核金额)/发包人委托的造价咨询单位审核金额*100%）。</w:t>
      </w:r>
    </w:p>
    <w:p w14:paraId="682DE4A3">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Cs w:val="24"/>
          <w:highlight w:val="none"/>
          <w:u w:val="single"/>
        </w:rPr>
      </w:pPr>
      <w:r>
        <w:rPr>
          <w:rFonts w:hint="eastAsia" w:ascii="宋体" w:hAnsi="宋体" w:eastAsia="宋体" w:cs="宋体"/>
          <w:b/>
          <w:bCs/>
          <w:color w:val="auto"/>
          <w:szCs w:val="24"/>
          <w:highlight w:val="none"/>
        </w:rPr>
        <w:t>5.6承包人对专业分包的总要求</w:t>
      </w:r>
    </w:p>
    <w:p w14:paraId="7831851A">
      <w:pPr>
        <w:pageBreakBefore w:val="0"/>
        <w:kinsoku/>
        <w:overflowPunct/>
        <w:topLinePunct w:val="0"/>
        <w:bidi w:val="0"/>
        <w:adjustRightInd w:val="0"/>
        <w:snapToGrid w:val="0"/>
        <w:spacing w:beforeLines="50"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2DA83194">
      <w:pPr>
        <w:pageBreakBefore w:val="0"/>
        <w:kinsoku/>
        <w:overflowPunct/>
        <w:topLinePunct w:val="0"/>
        <w:bidi w:val="0"/>
        <w:spacing w:line="440" w:lineRule="exact"/>
        <w:ind w:firstLine="495"/>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41820BE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236C7B6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2985DB6E">
      <w:pPr>
        <w:pageBreakBefore w:val="0"/>
        <w:kinsoku/>
        <w:overflowPunct/>
        <w:topLinePunct w:val="0"/>
        <w:bidi w:val="0"/>
        <w:adjustRightInd w:val="0"/>
        <w:snapToGrid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次。发包人有权提请建设行政主管部门对其作不良行为记录，有权给予承包人履约评价为不合格，同时发包人有权拒绝承包人3年内参加发包人其它工程的投标。 </w:t>
      </w:r>
    </w:p>
    <w:p w14:paraId="4F2D5DA6">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5.7 措施项目</w:t>
      </w:r>
    </w:p>
    <w:p w14:paraId="063EA8B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5.7.1现场安全文明设计必须满足国家、省市相关的要求，除此之外，尚应满足如下要求：</w:t>
      </w:r>
    </w:p>
    <w:p w14:paraId="7C20F493">
      <w:pPr>
        <w:pageBreakBefore w:val="0"/>
        <w:numPr>
          <w:ilvl w:val="0"/>
          <w:numId w:val="6"/>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安全、文明、临时设施要求：①主要管理人员与投标文件内填写的应一致；</w:t>
      </w:r>
    </w:p>
    <w:p w14:paraId="391125F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②施工现场应封闭施工。进出口要设大门、门卫和门卫制度。主进出口门头设企业标志，两侧要挂“七牌一图”，标牌应规范、整齐；</w:t>
      </w:r>
    </w:p>
    <w:p w14:paraId="7DB1292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4B154D9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④施工期间，承包人应随时根据现场情况对围挡进行维修和保护，确保施工界面达到韶关市、南雄市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4B75323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⑤施工场内，建筑材料、构件和料具要按施工现场平面图的布置要求堆放整齐，并挂物料名称，品种，规格等标牌，施工现场渣土和垃圾清运应当采取喷淋压尘装载；</w:t>
      </w:r>
    </w:p>
    <w:p w14:paraId="7B1B286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1668460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⑦施工现场的施工区、 办公区、生活区应当分开设置，实行区划管理，临时办公和生活用房应采用轻钢板房，并要具有抗强台风的措施，确保安全；</w:t>
      </w:r>
    </w:p>
    <w:p w14:paraId="47F8B22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⑧工地内要配备经培训的急救人员、保健医药箱、安全急救措施和急救器材，要开展卫生、防病自救、互救宣传教育；</w:t>
      </w:r>
    </w:p>
    <w:p w14:paraId="5FE69B8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⑨要建立治安保卫制度，责任要分解到人。承包人在施工过程中的施工人员应配备必要的劳动、安全保护用品并佩戴工作证，以及满足招标文件中其他相关规定。</w:t>
      </w:r>
    </w:p>
    <w:p w14:paraId="7F6EE641">
      <w:pPr>
        <w:pageBreakBefore w:val="0"/>
        <w:numPr>
          <w:ilvl w:val="0"/>
          <w:numId w:val="6"/>
        </w:numPr>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1701443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47B67AA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②大气污染防治措施：采用洒水湿法抑尘；重点时段防护如：对</w:t>
      </w:r>
      <w:r>
        <w:rPr>
          <w:rFonts w:hint="eastAsia" w:ascii="宋体" w:hAnsi="宋体" w:eastAsia="宋体" w:cs="宋体"/>
          <w:snapToGrid w:val="0"/>
          <w:color w:val="auto"/>
          <w:kern w:val="0"/>
          <w:szCs w:val="24"/>
          <w:highlight w:val="none"/>
        </w:rPr>
        <w:t>工地进出运输</w:t>
      </w:r>
      <w:r>
        <w:rPr>
          <w:rFonts w:hint="eastAsia" w:ascii="宋体" w:hAnsi="宋体" w:eastAsia="宋体" w:cs="宋体"/>
          <w:color w:val="auto"/>
          <w:szCs w:val="24"/>
          <w:highlight w:val="none"/>
        </w:rPr>
        <w:t>车辆进行冲洗；运送散装物料的机动车、存放散装物料的堆放场地必须用棚布遮盖，拌和设备尽量封闭；</w:t>
      </w:r>
    </w:p>
    <w:p w14:paraId="3805049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77605898">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4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④</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针对固体废物可能产生的多种环境影响，须采取必要的措施分类收集，运至指定地点和按规定进行处理；</w:t>
      </w:r>
    </w:p>
    <w:p w14:paraId="754EF1D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5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⑤</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制定建筑废弃物管理计划，达到绿色安全文明施工的要求；</w:t>
      </w:r>
    </w:p>
    <w:p w14:paraId="3114F02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 6 \* GB3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szCs w:val="24"/>
          <w:highlight w:val="none"/>
          <w:lang w:val="zh-CN"/>
        </w:rPr>
        <w:t>⑥</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rPr>
        <w:t>红线范围内必须落实雨污分流，生活污水须经过化粪池处理后接入市政管网排放。</w:t>
      </w:r>
    </w:p>
    <w:p w14:paraId="37354E7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由于承包人原因导致的投诉、索赔、指控，由承包人承担全部责任，同时造成工期延误的，发包人将按照合同条款相关约定进行索赔。</w:t>
      </w:r>
    </w:p>
    <w:p w14:paraId="7F4C390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以上须采取的所有措施费用及相关的费用已含在合同价中。</w:t>
      </w:r>
    </w:p>
    <w:p w14:paraId="365055F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2733F681">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5.7.2已完工程及设备保护费</w:t>
      </w:r>
    </w:p>
    <w:p w14:paraId="5FC1E637">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①承包人应充分考虑本工程的</w:t>
      </w:r>
      <w:r>
        <w:rPr>
          <w:rFonts w:hint="eastAsia" w:ascii="宋体" w:hAnsi="宋体" w:eastAsia="宋体" w:cs="宋体"/>
          <w:color w:val="auto"/>
          <w:kern w:val="0"/>
          <w:szCs w:val="24"/>
          <w:highlight w:val="none"/>
        </w:rPr>
        <w:t>已完工程及设备保护，其费用已包含在合同价内，结算不再调整；</w:t>
      </w:r>
    </w:p>
    <w:p w14:paraId="2153C6B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②承包人应充分考虑施工影响范围内的地上、地下设施，建筑物的临时保护等措施，</w:t>
      </w:r>
      <w:r>
        <w:rPr>
          <w:rFonts w:hint="eastAsia" w:ascii="宋体" w:hAnsi="宋体" w:eastAsia="宋体" w:cs="宋体"/>
          <w:color w:val="auto"/>
          <w:kern w:val="0"/>
          <w:szCs w:val="24"/>
          <w:highlight w:val="none"/>
        </w:rPr>
        <w:t>以及</w:t>
      </w:r>
      <w:r>
        <w:rPr>
          <w:rFonts w:hint="eastAsia" w:ascii="宋体" w:hAnsi="宋体" w:eastAsia="宋体" w:cs="宋体"/>
          <w:color w:val="auto"/>
          <w:szCs w:val="24"/>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5958CB1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5.7.3施工降排水</w:t>
      </w:r>
    </w:p>
    <w:p w14:paraId="7F2CF0B3">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int="eastAsia" w:ascii="宋体" w:hAnsi="宋体" w:eastAsia="宋体" w:cs="宋体"/>
          <w:color w:val="auto"/>
          <w:kern w:val="0"/>
          <w:szCs w:val="24"/>
          <w:highlight w:val="none"/>
        </w:rPr>
        <w:t>保证护栏的安全性。</w:t>
      </w:r>
    </w:p>
    <w:p w14:paraId="10C1B115">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510B8791">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承包人应综合考虑施工期间除不可抗力原因外的气候条件造成的现场工程量的增加及其它风险（如发包人提供的地质报告等相关资料可能存在与实际不符）。</w:t>
      </w:r>
    </w:p>
    <w:p w14:paraId="3A3A915B">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雨季施工随时与气象部门保持联系，在大雨、台风到来之前按有关主管部门规定的防洪防汛应急措施等。</w:t>
      </w:r>
    </w:p>
    <w:p w14:paraId="05B6E460">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以上有关费用已含在合同价中，结算不作调整。</w:t>
      </w:r>
    </w:p>
    <w:p w14:paraId="7355A3A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5.7.4水土保持</w:t>
      </w:r>
    </w:p>
    <w:p w14:paraId="409EEFD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316CD5F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5.7.5施工用水、用电等</w:t>
      </w:r>
    </w:p>
    <w:p w14:paraId="18CE770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（1）承包人根据现场条件和工程情况，接通生活和生产区场内外的给水、排水、施工用电、通讯等工作，</w:t>
      </w:r>
      <w:r>
        <w:rPr>
          <w:rFonts w:hint="eastAsia" w:ascii="宋体" w:hAnsi="宋体" w:eastAsia="宋体" w:cs="宋体"/>
          <w:snapToGrid w:val="0"/>
          <w:color w:val="auto"/>
          <w:kern w:val="0"/>
          <w:szCs w:val="24"/>
          <w:highlight w:val="none"/>
        </w:rPr>
        <w:t>同时承包人应自备充足的发电机，确保施工过程中的水、电安全稳定供应，结算费用不作调整。</w:t>
      </w:r>
    </w:p>
    <w:p w14:paraId="64D47B3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（2）所有施工范围内涉及的清理、外运全部拆除物与垃圾，以及场地平整。</w:t>
      </w:r>
    </w:p>
    <w:p w14:paraId="3F25140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（3）为建设单位、监理单位提供施工现场临时办公用房和办公必须品，并开通通讯线路。</w:t>
      </w:r>
    </w:p>
    <w:p w14:paraId="113D014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（4）合同工期和顺延工期内临时用地（含占道）、房屋租赁的手续费和租金。</w:t>
      </w:r>
    </w:p>
    <w:p w14:paraId="49C2987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承包人在投标报价时应充分考虑施工场地现状与地形图不符的风险，谨慎报价，该部分报价为包干费用，承包人不得以任何理由提出增加费用。</w:t>
      </w:r>
    </w:p>
    <w:p w14:paraId="1C39B96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5.7.6与其他工程的衔接、管理与配合费</w:t>
      </w:r>
    </w:p>
    <w:p w14:paraId="04FCA91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23BD241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5.7.7因承包人原因而引起的罚款、索赔和指控等责任由承包人自行承担。</w:t>
      </w:r>
    </w:p>
    <w:p w14:paraId="0FB2562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5.7.8工程完工后需要恢复的建筑物、构筑物，承包人必须及时恢复，并使监理工程师和发包人满意，满足政府管理部门的规定和要求。</w:t>
      </w:r>
    </w:p>
    <w:p w14:paraId="3A5584D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57E36931">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4A0BF894">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38FE70A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5.7.12根据广东省、韶关市、南雄市建设主管部门的相关文件规定，承包人须在工程施工现场安装使用视频监控系统、工人实名制系统并接入至南雄市住建主管部门建筑工地视频监控专网及发包人视频监控系统。</w:t>
      </w:r>
    </w:p>
    <w:p w14:paraId="1D9A8534">
      <w:pPr>
        <w:pageBreakBefore w:val="0"/>
        <w:kinsoku/>
        <w:overflowPunct/>
        <w:topLinePunct w:val="0"/>
        <w:bidi w:val="0"/>
        <w:spacing w:line="440" w:lineRule="exact"/>
        <w:ind w:firstLine="480" w:firstLineChars="20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以上措施项目有关费用已含在合同价中，结算不作调整。</w:t>
      </w:r>
    </w:p>
    <w:p w14:paraId="0E636F49">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5.8 解除合同后续工程的补充约定</w:t>
      </w:r>
    </w:p>
    <w:p w14:paraId="02974F4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470F69A8">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43A566DE">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68BF1EBC">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szCs w:val="24"/>
          <w:highlight w:val="none"/>
        </w:rPr>
        <w:t>承包人没有正当合理的理由中途退场，除扣除合同价款20％作为履约违约金外，承包人还须承当因其无故中途退场所造成的全部损失责任。</w:t>
      </w:r>
    </w:p>
    <w:p w14:paraId="463E57AF">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6D11991C">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4D269B4E">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5.8.4承包人的已完工程结算时间由发包人确定。按本合同结算条款约定办理结算，同时必须按合同约定扣除违约金、赔偿金。</w:t>
      </w:r>
    </w:p>
    <w:p w14:paraId="7435E4E7">
      <w:pPr>
        <w:pageBreakBefore w:val="0"/>
        <w:kinsoku/>
        <w:overflowPunct/>
        <w:topLinePunct w:val="0"/>
        <w:bidi w:val="0"/>
        <w:spacing w:line="440" w:lineRule="exact"/>
        <w:ind w:left="-2" w:leftChars="-1" w:firstLine="424" w:firstLineChars="177"/>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5.8.5因承包人原因导致解除合同，发包人所遭受的一切损失，由承包人承担全部赔偿责任。</w:t>
      </w:r>
    </w:p>
    <w:p w14:paraId="752B0A60">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5.9承包人违约责任追究补充细则</w:t>
      </w:r>
    </w:p>
    <w:p w14:paraId="07C36B8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5.9.1工程质量达不到合同约定的质量标准承包人违约责任：如未达到合格标准，除则按合同价款的</w:t>
      </w:r>
      <w:r>
        <w:rPr>
          <w:rFonts w:hint="eastAsia" w:ascii="宋体" w:hAnsi="宋体" w:eastAsia="宋体" w:cs="宋体"/>
          <w:color w:val="auto"/>
          <w:szCs w:val="24"/>
          <w:highlight w:val="none"/>
          <w:u w:val="single"/>
        </w:rPr>
        <w:t xml:space="preserve"> 1 </w:t>
      </w:r>
      <w:r>
        <w:rPr>
          <w:rFonts w:hint="eastAsia" w:ascii="宋体" w:hAnsi="宋体" w:eastAsia="宋体" w:cs="宋体"/>
          <w:color w:val="auto"/>
          <w:szCs w:val="24"/>
          <w:highlight w:val="none"/>
        </w:rPr>
        <w:t>%向发包人返纳质量违约金外，发包人有权利选择以下方式返工或修复，承包人不得异议：</w:t>
      </w:r>
    </w:p>
    <w:p w14:paraId="6889BC2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（1）发包人要求承包人在监理工程师和发包人要求的合理时间内，完成质量不合格工程的返工或修复工作，直至合同约定的质量标准，由此造成的工期延误和所有费用，全部由承包人承担；</w:t>
      </w:r>
    </w:p>
    <w:p w14:paraId="580EF7B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（2）发包人直接委托其它承包人完成质量不合格部分工程的返工或修复工作，由此造成的工期延误和所有费用，全部由承包人承担。</w:t>
      </w:r>
    </w:p>
    <w:p w14:paraId="1478032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（3）无论采取以上何种方式返工或修复，发包人均有权提请建设行政主管部门对其作不良行为记录，有权给予承包人履约评价为不合格。</w:t>
      </w:r>
    </w:p>
    <w:p w14:paraId="0AF42E0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5.9.2承包人违反本合同的约定，应当按约定向发包人承担相应的违约责任。本合同违约责任形式按以下情况分类：</w:t>
      </w:r>
    </w:p>
    <w:p w14:paraId="2448B62B">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0809B0C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（2）一般违约责任。承包人按本合同约定应当承担一般违约责任时，在发包人提出书面警告或通知后扣除违约金人民币伍仟元（￥5000）/次。合同另有约定的除外。</w:t>
      </w:r>
    </w:p>
    <w:p w14:paraId="6AC2D7F6">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（3）严重违约责任。承包人按本合同约定应当承担严重违约责任时，在发包人提出书面警告或通知后扣除违约金伍万元（￥50000）/次。合同另有约定的除外。</w:t>
      </w:r>
    </w:p>
    <w:p w14:paraId="3ACA7DB9">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（4）部分解除合同。三次受到发包人书面警告，发包人有权直接解除合同或部分解除合同，按承包人违约解除合同的条款执行。</w:t>
      </w:r>
    </w:p>
    <w:p w14:paraId="3BCAD52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6AA8D64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5.9.4承包人未按合同要求建立组织架构、派驻项目管理人员和投入设备，承包人必须按发包人要求限期整改，并承担相应违约责任。具体约定为：</w:t>
      </w:r>
    </w:p>
    <w:p w14:paraId="60064E9C">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15777DE4">
      <w:pPr>
        <w:pageBreakBefore w:val="0"/>
        <w:kinsoku/>
        <w:overflowPunct/>
        <w:topLinePunct w:val="0"/>
        <w:bidi w:val="0"/>
        <w:adjustRightInd w:val="0"/>
        <w:snapToGrid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6FB1227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527E690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2C67375E">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5.9.7承包人项目经理和主要管理人员的考勤实行实名制打卡，承包人项目经理和主要管理人员的考勤若发现有弄虚作假行为，发现一次，承包人应承担一般违约责任1次。</w:t>
      </w:r>
    </w:p>
    <w:p w14:paraId="0E02AEA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5.9.8对于难以胜任工作的承包人管理人员和主要操作技术人员，发包人有权要求承包人进行更换，直至发包人满意为止，且更换人员应在接到书面通知后的3天内到位。</w:t>
      </w:r>
    </w:p>
    <w:p w14:paraId="7B28CFD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2170CB71">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5.9.10承包人未按合同及投标书所作的承诺投入机械、设备、材料等，被监理工程师或发包人发现后，承包人除必须限期改正外，应承担限期改正责任1次。</w:t>
      </w:r>
    </w:p>
    <w:p w14:paraId="43A0EEEB">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1EFD0AAC">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1F66473F">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473631EA">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5.9.14因承包人原因造成工程投资增加的，承包人应赔偿发包人由此遭受的实际损失，情况严重时发包人有权单方解除本施工合同。</w:t>
      </w:r>
    </w:p>
    <w:p w14:paraId="36048DF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32D74026">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46B18632">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（3）承包人未经监理工程师、发包人同意擅自改变施工技术方案和工艺，造成投资增加的，应承担严重违约责任1次，由此造成的投资增加由承包人负责。</w:t>
      </w:r>
    </w:p>
    <w:p w14:paraId="005C2494">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164D8991">
      <w:pPr>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（5）承包人提供虚假情况或制造现场假象造成设计变更及投资增加时，经监理公司、发包人发现，承包人应承担严重违约责任1次，造成的投资增加由承包人承担。 </w:t>
      </w:r>
    </w:p>
    <w:p w14:paraId="7D976CA2">
      <w:pPr>
        <w:pageBreakBefore w:val="0"/>
        <w:kinsoku/>
        <w:overflowPunct/>
        <w:topLinePunct w:val="0"/>
        <w:bidi w:val="0"/>
        <w:adjustRightInd w:val="0"/>
        <w:snapToGrid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5.10、</w:t>
      </w:r>
      <w:r>
        <w:rPr>
          <w:rFonts w:hint="eastAsia" w:ascii="宋体" w:hAnsi="宋体" w:eastAsia="宋体" w:cs="宋体"/>
          <w:color w:val="auto"/>
          <w:szCs w:val="24"/>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有权报请建设行政主管部门对其作不良行为记录。</w:t>
      </w:r>
    </w:p>
    <w:p w14:paraId="0DE0F559">
      <w:pPr>
        <w:pageBreakBefore w:val="0"/>
        <w:kinsoku/>
        <w:overflowPunct/>
        <w:topLinePunct w:val="0"/>
        <w:bidi w:val="0"/>
        <w:spacing w:line="440" w:lineRule="exact"/>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 5.11 承包人提供竣工资料的约定：</w:t>
      </w:r>
    </w:p>
    <w:p w14:paraId="050FA30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59677B0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643FA03F">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5.12工程移交及档案管理</w:t>
      </w:r>
    </w:p>
    <w:p w14:paraId="7493E68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5.12.1工程完工后，承包人必须及时按城建相关档案管理规定整理及移交竣工档案，承包人办理工程结算需提交相关工程档案移交签字单，否则结算不予办理。</w:t>
      </w:r>
    </w:p>
    <w:p w14:paraId="3E7D52C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5.12.2工程竣工验收合格后承包人必须将成品移交给发包人指定的接管单位。在移交工作完成前，现场所有安全及成品保护责任和费用由承包人承担。</w:t>
      </w:r>
    </w:p>
    <w:p w14:paraId="2ACB2BC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5.12.3在向发包人指定的接管单位移交钥匙的同时提供下列清单：</w:t>
      </w:r>
    </w:p>
    <w:p w14:paraId="307480B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①办理钥匙移交清单（如有）；</w:t>
      </w:r>
    </w:p>
    <w:p w14:paraId="4D7619F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②双方抄好水表电表底数；</w:t>
      </w:r>
    </w:p>
    <w:p w14:paraId="61742B4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③列出详细的设备、物件移交清单，标明名称、数量、外观、状态等基本资料</w:t>
      </w:r>
    </w:p>
    <w:p w14:paraId="37AAFF49">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5.12.4按国家、省市和建设主管部门的相关规定应当移交的其他资料。</w:t>
      </w:r>
    </w:p>
    <w:p w14:paraId="76A534B1">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352293E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5.14在工程质量缺陷保修期内，承包人的违约责任。</w:t>
      </w:r>
    </w:p>
    <w:p w14:paraId="219F49DE">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51637C9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434FA0F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DCA71A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5F8699B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5.14.5若承包人按照发包人的要求及时履行了保修义务，并能提供证据说明质量缺陷非承包人的责任，保修费用及相关损失由缺陷责任方承担。</w:t>
      </w:r>
    </w:p>
    <w:p w14:paraId="4E6EDCE4">
      <w:pPr>
        <w:pStyle w:val="58"/>
        <w:pageBreakBefore w:val="0"/>
        <w:kinsoku/>
        <w:overflowPunct/>
        <w:topLinePunct w:val="0"/>
        <w:bidi w:val="0"/>
        <w:adjustRightInd w:val="0"/>
        <w:snapToGrid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623ECE92">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5.15发包人有权根据有关管理制度对承包人的履约情况纳入履约信用评价和</w:t>
      </w:r>
      <w:r>
        <w:rPr>
          <w:rFonts w:hint="eastAsia" w:ascii="宋体" w:hAnsi="宋体" w:eastAsia="宋体" w:cs="宋体"/>
          <w:b/>
          <w:color w:val="auto"/>
          <w:szCs w:val="24"/>
          <w:highlight w:val="none"/>
        </w:rPr>
        <w:t>第三方质量安全评估</w:t>
      </w:r>
      <w:r>
        <w:rPr>
          <w:rFonts w:hint="eastAsia" w:ascii="宋体" w:hAnsi="宋体" w:eastAsia="宋体" w:cs="宋体"/>
          <w:b/>
          <w:bCs/>
          <w:color w:val="auto"/>
          <w:szCs w:val="24"/>
          <w:highlight w:val="none"/>
        </w:rPr>
        <w:t>体系进行履约信用评价和</w:t>
      </w:r>
      <w:r>
        <w:rPr>
          <w:rFonts w:hint="eastAsia" w:ascii="宋体" w:hAnsi="宋体" w:eastAsia="宋体" w:cs="宋体"/>
          <w:b/>
          <w:color w:val="auto"/>
          <w:szCs w:val="24"/>
          <w:highlight w:val="none"/>
        </w:rPr>
        <w:t>质量安全</w:t>
      </w:r>
      <w:r>
        <w:rPr>
          <w:rFonts w:hint="eastAsia" w:ascii="宋体" w:hAnsi="宋体" w:eastAsia="宋体" w:cs="宋体"/>
          <w:b/>
          <w:bCs/>
          <w:color w:val="auto"/>
          <w:szCs w:val="24"/>
          <w:highlight w:val="none"/>
        </w:rPr>
        <w:t>评估，并将评价结果和评估结果报送给有关监管部门。</w:t>
      </w:r>
    </w:p>
    <w:p w14:paraId="2917CFF9">
      <w:pPr>
        <w:pageBreakBefore w:val="0"/>
        <w:kinsoku/>
        <w:overflowPunct/>
        <w:topLinePunct w:val="0"/>
        <w:bidi w:val="0"/>
        <w:spacing w:line="44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履约信用评价</w:t>
      </w:r>
      <w:r>
        <w:rPr>
          <w:rFonts w:hint="eastAsia" w:ascii="宋体" w:hAnsi="宋体" w:eastAsia="宋体" w:cs="宋体"/>
          <w:bCs/>
          <w:color w:val="auto"/>
          <w:szCs w:val="24"/>
          <w:highlight w:val="none"/>
        </w:rPr>
        <w:t>和</w:t>
      </w:r>
      <w:r>
        <w:rPr>
          <w:rFonts w:hint="eastAsia" w:ascii="宋体" w:hAnsi="宋体" w:eastAsia="宋体" w:cs="宋体"/>
          <w:color w:val="auto"/>
          <w:szCs w:val="24"/>
          <w:highlight w:val="none"/>
        </w:rPr>
        <w:t>第三方质量安全评估按发包人履约信用评价</w:t>
      </w:r>
      <w:r>
        <w:rPr>
          <w:rFonts w:hint="eastAsia" w:ascii="宋体" w:hAnsi="宋体" w:eastAsia="宋体" w:cs="宋体"/>
          <w:bCs/>
          <w:color w:val="auto"/>
          <w:szCs w:val="24"/>
          <w:highlight w:val="none"/>
        </w:rPr>
        <w:t>、</w:t>
      </w:r>
      <w:r>
        <w:rPr>
          <w:rFonts w:hint="eastAsia" w:ascii="宋体" w:hAnsi="宋体" w:eastAsia="宋体" w:cs="宋体"/>
          <w:color w:val="auto"/>
          <w:szCs w:val="24"/>
          <w:highlight w:val="none"/>
        </w:rPr>
        <w:t>质量安全</w:t>
      </w:r>
      <w:r>
        <w:rPr>
          <w:rFonts w:hint="eastAsia" w:ascii="宋体" w:hAnsi="宋体" w:eastAsia="宋体" w:cs="宋体"/>
          <w:bCs/>
          <w:color w:val="auto"/>
          <w:szCs w:val="24"/>
          <w:highlight w:val="none"/>
        </w:rPr>
        <w:t>评估</w:t>
      </w:r>
      <w:r>
        <w:rPr>
          <w:rFonts w:hint="eastAsia" w:ascii="宋体" w:hAnsi="宋体" w:eastAsia="宋体" w:cs="宋体"/>
          <w:color w:val="auto"/>
          <w:szCs w:val="24"/>
          <w:highlight w:val="none"/>
        </w:rPr>
        <w:t>管理规定执行，评价内容包含人员到位情况、服务配合程度、工程质量、安全、项目后期服务及信用评价结果、评估结果的运用等。</w:t>
      </w:r>
    </w:p>
    <w:p w14:paraId="5981BED6">
      <w:pPr>
        <w:pageBreakBefore w:val="0"/>
        <w:tabs>
          <w:tab w:val="left" w:pos="1260"/>
        </w:tabs>
        <w:kinsoku/>
        <w:overflowPunct/>
        <w:topLinePunct w:val="0"/>
        <w:bidi w:val="0"/>
        <w:snapToGrid w:val="0"/>
        <w:spacing w:line="440" w:lineRule="exact"/>
        <w:ind w:firstLine="442" w:firstLineChars="200"/>
        <w:textAlignment w:val="auto"/>
        <w:rPr>
          <w:rFonts w:hint="eastAsia" w:ascii="宋体" w:hAnsi="宋体" w:eastAsia="宋体" w:cs="宋体"/>
          <w:b/>
          <w:bCs/>
          <w:color w:val="auto"/>
          <w:spacing w:val="-10"/>
          <w:szCs w:val="24"/>
          <w:highlight w:val="none"/>
        </w:rPr>
      </w:pPr>
      <w:r>
        <w:rPr>
          <w:rFonts w:hint="eastAsia" w:ascii="宋体" w:hAnsi="宋体" w:eastAsia="宋体" w:cs="宋体"/>
          <w:b/>
          <w:bCs/>
          <w:color w:val="auto"/>
          <w:spacing w:val="-10"/>
          <w:szCs w:val="24"/>
          <w:highlight w:val="none"/>
        </w:rPr>
        <w:t>6.设计部分：</w:t>
      </w:r>
    </w:p>
    <w:p w14:paraId="6E102EA4">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pacing w:val="-10"/>
          <w:szCs w:val="24"/>
          <w:highlight w:val="none"/>
        </w:rPr>
      </w:pPr>
      <w:r>
        <w:rPr>
          <w:rFonts w:hint="eastAsia" w:ascii="宋体" w:hAnsi="宋体" w:eastAsia="宋体" w:cs="宋体"/>
          <w:color w:val="auto"/>
          <w:spacing w:val="-10"/>
          <w:szCs w:val="24"/>
          <w:highlight w:val="none"/>
        </w:rPr>
        <w:t>6.1 本合同设计总价包括所有设计事务工作收费、技术工作收费、税金和完成合同约定的所有与工程设计有关的全部费用。</w:t>
      </w:r>
    </w:p>
    <w:p w14:paraId="3FCF1ECE">
      <w:pPr>
        <w:pageBreakBefore w:val="0"/>
        <w:tabs>
          <w:tab w:val="left" w:pos="1260"/>
        </w:tabs>
        <w:kinsoku/>
        <w:overflowPunct/>
        <w:topLinePunct w:val="0"/>
        <w:bidi w:val="0"/>
        <w:snapToGrid w:val="0"/>
        <w:spacing w:line="440" w:lineRule="exact"/>
        <w:ind w:firstLine="44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pacing w:val="-10"/>
          <w:szCs w:val="24"/>
          <w:highlight w:val="none"/>
        </w:rPr>
        <w:t>6.2 承包人必须严格按有关设计规范设</w:t>
      </w:r>
      <w:r>
        <w:rPr>
          <w:rFonts w:hint="eastAsia" w:ascii="宋体" w:hAnsi="宋体" w:eastAsia="宋体" w:cs="宋体"/>
          <w:color w:val="auto"/>
          <w:szCs w:val="24"/>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2E7F5DF8">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kern w:val="0"/>
          <w:szCs w:val="24"/>
          <w:highlight w:val="none"/>
        </w:rPr>
        <w:t xml:space="preserve">6.3 </w:t>
      </w:r>
      <w:r>
        <w:rPr>
          <w:rFonts w:hint="eastAsia" w:ascii="宋体" w:hAnsi="宋体" w:eastAsia="宋体" w:cs="宋体"/>
          <w:color w:val="auto"/>
          <w:szCs w:val="24"/>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3534DDB6">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bookmarkStart w:id="397" w:name="_Toc390613831"/>
      <w:r>
        <w:rPr>
          <w:rFonts w:hint="eastAsia" w:ascii="宋体" w:hAnsi="宋体" w:eastAsia="宋体" w:cs="宋体"/>
          <w:color w:val="auto"/>
          <w:szCs w:val="24"/>
          <w:highlight w:val="none"/>
        </w:rPr>
        <w:t>6.4.知识产权和专利权</w:t>
      </w:r>
      <w:bookmarkEnd w:id="397"/>
    </w:p>
    <w:p w14:paraId="3892CD45">
      <w:pPr>
        <w:pageBreakBefore w:val="0"/>
        <w:tabs>
          <w:tab w:val="left" w:pos="1260"/>
        </w:tabs>
        <w:kinsoku/>
        <w:overflowPunct/>
        <w:topLinePunct w:val="0"/>
        <w:bidi w:val="0"/>
        <w:snapToGrid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50E0A57A">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51994C90">
      <w:pPr>
        <w:pageBreakBefore w:val="0"/>
        <w:kinsoku/>
        <w:overflowPunct/>
        <w:topLinePunct w:val="0"/>
        <w:bidi w:val="0"/>
        <w:spacing w:beforeLines="50" w:line="440" w:lineRule="exact"/>
        <w:ind w:firstLine="472" w:firstLineChars="197"/>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6.4.3承包人应保证发包人在本项目建设过程中使用其设计文件和设计文件的任何一部分时，发包人免受第三方提出侵犯其专利权、商标权或其他知识产权的起诉。</w:t>
      </w:r>
    </w:p>
    <w:p w14:paraId="10A3C3A7">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承包人保证发包人使用承包人设计成果将不会对任何第三方构成侵权，如因此引起任何第三方向发包人提出侵权之诉讼或索赔，均由承包人承担处理、应诉和赔偿责任。</w:t>
      </w:r>
    </w:p>
    <w:p w14:paraId="5315EE5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6.4.4承包人提交给发包人的设计文件，其著作权、版权、专利权和使用权归发包人所有（署名权除外）。   </w:t>
      </w:r>
    </w:p>
    <w:p w14:paraId="61A6128D">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6.5.</w:t>
      </w:r>
      <w:r>
        <w:rPr>
          <w:rFonts w:hint="eastAsia" w:ascii="宋体" w:hAnsi="宋体" w:eastAsia="宋体" w:cs="宋体"/>
          <w:color w:val="auto"/>
          <w:szCs w:val="24"/>
          <w:highlight w:val="none"/>
        </w:rPr>
        <w:t xml:space="preserve"> 承包人在合同有效期内，应当履行合同约定的义务，如因承包人的原因产生设计质量事故、工期延误或设计缺陷，造成损失的应承担赔偿责任。</w:t>
      </w:r>
    </w:p>
    <w:p w14:paraId="7DEFB1FD">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（1）因设计错误而造成一般质量事故的，承包人除应免收受损失部分的设计费外，还应无偿修改和完善设计，并承担给发包人造成的直接损失。</w:t>
      </w:r>
    </w:p>
    <w:p w14:paraId="49724A8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（2）因设计错误而造成重大质量事故的，承包人承担给发包人造成的直接损失，发包人有权解除设计合同，并报请有关主管部门视事故造成的损失情况给予其他处罚。</w:t>
      </w:r>
    </w:p>
    <w:p w14:paraId="50FC8C2C">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6.6.</w:t>
      </w:r>
      <w:r>
        <w:rPr>
          <w:rFonts w:hint="eastAsia" w:ascii="宋体" w:hAnsi="宋体" w:eastAsia="宋体" w:cs="宋体"/>
          <w:color w:val="auto"/>
          <w:szCs w:val="24"/>
          <w:highlight w:val="none"/>
        </w:rPr>
        <w:t xml:space="preserve"> 若因承包人原因导致提交的设计成果文件无法通过发包人组织的设计审查，发包人有权发出如下任何指令，承包人必须遵照执行。</w:t>
      </w:r>
    </w:p>
    <w:p w14:paraId="0C2D8A5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3FCCB67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7F8E0D3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283B33A2">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6.7. </w:t>
      </w:r>
      <w:r>
        <w:rPr>
          <w:rFonts w:hint="eastAsia" w:ascii="宋体" w:hAnsi="宋体" w:eastAsia="宋体" w:cs="宋体"/>
          <w:color w:val="auto"/>
          <w:szCs w:val="24"/>
          <w:highlight w:val="none"/>
        </w:rPr>
        <w:t>承包人应赔偿因设计质量或设计图纸不完善带来的设计变更所引发的工程费增加、施工返工费、误工费等，处理原则如下：</w:t>
      </w:r>
    </w:p>
    <w:p w14:paraId="6B94D860">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（1）由于设计质量或设计图纸不完善引起的施工返工，承包人应及时处理，并每次扣减设计合同价的2%作为违约金。</w:t>
      </w:r>
    </w:p>
    <w:p w14:paraId="5F168AE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6D39C94B">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637A95A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18BA9BB9">
      <w:pPr>
        <w:pStyle w:val="71"/>
        <w:pageBreakBefore w:val="0"/>
        <w:kinsoku/>
        <w:overflowPunct/>
        <w:topLinePunct w:val="0"/>
        <w:bidi w:val="0"/>
        <w:spacing w:line="440" w:lineRule="exact"/>
        <w:ind w:firstLine="602" w:firstLineChars="25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6.7.1</w:t>
      </w:r>
      <w:r>
        <w:rPr>
          <w:rFonts w:hint="eastAsia" w:ascii="宋体" w:hAnsi="宋体" w:eastAsia="宋体" w:cs="宋体"/>
          <w:color w:val="auto"/>
          <w:szCs w:val="24"/>
          <w:highlight w:val="none"/>
        </w:rPr>
        <w:t>工程变更的程序和管理按《关于加强市本级政府投资项目财政投资评审监督管理的实施意见》（雄府办函﹝2023﹞5号）执行，凡不符合该实施意见要求的变更均为无效变更。如因设计人的责任引起变更造成投资规模增加，按如下规定追究设计人的违约责任：</w:t>
      </w:r>
    </w:p>
    <w:p w14:paraId="2DEA7C49">
      <w:pPr>
        <w:pStyle w:val="71"/>
        <w:pageBreakBefore w:val="0"/>
        <w:kinsoku/>
        <w:overflowPunct/>
        <w:topLinePunct w:val="0"/>
        <w:bidi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（1）因设计人责任引起变更造成投资规模增加10%以上的，扣减设计人设计合同价20%的违约金；</w:t>
      </w:r>
    </w:p>
    <w:p w14:paraId="64B518EE">
      <w:pPr>
        <w:pStyle w:val="71"/>
        <w:pageBreakBefore w:val="0"/>
        <w:kinsoku/>
        <w:overflowPunct/>
        <w:topLinePunct w:val="0"/>
        <w:bidi w:val="0"/>
        <w:spacing w:line="440" w:lineRule="exact"/>
        <w:ind w:firstLine="600" w:firstLineChars="2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（2）因设计人责任引起变更造成投资规模增加15%以上的，扣减设计人设计合同价30%的违约金；</w:t>
      </w:r>
    </w:p>
    <w:p w14:paraId="50EB4138">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（3）因设计人责任引起变更造成投资规模增加20%以上的，扣减设计人设计合同价40%的违约金。</w:t>
      </w:r>
    </w:p>
    <w:p w14:paraId="58701C4F">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6.8</w:t>
      </w:r>
      <w:r>
        <w:rPr>
          <w:rFonts w:hint="eastAsia" w:ascii="宋体" w:hAnsi="宋体" w:eastAsia="宋体" w:cs="宋体"/>
          <w:color w:val="auto"/>
          <w:szCs w:val="24"/>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0AEF6509">
      <w:pPr>
        <w:pageBreakBefore w:val="0"/>
        <w:kinsoku/>
        <w:overflowPunct/>
        <w:topLinePunct w:val="0"/>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6.9</w:t>
      </w:r>
      <w:r>
        <w:rPr>
          <w:rFonts w:hint="eastAsia" w:ascii="宋体" w:hAnsi="宋体" w:eastAsia="宋体" w:cs="宋体"/>
          <w:color w:val="auto"/>
          <w:szCs w:val="24"/>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2F2B6720">
      <w:pPr>
        <w:pStyle w:val="10"/>
        <w:pageBreakBefore w:val="0"/>
        <w:kinsoku/>
        <w:overflowPunct/>
        <w:topLinePunct w:val="0"/>
        <w:bidi w:val="0"/>
        <w:snapToGrid w:val="0"/>
        <w:spacing w:line="440" w:lineRule="exact"/>
        <w:ind w:left="63" w:right="63" w:firstLine="482" w:firstLineChars="200"/>
        <w:jc w:val="left"/>
        <w:textAlignment w:val="auto"/>
        <w:rPr>
          <w:rFonts w:hint="eastAsia" w:ascii="宋体" w:hAnsi="宋体" w:eastAsia="宋体" w:cs="宋体"/>
          <w:b/>
          <w:color w:val="auto"/>
          <w:kern w:val="0"/>
          <w:szCs w:val="24"/>
          <w:highlight w:val="none"/>
        </w:rPr>
      </w:pPr>
      <w:r>
        <w:rPr>
          <w:rFonts w:hint="eastAsia" w:ascii="宋体" w:hAnsi="宋体" w:eastAsia="宋体" w:cs="宋体"/>
          <w:b/>
          <w:color w:val="auto"/>
          <w:kern w:val="0"/>
          <w:szCs w:val="24"/>
          <w:highlight w:val="none"/>
        </w:rPr>
        <w:t>6.10 除招标文件规定的服务内容外，承包人还须完成以下各阶段服务内容：</w:t>
      </w:r>
    </w:p>
    <w:p w14:paraId="51E10B5B">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6.10.1 施工图设计阶段</w:t>
      </w:r>
    </w:p>
    <w:p w14:paraId="44B2D7FE">
      <w:pPr>
        <w:pStyle w:val="37"/>
        <w:pageBreakBefore w:val="0"/>
        <w:kinsoku/>
        <w:overflowPunct/>
        <w:topLinePunct w:val="0"/>
        <w:bidi w:val="0"/>
        <w:spacing w:line="440" w:lineRule="exact"/>
        <w:ind w:firstLine="480" w:firstLineChars="200"/>
        <w:jc w:val="left"/>
        <w:textAlignment w:val="auto"/>
        <w:rPr>
          <w:rFonts w:hint="eastAsia" w:ascii="宋体" w:hAnsi="宋体" w:eastAsia="宋体" w:cs="宋体"/>
          <w:snapToGrid w:val="0"/>
          <w:color w:val="auto"/>
          <w:kern w:val="0"/>
          <w:highlight w:val="none"/>
        </w:rPr>
      </w:pPr>
      <w:r>
        <w:rPr>
          <w:rFonts w:hint="eastAsia" w:ascii="宋体" w:hAnsi="宋体" w:eastAsia="宋体" w:cs="宋体"/>
          <w:color w:val="auto"/>
          <w:szCs w:val="24"/>
          <w:highlight w:val="none"/>
        </w:rPr>
        <w:t>（1）负责完成并制作总图及设计说明书、主要设备及材料以及</w:t>
      </w:r>
      <w:r>
        <w:rPr>
          <w:rFonts w:hint="eastAsia" w:hAnsi="宋体" w:cs="宋体"/>
          <w:color w:val="auto"/>
          <w:szCs w:val="24"/>
          <w:highlight w:val="none"/>
          <w:lang w:eastAsia="zh-CN"/>
        </w:rPr>
        <w:t>项目涉及的</w:t>
      </w:r>
      <w:r>
        <w:rPr>
          <w:rFonts w:hint="eastAsia" w:ascii="宋体" w:hAnsi="宋体" w:eastAsia="宋体" w:cs="宋体"/>
          <w:color w:val="auto"/>
          <w:szCs w:val="24"/>
          <w:highlight w:val="none"/>
        </w:rPr>
        <w:t>所有专项设计及红线范围内的所有工程及相关附属工程、设施等本项目涉及的所有建安工程的施工图设计文件</w:t>
      </w:r>
      <w:r>
        <w:rPr>
          <w:rFonts w:hint="eastAsia" w:ascii="宋体" w:hAnsi="宋体" w:eastAsia="宋体" w:cs="宋体"/>
          <w:snapToGrid w:val="0"/>
          <w:color w:val="auto"/>
          <w:kern w:val="0"/>
          <w:highlight w:val="none"/>
        </w:rPr>
        <w:t>；</w:t>
      </w:r>
    </w:p>
    <w:p w14:paraId="1A31988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（2）对发包人的审核修改意见进行修改、完善，保证其设计意图的最终实现； </w:t>
      </w:r>
    </w:p>
    <w:p w14:paraId="0E911C54">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4B4AA83F">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（4）协助发包人进行工程招标答疑。</w:t>
      </w:r>
    </w:p>
    <w:p w14:paraId="78ABE20D">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6.10.2 施工配合阶段</w:t>
      </w:r>
    </w:p>
    <w:p w14:paraId="13871882">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（1）负责工程设计交底，解答施工过程中施工承包人有关施工图的问题，项目负责人及各专业设计负责人，及时对施工中与设计有关的问题做出回应，保证设计满足施工要求； </w:t>
      </w:r>
    </w:p>
    <w:p w14:paraId="04B4A2C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（2）根据发包人要求，及时参加与设计有关的专题会，现场解决技术问题； </w:t>
      </w:r>
    </w:p>
    <w:p w14:paraId="72B9BB03">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（3）协助发包人处理工程洽商和设计变更，负责有关设计修改，及时办理相关手续； </w:t>
      </w:r>
    </w:p>
    <w:p w14:paraId="4C8E55E6">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（4）参与与承包人相关的必要的验收以及项目竣工验收工作，并及时办理相关手续； </w:t>
      </w:r>
    </w:p>
    <w:p w14:paraId="5C88D215">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（5）提供产品选型、设备加工订货、建筑材料选择以及分包商考察等技术咨询工作； </w:t>
      </w:r>
    </w:p>
    <w:p w14:paraId="30B9897C">
      <w:pPr>
        <w:pageBreakBefore w:val="0"/>
        <w:kinsoku/>
        <w:overflowPunct/>
        <w:topLinePunct w:val="0"/>
        <w:bidi w:val="0"/>
        <w:spacing w:line="440" w:lineRule="exact"/>
        <w:ind w:firstLine="480" w:firstLineChars="20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（6）应发包人要求协助审核各分包商的设计文件是否满足接口条件并签署意见，以保证其与总体设计协调一致，并满足工程要求。</w:t>
      </w:r>
    </w:p>
    <w:p w14:paraId="6F3D122D">
      <w:pPr>
        <w:pageBreakBefore w:val="0"/>
        <w:kinsoku/>
        <w:overflowPunct/>
        <w:topLinePunct w:val="0"/>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 xml:space="preserve">6.11 </w:t>
      </w:r>
      <w:r>
        <w:rPr>
          <w:rFonts w:hint="eastAsia" w:ascii="宋体" w:hAnsi="宋体" w:eastAsia="宋体" w:cs="宋体"/>
          <w:b/>
          <w:color w:val="auto"/>
          <w:szCs w:val="24"/>
          <w:highlight w:val="none"/>
        </w:rPr>
        <w:t>承包人义务及违约责任</w:t>
      </w:r>
    </w:p>
    <w:p w14:paraId="752E4A04">
      <w:pPr>
        <w:pageBreakBefore w:val="0"/>
        <w:kinsoku/>
        <w:overflowPunct/>
        <w:topLinePunct w:val="0"/>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6.11.1 承包人义务</w:t>
      </w:r>
    </w:p>
    <w:p w14:paraId="5C53A058">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003273A2">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（2）合同生效后，承包人要求终止或解除合同视为承包人违约。</w:t>
      </w:r>
    </w:p>
    <w:p w14:paraId="39C2C1F9">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snapToGrid w:val="0"/>
          <w:color w:val="auto"/>
          <w:kern w:val="0"/>
          <w:szCs w:val="24"/>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14:paraId="1AEA8910">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（4）承包人应对发包人提供的文件、资料进行认真研究，对本项目的特点和不确定因素进行认真考虑，并提出合理建议和评价，对影响设计稳定的重大问题要进行多方案比较选择。</w:t>
      </w:r>
    </w:p>
    <w:p w14:paraId="445077A3">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（5）设计应尽可能减少施工难度，为施工创造方便合理的施工条件；应尽量减少施工对城市交通、市民生活以及水利、通航的干扰，并尽可能减少对施工期的影响。</w:t>
      </w:r>
    </w:p>
    <w:p w14:paraId="1FF0FEBA">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（6）未经发包人书面同意，承包人不得对已批准的设计和勘探点布置方案作重大修改、增减或删除。</w:t>
      </w:r>
    </w:p>
    <w:p w14:paraId="115A63EE">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（7）承包人提交的全部设计文件应考虑地质因素、正常施工中可能出现的各种因素，对设计文件出现的遗漏或错误负责修改或补充。</w:t>
      </w:r>
    </w:p>
    <w:p w14:paraId="39B2B399">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（8）承包人承诺在交付项目的部分或全部设计文件后，如有更好的新工艺、新技术、新材料、新设备等适用于本项目，应及时向发包人推荐并提供科学的评估和来源证明。</w:t>
      </w:r>
    </w:p>
    <w:p w14:paraId="237FBD26">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（9）承包人驻南雄办公的项目负责人（即投标文件所拟派的项目负责人）必须负责本项目设计全过程（包括施工图设计审查、施工图设计修编、图纸会审和技术交底）。</w:t>
      </w:r>
    </w:p>
    <w:p w14:paraId="34565C14">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（10）承包人应委派1名参与并熟悉本项目设计任务，有现场处理经验的设计代表常驻项目现场。承包人应为派驻现场的设计工作人员提供工作、生活及交通等方面的便利条件及准备必要的劳动保护装备。</w:t>
      </w:r>
    </w:p>
    <w:p w14:paraId="76B332DF">
      <w:pPr>
        <w:pageBreakBefore w:val="0"/>
        <w:kinsoku/>
        <w:overflowPunct/>
        <w:topLinePunct w:val="0"/>
        <w:bidi w:val="0"/>
        <w:adjustRightInd w:val="0"/>
        <w:snapToGrid w:val="0"/>
        <w:spacing w:line="440" w:lineRule="exact"/>
        <w:ind w:firstLine="240" w:firstLineChars="1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（11）承包人要按照批准的设计任务书，按照批准的总概算控制施工图设计，即限额设计。承包人要无条件对设计文件出现的遗漏或错误负责修改或补充，直到满足要求。</w:t>
      </w:r>
    </w:p>
    <w:p w14:paraId="4BB22383">
      <w:pPr>
        <w:pageBreakBefore w:val="0"/>
        <w:kinsoku/>
        <w:overflowPunct/>
        <w:topLinePunct w:val="0"/>
        <w:bidi w:val="0"/>
        <w:adjustRightInd w:val="0"/>
        <w:snapToGrid w:val="0"/>
        <w:spacing w:line="440" w:lineRule="exact"/>
        <w:ind w:firstLine="244" w:firstLineChars="100"/>
        <w:textAlignment w:val="auto"/>
        <w:rPr>
          <w:rFonts w:hint="eastAsia" w:ascii="宋体" w:hAnsi="宋体" w:eastAsia="宋体" w:cs="宋体"/>
          <w:color w:val="auto"/>
          <w:szCs w:val="24"/>
          <w:highlight w:val="none"/>
        </w:rPr>
      </w:pPr>
      <w:r>
        <w:rPr>
          <w:rFonts w:hint="eastAsia" w:ascii="宋体" w:hAnsi="宋体" w:eastAsia="宋体" w:cs="宋体"/>
          <w:color w:val="auto"/>
          <w:spacing w:val="2"/>
          <w:szCs w:val="24"/>
          <w:highlight w:val="none"/>
        </w:rPr>
        <w:t xml:space="preserve"> （12）发包人及咨询</w:t>
      </w:r>
      <w:r>
        <w:rPr>
          <w:rFonts w:hint="eastAsia" w:ascii="宋体" w:hAnsi="宋体" w:eastAsia="宋体" w:cs="宋体"/>
          <w:color w:val="auto"/>
          <w:spacing w:val="1"/>
          <w:szCs w:val="24"/>
          <w:highlight w:val="none"/>
        </w:rPr>
        <w:t>单</w:t>
      </w:r>
      <w:r>
        <w:rPr>
          <w:rFonts w:hint="eastAsia" w:ascii="宋体" w:hAnsi="宋体" w:eastAsia="宋体" w:cs="宋体"/>
          <w:color w:val="auto"/>
          <w:spacing w:val="2"/>
          <w:szCs w:val="24"/>
          <w:highlight w:val="none"/>
        </w:rPr>
        <w:t>位、上级</w:t>
      </w:r>
      <w:r>
        <w:rPr>
          <w:rFonts w:hint="eastAsia" w:ascii="宋体" w:hAnsi="宋体" w:eastAsia="宋体" w:cs="宋体"/>
          <w:color w:val="auto"/>
          <w:spacing w:val="1"/>
          <w:szCs w:val="24"/>
          <w:highlight w:val="none"/>
        </w:rPr>
        <w:t>主</w:t>
      </w:r>
      <w:r>
        <w:rPr>
          <w:rFonts w:hint="eastAsia" w:ascii="宋体" w:hAnsi="宋体" w:eastAsia="宋体" w:cs="宋体"/>
          <w:color w:val="auto"/>
          <w:spacing w:val="2"/>
          <w:szCs w:val="24"/>
          <w:highlight w:val="none"/>
        </w:rPr>
        <w:t>管部门对设计</w:t>
      </w:r>
      <w:r>
        <w:rPr>
          <w:rFonts w:hint="eastAsia" w:ascii="宋体" w:hAnsi="宋体" w:eastAsia="宋体" w:cs="宋体"/>
          <w:color w:val="auto"/>
          <w:szCs w:val="24"/>
          <w:highlight w:val="none"/>
        </w:rPr>
        <w:t>文件的审查并不免除承包人的责任。</w:t>
      </w:r>
    </w:p>
    <w:p w14:paraId="5299FE9D">
      <w:pPr>
        <w:pageBreakBefore w:val="0"/>
        <w:kinsoku/>
        <w:overflowPunct/>
        <w:topLinePunct w:val="0"/>
        <w:bidi w:val="0"/>
        <w:adjustRightInd w:val="0"/>
        <w:snapToGrid w:val="0"/>
        <w:spacing w:line="440" w:lineRule="exact"/>
        <w:ind w:firstLine="360" w:firstLineChars="150"/>
        <w:textAlignment w:val="auto"/>
        <w:rPr>
          <w:rFonts w:hint="eastAsia" w:ascii="宋体" w:hAnsi="宋体" w:eastAsia="宋体" w:cs="宋体"/>
          <w:snapToGrid w:val="0"/>
          <w:color w:val="auto"/>
          <w:kern w:val="0"/>
          <w:szCs w:val="24"/>
          <w:highlight w:val="none"/>
        </w:rPr>
      </w:pPr>
      <w:r>
        <w:rPr>
          <w:rFonts w:hint="eastAsia" w:ascii="宋体" w:hAnsi="宋体" w:eastAsia="宋体" w:cs="宋体"/>
          <w:color w:val="auto"/>
          <w:szCs w:val="24"/>
          <w:highlight w:val="none"/>
        </w:rPr>
        <w:t>（13）中标通知书发出后三天内，中标单位法定代表人及主要负责人、项目经理、设计负责人应积极主动与发包人接洽工作，迅速有效推动工程前期工作顺利开展，逾期未履行，作违约处理。</w:t>
      </w:r>
    </w:p>
    <w:p w14:paraId="65E33740">
      <w:pPr>
        <w:pageBreakBefore w:val="0"/>
        <w:kinsoku/>
        <w:overflowPunct/>
        <w:topLinePunct w:val="0"/>
        <w:bidi w:val="0"/>
        <w:adjustRightInd w:val="0"/>
        <w:snapToGrid w:val="0"/>
        <w:spacing w:line="440" w:lineRule="exact"/>
        <w:ind w:firstLine="120" w:firstLineChars="50"/>
        <w:textAlignment w:val="auto"/>
        <w:rPr>
          <w:rFonts w:hint="eastAsia" w:ascii="宋体" w:hAnsi="宋体" w:eastAsia="宋体" w:cs="宋体"/>
          <w:b/>
          <w:snapToGrid w:val="0"/>
          <w:color w:val="auto"/>
          <w:kern w:val="0"/>
          <w:szCs w:val="24"/>
          <w:highlight w:val="none"/>
        </w:rPr>
      </w:pPr>
      <w:r>
        <w:rPr>
          <w:rFonts w:hint="eastAsia" w:ascii="宋体" w:hAnsi="宋体" w:eastAsia="宋体" w:cs="宋体"/>
          <w:b/>
          <w:bCs/>
          <w:color w:val="auto"/>
          <w:szCs w:val="24"/>
          <w:highlight w:val="none"/>
        </w:rPr>
        <w:t xml:space="preserve">   6.11.2 </w:t>
      </w:r>
      <w:r>
        <w:rPr>
          <w:rFonts w:hint="eastAsia" w:ascii="宋体" w:hAnsi="宋体" w:eastAsia="宋体" w:cs="宋体"/>
          <w:b/>
          <w:snapToGrid w:val="0"/>
          <w:color w:val="auto"/>
          <w:kern w:val="0"/>
          <w:szCs w:val="24"/>
          <w:highlight w:val="none"/>
        </w:rPr>
        <w:t>承包人违约的处理</w:t>
      </w:r>
    </w:p>
    <w:p w14:paraId="4484659D">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（1）承包人发生合同约定的违约情况时，无论发包人是否解除合同，发包人均有权按相关规定</w:t>
      </w:r>
      <w:r>
        <w:rPr>
          <w:rFonts w:hint="eastAsia" w:ascii="宋体" w:hAnsi="宋体" w:eastAsia="宋体" w:cs="宋体"/>
          <w:strike w:val="0"/>
          <w:dstrike w:val="0"/>
          <w:color w:val="auto"/>
          <w:szCs w:val="24"/>
          <w:highlight w:val="none"/>
          <w:lang w:eastAsia="zh-CN"/>
        </w:rPr>
        <w:t>要求承包人支付违约金</w:t>
      </w:r>
      <w:r>
        <w:rPr>
          <w:rFonts w:hint="eastAsia" w:ascii="宋体" w:hAnsi="宋体" w:eastAsia="宋体" w:cs="宋体"/>
          <w:color w:val="auto"/>
          <w:szCs w:val="24"/>
          <w:highlight w:val="none"/>
        </w:rPr>
        <w:t>，并由发包人将其违约行为记录在合同履约评价报告中，作为合同履约综合评价的依据。同时，发包人将</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的违约行为</w:t>
      </w:r>
      <w:r>
        <w:rPr>
          <w:rFonts w:hint="eastAsia" w:ascii="宋体" w:hAnsi="宋体" w:eastAsia="宋体" w:cs="宋体"/>
          <w:snapToGrid w:val="0"/>
          <w:color w:val="auto"/>
          <w:kern w:val="0"/>
          <w:szCs w:val="24"/>
          <w:highlight w:val="none"/>
        </w:rPr>
        <w:t>上报建设行政主管部门。</w:t>
      </w:r>
    </w:p>
    <w:p w14:paraId="41872917">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（2）发包人按合同规定向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开出的任何违约金，除合同另有规定外，均从发包人应向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支付的</w:t>
      </w:r>
      <w:r>
        <w:rPr>
          <w:rFonts w:hint="eastAsia" w:ascii="宋体" w:hAnsi="宋体" w:eastAsia="宋体" w:cs="宋体"/>
          <w:strike w:val="0"/>
          <w:dstrike w:val="0"/>
          <w:color w:val="auto"/>
          <w:highlight w:val="none"/>
          <w:lang w:eastAsia="zh-CN"/>
        </w:rPr>
        <w:t>款项</w:t>
      </w:r>
      <w:r>
        <w:rPr>
          <w:rFonts w:hint="eastAsia" w:ascii="宋体" w:hAnsi="宋体" w:eastAsia="宋体" w:cs="宋体"/>
          <w:color w:val="auto"/>
          <w:szCs w:val="24"/>
          <w:highlight w:val="none"/>
        </w:rPr>
        <w:t>中直接扣除。除非合同另有规定，发包人向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开出的任何违约金将导致承包人最终的应得结算价款相应地减少。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必须完全接受上述条款。</w:t>
      </w:r>
    </w:p>
    <w:p w14:paraId="29202821">
      <w:pPr>
        <w:pageBreakBefore w:val="0"/>
        <w:kinsoku/>
        <w:overflowPunct/>
        <w:topLinePunct w:val="0"/>
        <w:bidi w:val="0"/>
        <w:spacing w:line="440" w:lineRule="exact"/>
        <w:ind w:firstLine="360" w:firstLineChars="150"/>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（3）发包人按合同规定向</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开出的任何违约金的扣除时间，可以在发包人认为合适的任何一个期中支付月份中扣除。发包人扣除违约金时间的延迟或滞后并不代表对</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当时各种行为的认可或默认。</w:t>
      </w:r>
    </w:p>
    <w:p w14:paraId="484A3E91">
      <w:pPr>
        <w:pageBreakBefore w:val="0"/>
        <w:kinsoku/>
        <w:overflowPunct/>
        <w:topLinePunct w:val="0"/>
        <w:bidi w:val="0"/>
        <w:spacing w:line="440" w:lineRule="exact"/>
        <w:ind w:firstLine="360" w:firstLineChars="150"/>
        <w:textAlignment w:val="auto"/>
        <w:rPr>
          <w:rFonts w:hint="eastAsia" w:ascii="宋体" w:hAnsi="宋体" w:eastAsia="宋体" w:cs="宋体"/>
          <w:color w:val="auto"/>
          <w:highlight w:val="none"/>
        </w:rPr>
      </w:pPr>
      <w:r>
        <w:rPr>
          <w:rFonts w:hint="eastAsia" w:ascii="宋体" w:hAnsi="宋体" w:eastAsia="宋体" w:cs="宋体"/>
          <w:color w:val="auto"/>
          <w:szCs w:val="24"/>
          <w:highlight w:val="none"/>
        </w:rPr>
        <w:t>（4）</w:t>
      </w:r>
      <w:r>
        <w:rPr>
          <w:rFonts w:hint="eastAsia" w:ascii="宋体" w:hAnsi="宋体" w:eastAsia="宋体" w:cs="宋体"/>
          <w:snapToGrid w:val="0"/>
          <w:color w:val="auto"/>
          <w:kern w:val="0"/>
          <w:szCs w:val="24"/>
          <w:highlight w:val="none"/>
        </w:rPr>
        <w:t>承包人</w:t>
      </w:r>
      <w:r>
        <w:rPr>
          <w:rFonts w:hint="eastAsia" w:ascii="宋体" w:hAnsi="宋体" w:eastAsia="宋体" w:cs="宋体"/>
          <w:color w:val="auto"/>
          <w:szCs w:val="24"/>
          <w:highlight w:val="none"/>
        </w:rPr>
        <w:t>的违约金由发包人掌握使用。</w:t>
      </w:r>
    </w:p>
    <w:p w14:paraId="16C20D73">
      <w:pPr>
        <w:pageBreakBefore w:val="0"/>
        <w:kinsoku/>
        <w:overflowPunct/>
        <w:topLinePunct w:val="0"/>
        <w:bidi w:val="0"/>
        <w:spacing w:line="440" w:lineRule="exact"/>
        <w:ind w:firstLine="480" w:firstLineChars="200"/>
        <w:textAlignment w:val="auto"/>
        <w:rPr>
          <w:rFonts w:hint="eastAsia" w:ascii="宋体" w:hAnsi="宋体" w:eastAsia="宋体" w:cs="宋体"/>
          <w:b/>
          <w:bCs/>
          <w:color w:val="auto"/>
          <w:szCs w:val="24"/>
          <w:highlight w:val="none"/>
        </w:rPr>
      </w:pPr>
      <w:r>
        <w:rPr>
          <w:rFonts w:hint="eastAsia" w:ascii="宋体" w:hAnsi="宋体" w:eastAsia="宋体" w:cs="宋体"/>
          <w:color w:val="auto"/>
          <w:szCs w:val="24"/>
          <w:highlight w:val="none"/>
        </w:rPr>
        <w:t>6.12</w:t>
      </w:r>
      <w:r>
        <w:rPr>
          <w:rFonts w:hint="eastAsia" w:ascii="宋体" w:hAnsi="宋体" w:eastAsia="宋体" w:cs="宋体"/>
          <w:b/>
          <w:bCs/>
          <w:color w:val="auto"/>
          <w:szCs w:val="24"/>
          <w:highlight w:val="none"/>
        </w:rPr>
        <w:t>发包人有权根据有关管理制度对承包人的履约情况纳入履约信用评价体系进行履约信用评价，并将评价结果报送给有关监管部门。</w:t>
      </w:r>
    </w:p>
    <w:p w14:paraId="61E7425A">
      <w:pPr>
        <w:pStyle w:val="9"/>
        <w:pageBreakBefore w:val="0"/>
        <w:kinsoku/>
        <w:overflowPunct/>
        <w:topLinePunct w:val="0"/>
        <w:bidi w:val="0"/>
        <w:spacing w:line="440" w:lineRule="exact"/>
        <w:textAlignment w:val="auto"/>
        <w:rPr>
          <w:rFonts w:asciiTheme="minorEastAsia" w:hAnsiTheme="minorEastAsia" w:eastAsiaTheme="minorEastAsia" w:cstheme="minorEastAsia"/>
          <w:color w:val="auto"/>
          <w:highlight w:val="none"/>
        </w:rPr>
      </w:pPr>
      <w:r>
        <w:rPr>
          <w:rFonts w:hint="eastAsia" w:ascii="宋体" w:hAnsi="宋体" w:eastAsia="宋体" w:cs="宋体"/>
          <w:color w:val="auto"/>
          <w:sz w:val="24"/>
          <w:szCs w:val="24"/>
          <w:highlight w:val="none"/>
        </w:rPr>
        <w:t>履约信用评价按发包人履约信用评价管理规定执行，评价内容包含人员到位情况、服务配合程度、服务成果质量、项目后期服务及履约信用评价结果的运用等。</w:t>
      </w:r>
    </w:p>
    <w:p w14:paraId="1CA20C7E">
      <w:pPr>
        <w:pStyle w:val="38"/>
        <w:keepNext/>
        <w:keepLines/>
        <w:tabs>
          <w:tab w:val="left" w:pos="885"/>
        </w:tabs>
        <w:spacing w:line="400" w:lineRule="exact"/>
        <w:jc w:val="center"/>
        <w:rPr>
          <w:rFonts w:asciiTheme="minorEastAsia" w:hAnsiTheme="minorEastAsia" w:eastAsiaTheme="minorEastAsia" w:cstheme="minorEastAsia"/>
          <w:b/>
          <w:color w:val="auto"/>
          <w:kern w:val="44"/>
          <w:sz w:val="24"/>
          <w:highlight w:val="none"/>
        </w:rPr>
      </w:pPr>
      <w:bookmarkStart w:id="398" w:name="_Toc11306"/>
      <w:r>
        <w:rPr>
          <w:rFonts w:hint="eastAsia" w:asciiTheme="minorEastAsia" w:hAnsiTheme="minorEastAsia" w:eastAsiaTheme="minorEastAsia" w:cstheme="minorEastAsia"/>
          <w:b/>
          <w:color w:val="auto"/>
          <w:kern w:val="44"/>
          <w:sz w:val="24"/>
          <w:highlight w:val="none"/>
        </w:rPr>
        <w:br w:type="page"/>
      </w:r>
      <w:bookmarkStart w:id="399" w:name="_Toc18208"/>
      <w:bookmarkStart w:id="400" w:name="_Toc15865"/>
      <w:bookmarkStart w:id="401" w:name="_Toc26365"/>
      <w:bookmarkStart w:id="402" w:name="_Toc31905"/>
      <w:bookmarkStart w:id="403" w:name="_Toc5081"/>
      <w:bookmarkStart w:id="404" w:name="_Toc28950"/>
      <w:bookmarkStart w:id="405" w:name="_Toc10003"/>
      <w:bookmarkStart w:id="406" w:name="_Toc16036"/>
      <w:r>
        <w:rPr>
          <w:rFonts w:hint="eastAsia" w:asciiTheme="minorEastAsia" w:hAnsiTheme="minorEastAsia" w:eastAsiaTheme="minorEastAsia" w:cstheme="minorEastAsia"/>
          <w:b/>
          <w:color w:val="auto"/>
          <w:kern w:val="44"/>
          <w:sz w:val="36"/>
          <w:szCs w:val="36"/>
          <w:highlight w:val="none"/>
        </w:rPr>
        <w:t>第三</w:t>
      </w:r>
      <w:bookmarkStart w:id="407" w:name="_Hlt69669171"/>
      <w:bookmarkEnd w:id="407"/>
      <w:r>
        <w:rPr>
          <w:rFonts w:hint="eastAsia" w:asciiTheme="minorEastAsia" w:hAnsiTheme="minorEastAsia" w:eastAsiaTheme="minorEastAsia" w:cstheme="minorEastAsia"/>
          <w:b/>
          <w:color w:val="auto"/>
          <w:kern w:val="44"/>
          <w:sz w:val="36"/>
          <w:szCs w:val="36"/>
          <w:highlight w:val="none"/>
        </w:rPr>
        <w:t>章</w:t>
      </w:r>
      <w:bookmarkStart w:id="408" w:name="_Hlt87793839"/>
      <w:bookmarkEnd w:id="408"/>
      <w:r>
        <w:rPr>
          <w:rFonts w:hint="eastAsia" w:asciiTheme="minorEastAsia" w:hAnsiTheme="minorEastAsia" w:eastAsiaTheme="minorEastAsia" w:cstheme="minorEastAsia"/>
          <w:b/>
          <w:color w:val="auto"/>
          <w:kern w:val="44"/>
          <w:sz w:val="36"/>
          <w:szCs w:val="36"/>
          <w:highlight w:val="none"/>
        </w:rPr>
        <w:t xml:space="preserve"> 中标人须知</w:t>
      </w:r>
      <w:bookmarkEnd w:id="398"/>
      <w:bookmarkEnd w:id="399"/>
      <w:bookmarkEnd w:id="400"/>
      <w:bookmarkEnd w:id="401"/>
      <w:bookmarkEnd w:id="402"/>
      <w:bookmarkEnd w:id="403"/>
      <w:bookmarkEnd w:id="404"/>
      <w:bookmarkEnd w:id="405"/>
      <w:bookmarkEnd w:id="406"/>
    </w:p>
    <w:p w14:paraId="7E045A0B">
      <w:pPr>
        <w:pStyle w:val="37"/>
        <w:rPr>
          <w:rFonts w:asciiTheme="minorEastAsia" w:hAnsiTheme="minorEastAsia" w:eastAsiaTheme="minorEastAsia" w:cstheme="minorEastAsia"/>
          <w:color w:val="auto"/>
          <w:highlight w:val="none"/>
        </w:rPr>
      </w:pPr>
    </w:p>
    <w:bookmarkEnd w:id="346"/>
    <w:bookmarkEnd w:id="347"/>
    <w:bookmarkEnd w:id="348"/>
    <w:p w14:paraId="2E4C0E56">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Theme="minorEastAsia" w:hAnsiTheme="minorEastAsia" w:eastAsiaTheme="minorEastAsia" w:cstheme="minorEastAsia"/>
          <w:b/>
          <w:color w:val="auto"/>
          <w:szCs w:val="24"/>
          <w:highlight w:val="none"/>
        </w:rPr>
        <w:t xml:space="preserve">  </w:t>
      </w:r>
      <w:r>
        <w:rPr>
          <w:rFonts w:ascii="宋体" w:hAnsi="宋体" w:eastAsia="宋体" w:cs="宋体"/>
          <w:b/>
          <w:color w:val="auto"/>
          <w:szCs w:val="24"/>
          <w:highlight w:val="none"/>
        </w:rPr>
        <w:t xml:space="preserve">  3.1  </w:t>
      </w:r>
      <w:r>
        <w:rPr>
          <w:rFonts w:ascii="宋体" w:hAnsi="宋体" w:eastAsia="宋体" w:cs="宋体"/>
          <w:color w:val="auto"/>
          <w:szCs w:val="24"/>
          <w:highlight w:val="none"/>
        </w:rPr>
        <w:t>招标人向中标人发出的《中标通知书》对招标人和中标人均具有法律约束力。中标通知书发出后，招标人改变中标结果和中标人放弃中标的，应当承担法律责任。</w:t>
      </w:r>
    </w:p>
    <w:p w14:paraId="3DD7027D">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3.2  </w:t>
      </w:r>
      <w:r>
        <w:rPr>
          <w:rFonts w:ascii="宋体" w:hAnsi="宋体" w:eastAsia="宋体" w:cs="宋体"/>
          <w:color w:val="auto"/>
          <w:szCs w:val="24"/>
          <w:highlight w:val="none"/>
        </w:rPr>
        <w:t>中标人不与招标人签订合同，招标人可以取消其中标人资格。给招标人造成经济损失的，招标人可以向中标人索赔。</w:t>
      </w:r>
    </w:p>
    <w:p w14:paraId="3F583F26">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3.3  </w:t>
      </w:r>
      <w:r>
        <w:rPr>
          <w:rFonts w:ascii="宋体" w:hAnsi="宋体" w:eastAsia="宋体" w:cs="宋体"/>
          <w:color w:val="auto"/>
          <w:szCs w:val="24"/>
          <w:highlight w:val="none"/>
        </w:rPr>
        <w:t>中标人在施工期间应严格遵守国家、省、市有关防火、爆破和施工安全以及文明施工、深夜施工、环卫城管等规定，建立规章制度和防护措施。否则，由此造成的经济损失和法律责任，均由中标人负责。</w:t>
      </w:r>
    </w:p>
    <w:p w14:paraId="682890A0">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中标人必须做好施工场地地下地上管线和邻近建筑物、构筑物（包括文物保护建筑）、名树名木（如有）的保护工作。</w:t>
      </w:r>
    </w:p>
    <w:p w14:paraId="1E4AC2F3">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3.4  </w:t>
      </w:r>
      <w:r>
        <w:rPr>
          <w:rFonts w:ascii="宋体" w:hAnsi="宋体" w:eastAsia="宋体" w:cs="宋体"/>
          <w:color w:val="auto"/>
          <w:szCs w:val="24"/>
          <w:highlight w:val="none"/>
        </w:rPr>
        <w:t>中标人应按安全施工的要求，采取严格科学的安全措施，确保施工安全和第三者的安全，承担由于自身安全措施不力所造成的事故责任和发生的费用。</w:t>
      </w:r>
    </w:p>
    <w:p w14:paraId="27930C47">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bookmarkStart w:id="409" w:name="_Hlt93117969"/>
      <w:r>
        <w:rPr>
          <w:rFonts w:ascii="宋体" w:hAnsi="宋体" w:eastAsia="宋体" w:cs="宋体"/>
          <w:b/>
          <w:color w:val="auto"/>
          <w:szCs w:val="24"/>
          <w:highlight w:val="none"/>
        </w:rPr>
        <w:t xml:space="preserve">    3.5  </w:t>
      </w:r>
      <w:r>
        <w:rPr>
          <w:rFonts w:ascii="宋体" w:hAnsi="宋体" w:eastAsia="宋体" w:cs="宋体"/>
          <w:color w:val="auto"/>
          <w:szCs w:val="24"/>
          <w:highlight w:val="none"/>
        </w:rPr>
        <w:t>为保证施工现场的环境卫生，中标人在本项目施工过程中，所有的车辆必须按招标人规定的行车路线行驶。</w:t>
      </w:r>
    </w:p>
    <w:bookmarkEnd w:id="409"/>
    <w:p w14:paraId="350ACB93">
      <w:pPr>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3.6  </w:t>
      </w:r>
      <w:r>
        <w:rPr>
          <w:rFonts w:ascii="宋体" w:hAnsi="宋体" w:eastAsia="宋体" w:cs="宋体"/>
          <w:color w:val="auto"/>
          <w:szCs w:val="24"/>
          <w:highlight w:val="none"/>
        </w:rPr>
        <w:t>中标人的投标书所报的项目管理班子人员（项目经理、技术负责人、施工员、质量员、安全员等）必须是</w:t>
      </w:r>
      <w:bookmarkStart w:id="410" w:name="_Hlt66261069"/>
      <w:bookmarkEnd w:id="410"/>
      <w:r>
        <w:rPr>
          <w:rFonts w:ascii="宋体" w:hAnsi="宋体" w:eastAsia="宋体" w:cs="宋体"/>
          <w:color w:val="auto"/>
          <w:szCs w:val="24"/>
          <w:highlight w:val="none"/>
        </w:rPr>
        <w:t>中标后实际的项目管理班子人员，否则招标人有权终止合同。</w:t>
      </w:r>
    </w:p>
    <w:p w14:paraId="6301F7D5">
      <w:pPr>
        <w:pStyle w:val="9"/>
        <w:keepNext w:val="0"/>
        <w:keepLines w:val="0"/>
        <w:pageBreakBefore w:val="0"/>
        <w:kinsoku/>
        <w:overflowPunct/>
        <w:topLinePunct w:val="0"/>
        <w:autoSpaceDE/>
        <w:autoSpaceDN/>
        <w:bidi w:val="0"/>
        <w:spacing w:line="44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根据项目实施进度情况，招标人有权要求中标人增派项目管理人员，以满足项目的现场管理工作要求。</w:t>
      </w:r>
    </w:p>
    <w:p w14:paraId="6B36FF82">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3.7  </w:t>
      </w:r>
      <w:r>
        <w:rPr>
          <w:rFonts w:ascii="宋体" w:hAnsi="宋体" w:eastAsia="宋体" w:cs="宋体"/>
          <w:color w:val="auto"/>
          <w:szCs w:val="24"/>
          <w:highlight w:val="none"/>
        </w:rPr>
        <w:t>项目竣工验收合格后三十个工作日内必须向招标人提供一式八份符合韶关市及南雄市城市建设档案馆要求的工程竣工档案（含纸质、声像及电子等形式的档案），声像及电子档案的制作费用由中标人承担。</w:t>
      </w:r>
    </w:p>
    <w:p w14:paraId="543DDEB3">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3.8  </w:t>
      </w:r>
      <w:r>
        <w:rPr>
          <w:rFonts w:ascii="宋体" w:hAnsi="宋体" w:eastAsia="宋体" w:cs="宋体"/>
          <w:color w:val="auto"/>
          <w:szCs w:val="24"/>
          <w:highlight w:val="none"/>
        </w:rPr>
        <w:t>合同范围内的工程项目未经招标人同意一律不得分包，一经发现，取消中标人的承包资格，中标人承担由此引起的一切责任和经济损失。</w:t>
      </w:r>
    </w:p>
    <w:p w14:paraId="4D0561B7">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3.9  </w:t>
      </w:r>
      <w:r>
        <w:rPr>
          <w:rFonts w:ascii="宋体" w:hAnsi="宋体" w:eastAsia="宋体" w:cs="宋体"/>
          <w:color w:val="auto"/>
          <w:szCs w:val="24"/>
          <w:highlight w:val="none"/>
        </w:rPr>
        <w:t>现场应自设检验实验室，用于对建筑材料、构件和建筑物进行一般性鉴定、检查等。</w:t>
      </w:r>
    </w:p>
    <w:p w14:paraId="54C2C2FF">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3.10  </w:t>
      </w:r>
      <w:r>
        <w:rPr>
          <w:rFonts w:ascii="宋体" w:hAnsi="宋体" w:eastAsia="宋体" w:cs="宋体"/>
          <w:color w:val="auto"/>
          <w:szCs w:val="24"/>
          <w:highlight w:val="none"/>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3F740E42">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3.11  </w:t>
      </w:r>
      <w:r>
        <w:rPr>
          <w:rFonts w:ascii="宋体" w:hAnsi="宋体" w:eastAsia="宋体" w:cs="宋体"/>
          <w:color w:val="auto"/>
          <w:szCs w:val="24"/>
          <w:highlight w:val="none"/>
        </w:rPr>
        <w:t>招标文件、招标答疑书、投标文件和中标通知书是招标人与中标人双方签订的施工合同的主要组成部分，并与合同一样，具有相同的法律效力。</w:t>
      </w:r>
      <w:bookmarkStart w:id="411" w:name="_Hlt66508904"/>
      <w:bookmarkEnd w:id="411"/>
      <w:r>
        <w:rPr>
          <w:rFonts w:ascii="宋体" w:hAnsi="宋体" w:eastAsia="宋体" w:cs="宋体"/>
          <w:color w:val="auto"/>
          <w:szCs w:val="24"/>
          <w:highlight w:val="none"/>
        </w:rPr>
        <w:t>如中标通知书发出后，发现中标人的投标文件中有与招标文件所述内容及要求不符的，按招标文件执行。</w:t>
      </w:r>
    </w:p>
    <w:p w14:paraId="26E0E8D8">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3.12  </w:t>
      </w:r>
      <w:r>
        <w:rPr>
          <w:rFonts w:ascii="宋体" w:hAnsi="宋体" w:eastAsia="宋体" w:cs="宋体"/>
          <w:color w:val="auto"/>
          <w:szCs w:val="24"/>
          <w:highlight w:val="none"/>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3B92A49B">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3.13  </w:t>
      </w:r>
      <w:r>
        <w:rPr>
          <w:rFonts w:ascii="宋体" w:hAnsi="宋体" w:eastAsia="宋体" w:cs="宋体"/>
          <w:color w:val="auto"/>
          <w:szCs w:val="24"/>
          <w:highlight w:val="none"/>
        </w:rPr>
        <w:t>若设计超过了限额标准，中标人必须无条件优化，直至达到限额要求为止，设计及施工工期不予以顺延，招标人不再支付由此而增加的设计费。</w:t>
      </w:r>
    </w:p>
    <w:p w14:paraId="1D3BE1E5">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3.14  </w:t>
      </w:r>
      <w:r>
        <w:rPr>
          <w:rFonts w:ascii="宋体" w:hAnsi="宋体" w:eastAsia="宋体" w:cs="宋体"/>
          <w:color w:val="auto"/>
          <w:szCs w:val="24"/>
          <w:highlight w:val="none"/>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6F8825E0">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3.15 </w:t>
      </w:r>
      <w:r>
        <w:rPr>
          <w:rFonts w:ascii="宋体" w:hAnsi="宋体" w:eastAsia="宋体" w:cs="宋体"/>
          <w:color w:val="auto"/>
          <w:szCs w:val="24"/>
          <w:highlight w:val="none"/>
        </w:rPr>
        <w:t>增加工程造价在施工14天前中标人必须提供详细的报价书（含工程项目名称、变更部位、理由、预计造价等）给监理单位核实并报招标人或有关审核部门核定后，方可施工。</w:t>
      </w:r>
    </w:p>
    <w:p w14:paraId="24A23143">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3.16 </w:t>
      </w:r>
      <w:r>
        <w:rPr>
          <w:rFonts w:ascii="宋体" w:hAnsi="宋体" w:eastAsia="宋体" w:cs="宋体"/>
          <w:color w:val="auto"/>
          <w:szCs w:val="24"/>
          <w:highlight w:val="none"/>
        </w:rPr>
        <w:t xml:space="preserve"> 中标人中标后，必须按规定到韶关市公共资源交易中心办理相关手续方可领取中标通知书。</w:t>
      </w:r>
    </w:p>
    <w:p w14:paraId="01CDF4D5">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 xml:space="preserve"> 3.17 </w:t>
      </w:r>
      <w:r>
        <w:rPr>
          <w:rFonts w:ascii="宋体" w:hAnsi="宋体" w:eastAsia="宋体" w:cs="宋体"/>
          <w:color w:val="auto"/>
          <w:szCs w:val="24"/>
          <w:highlight w:val="none"/>
        </w:rPr>
        <w:t>中标人中标后必须按招标人的要求采购材料及设备。</w:t>
      </w:r>
    </w:p>
    <w:p w14:paraId="56AD1EDE">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b/>
          <w:bCs/>
          <w:color w:val="auto"/>
          <w:szCs w:val="24"/>
          <w:highlight w:val="none"/>
        </w:rPr>
      </w:pPr>
      <w:r>
        <w:rPr>
          <w:rFonts w:ascii="宋体" w:hAnsi="宋体" w:eastAsia="宋体" w:cs="宋体"/>
          <w:b/>
          <w:color w:val="auto"/>
          <w:szCs w:val="24"/>
          <w:highlight w:val="none"/>
        </w:rPr>
        <w:t xml:space="preserve"> 3.18 </w:t>
      </w:r>
      <w:r>
        <w:rPr>
          <w:rFonts w:ascii="宋体" w:hAnsi="宋体" w:eastAsia="宋体" w:cs="宋体"/>
          <w:b/>
          <w:bCs/>
          <w:color w:val="auto"/>
          <w:szCs w:val="24"/>
          <w:highlight w:val="none"/>
        </w:rPr>
        <w:t>中标通知书发出后，中标方应在30个日历天内缴工人工资保证金、意外伤害险等。</w:t>
      </w:r>
    </w:p>
    <w:p w14:paraId="71A4FF92">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Cs w:val="24"/>
          <w:highlight w:val="none"/>
        </w:rPr>
      </w:pPr>
      <w:r>
        <w:rPr>
          <w:rFonts w:ascii="宋体" w:hAnsi="宋体" w:eastAsia="宋体" w:cs="宋体"/>
          <w:b/>
          <w:bCs/>
          <w:snapToGrid w:val="0"/>
          <w:color w:val="auto"/>
          <w:kern w:val="0"/>
          <w:szCs w:val="24"/>
          <w:highlight w:val="none"/>
        </w:rPr>
        <w:t>中标人必须在项目开工前，在项目所在地银行</w:t>
      </w:r>
      <w:r>
        <w:rPr>
          <w:rFonts w:ascii="宋体" w:hAnsi="宋体" w:eastAsia="宋体" w:cs="宋体"/>
          <w:b/>
          <w:bCs/>
          <w:color w:val="auto"/>
          <w:szCs w:val="24"/>
          <w:highlight w:val="none"/>
        </w:rPr>
        <w:t>设立工人工资支付专用账户和安全文明施工措施费专用帐户</w:t>
      </w:r>
      <w:r>
        <w:rPr>
          <w:rFonts w:ascii="宋体" w:hAnsi="宋体" w:eastAsia="宋体" w:cs="宋体"/>
          <w:b/>
          <w:bCs/>
          <w:snapToGrid w:val="0"/>
          <w:color w:val="auto"/>
          <w:kern w:val="0"/>
          <w:szCs w:val="24"/>
          <w:highlight w:val="none"/>
        </w:rPr>
        <w:t>，中标人应在工资专户开立后2个工作日内，将开户银行及其账号、开户协议等资料提交给招标人。</w:t>
      </w:r>
    </w:p>
    <w:p w14:paraId="30DD062C">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b/>
          <w:bCs/>
          <w:color w:val="auto"/>
          <w:szCs w:val="24"/>
          <w:highlight w:val="none"/>
        </w:rPr>
      </w:pPr>
      <w:r>
        <w:rPr>
          <w:rFonts w:ascii="宋体" w:hAnsi="宋体" w:eastAsia="宋体" w:cs="宋体"/>
          <w:b/>
          <w:bCs/>
          <w:color w:val="auto"/>
          <w:szCs w:val="24"/>
          <w:highlight w:val="none"/>
        </w:rPr>
        <w:t>中标人应建立劳动用工管理台账，并按月将工人工资支付明细表报招标人备案。若中标人拖延按工期延误处理，拖延一天，则计算工期延误一天。</w:t>
      </w:r>
    </w:p>
    <w:p w14:paraId="3F54469B">
      <w:pPr>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bCs/>
          <w:snapToGrid w:val="0"/>
          <w:color w:val="auto"/>
          <w:kern w:val="0"/>
          <w:szCs w:val="24"/>
          <w:highlight w:val="none"/>
        </w:rPr>
      </w:pPr>
      <w:r>
        <w:rPr>
          <w:rFonts w:ascii="宋体" w:hAnsi="宋体" w:eastAsia="宋体" w:cs="宋体"/>
          <w:b/>
          <w:bCs/>
          <w:snapToGrid w:val="0"/>
          <w:color w:val="auto"/>
          <w:kern w:val="0"/>
          <w:szCs w:val="24"/>
          <w:highlight w:val="none"/>
        </w:rPr>
        <w:t>中标人必须按相关规定做好用工实名制管理，建立考勤机制，并实施实名信息化管理。</w:t>
      </w:r>
    </w:p>
    <w:p w14:paraId="085728D5">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3.19</w:t>
      </w:r>
      <w:r>
        <w:rPr>
          <w:rFonts w:ascii="宋体" w:hAnsi="宋体" w:eastAsia="宋体" w:cs="宋体"/>
          <w:color w:val="auto"/>
          <w:szCs w:val="24"/>
          <w:highlight w:val="none"/>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14:paraId="73518CF7">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3.20 </w:t>
      </w:r>
      <w:r>
        <w:rPr>
          <w:rFonts w:ascii="宋体" w:hAnsi="宋体" w:eastAsia="宋体" w:cs="宋体"/>
          <w:b/>
          <w:color w:val="auto"/>
          <w:szCs w:val="24"/>
          <w:highlight w:val="none"/>
        </w:rPr>
        <w:t>若中标人自中标通知书发出之日起20个工作日内仍未提供履约担保的，视同中标单位自动放弃中标资格，招标人通报建设行政主管部门后有权另行选择中标人。</w:t>
      </w:r>
    </w:p>
    <w:p w14:paraId="686C9585">
      <w:pPr>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3.21 </w:t>
      </w:r>
      <w:r>
        <w:rPr>
          <w:rFonts w:ascii="宋体" w:hAnsi="宋体" w:eastAsia="宋体" w:cs="宋体"/>
          <w:b/>
          <w:color w:val="auto"/>
          <w:szCs w:val="24"/>
          <w:highlight w:val="none"/>
        </w:rPr>
        <w:t>若中标人自中标通知书发出之日起30天内仍未签订合同，视同中标人自动放弃中标权利，招标人通报建设行政主管部门后有权另行选择中标人。</w:t>
      </w:r>
    </w:p>
    <w:p w14:paraId="3461365B">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1871A097">
      <w:pPr>
        <w:keepNext w:val="0"/>
        <w:keepLines w:val="0"/>
        <w:pageBreakBefore w:val="0"/>
        <w:kinsoku/>
        <w:overflowPunct/>
        <w:topLinePunct w:val="0"/>
        <w:autoSpaceDE/>
        <w:autoSpaceDN/>
        <w:bidi w:val="0"/>
        <w:snapToGrid w:val="0"/>
        <w:spacing w:line="440" w:lineRule="exact"/>
        <w:ind w:firstLine="472" w:firstLineChars="196"/>
        <w:textAlignment w:val="auto"/>
        <w:rPr>
          <w:rFonts w:hint="eastAsia" w:ascii="宋体" w:hAnsi="宋体" w:eastAsia="宋体" w:cs="宋体"/>
          <w:b/>
          <w:color w:val="auto"/>
          <w:szCs w:val="24"/>
          <w:highlight w:val="none"/>
        </w:rPr>
      </w:pPr>
      <w:r>
        <w:rPr>
          <w:rFonts w:ascii="宋体" w:hAnsi="宋体" w:eastAsia="宋体" w:cs="宋体"/>
          <w:b/>
          <w:color w:val="auto"/>
          <w:szCs w:val="24"/>
          <w:highlight w:val="none"/>
        </w:rPr>
        <w:t xml:space="preserve"> 3.23 根据《</w:t>
      </w:r>
      <w:r>
        <w:rPr>
          <w:rFonts w:ascii="宋体" w:hAnsi="宋体" w:eastAsia="宋体" w:cs="宋体"/>
          <w:b/>
          <w:bCs/>
          <w:color w:val="auto"/>
          <w:szCs w:val="24"/>
          <w:highlight w:val="none"/>
        </w:rPr>
        <w:t>印发〈广东省住房和城乡建设厅 广东省发展改革委关于房屋建筑和市政基础设施工程建设项目招标投标全过程信息公开的管理规定〉的通知</w:t>
      </w:r>
      <w:r>
        <w:rPr>
          <w:rFonts w:ascii="宋体" w:hAnsi="宋体" w:eastAsia="宋体" w:cs="宋体"/>
          <w:b/>
          <w:color w:val="auto"/>
          <w:szCs w:val="24"/>
          <w:highlight w:val="none"/>
        </w:rPr>
        <w:t>》（粤建规范〔2018〕6号）文件精神，产生中标候选人后，招标人应将中标候选人投标文件商务部分除涉及商业秘密的其他资料在广东省招标投标监管网</w:t>
      </w:r>
      <w:r>
        <w:rPr>
          <w:rFonts w:ascii="宋体" w:hAnsi="宋体" w:eastAsia="宋体" w:cs="宋体"/>
          <w:b/>
          <w:bCs/>
          <w:color w:val="auto"/>
          <w:kern w:val="0"/>
          <w:szCs w:val="24"/>
          <w:highlight w:val="none"/>
        </w:rPr>
        <w:t>、广东省公共资源交易平台（韶关市）</w:t>
      </w:r>
      <w:r>
        <w:rPr>
          <w:rFonts w:ascii="宋体" w:hAnsi="宋体" w:eastAsia="宋体" w:cs="宋体"/>
          <w:b/>
          <w:color w:val="auto"/>
          <w:szCs w:val="24"/>
          <w:highlight w:val="none"/>
        </w:rPr>
        <w:t>公示，公示期不得少于3日。</w:t>
      </w:r>
    </w:p>
    <w:p w14:paraId="7BEFFB10">
      <w:pPr>
        <w:keepNext w:val="0"/>
        <w:keepLines w:val="0"/>
        <w:pageBreakBefore w:val="0"/>
        <w:kinsoku/>
        <w:overflowPunct/>
        <w:topLinePunct w:val="0"/>
        <w:autoSpaceDE/>
        <w:autoSpaceDN/>
        <w:bidi w:val="0"/>
        <w:snapToGrid w:val="0"/>
        <w:spacing w:line="440" w:lineRule="exact"/>
        <w:ind w:firstLine="560"/>
        <w:textAlignment w:val="auto"/>
        <w:rPr>
          <w:rFonts w:hint="eastAsia" w:ascii="宋体" w:hAnsi="宋体" w:eastAsia="宋体" w:cs="宋体"/>
          <w:b/>
          <w:color w:val="auto"/>
          <w:szCs w:val="24"/>
          <w:highlight w:val="none"/>
        </w:rPr>
      </w:pPr>
      <w:r>
        <w:rPr>
          <w:rFonts w:ascii="宋体" w:hAnsi="宋体" w:eastAsia="宋体" w:cs="宋体"/>
          <w:b/>
          <w:color w:val="auto"/>
          <w:szCs w:val="24"/>
          <w:highlight w:val="none"/>
        </w:rPr>
        <w:t>招标人应当在发出中标通知书15日内，将中标结果依法在广东省招标投标监管网、</w:t>
      </w:r>
      <w:r>
        <w:rPr>
          <w:rFonts w:ascii="宋体" w:hAnsi="宋体" w:eastAsia="宋体" w:cs="宋体"/>
          <w:b/>
          <w:bCs/>
          <w:color w:val="auto"/>
          <w:kern w:val="0"/>
          <w:szCs w:val="24"/>
          <w:highlight w:val="none"/>
        </w:rPr>
        <w:t>广东省公共资源交易平台（韶关市）</w:t>
      </w:r>
      <w:r>
        <w:rPr>
          <w:rFonts w:ascii="宋体" w:hAnsi="宋体" w:eastAsia="宋体" w:cs="宋体"/>
          <w:b/>
          <w:color w:val="auto"/>
          <w:szCs w:val="24"/>
          <w:highlight w:val="none"/>
        </w:rPr>
        <w:t>公示。</w:t>
      </w:r>
    </w:p>
    <w:p w14:paraId="741A6C50">
      <w:pPr>
        <w:pStyle w:val="37"/>
        <w:keepNext w:val="0"/>
        <w:keepLines w:val="0"/>
        <w:pageBreakBefore w:val="0"/>
        <w:kinsoku/>
        <w:overflowPunct/>
        <w:topLinePunct w:val="0"/>
        <w:autoSpaceDE/>
        <w:autoSpaceDN/>
        <w:bidi w:val="0"/>
        <w:spacing w:line="440" w:lineRule="exact"/>
        <w:ind w:firstLine="590" w:firstLineChars="245"/>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 xml:space="preserve">如果其他投标人或其他利害关系人对公示内容有异议，一经查实有虚假内容等违法违规情况的，将取消其中标候选人资格，并由招投标监管部门按有关规定处理。 </w:t>
      </w:r>
    </w:p>
    <w:p w14:paraId="25A0E34E">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3.24中标人须按韶关市、南雄市关于建筑垃圾运输、建筑渣土管理和扬尘治理等有关规定执行。</w:t>
      </w:r>
    </w:p>
    <w:p w14:paraId="4EC775B5">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3.25中标人须按相关规定要求，设置本工程符合相关要求的永久性标牌及规划公示牌，投标人在投标报价时综合考虑在报价内，招标人不另行支付该部分费用。</w:t>
      </w:r>
    </w:p>
    <w:p w14:paraId="2CB02431">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3.26中标人须服从招标人的项目管理方式；中标人须无条件组织施工班组按招标人提供的管理软件（如有）及管理流程进行施工管理。</w:t>
      </w:r>
    </w:p>
    <w:p w14:paraId="7AD472F0">
      <w:pPr>
        <w:pStyle w:val="9"/>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人应根据施工任务做好工期分析工作，按工期节点要求进行人料机的安排，及时根据计划的实施情况调整人料机的投入。</w:t>
      </w: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人作为总承包单位，应合理安排施工工作，统筹各专业单位（如有）的工作界面，不得影响施工进度。</w:t>
      </w:r>
      <w:r>
        <w:rPr>
          <w:rFonts w:hint="eastAsia" w:ascii="宋体" w:hAnsi="宋体" w:eastAsia="宋体" w:cs="宋体"/>
          <w:b/>
          <w:color w:val="auto"/>
          <w:sz w:val="24"/>
          <w:szCs w:val="24"/>
          <w:highlight w:val="none"/>
        </w:rPr>
        <w:t>中标</w:t>
      </w:r>
      <w:r>
        <w:rPr>
          <w:rFonts w:hint="eastAsia" w:ascii="宋体" w:hAnsi="宋体" w:eastAsia="宋体" w:cs="宋体"/>
          <w:b/>
          <w:snapToGrid w:val="0"/>
          <w:color w:val="auto"/>
          <w:sz w:val="24"/>
          <w:szCs w:val="24"/>
          <w:highlight w:val="none"/>
        </w:rPr>
        <w:t>人应根据工作面的变化情况及工程进度要求，合理增配人员及施工机械设备。</w:t>
      </w:r>
    </w:p>
    <w:p w14:paraId="710A06AF">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3.27施工视频监控系统必须符合韶市建字〔2014〕163号文件规定，并在投标报价中综合考虑，招标人及项目业主不再另行支付该部分费用。</w:t>
      </w:r>
    </w:p>
    <w:p w14:paraId="0F3F37BD">
      <w:pPr>
        <w:keepNext w:val="0"/>
        <w:keepLines w:val="0"/>
        <w:pageBreakBefore w:val="0"/>
        <w:kinsoku/>
        <w:overflowPunct/>
        <w:topLinePunct w:val="0"/>
        <w:autoSpaceDE/>
        <w:autoSpaceDN/>
        <w:bidi w:val="0"/>
        <w:spacing w:line="440" w:lineRule="exact"/>
        <w:ind w:firstLine="354" w:firstLineChars="147"/>
        <w:textAlignment w:val="auto"/>
        <w:rPr>
          <w:rFonts w:hint="eastAsia" w:ascii="宋体" w:hAnsi="宋体" w:eastAsia="宋体" w:cs="宋体"/>
          <w:color w:val="auto"/>
          <w:szCs w:val="24"/>
          <w:highlight w:val="none"/>
        </w:rPr>
      </w:pPr>
      <w:r>
        <w:rPr>
          <w:rFonts w:ascii="宋体" w:hAnsi="宋体" w:eastAsia="宋体" w:cs="宋体"/>
          <w:b/>
          <w:color w:val="auto"/>
          <w:szCs w:val="24"/>
          <w:highlight w:val="none"/>
        </w:rPr>
        <w:t>3.28</w:t>
      </w:r>
      <w:r>
        <w:rPr>
          <w:rFonts w:ascii="宋体" w:hAnsi="宋体" w:eastAsia="宋体" w:cs="宋体"/>
          <w:color w:val="auto"/>
          <w:szCs w:val="24"/>
          <w:highlight w:val="none"/>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45E08A09">
      <w:pPr>
        <w:keepNext w:val="0"/>
        <w:keepLines w:val="0"/>
        <w:pageBreakBefore w:val="0"/>
        <w:kinsoku/>
        <w:overflowPunct/>
        <w:topLinePunct w:val="0"/>
        <w:autoSpaceDE/>
        <w:autoSpaceDN/>
        <w:bidi w:val="0"/>
        <w:spacing w:line="440" w:lineRule="exact"/>
        <w:ind w:firstLine="352" w:firstLineChars="147"/>
        <w:textAlignment w:val="auto"/>
        <w:rPr>
          <w:rFonts w:hint="eastAsia" w:ascii="宋体" w:hAnsi="宋体" w:eastAsia="宋体" w:cs="宋体"/>
          <w:color w:val="auto"/>
          <w:szCs w:val="24"/>
          <w:highlight w:val="none"/>
        </w:rPr>
      </w:pPr>
      <w:r>
        <w:rPr>
          <w:rFonts w:ascii="宋体" w:hAnsi="宋体" w:eastAsia="宋体" w:cs="宋体"/>
          <w:color w:val="auto"/>
          <w:szCs w:val="24"/>
          <w:highlight w:val="none"/>
        </w:rPr>
        <w:t>如因招标人原因（自然灾害等不可抗力因素除外），工程不能按期开工，或开工后全部停滞，工期按相关规定予以顺延。停工发生后，若可复工时，中标人应在收到招标人发出的复工通知书后3日内开始复工。</w:t>
      </w:r>
    </w:p>
    <w:p w14:paraId="76AC49AB">
      <w:pPr>
        <w:keepNext w:val="0"/>
        <w:keepLines w:val="0"/>
        <w:pageBreakBefore w:val="0"/>
        <w:kinsoku/>
        <w:overflowPunct/>
        <w:topLinePunct w:val="0"/>
        <w:autoSpaceDE/>
        <w:autoSpaceDN/>
        <w:bidi w:val="0"/>
        <w:spacing w:line="440" w:lineRule="exact"/>
        <w:ind w:firstLine="560"/>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3.29</w:t>
      </w:r>
      <w:r>
        <w:rPr>
          <w:rFonts w:ascii="宋体" w:hAnsi="宋体" w:eastAsia="宋体" w:cs="宋体"/>
          <w:b/>
          <w:color w:val="auto"/>
          <w:szCs w:val="24"/>
          <w:highlight w:val="none"/>
        </w:rPr>
        <w:t>中标人必须严格按有关设计规范设计图纸，中标人须秉承合理、经济、环保、适用等原则进行施工图设计，招标人有权委托第三方对中标人每阶段的设计成果文件（含节能、结构计算模型等）进行精细化审图、各专业优化工作，招标人将根据第三方出具的有关报告及优化金额对中标人进行考核。若中标人成果的建安投资与优化金额（各分项工程进行对比）误差率在3%范围内则不作违约处理（含3%），否则以优化金额的10%从设计费用中扣取违约金（违约金总额以设计费为限，扣取的违约金作为第三方的咨询费），中标人需无条件根据经招标人确认的精细化审图、结构优化报告进行设计文件修改，费用不另计。</w:t>
      </w:r>
    </w:p>
    <w:p w14:paraId="678BD265">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color w:val="auto"/>
          <w:szCs w:val="24"/>
          <w:highlight w:val="none"/>
        </w:rPr>
      </w:pPr>
      <w:r>
        <w:rPr>
          <w:rFonts w:ascii="宋体" w:hAnsi="宋体" w:eastAsia="宋体" w:cs="宋体"/>
          <w:b/>
          <w:bCs/>
          <w:color w:val="auto"/>
          <w:szCs w:val="24"/>
          <w:highlight w:val="none"/>
        </w:rPr>
        <w:t xml:space="preserve">    3.30</w:t>
      </w:r>
      <w:r>
        <w:rPr>
          <w:rFonts w:ascii="宋体" w:hAnsi="宋体" w:eastAsia="宋体" w:cs="宋体"/>
          <w:b/>
          <w:color w:val="auto"/>
          <w:szCs w:val="24"/>
          <w:highlight w:val="none"/>
        </w:rPr>
        <w:t>中标人须在收到初步设计文件之日起三天内无条件对初步设计文件进行审核，如发现遗漏或错误，须向招标人提出书面报告。</w:t>
      </w:r>
    </w:p>
    <w:p w14:paraId="142D5961">
      <w:pPr>
        <w:keepNext w:val="0"/>
        <w:keepLines w:val="0"/>
        <w:pageBreakBefore w:val="0"/>
        <w:kinsoku/>
        <w:overflowPunct/>
        <w:topLinePunct w:val="0"/>
        <w:autoSpaceDE/>
        <w:autoSpaceDN/>
        <w:bidi w:val="0"/>
        <w:spacing w:line="440" w:lineRule="exact"/>
        <w:textAlignment w:val="auto"/>
        <w:rPr>
          <w:rFonts w:hint="eastAsia" w:ascii="宋体" w:hAnsi="宋体" w:eastAsia="宋体" w:cs="宋体"/>
          <w:b/>
          <w:color w:val="auto"/>
          <w:szCs w:val="24"/>
          <w:highlight w:val="none"/>
        </w:rPr>
      </w:pPr>
      <w:r>
        <w:rPr>
          <w:rFonts w:ascii="宋体" w:hAnsi="宋体" w:eastAsia="宋体" w:cs="宋体"/>
          <w:b/>
          <w:bCs/>
          <w:color w:val="auto"/>
          <w:szCs w:val="24"/>
          <w:highlight w:val="none"/>
        </w:rPr>
        <w:t xml:space="preserve">    3.31</w:t>
      </w:r>
      <w:r>
        <w:rPr>
          <w:rFonts w:ascii="宋体" w:hAnsi="宋体" w:eastAsia="宋体" w:cs="宋体"/>
          <w:b/>
          <w:color w:val="auto"/>
          <w:szCs w:val="24"/>
          <w:highlight w:val="none"/>
        </w:rPr>
        <w:t>中标人须在收到中标通知书之日十天内向招标人提交各阶段详细的工期计划承诺书。</w:t>
      </w:r>
    </w:p>
    <w:p w14:paraId="7A23A3C5">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50AEB7FA">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242470E6">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若中标单位有下列行为之一的，除依照有关法律、法规进行处罚外，将通过市建设与房地产信息网站予以及时曝光，并作为今后该单位参与投标的评分扣分依据直至取消投标资格。</w:t>
      </w:r>
    </w:p>
    <w:p w14:paraId="6C4C92E9">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1.建设单位违反规定指定分包单位的；</w:t>
      </w:r>
    </w:p>
    <w:p w14:paraId="115427C0">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2.施工单位转包、违法分包或违反投标承诺分包工程的；   </w:t>
      </w:r>
    </w:p>
    <w:p w14:paraId="4C2C23F1">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3.非原参加投标中标的项目经理负责组织施工或在实施过程违反粤建市〔2009〕8号第九条规定更换项目经理的、项目的其他主要管理人员与中标文件确定的人员不相符的；</w:t>
      </w:r>
    </w:p>
    <w:p w14:paraId="0347B48B">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4.投标文件确定的大型机械设备没有进入施工现场的；</w:t>
      </w:r>
    </w:p>
    <w:p w14:paraId="34B0D134">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5.建设、监理、施工等单位串通，签认虚假工程量或工程造价的；</w:t>
      </w:r>
    </w:p>
    <w:p w14:paraId="11C922D8">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6.施工现场管理不到位的；</w:t>
      </w:r>
    </w:p>
    <w:p w14:paraId="49EC6BC0">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7.非本人资格证书登记所在的单位从事工程项目施工管理的；</w:t>
      </w:r>
    </w:p>
    <w:p w14:paraId="67616E24">
      <w:pPr>
        <w:pStyle w:val="56"/>
        <w:keepNext w:val="0"/>
        <w:keepLines w:val="0"/>
        <w:pageBreakBefore w:val="0"/>
        <w:widowControl/>
        <w:kinsoku/>
        <w:overflowPunct/>
        <w:topLinePunct w:val="0"/>
        <w:autoSpaceDE/>
        <w:autoSpaceDN/>
        <w:bidi w:val="0"/>
        <w:spacing w:line="440" w:lineRule="exact"/>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    8.项目经理同时承担超过一项工程项目的；</w:t>
      </w:r>
    </w:p>
    <w:p w14:paraId="7187C9E7">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9.违反有关法律、法规、规章规定的其它行为。</w:t>
      </w:r>
    </w:p>
    <w:p w14:paraId="346BF9C7">
      <w:pPr>
        <w:pStyle w:val="56"/>
        <w:keepNext w:val="0"/>
        <w:keepLines w:val="0"/>
        <w:pageBreakBefore w:val="0"/>
        <w:widowControl/>
        <w:kinsoku/>
        <w:overflowPunct/>
        <w:topLinePunct w:val="0"/>
        <w:autoSpaceDE/>
        <w:autoSpaceDN/>
        <w:bidi w:val="0"/>
        <w:spacing w:line="440" w:lineRule="exact"/>
        <w:ind w:firstLine="480"/>
        <w:jc w:val="left"/>
        <w:textAlignment w:val="auto"/>
        <w:rPr>
          <w:rFonts w:hint="eastAsia" w:ascii="宋体" w:hAnsi="宋体" w:eastAsia="宋体" w:cs="宋体"/>
          <w:b/>
          <w:color w:val="auto"/>
          <w:szCs w:val="24"/>
          <w:highlight w:val="none"/>
        </w:rPr>
      </w:pPr>
      <w:r>
        <w:rPr>
          <w:rFonts w:hint="eastAsia" w:ascii="宋体" w:hAnsi="宋体" w:eastAsia="宋体" w:cs="宋体"/>
          <w:b/>
          <w:bCs/>
          <w:color w:val="auto"/>
          <w:szCs w:val="24"/>
          <w:highlight w:val="none"/>
        </w:rPr>
        <w:t>3.33依据《关于印发&lt;广东省建筑工程领域工人工资支付专用账户管理办法&gt;的通知》（粤人社规[2018]14号）文件精神，中标人必须设立工人工资支付专用账户，专门用于发放作业工人工资。</w:t>
      </w:r>
      <w:bookmarkStart w:id="412" w:name="_Hlt69698776"/>
    </w:p>
    <w:p w14:paraId="399EDA30">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Cs/>
          <w:color w:val="auto"/>
          <w:szCs w:val="24"/>
          <w:highlight w:val="none"/>
        </w:rPr>
      </w:pPr>
      <w:r>
        <w:rPr>
          <w:rFonts w:hint="eastAsia" w:ascii="宋体" w:hAnsi="宋体" w:eastAsia="宋体" w:cs="宋体"/>
          <w:bCs/>
          <w:color w:val="auto"/>
          <w:szCs w:val="24"/>
          <w:highlight w:val="none"/>
        </w:rPr>
        <w:t>按韶关市人力资源和社会保障局　韶关市住房和城乡建设管理局 韶关市交通运输局 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号）规定执行。中标人在签订工程施工承包合同后一个月内必须办妥该事项，并将办妥回执交发包人。</w:t>
      </w:r>
    </w:p>
    <w:p w14:paraId="1FF3E0DA">
      <w:pPr>
        <w:pStyle w:val="37"/>
        <w:keepNext w:val="0"/>
        <w:keepLines w:val="0"/>
        <w:pageBreakBefore w:val="0"/>
        <w:kinsoku/>
        <w:overflowPunct/>
        <w:topLinePunct w:val="0"/>
        <w:autoSpaceDE/>
        <w:autoSpaceDN/>
        <w:bidi w:val="0"/>
        <w:spacing w:line="440" w:lineRule="exact"/>
        <w:ind w:firstLine="480" w:firstLineChars="200"/>
        <w:textAlignment w:val="auto"/>
        <w:rPr>
          <w:rFonts w:hint="eastAsia" w:ascii="宋体" w:hAnsi="宋体" w:eastAsia="宋体" w:cs="宋体"/>
          <w:b/>
          <w:color w:val="auto"/>
          <w:szCs w:val="24"/>
          <w:highlight w:val="none"/>
        </w:rPr>
      </w:pPr>
      <w:r>
        <w:rPr>
          <w:rFonts w:hint="eastAsia" w:ascii="宋体" w:hAnsi="宋体" w:eastAsia="宋体" w:cs="宋体"/>
          <w:bCs/>
          <w:color w:val="auto"/>
          <w:szCs w:val="24"/>
          <w:highlight w:val="none"/>
        </w:rPr>
        <w:t>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7F40F983">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color w:val="auto"/>
          <w:szCs w:val="24"/>
          <w:highlight w:val="none"/>
        </w:rPr>
        <w:t>3.34</w:t>
      </w:r>
      <w:r>
        <w:rPr>
          <w:rFonts w:hint="eastAsia" w:ascii="宋体" w:hAnsi="宋体" w:eastAsia="宋体" w:cs="宋体"/>
          <w:color w:val="auto"/>
          <w:szCs w:val="24"/>
          <w:highlight w:val="none"/>
        </w:rPr>
        <w:t>中标人在施工图设计前，要充分进行市场调查，主要材料、设备在满足设计规范及建设标准的情况下，尽量采用造价管理机构发布的信息价中有相应型号、规格的标准材料，若必须采用非标准材料的</w:t>
      </w:r>
      <w:r>
        <w:rPr>
          <w:rFonts w:hint="eastAsia" w:ascii="宋体" w:hAnsi="宋体" w:eastAsia="宋体" w:cs="宋体"/>
          <w:color w:val="auto"/>
          <w:sz w:val="24"/>
          <w:szCs w:val="24"/>
          <w:highlight w:val="none"/>
        </w:rPr>
        <w:t>，</w:t>
      </w:r>
      <w:r>
        <w:rPr>
          <w:rFonts w:hint="eastAsia" w:ascii="宋体" w:hAnsi="宋体" w:eastAsia="宋体" w:cs="宋体"/>
          <w:color w:val="auto"/>
          <w:szCs w:val="24"/>
          <w:highlight w:val="none"/>
        </w:rPr>
        <w:t>必须经招标人同意，否则参照信息价中相近且低于其标准的材料信息价作为该项材料的结算价。</w:t>
      </w:r>
    </w:p>
    <w:p w14:paraId="110AC30A">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3.35</w:t>
      </w:r>
      <w:r>
        <w:rPr>
          <w:rFonts w:hint="eastAsia" w:ascii="宋体" w:hAnsi="宋体" w:eastAsia="宋体" w:cs="宋体"/>
          <w:color w:val="auto"/>
          <w:szCs w:val="24"/>
          <w:highlight w:val="none"/>
        </w:rPr>
        <w:t>中标人应按招标人提供的场地出平图先行进行场地平整。</w:t>
      </w:r>
    </w:p>
    <w:p w14:paraId="5AC998EE">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3.36</w:t>
      </w:r>
      <w:r>
        <w:rPr>
          <w:rFonts w:hint="eastAsia" w:ascii="宋体" w:hAnsi="宋体" w:eastAsia="宋体" w:cs="宋体"/>
          <w:color w:val="auto"/>
          <w:szCs w:val="24"/>
          <w:highlight w:val="none"/>
        </w:rPr>
        <w:t>中标人必须根据设计施工图及现场编制施工组织设计及专项施工方案报有关部门审批。</w:t>
      </w:r>
    </w:p>
    <w:p w14:paraId="69EDFAEB">
      <w:pPr>
        <w:pStyle w:val="58"/>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3.37危险性较大的分部分项工程安全管理约定</w:t>
      </w:r>
    </w:p>
    <w:p w14:paraId="748DD84F">
      <w:pPr>
        <w:pStyle w:val="58"/>
        <w:keepNext w:val="0"/>
        <w:keepLines w:val="0"/>
        <w:pageBreakBefore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color w:val="auto"/>
          <w:highlight w:val="none"/>
          <w:shd w:val="clear" w:color="auto" w:fill="FFFFFF"/>
        </w:rPr>
      </w:pPr>
      <w:r>
        <w:rPr>
          <w:rFonts w:hint="eastAsia" w:ascii="宋体" w:hAnsi="宋体" w:eastAsia="宋体" w:cs="宋体"/>
          <w:b/>
          <w:color w:val="auto"/>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099EE437">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color w:val="auto"/>
          <w:szCs w:val="24"/>
          <w:highlight w:val="none"/>
          <w:shd w:val="clear" w:color="auto" w:fill="FFFFFF"/>
        </w:rPr>
      </w:pPr>
      <w:r>
        <w:rPr>
          <w:rFonts w:hint="eastAsia" w:ascii="宋体" w:hAnsi="宋体" w:eastAsia="宋体" w:cs="宋体"/>
          <w:b/>
          <w:color w:val="auto"/>
          <w:szCs w:val="24"/>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1B471F1D">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3.38</w:t>
      </w:r>
      <w:r>
        <w:rPr>
          <w:rFonts w:hint="eastAsia" w:ascii="宋体" w:hAnsi="宋体" w:eastAsia="宋体" w:cs="宋体"/>
          <w:color w:val="auto"/>
          <w:szCs w:val="24"/>
          <w:highlight w:val="none"/>
        </w:rPr>
        <w:t>中标人项目经理和主要管理人员的考勤实行实名制打卡，中标人项目经理和主要管理人员的考勤若发现有弄虚作假行为，发现一次，中标人应承担一般违约责任1次。</w:t>
      </w:r>
    </w:p>
    <w:p w14:paraId="6D261092">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 xml:space="preserve">3.39 </w:t>
      </w:r>
      <w:r>
        <w:rPr>
          <w:rFonts w:hint="eastAsia" w:ascii="宋体" w:hAnsi="宋体" w:eastAsia="宋体" w:cs="宋体"/>
          <w:b/>
          <w:bCs/>
          <w:color w:val="auto"/>
          <w:szCs w:val="24"/>
          <w:highlight w:val="none"/>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494AC256">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lang w:val="en-US" w:eastAsia="zh-CN"/>
        </w:rPr>
        <w:t>3.40为落实省委、省政府关于实施“百县千镇万村高质量发展工程”（以下简称“百千万工程”）工作部署以及省“百千万工程”指挥部关于建筑业企业“微利＋公益”参与“百千万工程”建设方式和《广东省“百县千镇万村高质量发展工程”指挥部城镇建设专班办公室印发关于推动建筑业央企助力“百千万工程”工作指引的通知》（粤城镇建设〔2024〕11号）等工作要求，中标单位中标后须按照市百千万工程关于配建或捐建一定比例公益项目的政策文件要求落实相关公益配建或捐建工作。</w:t>
      </w:r>
    </w:p>
    <w:p w14:paraId="7D793EA3">
      <w:pPr>
        <w:pStyle w:val="37"/>
        <w:keepNext w:val="0"/>
        <w:keepLines w:val="0"/>
        <w:pageBreakBefore w:val="0"/>
        <w:kinsoku/>
        <w:overflowPunct/>
        <w:topLinePunct w:val="0"/>
        <w:autoSpaceDE/>
        <w:autoSpaceDN/>
        <w:bidi w:val="0"/>
        <w:spacing w:line="440" w:lineRule="exact"/>
        <w:ind w:firstLine="482" w:firstLineChars="200"/>
        <w:textAlignment w:val="auto"/>
        <w:rPr>
          <w:rFonts w:hint="eastAsia" w:ascii="宋体" w:hAnsi="宋体" w:eastAsia="宋体" w:cs="宋体"/>
          <w:b/>
          <w:bCs/>
          <w:color w:val="auto"/>
          <w:szCs w:val="24"/>
          <w:highlight w:val="none"/>
        </w:rPr>
      </w:pPr>
      <w:r>
        <w:rPr>
          <w:rFonts w:hint="eastAsia" w:ascii="宋体" w:hAnsi="宋体" w:eastAsia="宋体" w:cs="宋体"/>
          <w:b/>
          <w:color w:val="auto"/>
          <w:szCs w:val="24"/>
          <w:highlight w:val="none"/>
          <w:shd w:val="clear" w:color="auto" w:fill="FFFFFF"/>
        </w:rPr>
        <w:t>3.4</w:t>
      </w:r>
      <w:r>
        <w:rPr>
          <w:rFonts w:hint="eastAsia" w:ascii="宋体" w:hAnsi="宋体" w:eastAsia="宋体" w:cs="宋体"/>
          <w:b/>
          <w:color w:val="auto"/>
          <w:szCs w:val="24"/>
          <w:highlight w:val="none"/>
          <w:shd w:val="clear" w:color="auto" w:fill="FFFFFF"/>
          <w:lang w:val="en-US" w:eastAsia="zh-CN"/>
        </w:rPr>
        <w:t>1</w:t>
      </w:r>
      <w:r>
        <w:rPr>
          <w:rFonts w:hint="eastAsia" w:ascii="宋体" w:hAnsi="宋体" w:eastAsia="宋体" w:cs="宋体"/>
          <w:b/>
          <w:bCs/>
          <w:color w:val="auto"/>
          <w:szCs w:val="24"/>
          <w:highlight w:val="none"/>
        </w:rPr>
        <w:t>其他事项</w:t>
      </w:r>
    </w:p>
    <w:p w14:paraId="7A0897FD">
      <w:pPr>
        <w:keepNext w:val="0"/>
        <w:keepLines w:val="0"/>
        <w:pageBreakBefore w:val="0"/>
        <w:kinsoku/>
        <w:overflowPunct/>
        <w:topLinePunct w:val="0"/>
        <w:autoSpaceDE/>
        <w:autoSpaceDN/>
        <w:bidi w:val="0"/>
        <w:spacing w:line="440" w:lineRule="exact"/>
        <w:ind w:firstLine="542" w:firstLineChars="225"/>
        <w:textAlignment w:val="auto"/>
        <w:rPr>
          <w:rFonts w:hint="eastAsia" w:ascii="宋体" w:hAnsi="宋体" w:eastAsia="宋体" w:cs="宋体"/>
          <w:snapToGrid w:val="0"/>
          <w:color w:val="auto"/>
          <w:kern w:val="0"/>
          <w:szCs w:val="24"/>
          <w:highlight w:val="none"/>
        </w:rPr>
      </w:pPr>
      <w:r>
        <w:rPr>
          <w:rFonts w:ascii="宋体" w:hAnsi="宋体" w:eastAsia="宋体" w:cs="宋体"/>
          <w:b/>
          <w:color w:val="auto"/>
          <w:szCs w:val="24"/>
          <w:highlight w:val="none"/>
          <w:shd w:val="clear" w:color="auto" w:fill="FFFFFF"/>
        </w:rPr>
        <w:t>3.4</w:t>
      </w:r>
      <w:r>
        <w:rPr>
          <w:rFonts w:hint="eastAsia" w:ascii="宋体" w:hAnsi="宋体" w:eastAsia="宋体" w:cs="宋体"/>
          <w:b/>
          <w:color w:val="auto"/>
          <w:szCs w:val="24"/>
          <w:highlight w:val="none"/>
          <w:shd w:val="clear" w:color="auto" w:fill="FFFFFF"/>
          <w:lang w:val="en-US" w:eastAsia="zh-CN"/>
        </w:rPr>
        <w:t>1</w:t>
      </w:r>
      <w:r>
        <w:rPr>
          <w:rFonts w:ascii="宋体" w:hAnsi="宋体" w:eastAsia="宋体" w:cs="宋体"/>
          <w:b/>
          <w:color w:val="auto"/>
          <w:szCs w:val="24"/>
          <w:highlight w:val="none"/>
          <w:shd w:val="clear" w:color="auto" w:fill="FFFFFF"/>
        </w:rPr>
        <w:t xml:space="preserve">.1 </w:t>
      </w:r>
      <w:r>
        <w:rPr>
          <w:rFonts w:ascii="宋体" w:hAnsi="宋体" w:eastAsia="宋体" w:cs="宋体"/>
          <w:snapToGrid w:val="0"/>
          <w:color w:val="auto"/>
          <w:kern w:val="0"/>
          <w:szCs w:val="24"/>
          <w:highlight w:val="none"/>
        </w:rPr>
        <w:t>招标文件中涉及的合同实质性内容以及拟签合同的主要条款内容、中标须知、相关附件、格式内容等为中标后拟签合同实质性内容，在订立合同时不得擅自进行更改。</w:t>
      </w:r>
    </w:p>
    <w:p w14:paraId="7898F194">
      <w:pPr>
        <w:pStyle w:val="2"/>
        <w:keepNext w:val="0"/>
        <w:keepLines w:val="0"/>
        <w:pageBreakBefore w:val="0"/>
        <w:kinsoku/>
        <w:overflowPunct/>
        <w:topLinePunct w:val="0"/>
        <w:autoSpaceDE/>
        <w:autoSpaceDN/>
        <w:bidi w:val="0"/>
        <w:spacing w:line="440" w:lineRule="exact"/>
        <w:ind w:firstLine="480"/>
        <w:jc w:val="left"/>
        <w:textAlignment w:val="auto"/>
        <w:rPr>
          <w:rFonts w:hint="eastAsia" w:ascii="宋体" w:hAnsi="宋体" w:eastAsia="宋体" w:cs="宋体"/>
          <w:b w:val="0"/>
          <w:snapToGrid w:val="0"/>
          <w:color w:val="auto"/>
          <w:kern w:val="0"/>
          <w:sz w:val="24"/>
          <w:highlight w:val="none"/>
        </w:rPr>
      </w:pPr>
      <w:r>
        <w:rPr>
          <w:rFonts w:hint="eastAsia" w:ascii="宋体" w:hAnsi="宋体" w:eastAsia="宋体" w:cs="宋体"/>
          <w:color w:val="auto"/>
          <w:sz w:val="24"/>
          <w:highlight w:val="none"/>
          <w:shd w:val="clear" w:color="auto" w:fill="FFFFFF"/>
        </w:rPr>
        <w:t>3.4</w:t>
      </w:r>
      <w:r>
        <w:rPr>
          <w:rFonts w:hint="eastAsia" w:ascii="宋体" w:hAnsi="宋体" w:eastAsia="宋体" w:cs="宋体"/>
          <w:color w:val="auto"/>
          <w:sz w:val="24"/>
          <w:highlight w:val="none"/>
          <w:shd w:val="clear" w:color="auto" w:fill="FFFFFF"/>
          <w:lang w:val="en-US" w:eastAsia="zh-CN"/>
        </w:rPr>
        <w:t>1</w:t>
      </w:r>
      <w:r>
        <w:rPr>
          <w:rFonts w:hint="eastAsia" w:ascii="宋体" w:hAnsi="宋体" w:eastAsia="宋体" w:cs="宋体"/>
          <w:color w:val="auto"/>
          <w:sz w:val="24"/>
          <w:highlight w:val="none"/>
          <w:shd w:val="clear" w:color="auto" w:fill="FFFFFF"/>
        </w:rPr>
        <w:t>.2</w:t>
      </w:r>
      <w:r>
        <w:rPr>
          <w:rFonts w:hint="eastAsia" w:ascii="宋体" w:hAnsi="宋体" w:eastAsia="宋体" w:cs="宋体"/>
          <w:b w:val="0"/>
          <w:snapToGrid w:val="0"/>
          <w:color w:val="auto"/>
          <w:kern w:val="0"/>
          <w:sz w:val="24"/>
          <w:highlight w:val="none"/>
        </w:rPr>
        <w:t>中标人应按《关于印发&lt;南雄市安全生产责任保险实施方案（2020-2021）年&gt;的通知》文件办理安全生产责任保险。</w:t>
      </w:r>
    </w:p>
    <w:p w14:paraId="17C1920B">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413" w:name="_Toc18638"/>
      <w:bookmarkStart w:id="414" w:name="_Toc29153"/>
      <w:bookmarkStart w:id="415" w:name="_Toc20219"/>
      <w:bookmarkStart w:id="416" w:name="_Toc2078"/>
      <w:bookmarkStart w:id="417" w:name="_Toc24187"/>
      <w:bookmarkStart w:id="418" w:name="_Toc27728"/>
      <w:bookmarkStart w:id="419" w:name="_Toc21424"/>
      <w:bookmarkStart w:id="420" w:name="_Toc28287"/>
      <w:bookmarkStart w:id="421" w:name="_Toc25756"/>
      <w:r>
        <w:rPr>
          <w:rFonts w:hint="eastAsia" w:asciiTheme="minorEastAsia" w:hAnsiTheme="minorEastAsia" w:eastAsiaTheme="minorEastAsia" w:cstheme="minorEastAsia"/>
          <w:b/>
          <w:color w:val="auto"/>
          <w:kern w:val="44"/>
          <w:sz w:val="36"/>
          <w:szCs w:val="36"/>
          <w:highlight w:val="none"/>
        </w:rPr>
        <w:t>第四</w:t>
      </w:r>
      <w:bookmarkStart w:id="422" w:name="_Hlt69669176"/>
      <w:bookmarkEnd w:id="422"/>
      <w:r>
        <w:rPr>
          <w:rFonts w:hint="eastAsia" w:asciiTheme="minorEastAsia" w:hAnsiTheme="minorEastAsia" w:eastAsiaTheme="minorEastAsia" w:cstheme="minorEastAsia"/>
          <w:b/>
          <w:color w:val="auto"/>
          <w:kern w:val="44"/>
          <w:sz w:val="36"/>
          <w:szCs w:val="36"/>
          <w:highlight w:val="none"/>
        </w:rPr>
        <w:t>章</w:t>
      </w:r>
      <w:bookmarkStart w:id="423" w:name="_Hlt87793847"/>
      <w:bookmarkEnd w:id="423"/>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413"/>
      <w:bookmarkEnd w:id="414"/>
      <w:bookmarkEnd w:id="415"/>
      <w:bookmarkEnd w:id="416"/>
      <w:bookmarkEnd w:id="417"/>
      <w:bookmarkEnd w:id="418"/>
      <w:bookmarkEnd w:id="419"/>
      <w:bookmarkEnd w:id="420"/>
      <w:bookmarkEnd w:id="421"/>
    </w:p>
    <w:p w14:paraId="23D81DF8">
      <w:pPr>
        <w:pStyle w:val="37"/>
        <w:rPr>
          <w:rFonts w:asciiTheme="minorEastAsia" w:hAnsiTheme="minorEastAsia" w:eastAsiaTheme="minorEastAsia" w:cstheme="minorEastAsia"/>
          <w:color w:val="auto"/>
          <w:highlight w:val="none"/>
        </w:rPr>
      </w:pPr>
    </w:p>
    <w:bookmarkEnd w:id="412"/>
    <w:p w14:paraId="3ED75024">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424" w:name="_Hlt66531751"/>
      <w:bookmarkEnd w:id="424"/>
      <w:bookmarkStart w:id="425" w:name="_Hlt66104911"/>
      <w:bookmarkEnd w:id="425"/>
      <w:bookmarkStart w:id="426" w:name="_Toc5733"/>
      <w:bookmarkStart w:id="427" w:name="_Toc31172"/>
      <w:bookmarkStart w:id="428" w:name="_Toc18673"/>
      <w:bookmarkStart w:id="429" w:name="_Toc19328"/>
      <w:bookmarkStart w:id="430" w:name="_Toc5994"/>
      <w:bookmarkStart w:id="431" w:name="_Toc1109"/>
      <w:bookmarkStart w:id="432" w:name="_Toc28975"/>
      <w:bookmarkStart w:id="433" w:name="_Toc21505"/>
      <w:bookmarkStart w:id="434" w:name="_Toc19932"/>
      <w:r>
        <w:rPr>
          <w:rFonts w:hint="eastAsia" w:asciiTheme="minorEastAsia" w:hAnsiTheme="minorEastAsia" w:eastAsiaTheme="minorEastAsia" w:cstheme="minorEastAsia"/>
          <w:b/>
          <w:color w:val="auto"/>
          <w:kern w:val="2"/>
          <w:highlight w:val="none"/>
        </w:rPr>
        <w:t>1</w:t>
      </w:r>
      <w:bookmarkStart w:id="435" w:name="_Hlt69356768"/>
      <w:bookmarkEnd w:id="435"/>
      <w:bookmarkStart w:id="436" w:name="_Hlt66677316"/>
      <w:r>
        <w:rPr>
          <w:rFonts w:hint="eastAsia" w:asciiTheme="minorEastAsia" w:hAnsiTheme="minorEastAsia" w:eastAsiaTheme="minorEastAsia" w:cstheme="minorEastAsia"/>
          <w:b/>
          <w:color w:val="auto"/>
          <w:kern w:val="2"/>
          <w:highlight w:val="none"/>
        </w:rPr>
        <w:t xml:space="preserve"> </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投标保证</w:t>
      </w:r>
      <w:bookmarkEnd w:id="426"/>
      <w:bookmarkEnd w:id="427"/>
      <w:bookmarkEnd w:id="428"/>
      <w:bookmarkEnd w:id="429"/>
      <w:bookmarkEnd w:id="430"/>
      <w:bookmarkEnd w:id="431"/>
      <w:bookmarkEnd w:id="432"/>
      <w:bookmarkEnd w:id="433"/>
      <w:bookmarkEnd w:id="434"/>
      <w:bookmarkEnd w:id="436"/>
    </w:p>
    <w:p w14:paraId="50C2B233">
      <w:pPr>
        <w:pageBreakBefore w:val="0"/>
        <w:kinsoku/>
        <w:overflowPunct/>
        <w:topLinePunct w:val="0"/>
        <w:autoSpaceDE/>
        <w:autoSpaceDN/>
        <w:bidi w:val="0"/>
        <w:snapToGrid w:val="0"/>
        <w:spacing w:beforeLines="50" w:line="440" w:lineRule="exact"/>
        <w:ind w:firstLine="482" w:firstLineChars="200"/>
        <w:textAlignment w:val="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bCs/>
          <w:color w:val="auto"/>
          <w:szCs w:val="24"/>
          <w:highlight w:val="none"/>
        </w:rPr>
        <w:t>1.1</w:t>
      </w:r>
      <w:r>
        <w:rPr>
          <w:rFonts w:asciiTheme="minorEastAsia" w:hAnsiTheme="minorEastAsia" w:eastAsiaTheme="minorEastAsia" w:cstheme="minorEastAsia"/>
          <w:color w:val="auto"/>
          <w:szCs w:val="24"/>
          <w:highlight w:val="none"/>
        </w:rPr>
        <w:t xml:space="preserve"> 投标保证的形式包括投标保证金、投标保证担保、投标保证保险三种，由投标人自主选择。</w:t>
      </w:r>
    </w:p>
    <w:p w14:paraId="3039ECE0">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715531AD">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7BEEE304">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6C49710E">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20C45FD2">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1.2</w:t>
      </w:r>
      <w:r>
        <w:rPr>
          <w:rFonts w:hint="eastAsia" w:asciiTheme="minorEastAsia" w:hAnsiTheme="minorEastAsia" w:eastAsiaTheme="minorEastAsia" w:cstheme="minorEastAsia"/>
          <w:color w:val="auto"/>
          <w:highlight w:val="none"/>
        </w:rPr>
        <w:t>投标人撤回已提交的投标文件，应当在投标截止时间前书面通知招标人。投标截止后投标人撤销投标文件的，招标人可以不退还投标保证。</w:t>
      </w:r>
    </w:p>
    <w:p w14:paraId="50E4E45B">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1.3</w:t>
      </w:r>
      <w:r>
        <w:rPr>
          <w:rFonts w:hint="eastAsia" w:asciiTheme="minorEastAsia" w:hAnsiTheme="minorEastAsia" w:eastAsiaTheme="minorEastAsia" w:cstheme="minorEastAsia"/>
          <w:color w:val="auto"/>
          <w:highlight w:val="none"/>
        </w:rPr>
        <w:t>投标保证的退还方式：</w:t>
      </w:r>
    </w:p>
    <w:p w14:paraId="679D7594">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28DBE7AE">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43C26B62">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1.4</w:t>
      </w:r>
      <w:r>
        <w:rPr>
          <w:rFonts w:hint="eastAsia" w:asciiTheme="minorEastAsia" w:hAnsiTheme="minorEastAsia" w:eastAsiaTheme="minorEastAsia" w:cstheme="minorEastAsia"/>
          <w:color w:val="auto"/>
          <w:highlight w:val="none"/>
        </w:rPr>
        <w:t xml:space="preserve"> 投标人中标后不与招标人依据招标文件要求签订工程合同的，由建设行政主管部门按规定处理其投标保证。</w:t>
      </w:r>
    </w:p>
    <w:p w14:paraId="714AB98C">
      <w:pPr>
        <w:pStyle w:val="59"/>
        <w:pageBreakBefore w:val="0"/>
        <w:kinsoku/>
        <w:overflowPunct/>
        <w:topLinePunct w:val="0"/>
        <w:autoSpaceDE/>
        <w:autoSpaceDN/>
        <w:bidi w:val="0"/>
        <w:snapToGrid w:val="0"/>
        <w:spacing w:line="440" w:lineRule="exact"/>
        <w:ind w:firstLine="57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1.5</w:t>
      </w:r>
      <w:r>
        <w:rPr>
          <w:rFonts w:hint="eastAsia" w:asciiTheme="minorEastAsia" w:hAnsiTheme="minorEastAsia" w:eastAsiaTheme="minorEastAsia" w:cstheme="minorEastAsia"/>
          <w:color w:val="auto"/>
          <w:highlight w:val="none"/>
        </w:rPr>
        <w:t xml:space="preserve"> 组成联合体时由联合体牵头人缴纳投标保证。</w:t>
      </w:r>
    </w:p>
    <w:p w14:paraId="56662D0D">
      <w:pPr>
        <w:pStyle w:val="48"/>
        <w:pageBreakBefore w:val="0"/>
        <w:kinsoku/>
        <w:overflowPunct/>
        <w:topLinePunct w:val="0"/>
        <w:autoSpaceDE/>
        <w:autoSpaceDN/>
        <w:bidi w:val="0"/>
        <w:spacing w:line="440" w:lineRule="exact"/>
        <w:ind w:firstLine="0"/>
        <w:jc w:val="both"/>
        <w:textAlignment w:val="auto"/>
        <w:outlineLvl w:val="1"/>
        <w:rPr>
          <w:rFonts w:asciiTheme="minorEastAsia" w:hAnsiTheme="minorEastAsia" w:eastAsiaTheme="minorEastAsia" w:cstheme="minorEastAsia"/>
          <w:b/>
          <w:color w:val="auto"/>
          <w:kern w:val="2"/>
          <w:highlight w:val="none"/>
        </w:rPr>
      </w:pPr>
      <w:bookmarkStart w:id="437" w:name="_Hlt87792499"/>
      <w:bookmarkEnd w:id="437"/>
      <w:bookmarkStart w:id="438" w:name="_Hlt87793359"/>
      <w:bookmarkEnd w:id="438"/>
      <w:bookmarkStart w:id="439" w:name="_Toc985"/>
      <w:bookmarkStart w:id="440" w:name="_Toc20998"/>
      <w:bookmarkStart w:id="441" w:name="_Toc22441"/>
      <w:bookmarkStart w:id="442" w:name="_Toc18168"/>
      <w:bookmarkStart w:id="443" w:name="_Toc23304"/>
      <w:bookmarkStart w:id="444" w:name="_Toc3284"/>
      <w:bookmarkStart w:id="445" w:name="_Toc10164"/>
      <w:bookmarkStart w:id="446" w:name="_Toc3054"/>
      <w:bookmarkStart w:id="447" w:name="_Toc19536"/>
      <w:r>
        <w:rPr>
          <w:rFonts w:hint="eastAsia" w:asciiTheme="minorEastAsia" w:hAnsiTheme="minorEastAsia" w:eastAsiaTheme="minorEastAsia" w:cstheme="minorEastAsia"/>
          <w:b/>
          <w:color w:val="auto"/>
          <w:kern w:val="2"/>
          <w:highlight w:val="none"/>
        </w:rPr>
        <w:t xml:space="preserve">2 </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履约保证金</w:t>
      </w:r>
      <w:bookmarkEnd w:id="439"/>
      <w:bookmarkEnd w:id="440"/>
      <w:bookmarkEnd w:id="441"/>
      <w:bookmarkEnd w:id="442"/>
      <w:bookmarkEnd w:id="443"/>
      <w:bookmarkEnd w:id="444"/>
      <w:bookmarkEnd w:id="445"/>
      <w:bookmarkEnd w:id="446"/>
      <w:bookmarkEnd w:id="447"/>
    </w:p>
    <w:bookmarkEnd w:id="1"/>
    <w:p w14:paraId="4FE9198F">
      <w:pPr>
        <w:pageBreakBefore w:val="0"/>
        <w:kinsoku/>
        <w:wordWrap w:val="0"/>
        <w:overflowPunct/>
        <w:topLinePunct w:val="0"/>
        <w:autoSpaceDE/>
        <w:autoSpaceDN/>
        <w:bidi w:val="0"/>
        <w:adjustRightInd w:val="0"/>
        <w:snapToGrid w:val="0"/>
        <w:spacing w:line="440" w:lineRule="exact"/>
        <w:ind w:firstLine="562"/>
        <w:textAlignment w:val="auto"/>
        <w:rPr>
          <w:rFonts w:hint="default" w:asciiTheme="minorEastAsia" w:hAnsiTheme="minorEastAsia" w:eastAsiaTheme="minorEastAsia" w:cstheme="minorEastAsia"/>
          <w:snapToGrid w:val="0"/>
          <w:color w:val="auto"/>
          <w:kern w:val="0"/>
          <w:szCs w:val="24"/>
          <w:highlight w:val="none"/>
        </w:rPr>
      </w:pPr>
      <w:bookmarkStart w:id="448" w:name="_Toc466640610"/>
      <w:r>
        <w:rPr>
          <w:rFonts w:asciiTheme="minorEastAsia" w:hAnsiTheme="minorEastAsia" w:eastAsiaTheme="minorEastAsia" w:cstheme="minorEastAsia"/>
          <w:b/>
          <w:bCs/>
          <w:snapToGrid w:val="0"/>
          <w:color w:val="auto"/>
          <w:kern w:val="0"/>
          <w:szCs w:val="24"/>
          <w:highlight w:val="none"/>
        </w:rPr>
        <w:t>2.1</w:t>
      </w:r>
      <w:r>
        <w:rPr>
          <w:rFonts w:asciiTheme="minorEastAsia" w:hAnsiTheme="minorEastAsia" w:eastAsiaTheme="minorEastAsia" w:cstheme="minorEastAsia"/>
          <w:snapToGrid w:val="0"/>
          <w:color w:val="auto"/>
          <w:kern w:val="0"/>
          <w:szCs w:val="24"/>
          <w:highlight w:val="none"/>
        </w:rPr>
        <w:t xml:space="preserve"> 中标人须在领取中标通知书之日起</w:t>
      </w:r>
      <w:r>
        <w:rPr>
          <w:rFonts w:asciiTheme="minorEastAsia" w:hAnsiTheme="minorEastAsia" w:eastAsiaTheme="minorEastAsia" w:cstheme="minorEastAsia"/>
          <w:snapToGrid w:val="0"/>
          <w:color w:val="auto"/>
          <w:kern w:val="0"/>
          <w:szCs w:val="24"/>
          <w:highlight w:val="none"/>
          <w:u w:val="single"/>
        </w:rPr>
        <w:t xml:space="preserve"> </w:t>
      </w:r>
      <w:r>
        <w:rPr>
          <w:rFonts w:hint="eastAsia" w:asciiTheme="minorEastAsia" w:hAnsiTheme="minorEastAsia" w:eastAsiaTheme="minorEastAsia" w:cstheme="minorEastAsia"/>
          <w:snapToGrid w:val="0"/>
          <w:color w:val="auto"/>
          <w:kern w:val="0"/>
          <w:szCs w:val="24"/>
          <w:highlight w:val="none"/>
          <w:u w:val="single"/>
          <w:lang w:val="en-US" w:eastAsia="zh-CN"/>
        </w:rPr>
        <w:t>10</w:t>
      </w:r>
      <w:r>
        <w:rPr>
          <w:rFonts w:asciiTheme="minorEastAsia" w:hAnsiTheme="minorEastAsia" w:eastAsiaTheme="minorEastAsia" w:cstheme="minorEastAsia"/>
          <w:snapToGrid w:val="0"/>
          <w:color w:val="auto"/>
          <w:kern w:val="0"/>
          <w:szCs w:val="24"/>
          <w:highlight w:val="none"/>
          <w:u w:val="single"/>
        </w:rPr>
        <w:t xml:space="preserve"> </w:t>
      </w:r>
      <w:r>
        <w:rPr>
          <w:rFonts w:asciiTheme="minorEastAsia" w:hAnsiTheme="minorEastAsia" w:eastAsiaTheme="minorEastAsia" w:cstheme="minorEastAsia"/>
          <w:snapToGrid w:val="0"/>
          <w:color w:val="auto"/>
          <w:kern w:val="0"/>
          <w:szCs w:val="24"/>
          <w:highlight w:val="none"/>
        </w:rPr>
        <w:t>个工作日内、签订合同前向招标人提交金额为中标价</w:t>
      </w:r>
      <w:r>
        <w:rPr>
          <w:rFonts w:asciiTheme="minorEastAsia" w:hAnsiTheme="minorEastAsia" w:eastAsiaTheme="minorEastAsia" w:cstheme="minorEastAsia"/>
          <w:snapToGrid w:val="0"/>
          <w:color w:val="auto"/>
          <w:kern w:val="0"/>
          <w:szCs w:val="24"/>
          <w:highlight w:val="none"/>
          <w:u w:val="single"/>
        </w:rPr>
        <w:t xml:space="preserve"> 5 </w:t>
      </w:r>
      <w:r>
        <w:rPr>
          <w:rFonts w:asciiTheme="minorEastAsia" w:hAnsiTheme="minorEastAsia" w:eastAsiaTheme="minorEastAsia" w:cstheme="minorEastAsia"/>
          <w:snapToGrid w:val="0"/>
          <w:color w:val="auto"/>
          <w:kern w:val="0"/>
          <w:szCs w:val="24"/>
          <w:highlight w:val="none"/>
        </w:rPr>
        <w:t>% 的履约保证。联合体投标的，由联合体牵头人缴纳。</w:t>
      </w:r>
    </w:p>
    <w:p w14:paraId="6C6EF117">
      <w:pPr>
        <w:pageBreakBefore w:val="0"/>
        <w:kinsoku/>
        <w:wordWrap w:val="0"/>
        <w:overflowPunct/>
        <w:topLinePunct w:val="0"/>
        <w:autoSpaceDE/>
        <w:autoSpaceDN/>
        <w:bidi w:val="0"/>
        <w:adjustRightInd w:val="0"/>
        <w:snapToGrid w:val="0"/>
        <w:spacing w:line="440" w:lineRule="exact"/>
        <w:ind w:firstLine="562"/>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2.2</w:t>
      </w:r>
      <w:r>
        <w:rPr>
          <w:rFonts w:asciiTheme="minorEastAsia" w:hAnsiTheme="minorEastAsia" w:eastAsiaTheme="minorEastAsia" w:cstheme="minorEastAsia"/>
          <w:snapToGrid w:val="0"/>
          <w:color w:val="auto"/>
          <w:kern w:val="0"/>
          <w:szCs w:val="24"/>
          <w:highlight w:val="none"/>
        </w:rPr>
        <w:t xml:space="preserve"> 履约保证的形式包括履约保证金、履约保证金担保函两种，由中标人自主选择。</w:t>
      </w:r>
    </w:p>
    <w:p w14:paraId="2C7441CC">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（1）采用履约保证金的，中标人须从其法人开户银行的账号将履约保证金划至招标人账户，并详细注明工程名称及用途，招标人指定账户的开户名称为</w:t>
      </w:r>
      <w:r>
        <w:rPr>
          <w:rFonts w:asciiTheme="minorEastAsia" w:hAnsiTheme="minorEastAsia" w:eastAsiaTheme="minorEastAsia" w:cstheme="minorEastAsia"/>
          <w:snapToGrid w:val="0"/>
          <w:color w:val="auto"/>
          <w:kern w:val="0"/>
          <w:szCs w:val="24"/>
          <w:highlight w:val="none"/>
          <w:u w:val="single"/>
        </w:rPr>
        <w:t>南雄市政府投资建设项目代建管理中心</w:t>
      </w:r>
      <w:r>
        <w:rPr>
          <w:rFonts w:asciiTheme="minorEastAsia" w:hAnsiTheme="minorEastAsia" w:eastAsiaTheme="minorEastAsia" w:cstheme="minorEastAsia"/>
          <w:snapToGrid w:val="0"/>
          <w:color w:val="auto"/>
          <w:kern w:val="0"/>
          <w:szCs w:val="24"/>
          <w:highlight w:val="none"/>
        </w:rPr>
        <w:t>，开户银行为</w:t>
      </w:r>
      <w:r>
        <w:rPr>
          <w:rFonts w:asciiTheme="minorEastAsia" w:hAnsiTheme="minorEastAsia" w:eastAsiaTheme="minorEastAsia" w:cstheme="minorEastAsia"/>
          <w:snapToGrid w:val="0"/>
          <w:color w:val="auto"/>
          <w:kern w:val="0"/>
          <w:szCs w:val="24"/>
          <w:highlight w:val="none"/>
          <w:u w:val="single"/>
        </w:rPr>
        <w:t>中国农业银行股份有限公司南雄市支行</w:t>
      </w:r>
      <w:r>
        <w:rPr>
          <w:rFonts w:asciiTheme="minorEastAsia" w:hAnsiTheme="minorEastAsia" w:eastAsiaTheme="minorEastAsia" w:cstheme="minorEastAsia"/>
          <w:snapToGrid w:val="0"/>
          <w:color w:val="auto"/>
          <w:kern w:val="0"/>
          <w:szCs w:val="24"/>
          <w:highlight w:val="none"/>
        </w:rPr>
        <w:t>，银行账号为</w:t>
      </w:r>
      <w:r>
        <w:rPr>
          <w:rFonts w:asciiTheme="minorEastAsia" w:hAnsiTheme="minorEastAsia" w:eastAsiaTheme="minorEastAsia" w:cstheme="minorEastAsia"/>
          <w:snapToGrid w:val="0"/>
          <w:color w:val="auto"/>
          <w:kern w:val="0"/>
          <w:szCs w:val="24"/>
          <w:highlight w:val="none"/>
          <w:u w:val="single"/>
        </w:rPr>
        <w:t>44722001040015724</w:t>
      </w:r>
      <w:r>
        <w:rPr>
          <w:rFonts w:asciiTheme="minorEastAsia" w:hAnsiTheme="minorEastAsia" w:eastAsiaTheme="minorEastAsia" w:cstheme="minorEastAsia"/>
          <w:snapToGrid w:val="0"/>
          <w:color w:val="auto"/>
          <w:kern w:val="0"/>
          <w:szCs w:val="24"/>
          <w:highlight w:val="none"/>
        </w:rPr>
        <w:t>。</w:t>
      </w:r>
    </w:p>
    <w:p w14:paraId="093AC1A8">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（2）采用履约保证担保（</w:t>
      </w:r>
      <w:r>
        <w:rPr>
          <w:rFonts w:asciiTheme="minorEastAsia" w:hAnsiTheme="minorEastAsia" w:eastAsiaTheme="minorEastAsia" w:cstheme="minorEastAsia"/>
          <w:b/>
          <w:color w:val="auto"/>
          <w:szCs w:val="24"/>
          <w:highlight w:val="none"/>
        </w:rPr>
        <w:t>保函类型为见索即付银行保函</w:t>
      </w:r>
      <w:r>
        <w:rPr>
          <w:rFonts w:asciiTheme="minorEastAsia" w:hAnsiTheme="minorEastAsia" w:eastAsiaTheme="minorEastAsia" w:cstheme="minorEastAsia"/>
          <w:color w:val="auto"/>
          <w:szCs w:val="24"/>
          <w:highlight w:val="none"/>
        </w:rPr>
        <w:t>，</w:t>
      </w:r>
      <w:r>
        <w:rPr>
          <w:rFonts w:asciiTheme="minorEastAsia" w:hAnsiTheme="minorEastAsia" w:eastAsiaTheme="minorEastAsia" w:cstheme="minorEastAsia"/>
          <w:snapToGrid w:val="0"/>
          <w:color w:val="auto"/>
          <w:kern w:val="0"/>
          <w:szCs w:val="24"/>
          <w:highlight w:val="none"/>
        </w:rPr>
        <w:t>保函格式按《住房和城乡建设部关于印发工程保函示范文本的通知》（建市〔2021〕11号）执行，</w:t>
      </w:r>
      <w:r>
        <w:rPr>
          <w:rFonts w:asciiTheme="minorEastAsia" w:hAnsiTheme="minorEastAsia" w:eastAsiaTheme="minorEastAsia" w:cstheme="minorEastAsia"/>
          <w:b/>
          <w:color w:val="auto"/>
          <w:szCs w:val="24"/>
          <w:highlight w:val="none"/>
        </w:rPr>
        <w:t>详见本招标文件第八章，按招标人提供的格式开具保函</w:t>
      </w:r>
      <w:r>
        <w:rPr>
          <w:rFonts w:asciiTheme="minorEastAsia" w:hAnsiTheme="minorEastAsia" w:eastAsiaTheme="minorEastAsia" w:cstheme="minorEastAsia"/>
          <w:snapToGrid w:val="0"/>
          <w:color w:val="auto"/>
          <w:kern w:val="0"/>
          <w:szCs w:val="24"/>
          <w:highlight w:val="none"/>
        </w:rPr>
        <w:t>）或履约保证保险的，中标人应提交有效的银行保函原件或保险合同（或保险单）原件，银行保函或保险合同（或保险单）原件的有效期应当自合同生效之日起至项目通过竣工验收之日后28天止。如果中标人无法获得具体截止日期，银行保函或保险合同（或保险单）原件中应当有“变更工程竣工日期的，保证期间按照变更后的竣工日期做相应调整”或类似约定的条款。</w:t>
      </w:r>
    </w:p>
    <w:p w14:paraId="5C3C2160">
      <w:pPr>
        <w:pageBreakBefore w:val="0"/>
        <w:kinsoku/>
        <w:wordWrap w:val="0"/>
        <w:overflowPunct/>
        <w:topLinePunct w:val="0"/>
        <w:autoSpaceDE/>
        <w:autoSpaceDN/>
        <w:bidi w:val="0"/>
        <w:adjustRightInd w:val="0"/>
        <w:snapToGrid w:val="0"/>
        <w:spacing w:line="440" w:lineRule="exact"/>
        <w:ind w:firstLine="482" w:firstLineChars="200"/>
        <w:textAlignment w:val="auto"/>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备注：银行保函</w:t>
      </w:r>
      <w:r>
        <w:rPr>
          <w:rFonts w:asciiTheme="minorEastAsia" w:hAnsiTheme="minorEastAsia" w:eastAsiaTheme="minorEastAsia" w:cstheme="minorEastAsia"/>
          <w:snapToGrid w:val="0"/>
          <w:color w:val="auto"/>
          <w:kern w:val="0"/>
          <w:szCs w:val="24"/>
          <w:highlight w:val="none"/>
        </w:rPr>
        <w:t>或保险合同（或保险单）</w:t>
      </w:r>
      <w:r>
        <w:rPr>
          <w:rFonts w:asciiTheme="minorEastAsia" w:hAnsiTheme="minorEastAsia" w:eastAsiaTheme="minorEastAsia" w:cstheme="minorEastAsia"/>
          <w:b/>
          <w:snapToGrid w:val="0"/>
          <w:color w:val="auto"/>
          <w:kern w:val="0"/>
          <w:szCs w:val="24"/>
          <w:highlight w:val="none"/>
        </w:rPr>
        <w:t>过期之后，中标人须重新开具银行保函</w:t>
      </w:r>
      <w:r>
        <w:rPr>
          <w:rFonts w:asciiTheme="minorEastAsia" w:hAnsiTheme="minorEastAsia" w:eastAsiaTheme="minorEastAsia" w:cstheme="minorEastAsia"/>
          <w:snapToGrid w:val="0"/>
          <w:color w:val="auto"/>
          <w:kern w:val="0"/>
          <w:szCs w:val="24"/>
          <w:highlight w:val="none"/>
        </w:rPr>
        <w:t>或保险合同（或保险单）</w:t>
      </w:r>
      <w:r>
        <w:rPr>
          <w:rFonts w:asciiTheme="minorEastAsia" w:hAnsiTheme="minorEastAsia" w:eastAsiaTheme="minorEastAsia" w:cstheme="minorEastAsia"/>
          <w:b/>
          <w:snapToGrid w:val="0"/>
          <w:color w:val="auto"/>
          <w:kern w:val="0"/>
          <w:szCs w:val="24"/>
          <w:highlight w:val="none"/>
        </w:rPr>
        <w:t>，过期当月未重新开具银行保函</w:t>
      </w:r>
      <w:r>
        <w:rPr>
          <w:rFonts w:asciiTheme="minorEastAsia" w:hAnsiTheme="minorEastAsia" w:eastAsiaTheme="minorEastAsia" w:cstheme="minorEastAsia"/>
          <w:snapToGrid w:val="0"/>
          <w:color w:val="auto"/>
          <w:kern w:val="0"/>
          <w:szCs w:val="24"/>
          <w:highlight w:val="none"/>
        </w:rPr>
        <w:t>或保险合同（或保险单）</w:t>
      </w:r>
      <w:r>
        <w:rPr>
          <w:rFonts w:asciiTheme="minorEastAsia" w:hAnsiTheme="minorEastAsia" w:eastAsiaTheme="minorEastAsia" w:cstheme="minorEastAsia"/>
          <w:b/>
          <w:snapToGrid w:val="0"/>
          <w:color w:val="auto"/>
          <w:kern w:val="0"/>
          <w:szCs w:val="24"/>
          <w:highlight w:val="none"/>
        </w:rPr>
        <w:t>的，</w:t>
      </w:r>
      <w:r>
        <w:rPr>
          <w:rFonts w:asciiTheme="minorEastAsia" w:hAnsiTheme="minorEastAsia" w:eastAsiaTheme="minorEastAsia" w:cstheme="minorEastAsia"/>
          <w:color w:val="auto"/>
          <w:szCs w:val="24"/>
          <w:highlight w:val="none"/>
          <w:shd w:val="clear" w:color="auto" w:fill="FFFFFF"/>
        </w:rPr>
        <w:t>招标人有权按履约保证金的金额扣留进度款（工人工资除外）作为履约保证金，直至中标人提交新的</w:t>
      </w:r>
      <w:r>
        <w:rPr>
          <w:rStyle w:val="53"/>
          <w:rFonts w:asciiTheme="minorEastAsia" w:hAnsiTheme="minorEastAsia" w:eastAsiaTheme="minorEastAsia" w:cstheme="minorEastAsia"/>
          <w:color w:val="auto"/>
          <w:kern w:val="0"/>
          <w:szCs w:val="24"/>
          <w:highlight w:val="none"/>
        </w:rPr>
        <w:t>银行保函、保险合同（或保险单）</w:t>
      </w:r>
      <w:r>
        <w:rPr>
          <w:rFonts w:asciiTheme="minorEastAsia" w:hAnsiTheme="minorEastAsia" w:eastAsiaTheme="minorEastAsia" w:cstheme="minorEastAsia"/>
          <w:color w:val="auto"/>
          <w:szCs w:val="24"/>
          <w:highlight w:val="none"/>
          <w:shd w:val="clear" w:color="auto" w:fill="FFFFFF"/>
        </w:rPr>
        <w:t>或达到履约保证金退还条件。</w:t>
      </w:r>
    </w:p>
    <w:p w14:paraId="1DE1C10D">
      <w:pPr>
        <w:pageBreakBefore w:val="0"/>
        <w:kinsoku/>
        <w:wordWrap w:val="0"/>
        <w:overflowPunct/>
        <w:topLinePunct w:val="0"/>
        <w:autoSpaceDE/>
        <w:autoSpaceDN/>
        <w:bidi w:val="0"/>
        <w:adjustRightInd w:val="0"/>
        <w:snapToGrid w:val="0"/>
        <w:spacing w:line="440" w:lineRule="exact"/>
        <w:ind w:firstLine="480" w:firstLineChars="200"/>
        <w:textAlignment w:val="auto"/>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（3）招标人应有支付工程款履约保证担保（保函格式按《住房和城乡建设部关于印发工程保函示范文本的通知》（建市〔2021〕11号）执行，</w:t>
      </w:r>
      <w:r>
        <w:rPr>
          <w:rFonts w:asciiTheme="minorEastAsia" w:hAnsiTheme="minorEastAsia" w:eastAsiaTheme="minorEastAsia" w:cstheme="minorEastAsia"/>
          <w:b/>
          <w:color w:val="auto"/>
          <w:szCs w:val="24"/>
          <w:highlight w:val="none"/>
        </w:rPr>
        <w:t>保函格式详见本招标文件第八章</w:t>
      </w:r>
      <w:r>
        <w:rPr>
          <w:rFonts w:asciiTheme="minorEastAsia" w:hAnsiTheme="minorEastAsia" w:eastAsiaTheme="minorEastAsia" w:cstheme="minorEastAsia"/>
          <w:snapToGrid w:val="0"/>
          <w:color w:val="auto"/>
          <w:kern w:val="0"/>
          <w:szCs w:val="24"/>
          <w:highlight w:val="none"/>
        </w:rPr>
        <w:t>）。</w:t>
      </w:r>
    </w:p>
    <w:p w14:paraId="68A807BF">
      <w:pPr>
        <w:pageBreakBefore w:val="0"/>
        <w:kinsoku/>
        <w:wordWrap w:val="0"/>
        <w:overflowPunct/>
        <w:topLinePunct w:val="0"/>
        <w:autoSpaceDE/>
        <w:autoSpaceDN/>
        <w:bidi w:val="0"/>
        <w:adjustRightInd w:val="0"/>
        <w:snapToGrid w:val="0"/>
        <w:spacing w:line="440" w:lineRule="exact"/>
        <w:ind w:firstLine="482" w:firstLineChars="20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2.3</w:t>
      </w:r>
      <w:r>
        <w:rPr>
          <w:rFonts w:asciiTheme="minorEastAsia" w:hAnsiTheme="minorEastAsia" w:eastAsiaTheme="minorEastAsia" w:cstheme="minorEastAsia"/>
          <w:snapToGrid w:val="0"/>
          <w:color w:val="auto"/>
          <w:kern w:val="0"/>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5FB94CCA">
      <w:pPr>
        <w:pageBreakBefore w:val="0"/>
        <w:kinsoku/>
        <w:wordWrap w:val="0"/>
        <w:overflowPunct/>
        <w:topLinePunct w:val="0"/>
        <w:autoSpaceDE/>
        <w:autoSpaceDN/>
        <w:bidi w:val="0"/>
        <w:adjustRightInd w:val="0"/>
        <w:snapToGrid w:val="0"/>
        <w:spacing w:line="440" w:lineRule="exact"/>
        <w:ind w:firstLine="482" w:firstLineChars="20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2.4</w:t>
      </w:r>
      <w:r>
        <w:rPr>
          <w:rFonts w:asciiTheme="minorEastAsia" w:hAnsiTheme="minorEastAsia" w:eastAsiaTheme="minorEastAsia" w:cstheme="minorEastAsia"/>
          <w:snapToGrid w:val="0"/>
          <w:color w:val="auto"/>
          <w:kern w:val="0"/>
          <w:szCs w:val="24"/>
          <w:highlight w:val="none"/>
        </w:rPr>
        <w:t xml:space="preserve"> 在工程实施过程中，如果中标人（即招标阶段的中标人，下同）由于自身的资金、技术、质量、非不可抗力等原因给招标人（即招标阶段的招标人，下同）造成经济损失，扣除相应履约保证。</w:t>
      </w:r>
    </w:p>
    <w:p w14:paraId="4A336AAD">
      <w:pPr>
        <w:pageBreakBefore w:val="0"/>
        <w:kinsoku/>
        <w:wordWrap w:val="0"/>
        <w:overflowPunct/>
        <w:topLinePunct w:val="0"/>
        <w:autoSpaceDE/>
        <w:autoSpaceDN/>
        <w:bidi w:val="0"/>
        <w:adjustRightInd w:val="0"/>
        <w:snapToGrid w:val="0"/>
        <w:spacing w:line="440" w:lineRule="exact"/>
        <w:ind w:firstLine="482" w:firstLineChars="20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2.5</w:t>
      </w:r>
      <w:r>
        <w:rPr>
          <w:rFonts w:asciiTheme="minorEastAsia" w:hAnsiTheme="minorEastAsia" w:eastAsiaTheme="minorEastAsia" w:cstheme="minorEastAsia"/>
          <w:snapToGrid w:val="0"/>
          <w:color w:val="auto"/>
          <w:kern w:val="0"/>
          <w:szCs w:val="24"/>
          <w:highlight w:val="none"/>
        </w:rPr>
        <w:t xml:space="preserve"> 项目通过竣工验收之日后28天内，招标人将履约保证</w:t>
      </w:r>
      <w:r>
        <w:rPr>
          <w:rFonts w:asciiTheme="minorEastAsia" w:hAnsiTheme="minorEastAsia" w:eastAsiaTheme="minorEastAsia" w:cstheme="minorEastAsia"/>
          <w:color w:val="auto"/>
          <w:szCs w:val="24"/>
          <w:highlight w:val="none"/>
        </w:rPr>
        <w:t>或全部履约保证金（不计算利息）</w:t>
      </w:r>
      <w:r>
        <w:rPr>
          <w:rFonts w:asciiTheme="minorEastAsia" w:hAnsiTheme="minorEastAsia" w:eastAsiaTheme="minorEastAsia" w:cstheme="minorEastAsia"/>
          <w:snapToGrid w:val="0"/>
          <w:color w:val="auto"/>
          <w:kern w:val="0"/>
          <w:szCs w:val="24"/>
          <w:highlight w:val="none"/>
        </w:rPr>
        <w:t>退还给中标人。</w:t>
      </w:r>
    </w:p>
    <w:p w14:paraId="26EE40B3">
      <w:pPr>
        <w:pStyle w:val="48"/>
        <w:pageBreakBefore w:val="0"/>
        <w:kinsoku/>
        <w:overflowPunct/>
        <w:topLinePunct w:val="0"/>
        <w:autoSpaceDE/>
        <w:autoSpaceDN/>
        <w:bidi w:val="0"/>
        <w:spacing w:line="440" w:lineRule="exact"/>
        <w:ind w:firstLine="0"/>
        <w:jc w:val="both"/>
        <w:textAlignment w:val="auto"/>
        <w:outlineLvl w:val="1"/>
        <w:rPr>
          <w:rFonts w:hint="eastAsia" w:asciiTheme="minorEastAsia" w:hAnsiTheme="minorEastAsia" w:eastAsiaTheme="minorEastAsia" w:cstheme="minorEastAsia"/>
          <w:b/>
          <w:color w:val="auto"/>
          <w:kern w:val="2"/>
          <w:highlight w:val="none"/>
        </w:rPr>
      </w:pPr>
      <w:bookmarkStart w:id="449" w:name="_Toc5605"/>
      <w:r>
        <w:rPr>
          <w:rFonts w:hint="eastAsia" w:asciiTheme="minorEastAsia" w:hAnsiTheme="minorEastAsia" w:eastAsiaTheme="minorEastAsia" w:cstheme="minorEastAsia"/>
          <w:b/>
          <w:color w:val="auto"/>
          <w:kern w:val="2"/>
          <w:highlight w:val="none"/>
        </w:rPr>
        <w:t>3</w:t>
      </w:r>
      <w:r>
        <w:rPr>
          <w:rFonts w:hint="eastAsia" w:asciiTheme="minorEastAsia" w:hAnsiTheme="minorEastAsia" w:eastAsiaTheme="minorEastAsia" w:cstheme="minorEastAsia"/>
          <w:b/>
          <w:color w:val="auto"/>
          <w:kern w:val="2"/>
          <w:highlight w:val="none"/>
          <w:lang w:eastAsia="zh-CN"/>
        </w:rPr>
        <w:t>、</w:t>
      </w:r>
      <w:r>
        <w:rPr>
          <w:rFonts w:hint="eastAsia" w:asciiTheme="minorEastAsia" w:hAnsiTheme="minorEastAsia" w:eastAsiaTheme="minorEastAsia" w:cstheme="minorEastAsia"/>
          <w:b/>
          <w:color w:val="auto"/>
          <w:kern w:val="2"/>
          <w:highlight w:val="none"/>
        </w:rPr>
        <w:t>质量保证</w:t>
      </w:r>
      <w:bookmarkEnd w:id="449"/>
    </w:p>
    <w:p w14:paraId="570EE7B8">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3.1</w:t>
      </w:r>
      <w:r>
        <w:rPr>
          <w:rFonts w:asciiTheme="minorEastAsia" w:hAnsiTheme="minorEastAsia" w:eastAsiaTheme="minorEastAsia" w:cstheme="minorEastAsia"/>
          <w:bCs/>
          <w:snapToGrid w:val="0"/>
          <w:color w:val="auto"/>
          <w:kern w:val="0"/>
          <w:szCs w:val="24"/>
          <w:highlight w:val="none"/>
        </w:rPr>
        <w:t xml:space="preserve"> 本工程缺陷责任期为</w:t>
      </w:r>
      <w:r>
        <w:rPr>
          <w:rFonts w:asciiTheme="minorEastAsia" w:hAnsiTheme="minorEastAsia" w:eastAsiaTheme="minorEastAsia" w:cstheme="minorEastAsia"/>
          <w:bCs/>
          <w:snapToGrid w:val="0"/>
          <w:color w:val="auto"/>
          <w:kern w:val="0"/>
          <w:szCs w:val="24"/>
          <w:highlight w:val="none"/>
          <w:u w:val="single"/>
        </w:rPr>
        <w:t>2</w:t>
      </w:r>
      <w:r>
        <w:rPr>
          <w:rFonts w:asciiTheme="minorEastAsia" w:hAnsiTheme="minorEastAsia" w:eastAsiaTheme="minorEastAsia" w:cstheme="minorEastAsia"/>
          <w:bCs/>
          <w:snapToGrid w:val="0"/>
          <w:color w:val="auto"/>
          <w:kern w:val="0"/>
          <w:szCs w:val="24"/>
          <w:highlight w:val="none"/>
        </w:rPr>
        <w:t>年（自通过竣工验收之日起计），在此期间预留金额为结算价</w:t>
      </w:r>
      <w:r>
        <w:rPr>
          <w:rFonts w:asciiTheme="minorEastAsia" w:hAnsiTheme="minorEastAsia" w:eastAsiaTheme="minorEastAsia" w:cstheme="minorEastAsia"/>
          <w:bCs/>
          <w:snapToGrid w:val="0"/>
          <w:color w:val="auto"/>
          <w:kern w:val="0"/>
          <w:szCs w:val="24"/>
          <w:highlight w:val="none"/>
          <w:u w:val="single"/>
        </w:rPr>
        <w:t>3%</w:t>
      </w:r>
      <w:r>
        <w:rPr>
          <w:rFonts w:asciiTheme="minorEastAsia" w:hAnsiTheme="minorEastAsia" w:eastAsiaTheme="minorEastAsia" w:cstheme="minorEastAsia"/>
          <w:bCs/>
          <w:snapToGrid w:val="0"/>
          <w:color w:val="auto"/>
          <w:kern w:val="0"/>
          <w:szCs w:val="24"/>
          <w:highlight w:val="none"/>
        </w:rPr>
        <w:t>的质量保证。</w:t>
      </w:r>
    </w:p>
    <w:p w14:paraId="58071FFC">
      <w:pPr>
        <w:pageBreakBefore w:val="0"/>
        <w:kinsoku/>
        <w:wordWrap w:val="0"/>
        <w:overflowPunct/>
        <w:topLinePunct w:val="0"/>
        <w:autoSpaceDE/>
        <w:autoSpaceDN/>
        <w:bidi w:val="0"/>
        <w:adjustRightInd w:val="0"/>
        <w:snapToGrid w:val="0"/>
        <w:spacing w:line="440" w:lineRule="exact"/>
        <w:ind w:firstLine="560"/>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3.2</w:t>
      </w:r>
      <w:r>
        <w:rPr>
          <w:rFonts w:asciiTheme="minorEastAsia" w:hAnsiTheme="minorEastAsia" w:eastAsiaTheme="minorEastAsia" w:cstheme="minorEastAsia"/>
          <w:bCs/>
          <w:snapToGrid w:val="0"/>
          <w:color w:val="auto"/>
          <w:kern w:val="0"/>
          <w:szCs w:val="24"/>
          <w:highlight w:val="none"/>
        </w:rPr>
        <w:t xml:space="preserve"> 质量保证的形式包括质量保证金、质量保证担保、质量保证保险三种，由中标人自主选择。</w:t>
      </w:r>
    </w:p>
    <w:p w14:paraId="53416885">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（1）采用质量保证金形式的，在结清审定总造价时一次性扣留相应金额作为质量保证金。</w:t>
      </w:r>
    </w:p>
    <w:p w14:paraId="2C327CB3">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00F13D8D">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3.3</w:t>
      </w:r>
      <w:r>
        <w:rPr>
          <w:rFonts w:asciiTheme="minorEastAsia" w:hAnsiTheme="minorEastAsia" w:eastAsiaTheme="minorEastAsia" w:cstheme="minorEastAsia"/>
          <w:bCs/>
          <w:snapToGrid w:val="0"/>
          <w:color w:val="auto"/>
          <w:kern w:val="0"/>
          <w:szCs w:val="24"/>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6660DDF5">
      <w:pPr>
        <w:pageBreakBefore w:val="0"/>
        <w:kinsoku/>
        <w:wordWrap w:val="0"/>
        <w:overflowPunct/>
        <w:topLinePunct w:val="0"/>
        <w:autoSpaceDE/>
        <w:autoSpaceDN/>
        <w:bidi w:val="0"/>
        <w:adjustRightInd w:val="0"/>
        <w:snapToGrid w:val="0"/>
        <w:spacing w:line="440" w:lineRule="exact"/>
        <w:ind w:firstLine="561"/>
        <w:textAlignment w:val="auto"/>
        <w:rPr>
          <w:rFonts w:hint="default"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Cs/>
          <w:snapToGrid w:val="0"/>
          <w:color w:val="auto"/>
          <w:kern w:val="0"/>
          <w:szCs w:val="24"/>
          <w:highlight w:val="none"/>
        </w:rPr>
        <w:t>由他人原因造成的缺陷，招标人负责组织维修，中标人不承担费用，且招标人不得从质量保证中扣除费用。</w:t>
      </w:r>
    </w:p>
    <w:p w14:paraId="10E41E43">
      <w:pPr>
        <w:pageBreakBefore w:val="0"/>
        <w:kinsoku/>
        <w:wordWrap w:val="0"/>
        <w:overflowPunct/>
        <w:topLinePunct w:val="0"/>
        <w:autoSpaceDE/>
        <w:autoSpaceDN/>
        <w:bidi w:val="0"/>
        <w:adjustRightInd w:val="0"/>
        <w:snapToGrid w:val="0"/>
        <w:spacing w:line="440" w:lineRule="exact"/>
        <w:ind w:firstLine="561"/>
        <w:textAlignment w:val="auto"/>
        <w:rPr>
          <w:rFonts w:asciiTheme="minorEastAsia" w:hAnsiTheme="minorEastAsia" w:eastAsiaTheme="minorEastAsia" w:cstheme="minorEastAsia"/>
          <w:bCs/>
          <w:snapToGrid w:val="0"/>
          <w:color w:val="auto"/>
          <w:kern w:val="0"/>
          <w:szCs w:val="24"/>
          <w:highlight w:val="none"/>
        </w:rPr>
      </w:pPr>
      <w:r>
        <w:rPr>
          <w:rFonts w:asciiTheme="minorEastAsia" w:hAnsiTheme="minorEastAsia" w:eastAsiaTheme="minorEastAsia" w:cstheme="minorEastAsia"/>
          <w:b/>
          <w:bCs/>
          <w:snapToGrid w:val="0"/>
          <w:color w:val="auto"/>
          <w:kern w:val="0"/>
          <w:szCs w:val="24"/>
          <w:highlight w:val="none"/>
        </w:rPr>
        <w:t>3.4</w:t>
      </w:r>
      <w:r>
        <w:rPr>
          <w:rFonts w:asciiTheme="minorEastAsia" w:hAnsiTheme="minorEastAsia" w:eastAsiaTheme="minorEastAsia" w:cstheme="minorEastAsia"/>
          <w:bCs/>
          <w:snapToGrid w:val="0"/>
          <w:color w:val="auto"/>
          <w:kern w:val="0"/>
          <w:szCs w:val="24"/>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093057DD">
      <w:pPr>
        <w:pStyle w:val="7"/>
        <w:rPr>
          <w:rFonts w:asciiTheme="minorEastAsia" w:hAnsiTheme="minorEastAsia" w:eastAsiaTheme="minorEastAsia" w:cstheme="minorEastAsia"/>
          <w:bCs/>
          <w:snapToGrid w:val="0"/>
          <w:color w:val="auto"/>
          <w:kern w:val="0"/>
          <w:szCs w:val="24"/>
          <w:highlight w:val="none"/>
        </w:rPr>
      </w:pPr>
    </w:p>
    <w:p w14:paraId="3440CB43">
      <w:pPr>
        <w:rPr>
          <w:rFonts w:asciiTheme="minorEastAsia" w:hAnsiTheme="minorEastAsia" w:eastAsiaTheme="minorEastAsia" w:cstheme="minorEastAsia"/>
          <w:bCs/>
          <w:snapToGrid w:val="0"/>
          <w:color w:val="auto"/>
          <w:kern w:val="0"/>
          <w:szCs w:val="24"/>
          <w:highlight w:val="none"/>
        </w:rPr>
      </w:pPr>
    </w:p>
    <w:p w14:paraId="4555B7EE">
      <w:pPr>
        <w:bidi w:val="0"/>
        <w:rPr>
          <w:rFonts w:hint="eastAsia"/>
          <w:color w:val="auto"/>
          <w:highlight w:val="none"/>
        </w:rPr>
      </w:pPr>
      <w:bookmarkStart w:id="450" w:name="_Toc26916"/>
      <w:bookmarkStart w:id="451" w:name="_Toc25046"/>
      <w:bookmarkStart w:id="452" w:name="_Toc17661"/>
      <w:bookmarkStart w:id="453" w:name="_Toc4262"/>
      <w:bookmarkStart w:id="454" w:name="_Toc22105"/>
      <w:bookmarkStart w:id="455" w:name="_Toc16873"/>
      <w:bookmarkStart w:id="456" w:name="_Toc12936"/>
      <w:bookmarkStart w:id="457" w:name="_Toc29236"/>
    </w:p>
    <w:p w14:paraId="080D6E2E">
      <w:pPr>
        <w:bidi w:val="0"/>
        <w:rPr>
          <w:rFonts w:hint="eastAsia"/>
          <w:color w:val="auto"/>
          <w:highlight w:val="none"/>
        </w:rPr>
      </w:pPr>
    </w:p>
    <w:p w14:paraId="0E5FAABE">
      <w:pPr>
        <w:bidi w:val="0"/>
        <w:rPr>
          <w:rFonts w:hint="eastAsia"/>
          <w:color w:val="auto"/>
          <w:highlight w:val="none"/>
        </w:rPr>
      </w:pPr>
    </w:p>
    <w:p w14:paraId="29CC4BD0">
      <w:pPr>
        <w:bidi w:val="0"/>
        <w:rPr>
          <w:rFonts w:hint="eastAsia"/>
          <w:color w:val="auto"/>
          <w:highlight w:val="none"/>
        </w:rPr>
      </w:pPr>
    </w:p>
    <w:p w14:paraId="491B37EA">
      <w:pPr>
        <w:bidi w:val="0"/>
        <w:rPr>
          <w:rFonts w:hint="eastAsia"/>
          <w:color w:val="auto"/>
          <w:highlight w:val="none"/>
        </w:rPr>
      </w:pPr>
    </w:p>
    <w:p w14:paraId="72D13A73">
      <w:pPr>
        <w:bidi w:val="0"/>
        <w:rPr>
          <w:rFonts w:hint="eastAsia"/>
          <w:color w:val="auto"/>
          <w:highlight w:val="none"/>
        </w:rPr>
      </w:pPr>
    </w:p>
    <w:p w14:paraId="5EECA747">
      <w:pPr>
        <w:bidi w:val="0"/>
        <w:rPr>
          <w:rFonts w:hint="eastAsia"/>
          <w:color w:val="auto"/>
          <w:highlight w:val="none"/>
        </w:rPr>
      </w:pPr>
    </w:p>
    <w:p w14:paraId="7C483A1E">
      <w:pPr>
        <w:pStyle w:val="38"/>
        <w:keepNext/>
        <w:keepLines/>
        <w:tabs>
          <w:tab w:val="left" w:pos="885"/>
        </w:tabs>
        <w:jc w:val="center"/>
        <w:rPr>
          <w:rFonts w:asciiTheme="minorEastAsia" w:hAnsiTheme="minorEastAsia" w:eastAsiaTheme="minorEastAsia" w:cstheme="minorEastAsia"/>
          <w:b/>
          <w:color w:val="auto"/>
          <w:kern w:val="44"/>
          <w:sz w:val="36"/>
          <w:szCs w:val="36"/>
          <w:highlight w:val="none"/>
        </w:rPr>
      </w:pPr>
      <w:bookmarkStart w:id="458" w:name="_Toc28308"/>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48"/>
      <w:bookmarkEnd w:id="450"/>
      <w:bookmarkEnd w:id="451"/>
      <w:bookmarkEnd w:id="452"/>
      <w:bookmarkEnd w:id="453"/>
      <w:bookmarkEnd w:id="454"/>
      <w:bookmarkEnd w:id="455"/>
      <w:bookmarkEnd w:id="456"/>
      <w:bookmarkEnd w:id="457"/>
      <w:bookmarkEnd w:id="458"/>
    </w:p>
    <w:p w14:paraId="2D07195B">
      <w:pPr>
        <w:spacing w:line="400" w:lineRule="exact"/>
        <w:ind w:left="480"/>
        <w:rPr>
          <w:rFonts w:hint="default" w:asciiTheme="minorEastAsia" w:hAnsiTheme="minorEastAsia" w:eastAsiaTheme="minorEastAsia" w:cstheme="minorEastAsia"/>
          <w:color w:val="auto"/>
          <w:szCs w:val="24"/>
          <w:highlight w:val="none"/>
        </w:rPr>
      </w:pPr>
      <w:bookmarkStart w:id="459" w:name="_Hlt80411122"/>
      <w:bookmarkEnd w:id="459"/>
      <w:bookmarkStart w:id="460" w:name="_Hlt87793370"/>
      <w:bookmarkEnd w:id="460"/>
      <w:bookmarkStart w:id="461" w:name="_Hlt69359335"/>
      <w:bookmarkEnd w:id="461"/>
      <w:bookmarkStart w:id="462" w:name="_Hlt87793346"/>
      <w:bookmarkEnd w:id="462"/>
      <w:bookmarkStart w:id="463" w:name="_Hlt68774758"/>
      <w:bookmarkEnd w:id="463"/>
      <w:bookmarkStart w:id="464" w:name="_Hlt69357851"/>
      <w:bookmarkEnd w:id="464"/>
      <w:bookmarkStart w:id="465" w:name="_Hlt69265216"/>
      <w:bookmarkEnd w:id="465"/>
      <w:bookmarkStart w:id="466" w:name="_Hlt69116854"/>
      <w:bookmarkEnd w:id="466"/>
      <w:bookmarkStart w:id="467" w:name="_Hlt75685840"/>
      <w:bookmarkEnd w:id="467"/>
      <w:bookmarkStart w:id="468" w:name="_Hlt66104926"/>
      <w:bookmarkEnd w:id="468"/>
      <w:bookmarkStart w:id="469" w:name="_Hlt69358207"/>
      <w:bookmarkEnd w:id="469"/>
      <w:bookmarkStart w:id="470" w:name="_Toc466640611"/>
    </w:p>
    <w:bookmarkEnd w:id="470"/>
    <w:p w14:paraId="0295E3F1">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1．房屋建筑工程建设项目</w:t>
      </w:r>
    </w:p>
    <w:p w14:paraId="43BE5A79">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bookmarkStart w:id="471" w:name="_Hlt69358458"/>
      <w:bookmarkEnd w:id="471"/>
      <w:bookmarkStart w:id="472" w:name="_Hlt69635252"/>
      <w:bookmarkEnd w:id="472"/>
      <w:bookmarkStart w:id="473" w:name="_Hlt69359243"/>
      <w:bookmarkEnd w:id="473"/>
      <w:bookmarkStart w:id="474" w:name="_Hlt78709799"/>
      <w:bookmarkEnd w:id="474"/>
      <w:bookmarkStart w:id="475" w:name="_Hlt69359086"/>
      <w:bookmarkEnd w:id="475"/>
      <w:bookmarkStart w:id="476" w:name="_Hlt69359245"/>
      <w:bookmarkEnd w:id="476"/>
      <w:bookmarkStart w:id="477" w:name="_Hlt69116858"/>
      <w:bookmarkEnd w:id="477"/>
      <w:r>
        <w:rPr>
          <w:rFonts w:hint="eastAsia" w:ascii="宋体" w:hAnsi="宋体" w:eastAsia="宋体" w:cs="宋体"/>
          <w:bCs/>
          <w:snapToGrid w:val="0"/>
          <w:color w:val="auto"/>
          <w:kern w:val="0"/>
          <w:sz w:val="24"/>
          <w:szCs w:val="24"/>
          <w:highlight w:val="none"/>
        </w:rPr>
        <w:t>房屋建筑工程建设项目必须执行的现行技术规范，包括且不限于：</w:t>
      </w:r>
    </w:p>
    <w:p w14:paraId="28935759">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w:t>
      </w:r>
      <w:r>
        <w:rPr>
          <w:rFonts w:hint="eastAsia" w:ascii="宋体" w:hAnsi="宋体" w:eastAsia="宋体" w:cs="宋体"/>
          <w:bCs/>
          <w:snapToGrid w:val="0"/>
          <w:color w:val="auto"/>
          <w:kern w:val="0"/>
          <w:sz w:val="24"/>
          <w:szCs w:val="24"/>
          <w:highlight w:val="none"/>
        </w:rPr>
        <w:t>《建筑工程施工质量验收统一标准》；</w:t>
      </w:r>
    </w:p>
    <w:p w14:paraId="6DBE6E20">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lang w:val="en-US" w:eastAsia="zh-CN"/>
        </w:rPr>
      </w:pPr>
      <w:r>
        <w:rPr>
          <w:rFonts w:hint="default" w:ascii="宋体" w:hAnsi="宋体" w:eastAsia="宋体" w:cs="宋体"/>
          <w:bCs/>
          <w:snapToGrid w:val="0"/>
          <w:color w:val="auto"/>
          <w:kern w:val="0"/>
          <w:sz w:val="24"/>
          <w:szCs w:val="24"/>
          <w:highlight w:val="none"/>
          <w:lang w:val="en-US" w:eastAsia="zh-CN" w:bidi="ar-SA"/>
        </w:rPr>
        <w:t>(2)</w:t>
      </w:r>
      <w:r>
        <w:rPr>
          <w:rFonts w:hint="eastAsia" w:ascii="宋体" w:hAnsi="宋体" w:eastAsia="宋体" w:cs="宋体"/>
          <w:bCs/>
          <w:snapToGrid w:val="0"/>
          <w:color w:val="auto"/>
          <w:kern w:val="0"/>
          <w:sz w:val="24"/>
          <w:szCs w:val="24"/>
          <w:highlight w:val="none"/>
        </w:rPr>
        <w:t>《建筑与市政工程施工质量控制通用规范》</w:t>
      </w:r>
      <w:r>
        <w:rPr>
          <w:rFonts w:hint="eastAsia" w:ascii="宋体" w:hAnsi="宋体" w:eastAsia="宋体" w:cs="宋体"/>
          <w:bCs/>
          <w:snapToGrid w:val="0"/>
          <w:color w:val="auto"/>
          <w:kern w:val="0"/>
          <w:sz w:val="24"/>
          <w:szCs w:val="24"/>
          <w:highlight w:val="none"/>
          <w:lang w:val="en-US" w:eastAsia="zh-CN"/>
        </w:rPr>
        <w:t>;</w:t>
      </w:r>
    </w:p>
    <w:p w14:paraId="00A1A0EB">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(3)</w:t>
      </w:r>
      <w:r>
        <w:rPr>
          <w:rFonts w:hint="eastAsia" w:ascii="宋体" w:hAnsi="宋体" w:eastAsia="宋体" w:cs="宋体"/>
          <w:bCs/>
          <w:snapToGrid w:val="0"/>
          <w:color w:val="auto"/>
          <w:kern w:val="0"/>
          <w:sz w:val="24"/>
          <w:szCs w:val="24"/>
          <w:highlight w:val="none"/>
        </w:rPr>
        <w:t>《建筑地基基础工程施工质量验收规范》；</w:t>
      </w:r>
    </w:p>
    <w:p w14:paraId="0BF99F4F">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(4)</w:t>
      </w:r>
      <w:r>
        <w:rPr>
          <w:rFonts w:hint="eastAsia" w:ascii="宋体" w:hAnsi="宋体" w:eastAsia="宋体" w:cs="宋体"/>
          <w:bCs/>
          <w:snapToGrid w:val="0"/>
          <w:color w:val="auto"/>
          <w:kern w:val="0"/>
          <w:sz w:val="24"/>
          <w:szCs w:val="24"/>
          <w:highlight w:val="none"/>
        </w:rPr>
        <w:t>《砌体工程施工质量验收规范》；</w:t>
      </w:r>
    </w:p>
    <w:p w14:paraId="5B45972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(5)</w:t>
      </w:r>
      <w:r>
        <w:rPr>
          <w:rFonts w:hint="eastAsia" w:ascii="宋体" w:hAnsi="宋体" w:eastAsia="宋体" w:cs="宋体"/>
          <w:bCs/>
          <w:snapToGrid w:val="0"/>
          <w:color w:val="auto"/>
          <w:kern w:val="0"/>
          <w:sz w:val="24"/>
          <w:szCs w:val="24"/>
          <w:highlight w:val="none"/>
        </w:rPr>
        <w:t>《混凝土结构工程施工质量验收规范》；</w:t>
      </w:r>
    </w:p>
    <w:p w14:paraId="2C318996">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(6)</w:t>
      </w:r>
      <w:r>
        <w:rPr>
          <w:rFonts w:hint="eastAsia" w:ascii="宋体" w:hAnsi="宋体" w:eastAsia="宋体" w:cs="宋体"/>
          <w:bCs/>
          <w:snapToGrid w:val="0"/>
          <w:color w:val="auto"/>
          <w:kern w:val="0"/>
          <w:sz w:val="24"/>
          <w:szCs w:val="24"/>
          <w:highlight w:val="none"/>
        </w:rPr>
        <w:t>《屋面工程质量验收规范》；</w:t>
      </w:r>
    </w:p>
    <w:p w14:paraId="4C343455">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(7)</w:t>
      </w:r>
      <w:r>
        <w:rPr>
          <w:rFonts w:hint="eastAsia" w:ascii="宋体" w:hAnsi="宋体" w:eastAsia="宋体" w:cs="宋体"/>
          <w:bCs/>
          <w:snapToGrid w:val="0"/>
          <w:color w:val="auto"/>
          <w:kern w:val="0"/>
          <w:sz w:val="24"/>
          <w:szCs w:val="24"/>
          <w:highlight w:val="none"/>
        </w:rPr>
        <w:t>《地下防水工程质量验收规范》；</w:t>
      </w:r>
    </w:p>
    <w:p w14:paraId="1AB02F77">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bookmarkStart w:id="478" w:name="_Hlt78795211"/>
      <w:bookmarkEnd w:id="478"/>
      <w:r>
        <w:rPr>
          <w:rFonts w:hint="default" w:ascii="宋体" w:hAnsi="宋体" w:eastAsia="宋体" w:cs="宋体"/>
          <w:bCs/>
          <w:snapToGrid w:val="0"/>
          <w:color w:val="auto"/>
          <w:kern w:val="0"/>
          <w:sz w:val="24"/>
          <w:szCs w:val="24"/>
          <w:highlight w:val="none"/>
          <w:lang w:val="en-US" w:eastAsia="zh-CN" w:bidi="ar-SA"/>
        </w:rPr>
        <w:t>(8)</w:t>
      </w:r>
      <w:r>
        <w:rPr>
          <w:rFonts w:hint="eastAsia" w:ascii="宋体" w:hAnsi="宋体" w:eastAsia="宋体" w:cs="宋体"/>
          <w:bCs/>
          <w:snapToGrid w:val="0"/>
          <w:color w:val="auto"/>
          <w:kern w:val="0"/>
          <w:sz w:val="24"/>
          <w:szCs w:val="24"/>
          <w:highlight w:val="none"/>
        </w:rPr>
        <w:t>《建筑地面工程施工质量验收规范》；</w:t>
      </w:r>
    </w:p>
    <w:p w14:paraId="42BF5024">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(9)</w:t>
      </w:r>
      <w:r>
        <w:rPr>
          <w:rFonts w:hint="eastAsia" w:ascii="宋体" w:hAnsi="宋体" w:eastAsia="宋体" w:cs="宋体"/>
          <w:bCs/>
          <w:snapToGrid w:val="0"/>
          <w:color w:val="auto"/>
          <w:kern w:val="0"/>
          <w:sz w:val="24"/>
          <w:szCs w:val="24"/>
          <w:highlight w:val="none"/>
        </w:rPr>
        <w:t>《建筑装饰装修工程施工质量验收规范》；</w:t>
      </w:r>
    </w:p>
    <w:p w14:paraId="36148237">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(10)</w:t>
      </w:r>
      <w:r>
        <w:rPr>
          <w:rFonts w:hint="eastAsia" w:ascii="宋体" w:hAnsi="宋体" w:eastAsia="宋体" w:cs="宋体"/>
          <w:bCs/>
          <w:snapToGrid w:val="0"/>
          <w:color w:val="auto"/>
          <w:kern w:val="0"/>
          <w:sz w:val="24"/>
          <w:szCs w:val="24"/>
          <w:highlight w:val="none"/>
        </w:rPr>
        <w:t>《建筑给排水及采暖工程施工质量验收规范》；</w:t>
      </w:r>
    </w:p>
    <w:p w14:paraId="7ADBEDA5">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(11)</w:t>
      </w:r>
      <w:r>
        <w:rPr>
          <w:rFonts w:hint="eastAsia" w:ascii="宋体" w:hAnsi="宋体" w:eastAsia="宋体" w:cs="宋体"/>
          <w:bCs/>
          <w:snapToGrid w:val="0"/>
          <w:color w:val="auto"/>
          <w:kern w:val="0"/>
          <w:sz w:val="24"/>
          <w:szCs w:val="24"/>
          <w:highlight w:val="none"/>
        </w:rPr>
        <w:t>《建筑电气工程施工质量验收规范》；</w:t>
      </w:r>
    </w:p>
    <w:p w14:paraId="75CFFD97">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(12)</w:t>
      </w:r>
      <w:r>
        <w:rPr>
          <w:rFonts w:hint="eastAsia" w:ascii="宋体" w:hAnsi="宋体" w:eastAsia="宋体" w:cs="宋体"/>
          <w:bCs/>
          <w:snapToGrid w:val="0"/>
          <w:color w:val="auto"/>
          <w:kern w:val="0"/>
          <w:sz w:val="24"/>
          <w:szCs w:val="24"/>
          <w:highlight w:val="none"/>
        </w:rPr>
        <w:t>《住建部绿色建筑评价标准》；</w:t>
      </w:r>
    </w:p>
    <w:p w14:paraId="7B638845">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(13)</w:t>
      </w:r>
      <w:r>
        <w:rPr>
          <w:rFonts w:hint="eastAsia" w:ascii="宋体" w:hAnsi="宋体" w:eastAsia="宋体" w:cs="宋体"/>
          <w:bCs/>
          <w:snapToGrid w:val="0"/>
          <w:color w:val="auto"/>
          <w:kern w:val="0"/>
          <w:sz w:val="24"/>
          <w:szCs w:val="24"/>
          <w:highlight w:val="none"/>
        </w:rPr>
        <w:t>《建筑节能与可再生能源利用通用规范》；</w:t>
      </w:r>
    </w:p>
    <w:p w14:paraId="5F058088">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(14)</w:t>
      </w:r>
      <w:r>
        <w:rPr>
          <w:rFonts w:hint="eastAsia" w:ascii="宋体" w:hAnsi="宋体" w:eastAsia="宋体" w:cs="宋体"/>
          <w:bCs/>
          <w:snapToGrid w:val="0"/>
          <w:color w:val="auto"/>
          <w:kern w:val="0"/>
          <w:sz w:val="24"/>
          <w:szCs w:val="24"/>
          <w:highlight w:val="none"/>
        </w:rPr>
        <w:t>《建筑环境通用规范》；</w:t>
      </w:r>
    </w:p>
    <w:p w14:paraId="0DC9F819">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(15)</w:t>
      </w:r>
      <w:r>
        <w:rPr>
          <w:rFonts w:hint="eastAsia" w:ascii="宋体" w:hAnsi="宋体" w:eastAsia="宋体" w:cs="宋体"/>
          <w:bCs/>
          <w:snapToGrid w:val="0"/>
          <w:color w:val="auto"/>
          <w:kern w:val="0"/>
          <w:sz w:val="24"/>
          <w:szCs w:val="24"/>
          <w:highlight w:val="none"/>
        </w:rPr>
        <w:t>《广东省住房和城乡建设厅绿色施工导则》；</w:t>
      </w:r>
    </w:p>
    <w:p w14:paraId="6684B003">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(16)</w:t>
      </w:r>
      <w:r>
        <w:rPr>
          <w:rFonts w:hint="eastAsia" w:ascii="宋体" w:hAnsi="宋体" w:eastAsia="宋体" w:cs="宋体"/>
          <w:bCs/>
          <w:snapToGrid w:val="0"/>
          <w:color w:val="auto"/>
          <w:kern w:val="0"/>
          <w:sz w:val="24"/>
          <w:szCs w:val="24"/>
          <w:highlight w:val="none"/>
        </w:rPr>
        <w:t>《广东省建筑工程绿色施工评价标准》；</w:t>
      </w:r>
    </w:p>
    <w:p w14:paraId="7B23DB57">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(17)</w:t>
      </w:r>
      <w:r>
        <w:rPr>
          <w:rFonts w:hint="eastAsia" w:ascii="宋体" w:hAnsi="宋体" w:eastAsia="宋体" w:cs="宋体"/>
          <w:bCs/>
          <w:snapToGrid w:val="0"/>
          <w:color w:val="auto"/>
          <w:kern w:val="0"/>
          <w:sz w:val="24"/>
          <w:szCs w:val="24"/>
          <w:highlight w:val="none"/>
        </w:rPr>
        <w:t>《广东省建筑节能与绿色建筑工程施工质量验收规范》</w:t>
      </w:r>
    </w:p>
    <w:p w14:paraId="3F899B7C">
      <w:pPr>
        <w:keepNext w:val="0"/>
        <w:keepLines w:val="0"/>
        <w:pageBreakBefore w:val="0"/>
        <w:numPr>
          <w:ilvl w:val="0"/>
          <w:numId w:val="0"/>
        </w:numPr>
        <w:kinsoku/>
        <w:wordWrap w:val="0"/>
        <w:overflowPunct/>
        <w:topLinePunct w:val="0"/>
        <w:bidi w:val="0"/>
        <w:adjustRightInd w:val="0"/>
        <w:snapToGrid w:val="0"/>
        <w:spacing w:line="400" w:lineRule="exact"/>
        <w:ind w:left="425" w:firstLine="55" w:firstLineChars="0"/>
        <w:rPr>
          <w:rFonts w:hint="eastAsia" w:ascii="宋体" w:hAnsi="宋体" w:eastAsia="宋体" w:cs="宋体"/>
          <w:bCs/>
          <w:snapToGrid w:val="0"/>
          <w:color w:val="auto"/>
          <w:kern w:val="0"/>
          <w:sz w:val="24"/>
          <w:szCs w:val="24"/>
          <w:highlight w:val="none"/>
        </w:rPr>
      </w:pPr>
      <w:r>
        <w:rPr>
          <w:rFonts w:hint="default" w:ascii="宋体" w:hAnsi="宋体" w:eastAsia="宋体" w:cs="宋体"/>
          <w:bCs/>
          <w:snapToGrid w:val="0"/>
          <w:color w:val="auto"/>
          <w:kern w:val="0"/>
          <w:sz w:val="24"/>
          <w:szCs w:val="24"/>
          <w:highlight w:val="none"/>
          <w:lang w:val="en-US" w:eastAsia="zh-CN" w:bidi="ar-SA"/>
        </w:rPr>
        <w:t>(18)</w:t>
      </w:r>
      <w:r>
        <w:rPr>
          <w:rFonts w:hint="eastAsia" w:ascii="宋体" w:hAnsi="宋体" w:eastAsia="宋体" w:cs="宋体"/>
          <w:bCs/>
          <w:snapToGrid w:val="0"/>
          <w:color w:val="auto"/>
          <w:kern w:val="0"/>
          <w:sz w:val="24"/>
          <w:szCs w:val="24"/>
          <w:highlight w:val="none"/>
        </w:rPr>
        <w:t>其他现行国家、广东省关于房建工程的施工及验收规范、定额、规程、标准。</w:t>
      </w:r>
    </w:p>
    <w:p w14:paraId="797A294F">
      <w:pPr>
        <w:keepNext w:val="0"/>
        <w:keepLines w:val="0"/>
        <w:pageBreakBefore w:val="0"/>
        <w:kinsoku/>
        <w:wordWrap w:val="0"/>
        <w:overflowPunct/>
        <w:topLinePunct w:val="0"/>
        <w:bidi w:val="0"/>
        <w:adjustRightInd w:val="0"/>
        <w:snapToGrid w:val="0"/>
        <w:spacing w:line="40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2．市政基础设施工程建设项目</w:t>
      </w:r>
    </w:p>
    <w:p w14:paraId="258AF33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市政基础设施工程建设项目必须执行的现行技术规范，包括且不限于：</w:t>
      </w:r>
    </w:p>
    <w:p w14:paraId="3A22F94F">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（1）《公路路基施工技术规范》；</w:t>
      </w:r>
    </w:p>
    <w:p w14:paraId="05735885">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（2）《市政道路工程质量检验评定标准》；</w:t>
      </w:r>
    </w:p>
    <w:p w14:paraId="5A1AE4DF">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（3）《市政排水管渠工程质量检验评定标准》；</w:t>
      </w:r>
    </w:p>
    <w:p w14:paraId="732E808C">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（4）《给水排水管道工程施工及验收规范》；</w:t>
      </w:r>
    </w:p>
    <w:p w14:paraId="20E6E83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（5）《城市道路路基工程施工及验收规范》；</w:t>
      </w:r>
    </w:p>
    <w:p w14:paraId="30BB2E1A">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（6）《水泥砼路面施工及验收规范》；</w:t>
      </w:r>
    </w:p>
    <w:p w14:paraId="5B89B64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（7）《公路水泥砼路面施工技术规范》；</w:t>
      </w:r>
    </w:p>
    <w:p w14:paraId="5A00F83D">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（8）《埋地硬聚氯乙烯排水管道工程技术规程》；</w:t>
      </w:r>
    </w:p>
    <w:p w14:paraId="68F175B2">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（9）《沥青路面施工及验收规范》；</w:t>
      </w:r>
    </w:p>
    <w:p w14:paraId="3FB3441B">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（10）《广东省市政工程施工质量技术资料统一用表》。</w:t>
      </w:r>
    </w:p>
    <w:p w14:paraId="7B253BE1">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bookmarkStart w:id="479" w:name="_Toc15315"/>
      <w:bookmarkStart w:id="480" w:name="_Toc3736"/>
      <w:bookmarkStart w:id="481" w:name="_Toc31614"/>
      <w:r>
        <w:rPr>
          <w:rFonts w:hint="eastAsia" w:ascii="宋体" w:hAnsi="宋体" w:eastAsia="宋体" w:cs="宋体"/>
          <w:bCs/>
          <w:snapToGrid w:val="0"/>
          <w:color w:val="auto"/>
          <w:kern w:val="0"/>
          <w:sz w:val="24"/>
          <w:szCs w:val="24"/>
          <w:highlight w:val="none"/>
        </w:rPr>
        <w:t>（11）</w:t>
      </w:r>
      <w:r>
        <w:rPr>
          <w:rFonts w:hint="eastAsia" w:ascii="宋体" w:hAnsi="宋体" w:eastAsia="宋体" w:cs="宋体"/>
          <w:bCs/>
          <w:color w:val="auto"/>
          <w:kern w:val="0"/>
          <w:sz w:val="24"/>
          <w:szCs w:val="24"/>
          <w:highlight w:val="none"/>
        </w:rPr>
        <w:t>《城市道路照明设计标准》（CJJ45-2015）；</w:t>
      </w:r>
      <w:bookmarkEnd w:id="479"/>
      <w:bookmarkEnd w:id="480"/>
      <w:bookmarkEnd w:id="481"/>
    </w:p>
    <w:p w14:paraId="6D7E276D">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sz w:val="24"/>
          <w:szCs w:val="24"/>
          <w:highlight w:val="none"/>
        </w:rPr>
      </w:pPr>
      <w:bookmarkStart w:id="482" w:name="_Toc5347"/>
      <w:bookmarkStart w:id="483" w:name="_Toc27202"/>
      <w:bookmarkStart w:id="484" w:name="_Toc20893"/>
      <w:r>
        <w:rPr>
          <w:rFonts w:hint="eastAsia" w:ascii="宋体" w:hAnsi="宋体" w:eastAsia="宋体" w:cs="宋体"/>
          <w:bCs/>
          <w:color w:val="auto"/>
          <w:kern w:val="0"/>
          <w:sz w:val="24"/>
          <w:szCs w:val="24"/>
          <w:highlight w:val="none"/>
        </w:rPr>
        <w:t>（12）《低压配电设计规范》（GB50054-2011）；</w:t>
      </w:r>
      <w:bookmarkEnd w:id="482"/>
      <w:bookmarkEnd w:id="483"/>
      <w:bookmarkEnd w:id="484"/>
    </w:p>
    <w:p w14:paraId="03D4B8EA">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sz w:val="24"/>
          <w:szCs w:val="24"/>
          <w:highlight w:val="none"/>
        </w:rPr>
      </w:pPr>
      <w:bookmarkStart w:id="485" w:name="_Toc11722"/>
      <w:bookmarkStart w:id="486" w:name="_Toc9733"/>
      <w:bookmarkStart w:id="487" w:name="_Toc5827"/>
      <w:r>
        <w:rPr>
          <w:rFonts w:hint="eastAsia" w:ascii="宋体" w:hAnsi="宋体" w:eastAsia="宋体" w:cs="宋体"/>
          <w:bCs/>
          <w:color w:val="auto"/>
          <w:kern w:val="0"/>
          <w:sz w:val="24"/>
          <w:szCs w:val="24"/>
          <w:highlight w:val="none"/>
        </w:rPr>
        <w:t>（13）《城市道路照明工程施工及验收规程》（CJJ89-2012）；</w:t>
      </w:r>
      <w:bookmarkEnd w:id="485"/>
      <w:bookmarkEnd w:id="486"/>
      <w:bookmarkEnd w:id="487"/>
    </w:p>
    <w:p w14:paraId="096C1001">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bookmarkStart w:id="488" w:name="_Toc10913"/>
      <w:bookmarkStart w:id="489" w:name="_Toc3289"/>
      <w:bookmarkStart w:id="490" w:name="_Toc23156"/>
      <w:r>
        <w:rPr>
          <w:rFonts w:hint="eastAsia" w:ascii="宋体" w:hAnsi="宋体" w:eastAsia="宋体" w:cs="宋体"/>
          <w:bCs/>
          <w:color w:val="auto"/>
          <w:kern w:val="0"/>
          <w:sz w:val="24"/>
          <w:szCs w:val="24"/>
          <w:highlight w:val="none"/>
        </w:rPr>
        <w:t>（14）《LED道路照明工程技术规范》（DB44/T 1898-2016）；</w:t>
      </w:r>
      <w:bookmarkEnd w:id="488"/>
      <w:bookmarkEnd w:id="489"/>
      <w:bookmarkEnd w:id="490"/>
    </w:p>
    <w:p w14:paraId="1FF13E2B">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bookmarkStart w:id="491" w:name="_Toc20060"/>
      <w:bookmarkStart w:id="492" w:name="_Toc31777"/>
      <w:bookmarkStart w:id="493" w:name="_Toc23729"/>
      <w:r>
        <w:rPr>
          <w:rFonts w:hint="eastAsia" w:ascii="宋体" w:hAnsi="宋体" w:eastAsia="宋体" w:cs="宋体"/>
          <w:bCs/>
          <w:color w:val="auto"/>
          <w:kern w:val="0"/>
          <w:sz w:val="24"/>
          <w:szCs w:val="24"/>
          <w:highlight w:val="none"/>
        </w:rPr>
        <w:t>（15）《灯具第1部分：一般要求与试验》（GB7000.1-2015）；</w:t>
      </w:r>
      <w:bookmarkEnd w:id="491"/>
      <w:bookmarkEnd w:id="492"/>
      <w:bookmarkEnd w:id="493"/>
    </w:p>
    <w:p w14:paraId="2ED16AFF">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bookmarkStart w:id="494" w:name="_Toc13117"/>
      <w:bookmarkStart w:id="495" w:name="_Toc4568"/>
      <w:bookmarkStart w:id="496" w:name="_Toc11185"/>
      <w:r>
        <w:rPr>
          <w:rFonts w:hint="eastAsia" w:ascii="宋体" w:hAnsi="宋体" w:eastAsia="宋体" w:cs="宋体"/>
          <w:bCs/>
          <w:color w:val="auto"/>
          <w:kern w:val="0"/>
          <w:sz w:val="24"/>
          <w:szCs w:val="24"/>
          <w:highlight w:val="none"/>
        </w:rPr>
        <w:t>（16）《电缆工程电缆设计标准》（GB50217-2018）；</w:t>
      </w:r>
      <w:bookmarkEnd w:id="494"/>
      <w:bookmarkEnd w:id="495"/>
      <w:bookmarkEnd w:id="496"/>
    </w:p>
    <w:p w14:paraId="75CE8EA7">
      <w:pPr>
        <w:keepNext w:val="0"/>
        <w:keepLines w:val="0"/>
        <w:pageBreakBefore w:val="0"/>
        <w:kinsoku/>
        <w:wordWrap w:val="0"/>
        <w:overflowPunct/>
        <w:topLinePunct w:val="0"/>
        <w:bidi w:val="0"/>
        <w:adjustRightInd w:val="0"/>
        <w:snapToGrid w:val="0"/>
        <w:spacing w:line="40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（17）其他现行国家、广东省关于市政工程的技术及验收规范、定额、规程、标准。</w:t>
      </w:r>
    </w:p>
    <w:p w14:paraId="43D80B7E">
      <w:pPr>
        <w:keepNext w:val="0"/>
        <w:keepLines w:val="0"/>
        <w:pageBreakBefore w:val="0"/>
        <w:kinsoku/>
        <w:wordWrap w:val="0"/>
        <w:overflowPunct/>
        <w:topLinePunct w:val="0"/>
        <w:bidi w:val="0"/>
        <w:adjustRightInd w:val="0"/>
        <w:snapToGrid w:val="0"/>
        <w:spacing w:line="400" w:lineRule="exact"/>
        <w:ind w:firstLine="482" w:firstLineChars="200"/>
        <w:outlineLvl w:val="1"/>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3.设计规范</w:t>
      </w:r>
    </w:p>
    <w:p w14:paraId="6CF44990">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（1）《市政公用工程设计文件编制深度规定》—中华人民共和国建设部 2013 年版；</w:t>
      </w:r>
    </w:p>
    <w:p w14:paraId="680ADEAE">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（2）《城市居住区规划设计规范》GB50180-93（2016 年）；</w:t>
      </w:r>
    </w:p>
    <w:p w14:paraId="5CFB19F9">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（3）《城市道路工程设计规》（CJJ37-2012）；</w:t>
      </w:r>
    </w:p>
    <w:p w14:paraId="045707F9">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（4）《城市道路路线设计规范》（CJJ 193-2012）；</w:t>
      </w:r>
    </w:p>
    <w:p w14:paraId="72B22E45">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（5）《城市道路路基设计规范》（CJJ194-2013）；</w:t>
      </w:r>
    </w:p>
    <w:p w14:paraId="19FF2C71">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（6）《城镇道路路面设计规范》（CJJ169-2012）；</w:t>
      </w:r>
    </w:p>
    <w:p w14:paraId="68219FE5">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（7）《城市道路交通规划与设计规范》（GB0220-95）；</w:t>
      </w:r>
    </w:p>
    <w:p w14:paraId="6E444E7F">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（8）《无障碍设计规范》（GB 50763-2012）；</w:t>
      </w:r>
    </w:p>
    <w:p w14:paraId="725D8BF3">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（9）《混凝土结构设计规范》（GB50010-2010）；</w:t>
      </w:r>
    </w:p>
    <w:p w14:paraId="2055B348">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（10）《城市防洪工程设计规范》（GB/T 50805-2012）；</w:t>
      </w:r>
    </w:p>
    <w:p w14:paraId="37D6DA8F">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（11）《室外排水设计规范（2016 年版）》（GB50014-2006）；</w:t>
      </w:r>
    </w:p>
    <w:p w14:paraId="5A9F09CB">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（12）《给水排水工程结构设计规范》（GB 500069－2002）；</w:t>
      </w:r>
    </w:p>
    <w:p w14:paraId="56BD0F0F">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（13）《居住小区给水排水设计规范》（CECS57：94）；</w:t>
      </w:r>
    </w:p>
    <w:p w14:paraId="7DAC900D">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（14）《建筑给水排水设计规范》（GB50015-2003）2009 年版；</w:t>
      </w:r>
    </w:p>
    <w:p w14:paraId="7E7F6C90">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（15）《建筑设计防火规范》（GB50016-2014）；</w:t>
      </w:r>
    </w:p>
    <w:p w14:paraId="1B408A94">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（16）《灌溉与排水工程设计规范》（GB50288-99）；</w:t>
      </w:r>
    </w:p>
    <w:p w14:paraId="4D28DB2C">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（17）《城市道路绿化规划与设计规范》（CJJ75-97）；</w:t>
      </w:r>
    </w:p>
    <w:p w14:paraId="2031BC2B">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（18）《电力工程电力设计规范》（GB50217-2007）；</w:t>
      </w:r>
    </w:p>
    <w:p w14:paraId="3CE6E883">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（19）《砌体结构设计规范》（GB50003-2001）；</w:t>
      </w:r>
    </w:p>
    <w:p w14:paraId="5F8DD6A9">
      <w:pPr>
        <w:keepNext w:val="0"/>
        <w:keepLines w:val="0"/>
        <w:pageBreakBefore w:val="0"/>
        <w:widowControl/>
        <w:tabs>
          <w:tab w:val="left" w:pos="567"/>
        </w:tabs>
        <w:kinsoku/>
        <w:overflowPunct/>
        <w:topLinePunct w:val="0"/>
        <w:autoSpaceDE w:val="0"/>
        <w:autoSpaceDN w:val="0"/>
        <w:bidi w:val="0"/>
        <w:spacing w:line="400" w:lineRule="exact"/>
        <w:ind w:firstLine="480" w:firstLineChars="200"/>
        <w:jc w:val="left"/>
        <w:textAlignment w:val="bottom"/>
        <w:outlineLvl w:val="0"/>
        <w:rPr>
          <w:rFonts w:hint="eastAsia" w:eastAsia="宋体"/>
          <w:color w:val="auto"/>
          <w:highlight w:val="none"/>
          <w:lang w:eastAsia="zh-CN"/>
        </w:rPr>
      </w:pPr>
      <w:r>
        <w:rPr>
          <w:rFonts w:hint="eastAsia" w:ascii="宋体" w:hAnsi="宋体" w:eastAsia="宋体" w:cs="宋体"/>
          <w:bCs/>
          <w:color w:val="auto"/>
          <w:kern w:val="0"/>
          <w:sz w:val="24"/>
          <w:szCs w:val="24"/>
          <w:highlight w:val="none"/>
        </w:rPr>
        <w:t>（</w:t>
      </w:r>
      <w:r>
        <w:rPr>
          <w:rFonts w:hint="eastAsia" w:hAnsi="宋体" w:eastAsia="宋体" w:cs="宋体"/>
          <w:bCs/>
          <w:color w:val="auto"/>
          <w:kern w:val="0"/>
          <w:sz w:val="24"/>
          <w:szCs w:val="24"/>
          <w:highlight w:val="none"/>
          <w:lang w:val="en-US" w:eastAsia="zh-CN"/>
        </w:rPr>
        <w:t>20</w:t>
      </w:r>
      <w:r>
        <w:rPr>
          <w:rFonts w:hint="eastAsia" w:ascii="宋体" w:hAnsi="宋体" w:eastAsia="宋体" w:cs="宋体"/>
          <w:bCs/>
          <w:color w:val="auto"/>
          <w:kern w:val="0"/>
          <w:sz w:val="24"/>
          <w:szCs w:val="24"/>
          <w:highlight w:val="none"/>
        </w:rPr>
        <w:t>）其他现行设计规范等</w:t>
      </w:r>
      <w:r>
        <w:rPr>
          <w:rFonts w:hint="eastAsia" w:hAnsi="宋体" w:eastAsia="宋体" w:cs="宋体"/>
          <w:bCs/>
          <w:color w:val="auto"/>
          <w:kern w:val="0"/>
          <w:sz w:val="24"/>
          <w:szCs w:val="24"/>
          <w:highlight w:val="none"/>
          <w:lang w:eastAsia="zh-CN"/>
        </w:rPr>
        <w:t>。</w:t>
      </w:r>
    </w:p>
    <w:p w14:paraId="38BEFC7C">
      <w:pPr>
        <w:keepNext w:val="0"/>
        <w:keepLines w:val="0"/>
        <w:pageBreakBefore w:val="0"/>
        <w:kinsoku/>
        <w:overflowPunct/>
        <w:topLinePunct w:val="0"/>
        <w:bidi w:val="0"/>
        <w:spacing w:line="40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注：以上规范或规定如有更新，则以更新后的规范及规定为准。</w:t>
      </w:r>
    </w:p>
    <w:p w14:paraId="5379F388">
      <w:pPr>
        <w:keepNext w:val="0"/>
        <w:keepLines w:val="0"/>
        <w:pageBreakBefore w:val="0"/>
        <w:kinsoku/>
        <w:wordWrap w:val="0"/>
        <w:overflowPunct/>
        <w:topLinePunct w:val="0"/>
        <w:bidi w:val="0"/>
        <w:adjustRightInd w:val="0"/>
        <w:snapToGrid w:val="0"/>
        <w:spacing w:line="400" w:lineRule="exact"/>
        <w:ind w:firstLine="482" w:firstLineChars="200"/>
        <w:outlineLvl w:val="1"/>
        <w:rPr>
          <w:rFonts w:hint="eastAsia" w:ascii="宋体" w:hAnsi="宋体" w:eastAsia="宋体" w:cs="宋体"/>
          <w:b/>
          <w:snapToGrid w:val="0"/>
          <w:color w:val="auto"/>
          <w:kern w:val="0"/>
          <w:sz w:val="24"/>
          <w:szCs w:val="24"/>
          <w:highlight w:val="none"/>
        </w:rPr>
      </w:pPr>
      <w:bookmarkStart w:id="497" w:name="_Toc2115"/>
      <w:bookmarkStart w:id="498" w:name="_Toc779"/>
      <w:bookmarkStart w:id="499" w:name="_Toc10936"/>
    </w:p>
    <w:p w14:paraId="13F53DA5">
      <w:pPr>
        <w:keepNext w:val="0"/>
        <w:keepLines w:val="0"/>
        <w:pageBreakBefore w:val="0"/>
        <w:kinsoku/>
        <w:wordWrap w:val="0"/>
        <w:overflowPunct/>
        <w:topLinePunct w:val="0"/>
        <w:bidi w:val="0"/>
        <w:adjustRightInd w:val="0"/>
        <w:snapToGrid w:val="0"/>
        <w:spacing w:line="400" w:lineRule="exact"/>
        <w:ind w:firstLine="482" w:firstLineChars="200"/>
        <w:outlineLvl w:val="1"/>
        <w:rPr>
          <w:rFonts w:hint="eastAsia" w:ascii="宋体" w:hAnsi="宋体" w:eastAsia="宋体" w:cs="宋体"/>
          <w:strike/>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4．备查要求</w:t>
      </w:r>
      <w:bookmarkEnd w:id="497"/>
      <w:bookmarkEnd w:id="498"/>
      <w:bookmarkEnd w:id="499"/>
    </w:p>
    <w:p w14:paraId="4590CB94">
      <w:pPr>
        <w:keepNext w:val="0"/>
        <w:keepLines w:val="0"/>
        <w:pageBreakBefore w:val="0"/>
        <w:kinsoku/>
        <w:overflowPunct/>
        <w:topLinePunct w:val="0"/>
        <w:bidi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人必须在施工现场准备至少一套上述规范，</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人和监理单位可随时检查</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人的上述规范，并监督</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人按规范要求执行。</w:t>
      </w:r>
    </w:p>
    <w:p w14:paraId="0BCAAAB4">
      <w:pPr>
        <w:pStyle w:val="5"/>
        <w:keepNext w:val="0"/>
        <w:keepLines w:val="0"/>
        <w:pageBreakBefore w:val="0"/>
        <w:kinsoku/>
        <w:overflowPunct/>
        <w:topLinePunct w:val="0"/>
        <w:bidi w:val="0"/>
        <w:spacing w:line="400" w:lineRule="exact"/>
        <w:ind w:firstLine="482" w:firstLineChars="200"/>
        <w:rPr>
          <w:rFonts w:hint="eastAsia" w:ascii="宋体" w:hAnsi="宋体" w:eastAsia="宋体" w:cs="宋体"/>
          <w:b/>
          <w:bCs/>
          <w:color w:val="auto"/>
          <w:sz w:val="24"/>
          <w:szCs w:val="24"/>
          <w:highlight w:val="none"/>
        </w:rPr>
      </w:pPr>
      <w:bookmarkStart w:id="500" w:name="_Toc466640612"/>
      <w:bookmarkStart w:id="501" w:name="_Toc14295"/>
      <w:bookmarkStart w:id="502" w:name="_Toc15621"/>
      <w:r>
        <w:rPr>
          <w:rFonts w:hint="eastAsia" w:ascii="宋体" w:hAnsi="宋体" w:eastAsia="宋体" w:cs="宋体"/>
          <w:b/>
          <w:bCs/>
          <w:color w:val="auto"/>
          <w:sz w:val="24"/>
          <w:szCs w:val="24"/>
          <w:highlight w:val="none"/>
        </w:rPr>
        <w:t>5.招标工程的项目前期资料</w:t>
      </w:r>
      <w:bookmarkEnd w:id="500"/>
      <w:r>
        <w:rPr>
          <w:rFonts w:hint="eastAsia" w:ascii="宋体" w:hAnsi="宋体" w:eastAsia="宋体" w:cs="宋体"/>
          <w:b/>
          <w:bCs/>
          <w:color w:val="auto"/>
          <w:sz w:val="24"/>
          <w:szCs w:val="24"/>
          <w:highlight w:val="none"/>
        </w:rPr>
        <w:t>（另附）</w:t>
      </w:r>
      <w:bookmarkEnd w:id="501"/>
      <w:bookmarkEnd w:id="502"/>
    </w:p>
    <w:p w14:paraId="3FB57AB5">
      <w:pPr>
        <w:keepNext w:val="0"/>
        <w:keepLines w:val="0"/>
        <w:pageBreakBefore w:val="0"/>
        <w:kinsoku/>
        <w:overflowPunct/>
        <w:topLinePunct w:val="0"/>
        <w:bidi w:val="0"/>
        <w:spacing w:line="400" w:lineRule="exact"/>
        <w:ind w:firstLine="482" w:firstLineChars="200"/>
        <w:rPr>
          <w:rFonts w:hint="eastAsia" w:ascii="宋体" w:hAnsi="宋体" w:eastAsia="宋体" w:cs="宋体"/>
          <w:b w:val="0"/>
          <w:bCs/>
          <w:color w:val="auto"/>
          <w:kern w:val="0"/>
          <w:sz w:val="24"/>
          <w:szCs w:val="24"/>
          <w:highlight w:val="none"/>
        </w:rPr>
      </w:pPr>
      <w:r>
        <w:rPr>
          <w:rFonts w:hint="eastAsia" w:ascii="宋体" w:hAnsi="宋体" w:eastAsia="宋体" w:cs="宋体"/>
          <w:b/>
          <w:snapToGrid w:val="0"/>
          <w:color w:val="auto"/>
          <w:kern w:val="0"/>
          <w:sz w:val="24"/>
          <w:szCs w:val="24"/>
          <w:highlight w:val="none"/>
        </w:rPr>
        <w:t>《设计</w:t>
      </w:r>
      <w:r>
        <w:rPr>
          <w:rFonts w:hint="eastAsia" w:ascii="宋体" w:hAnsi="宋体" w:eastAsia="宋体" w:cs="宋体"/>
          <w:b/>
          <w:snapToGrid w:val="0"/>
          <w:color w:val="auto"/>
          <w:kern w:val="0"/>
          <w:sz w:val="24"/>
          <w:szCs w:val="24"/>
          <w:highlight w:val="none"/>
          <w:lang w:val="en-US" w:eastAsia="zh-CN"/>
        </w:rPr>
        <w:t>任务书</w:t>
      </w:r>
      <w:r>
        <w:rPr>
          <w:rFonts w:hint="eastAsia" w:ascii="宋体" w:hAnsi="宋体" w:eastAsia="宋体" w:cs="宋体"/>
          <w:b/>
          <w:snapToGrid w:val="0"/>
          <w:color w:val="auto"/>
          <w:kern w:val="0"/>
          <w:sz w:val="24"/>
          <w:szCs w:val="24"/>
          <w:highlight w:val="none"/>
        </w:rPr>
        <w:t>》一份。</w:t>
      </w:r>
    </w:p>
    <w:p w14:paraId="5C6464DA">
      <w:pPr>
        <w:pStyle w:val="8"/>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410A611F">
      <w:pPr>
        <w:pStyle w:val="8"/>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44B86E9F">
      <w:pPr>
        <w:pStyle w:val="38"/>
        <w:keepNext/>
        <w:keepLines/>
        <w:tabs>
          <w:tab w:val="left" w:pos="885"/>
        </w:tabs>
        <w:jc w:val="center"/>
        <w:rPr>
          <w:rFonts w:hint="default" w:asciiTheme="minorEastAsia" w:hAnsiTheme="minorEastAsia" w:eastAsiaTheme="minorEastAsia" w:cstheme="minorEastAsia"/>
          <w:b/>
          <w:color w:val="auto"/>
          <w:kern w:val="44"/>
          <w:sz w:val="36"/>
          <w:szCs w:val="36"/>
          <w:highlight w:val="none"/>
        </w:rPr>
      </w:pPr>
      <w:bookmarkStart w:id="503" w:name="_Toc27104"/>
      <w:bookmarkStart w:id="504" w:name="_Toc105"/>
      <w:bookmarkStart w:id="505" w:name="_Toc25340"/>
      <w:bookmarkStart w:id="506" w:name="_Toc14093"/>
      <w:bookmarkStart w:id="507" w:name="_Toc466640613"/>
      <w:bookmarkStart w:id="508" w:name="_Toc28010"/>
      <w:bookmarkStart w:id="509" w:name="_Toc25914"/>
      <w:bookmarkStart w:id="510" w:name="_Toc3771"/>
      <w:bookmarkStart w:id="511" w:name="_Toc30186"/>
      <w:bookmarkStart w:id="512" w:name="_Toc1386"/>
      <w:r>
        <w:rPr>
          <w:rFonts w:hint="eastAsia" w:asciiTheme="minorEastAsia" w:hAnsiTheme="minorEastAsia" w:eastAsiaTheme="minorEastAsia" w:cstheme="minorEastAsia"/>
          <w:b/>
          <w:color w:val="auto"/>
          <w:kern w:val="44"/>
          <w:sz w:val="36"/>
          <w:szCs w:val="36"/>
          <w:highlight w:val="none"/>
        </w:rPr>
        <w:t>第六章 设计任务书</w:t>
      </w:r>
      <w:bookmarkEnd w:id="503"/>
      <w:bookmarkEnd w:id="504"/>
      <w:bookmarkEnd w:id="505"/>
      <w:bookmarkEnd w:id="506"/>
      <w:bookmarkEnd w:id="507"/>
      <w:bookmarkEnd w:id="508"/>
      <w:bookmarkEnd w:id="509"/>
      <w:bookmarkEnd w:id="510"/>
      <w:bookmarkEnd w:id="511"/>
      <w:bookmarkEnd w:id="512"/>
      <w:bookmarkStart w:id="513" w:name="_Toc30154"/>
      <w:bookmarkStart w:id="514" w:name="_Toc18613"/>
      <w:bookmarkStart w:id="515" w:name="_Toc24282"/>
      <w:bookmarkStart w:id="516" w:name="_Toc13287"/>
      <w:bookmarkStart w:id="517" w:name="_Toc528076047"/>
      <w:bookmarkStart w:id="518" w:name="_Toc4120"/>
      <w:bookmarkStart w:id="519" w:name="_Toc3781"/>
      <w:bookmarkStart w:id="520" w:name="_Toc31005"/>
      <w:bookmarkStart w:id="521" w:name="_Toc8680"/>
      <w:bookmarkStart w:id="522" w:name="_Toc444182755"/>
      <w:bookmarkStart w:id="523" w:name="_Toc12100"/>
      <w:bookmarkStart w:id="524" w:name="_Toc27557"/>
      <w:bookmarkStart w:id="525" w:name="_Toc7549"/>
      <w:bookmarkStart w:id="526" w:name="_Toc11328"/>
      <w:bookmarkStart w:id="527" w:name="_Toc3222"/>
      <w:bookmarkStart w:id="528" w:name="_Toc22456"/>
      <w:bookmarkStart w:id="529" w:name="_Toc416277841"/>
      <w:bookmarkStart w:id="530" w:name="_Toc6008"/>
      <w:bookmarkStart w:id="531" w:name="_Toc5776"/>
      <w:bookmarkStart w:id="532" w:name="_Toc12195"/>
      <w:bookmarkStart w:id="533" w:name="_Toc525303556"/>
      <w:bookmarkStart w:id="534" w:name="_Toc32286"/>
      <w:bookmarkStart w:id="535" w:name="_Toc525303575"/>
      <w:bookmarkStart w:id="536" w:name="_Toc18106"/>
      <w:bookmarkStart w:id="537" w:name="_Toc9910"/>
      <w:bookmarkStart w:id="538" w:name="_Toc466640614"/>
      <w:bookmarkStart w:id="539" w:name="_Hlt69698785"/>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14:paraId="6F5377C5">
      <w:pPr>
        <w:spacing w:after="120"/>
        <w:jc w:val="center"/>
        <w:rPr>
          <w:rFonts w:hint="default" w:hAnsi="宋体" w:cs="宋体"/>
          <w:b/>
          <w:color w:val="auto"/>
          <w:kern w:val="44"/>
          <w:sz w:val="52"/>
          <w:szCs w:val="52"/>
          <w:highlight w:val="none"/>
        </w:rPr>
      </w:pPr>
      <w:bookmarkStart w:id="540" w:name="_Toc5422"/>
      <w:bookmarkStart w:id="541" w:name="_Toc1911"/>
      <w:bookmarkStart w:id="542" w:name="_Toc12955"/>
      <w:bookmarkStart w:id="543" w:name="_Toc16295"/>
      <w:bookmarkStart w:id="544" w:name="_Toc27843"/>
      <w:bookmarkStart w:id="545" w:name="_Toc23899"/>
      <w:bookmarkStart w:id="546" w:name="_Toc5639"/>
      <w:bookmarkStart w:id="547" w:name="_Toc6133"/>
    </w:p>
    <w:p w14:paraId="6AA7157B">
      <w:pPr>
        <w:spacing w:after="120"/>
        <w:jc w:val="center"/>
        <w:rPr>
          <w:rFonts w:hint="default" w:hAnsi="宋体" w:cs="宋体"/>
          <w:b/>
          <w:color w:val="auto"/>
          <w:kern w:val="44"/>
          <w:sz w:val="52"/>
          <w:szCs w:val="52"/>
          <w:highlight w:val="none"/>
        </w:rPr>
      </w:pPr>
    </w:p>
    <w:p w14:paraId="78280F94">
      <w:pPr>
        <w:pStyle w:val="10"/>
        <w:jc w:val="center"/>
        <w:rPr>
          <w:rFonts w:hint="eastAsia" w:ascii="宋体" w:hAnsi="宋体" w:eastAsia="等线" w:cs="宋体"/>
          <w:b/>
          <w:color w:val="auto"/>
          <w:kern w:val="44"/>
          <w:sz w:val="52"/>
          <w:szCs w:val="52"/>
          <w:highlight w:val="none"/>
          <w:lang w:val="en-US" w:eastAsia="zh-CN"/>
        </w:rPr>
      </w:pPr>
      <w:bookmarkStart w:id="548" w:name="_Toc56335430"/>
      <w:bookmarkStart w:id="549" w:name="_Toc54945902"/>
      <w:bookmarkStart w:id="550" w:name="_Toc384994435"/>
      <w:bookmarkStart w:id="551" w:name="_Toc25810"/>
      <w:bookmarkStart w:id="552" w:name="_Toc54944118"/>
      <w:bookmarkStart w:id="553" w:name="_Toc54407024"/>
      <w:bookmarkStart w:id="554" w:name="_Toc54943577"/>
      <w:bookmarkStart w:id="555" w:name="_Toc85444076"/>
      <w:bookmarkStart w:id="556" w:name="_Toc54944300"/>
      <w:bookmarkStart w:id="557" w:name="_Toc56494256"/>
      <w:bookmarkStart w:id="558" w:name="_Toc54942593"/>
      <w:r>
        <w:rPr>
          <w:rFonts w:hint="eastAsia" w:ascii="宋体" w:hAnsi="宋体" w:eastAsia="等线" w:cs="宋体"/>
          <w:b/>
          <w:color w:val="auto"/>
          <w:kern w:val="44"/>
          <w:sz w:val="52"/>
          <w:szCs w:val="52"/>
          <w:highlight w:val="none"/>
          <w:lang w:val="en-US" w:eastAsia="zh-CN"/>
        </w:rPr>
        <w:t>南雄市城市排水防涝建设项目(二标段)</w:t>
      </w:r>
    </w:p>
    <w:p w14:paraId="7D35F56A">
      <w:pPr>
        <w:pStyle w:val="10"/>
        <w:jc w:val="center"/>
        <w:rPr>
          <w:rFonts w:ascii="宋体" w:hAnsi="宋体" w:cs="宋体"/>
          <w:color w:val="auto"/>
          <w:sz w:val="52"/>
          <w:szCs w:val="52"/>
          <w:highlight w:val="none"/>
        </w:rPr>
      </w:pPr>
      <w:r>
        <w:rPr>
          <w:rFonts w:hint="eastAsia" w:ascii="宋体" w:hAnsi="宋体" w:cs="宋体"/>
          <w:b/>
          <w:color w:val="auto"/>
          <w:kern w:val="44"/>
          <w:sz w:val="52"/>
          <w:szCs w:val="52"/>
          <w:highlight w:val="none"/>
        </w:rPr>
        <w:t>设计任务书</w:t>
      </w:r>
    </w:p>
    <w:p w14:paraId="002024A9">
      <w:pPr>
        <w:pStyle w:val="10"/>
        <w:ind w:firstLine="540" w:firstLineChars="225"/>
        <w:rPr>
          <w:rFonts w:ascii="宋体" w:hAnsi="宋体" w:cs="宋体"/>
          <w:color w:val="auto"/>
          <w:szCs w:val="32"/>
          <w:highlight w:val="none"/>
        </w:rPr>
      </w:pPr>
    </w:p>
    <w:p w14:paraId="32B0F9D4">
      <w:pPr>
        <w:pStyle w:val="10"/>
        <w:ind w:firstLine="540" w:firstLineChars="225"/>
        <w:rPr>
          <w:rFonts w:ascii="宋体" w:hAnsi="宋体" w:cs="宋体"/>
          <w:color w:val="auto"/>
          <w:szCs w:val="32"/>
          <w:highlight w:val="none"/>
        </w:rPr>
      </w:pPr>
    </w:p>
    <w:p w14:paraId="0DF4957C">
      <w:pPr>
        <w:pStyle w:val="10"/>
        <w:ind w:firstLine="540" w:firstLineChars="225"/>
        <w:rPr>
          <w:rFonts w:ascii="宋体" w:hAnsi="宋体" w:cs="宋体"/>
          <w:color w:val="auto"/>
          <w:szCs w:val="32"/>
          <w:highlight w:val="none"/>
        </w:rPr>
      </w:pPr>
    </w:p>
    <w:p w14:paraId="153295CD">
      <w:pPr>
        <w:pStyle w:val="10"/>
        <w:ind w:firstLine="540" w:firstLineChars="225"/>
        <w:rPr>
          <w:rFonts w:ascii="宋体" w:hAnsi="宋体" w:cs="宋体"/>
          <w:color w:val="auto"/>
          <w:szCs w:val="32"/>
          <w:highlight w:val="none"/>
        </w:rPr>
      </w:pPr>
    </w:p>
    <w:p w14:paraId="52CA91EC">
      <w:pPr>
        <w:pStyle w:val="10"/>
        <w:ind w:firstLine="540" w:firstLineChars="225"/>
        <w:rPr>
          <w:rFonts w:ascii="宋体" w:hAnsi="宋体" w:cs="宋体"/>
          <w:color w:val="auto"/>
          <w:szCs w:val="32"/>
          <w:highlight w:val="none"/>
        </w:rPr>
      </w:pPr>
    </w:p>
    <w:p w14:paraId="3B6FB2A3">
      <w:pPr>
        <w:pStyle w:val="10"/>
        <w:ind w:firstLine="540" w:firstLineChars="225"/>
        <w:rPr>
          <w:rFonts w:ascii="宋体" w:hAnsi="宋体" w:cs="宋体"/>
          <w:color w:val="auto"/>
          <w:szCs w:val="32"/>
          <w:highlight w:val="none"/>
        </w:rPr>
      </w:pPr>
    </w:p>
    <w:p w14:paraId="746D926B">
      <w:pPr>
        <w:pStyle w:val="10"/>
        <w:ind w:firstLine="540" w:firstLineChars="225"/>
        <w:rPr>
          <w:rFonts w:ascii="宋体" w:hAnsi="宋体" w:cs="宋体"/>
          <w:color w:val="auto"/>
          <w:szCs w:val="32"/>
          <w:highlight w:val="none"/>
        </w:rPr>
      </w:pPr>
    </w:p>
    <w:p w14:paraId="23E355B6">
      <w:pPr>
        <w:pStyle w:val="10"/>
        <w:ind w:firstLine="540" w:firstLineChars="225"/>
        <w:rPr>
          <w:rFonts w:ascii="宋体" w:hAnsi="宋体" w:cs="宋体"/>
          <w:color w:val="auto"/>
          <w:szCs w:val="32"/>
          <w:highlight w:val="none"/>
        </w:rPr>
      </w:pPr>
    </w:p>
    <w:p w14:paraId="5FF72A73">
      <w:pPr>
        <w:pStyle w:val="10"/>
        <w:ind w:firstLine="540" w:firstLineChars="225"/>
        <w:rPr>
          <w:rFonts w:ascii="宋体" w:hAnsi="宋体" w:cs="宋体"/>
          <w:color w:val="auto"/>
          <w:szCs w:val="32"/>
          <w:highlight w:val="none"/>
        </w:rPr>
      </w:pPr>
    </w:p>
    <w:p w14:paraId="5946F62F">
      <w:pPr>
        <w:pStyle w:val="10"/>
        <w:ind w:firstLine="540" w:firstLineChars="225"/>
        <w:rPr>
          <w:rFonts w:ascii="宋体" w:hAnsi="宋体" w:cs="宋体"/>
          <w:color w:val="auto"/>
          <w:szCs w:val="32"/>
          <w:highlight w:val="none"/>
        </w:rPr>
      </w:pPr>
    </w:p>
    <w:p w14:paraId="68219116">
      <w:pPr>
        <w:pStyle w:val="10"/>
        <w:ind w:firstLine="540" w:firstLineChars="225"/>
        <w:rPr>
          <w:rFonts w:ascii="宋体" w:hAnsi="宋体" w:cs="宋体"/>
          <w:color w:val="auto"/>
          <w:szCs w:val="32"/>
          <w:highlight w:val="none"/>
        </w:rPr>
      </w:pPr>
    </w:p>
    <w:p w14:paraId="29C41CB4">
      <w:pPr>
        <w:pStyle w:val="10"/>
        <w:ind w:firstLine="540" w:firstLineChars="225"/>
        <w:rPr>
          <w:rFonts w:ascii="宋体" w:hAnsi="宋体" w:cs="宋体"/>
          <w:color w:val="auto"/>
          <w:szCs w:val="32"/>
          <w:highlight w:val="none"/>
        </w:rPr>
      </w:pPr>
    </w:p>
    <w:p w14:paraId="495743D3">
      <w:pPr>
        <w:pStyle w:val="10"/>
        <w:ind w:firstLine="540" w:firstLineChars="225"/>
        <w:rPr>
          <w:rFonts w:ascii="宋体" w:hAnsi="宋体" w:cs="宋体"/>
          <w:color w:val="auto"/>
          <w:szCs w:val="32"/>
          <w:highlight w:val="none"/>
        </w:rPr>
      </w:pPr>
    </w:p>
    <w:p w14:paraId="1D97889B">
      <w:pPr>
        <w:pStyle w:val="10"/>
        <w:ind w:firstLine="1080" w:firstLineChars="225"/>
        <w:rPr>
          <w:rFonts w:ascii="宋体" w:hAnsi="宋体" w:cs="宋体"/>
          <w:color w:val="auto"/>
          <w:sz w:val="48"/>
          <w:szCs w:val="48"/>
          <w:highlight w:val="none"/>
        </w:rPr>
      </w:pPr>
    </w:p>
    <w:p w14:paraId="6206C760">
      <w:pPr>
        <w:jc w:val="center"/>
        <w:rPr>
          <w:rFonts w:ascii="宋体" w:hAnsi="宋体" w:cs="宋体"/>
          <w:b/>
          <w:color w:val="auto"/>
          <w:sz w:val="48"/>
          <w:szCs w:val="48"/>
          <w:highlight w:val="none"/>
        </w:rPr>
      </w:pPr>
    </w:p>
    <w:p w14:paraId="5E5BF239">
      <w:pPr>
        <w:tabs>
          <w:tab w:val="left" w:pos="5515"/>
        </w:tabs>
        <w:kinsoku w:val="0"/>
        <w:overflowPunct w:val="0"/>
        <w:autoSpaceDE w:val="0"/>
        <w:autoSpaceDN w:val="0"/>
        <w:spacing w:line="360" w:lineRule="auto"/>
        <w:jc w:val="center"/>
        <w:rPr>
          <w:rFonts w:hint="eastAsia" w:hAnsi="宋体" w:eastAsia="等线"/>
          <w:color w:val="auto"/>
          <w:sz w:val="30"/>
          <w:szCs w:val="30"/>
          <w:highlight w:val="none"/>
          <w:lang w:eastAsia="zh-CN"/>
        </w:rPr>
      </w:pPr>
      <w:r>
        <w:rPr>
          <w:rFonts w:hint="eastAsia" w:hAnsi="宋体" w:eastAsia="等线"/>
          <w:color w:val="auto"/>
          <w:sz w:val="30"/>
          <w:szCs w:val="30"/>
          <w:highlight w:val="none"/>
          <w:lang w:eastAsia="zh-CN"/>
        </w:rPr>
        <w:t>南雄市政府投资建设项目代建管理中心</w:t>
      </w:r>
    </w:p>
    <w:p w14:paraId="43C05906">
      <w:pPr>
        <w:spacing w:line="440" w:lineRule="exact"/>
        <w:jc w:val="center"/>
        <w:rPr>
          <w:rFonts w:hint="eastAsia" w:hAnsi="宋体"/>
          <w:color w:val="auto"/>
          <w:sz w:val="30"/>
          <w:szCs w:val="30"/>
          <w:highlight w:val="none"/>
        </w:rPr>
      </w:pPr>
      <w:r>
        <w:rPr>
          <w:rFonts w:hint="eastAsia" w:hAnsi="宋体"/>
          <w:color w:val="auto"/>
          <w:sz w:val="30"/>
          <w:szCs w:val="30"/>
          <w:highlight w:val="none"/>
        </w:rPr>
        <w:t>202</w:t>
      </w:r>
      <w:r>
        <w:rPr>
          <w:rFonts w:hint="eastAsia" w:hAnsi="宋体"/>
          <w:color w:val="auto"/>
          <w:sz w:val="30"/>
          <w:szCs w:val="30"/>
          <w:highlight w:val="none"/>
          <w:lang w:val="en-US" w:eastAsia="zh-CN"/>
        </w:rPr>
        <w:t>6</w:t>
      </w:r>
      <w:r>
        <w:rPr>
          <w:rFonts w:hint="eastAsia" w:hAnsi="宋体"/>
          <w:color w:val="auto"/>
          <w:sz w:val="30"/>
          <w:szCs w:val="30"/>
          <w:highlight w:val="none"/>
        </w:rPr>
        <w:t>年</w:t>
      </w:r>
      <w:r>
        <w:rPr>
          <w:rFonts w:hint="eastAsia" w:hAnsi="宋体"/>
          <w:color w:val="auto"/>
          <w:sz w:val="30"/>
          <w:szCs w:val="30"/>
          <w:highlight w:val="none"/>
          <w:lang w:val="en-US" w:eastAsia="zh-CN"/>
        </w:rPr>
        <w:t>09</w:t>
      </w:r>
      <w:r>
        <w:rPr>
          <w:rFonts w:hint="eastAsia" w:hAnsi="宋体"/>
          <w:color w:val="auto"/>
          <w:sz w:val="30"/>
          <w:szCs w:val="30"/>
          <w:highlight w:val="none"/>
        </w:rPr>
        <w:t>月</w:t>
      </w:r>
    </w:p>
    <w:p w14:paraId="4B6AD208">
      <w:pPr>
        <w:rPr>
          <w:rFonts w:hint="eastAsia" w:hAnsi="宋体"/>
          <w:color w:val="auto"/>
          <w:sz w:val="30"/>
          <w:szCs w:val="30"/>
          <w:highlight w:val="none"/>
        </w:rPr>
      </w:pPr>
      <w:r>
        <w:rPr>
          <w:rFonts w:hint="eastAsia" w:hAnsi="宋体"/>
          <w:color w:val="auto"/>
          <w:sz w:val="30"/>
          <w:szCs w:val="30"/>
          <w:highlight w:val="none"/>
        </w:rPr>
        <w:br w:type="page"/>
      </w:r>
    </w:p>
    <w:p w14:paraId="5A552CF5">
      <w:pPr>
        <w:tabs>
          <w:tab w:val="left" w:pos="5515"/>
        </w:tabs>
        <w:kinsoku w:val="0"/>
        <w:overflowPunct w:val="0"/>
        <w:autoSpaceDE w:val="0"/>
        <w:autoSpaceDN w:val="0"/>
        <w:spacing w:line="360" w:lineRule="auto"/>
        <w:jc w:val="center"/>
        <w:rPr>
          <w:rFonts w:hint="eastAsia" w:ascii="宋体" w:hAnsi="宋体" w:eastAsia="宋体" w:cs="宋体"/>
          <w:b/>
          <w:sz w:val="30"/>
          <w:szCs w:val="30"/>
        </w:rPr>
      </w:pPr>
      <w:r>
        <w:rPr>
          <w:rFonts w:hint="eastAsia" w:ascii="宋体" w:hAnsi="宋体" w:eastAsia="宋体" w:cs="宋体"/>
          <w:b/>
          <w:bCs w:val="0"/>
          <w:kern w:val="44"/>
          <w:sz w:val="30"/>
          <w:szCs w:val="30"/>
          <w:lang w:val="en-US" w:eastAsia="zh-CN" w:bidi="ar-SA"/>
        </w:rPr>
        <w:t>第一章 项目概况</w:t>
      </w:r>
    </w:p>
    <w:p w14:paraId="45F06C35">
      <w:pPr>
        <w:pStyle w:val="6"/>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宋体" w:hAnsi="宋体" w:eastAsia="宋体" w:cs="宋体"/>
          <w:b w:val="0"/>
          <w:bCs w:val="0"/>
          <w:sz w:val="24"/>
          <w:szCs w:val="24"/>
        </w:rPr>
      </w:pPr>
      <w:bookmarkStart w:id="559" w:name="_Toc260129717"/>
      <w:bookmarkStart w:id="560" w:name="_Toc19441"/>
      <w:bookmarkStart w:id="561" w:name="_Toc24872"/>
      <w:bookmarkStart w:id="562" w:name="_Toc27477"/>
      <w:bookmarkStart w:id="563" w:name="_Toc444182756"/>
      <w:bookmarkStart w:id="564" w:name="_Toc525303557"/>
      <w:bookmarkStart w:id="565" w:name="_Toc528076048"/>
      <w:bookmarkStart w:id="566" w:name="_Toc22766"/>
      <w:r>
        <w:rPr>
          <w:rFonts w:hint="eastAsia" w:ascii="宋体" w:hAnsi="宋体" w:eastAsia="宋体" w:cs="宋体"/>
          <w:b w:val="0"/>
          <w:bCs w:val="0"/>
          <w:sz w:val="24"/>
          <w:szCs w:val="24"/>
        </w:rPr>
        <w:t>1.1</w:t>
      </w:r>
      <w:bookmarkEnd w:id="559"/>
      <w:bookmarkEnd w:id="560"/>
      <w:bookmarkEnd w:id="561"/>
      <w:bookmarkEnd w:id="562"/>
      <w:bookmarkEnd w:id="563"/>
      <w:bookmarkEnd w:id="564"/>
      <w:bookmarkEnd w:id="565"/>
      <w:bookmarkStart w:id="567" w:name="_Toc528076050"/>
      <w:bookmarkStart w:id="568" w:name="_Toc6878"/>
      <w:bookmarkStart w:id="569" w:name="_Toc4926"/>
      <w:r>
        <w:rPr>
          <w:rFonts w:hint="eastAsia" w:ascii="宋体" w:hAnsi="宋体" w:eastAsia="宋体" w:cs="宋体"/>
          <w:b w:val="0"/>
          <w:bCs w:val="0"/>
          <w:sz w:val="24"/>
          <w:szCs w:val="24"/>
        </w:rPr>
        <w:t>设计背景</w:t>
      </w:r>
      <w:bookmarkEnd w:id="566"/>
      <w:r>
        <w:rPr>
          <w:rFonts w:hint="eastAsia" w:ascii="宋体" w:hAnsi="宋体" w:eastAsia="宋体" w:cs="宋体"/>
          <w:b w:val="0"/>
          <w:bCs w:val="0"/>
          <w:sz w:val="24"/>
          <w:szCs w:val="24"/>
        </w:rPr>
        <w:t xml:space="preserve"> </w:t>
      </w:r>
    </w:p>
    <w:p w14:paraId="3CEA95A0">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eastAsia="zh-CN"/>
        </w:rPr>
      </w:pPr>
      <w:bookmarkStart w:id="570" w:name="_Toc18234"/>
      <w:r>
        <w:rPr>
          <w:rFonts w:hint="eastAsia" w:ascii="宋体" w:hAnsi="宋体" w:eastAsia="宋体" w:cs="宋体"/>
          <w:sz w:val="24"/>
          <w:szCs w:val="24"/>
        </w:rPr>
        <w:t>为加强城市排水防涝设施建设，保障人民群众生命财产安全，2025年以来，国务院持续深化落实《关于加强城市内涝治理的实施意见》精神，广东省围绕“十五五”规划新要求印发城市内涝治理实施方案（2025-2030年），要求各地按系统思维、整体推进、综合治理原则，编制中心城区内涝治理系统化实施方案。南雄市中心城区部分区域属老城区，排水体制不完善，管网建设较早、标准偏低，局部存在内涝情况，排水及内涝问题整治刻不容缓。为贯彻落实上述政策精神及《南雄市城市排水（雨水）防涝综合规划》《南雄市中心城区排水与污水处理专项规划》要求，建设单位提出对南雄市中心城区16处城市部分积涝点、排水管网进行建设及改造</w:t>
      </w:r>
      <w:r>
        <w:rPr>
          <w:rFonts w:hint="eastAsia" w:ascii="宋体" w:hAnsi="宋体" w:eastAsia="宋体" w:cs="宋体"/>
          <w:sz w:val="24"/>
          <w:szCs w:val="24"/>
          <w:lang w:eastAsia="zh-CN"/>
        </w:rPr>
        <w:t>。</w:t>
      </w:r>
    </w:p>
    <w:p w14:paraId="39CE36F7">
      <w:pPr>
        <w:pStyle w:val="6"/>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1.2项目区位</w:t>
      </w:r>
      <w:bookmarkEnd w:id="570"/>
    </w:p>
    <w:p w14:paraId="70B99331">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本项目建设地点位于南雄市中心城区。周边交通便利，基础设施配套成熟。项目所在位置情况详见下图。</w:t>
      </w:r>
    </w:p>
    <w:p w14:paraId="2107B26D">
      <w:pPr>
        <w:pStyle w:val="2"/>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18405" cy="2728595"/>
            <wp:effectExtent l="0" t="0" r="10795" b="14605"/>
            <wp:docPr id="774748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4894" name="图片 1"/>
                    <pic:cNvPicPr>
                      <a:picLocks noChangeAspect="1"/>
                    </pic:cNvPicPr>
                  </pic:nvPicPr>
                  <pic:blipFill>
                    <a:blip r:embed="rId11"/>
                    <a:stretch>
                      <a:fillRect/>
                    </a:stretch>
                  </pic:blipFill>
                  <pic:spPr>
                    <a:xfrm>
                      <a:off x="0" y="0"/>
                      <a:ext cx="5018405" cy="2728595"/>
                    </a:xfrm>
                    <a:prstGeom prst="rect">
                      <a:avLst/>
                    </a:prstGeom>
                  </pic:spPr>
                </pic:pic>
              </a:graphicData>
            </a:graphic>
          </wp:inline>
        </w:drawing>
      </w:r>
    </w:p>
    <w:p w14:paraId="67924E14">
      <w:pPr>
        <w:pStyle w:val="9"/>
        <w:jc w:val="center"/>
        <w:rPr>
          <w:rFonts w:hint="eastAsia" w:ascii="宋体" w:hAnsi="宋体" w:eastAsia="宋体" w:cs="宋体"/>
          <w:sz w:val="30"/>
          <w:szCs w:val="30"/>
        </w:rPr>
      </w:pPr>
      <w:r>
        <w:rPr>
          <w:rFonts w:hint="eastAsia" w:ascii="宋体" w:hAnsi="宋体" w:eastAsia="宋体" w:cs="宋体"/>
          <w:sz w:val="24"/>
          <w:szCs w:val="24"/>
        </w:rPr>
        <w:t>项目位置示意图</w:t>
      </w:r>
    </w:p>
    <w:p w14:paraId="2DEFE26B">
      <w:pPr>
        <w:pStyle w:val="9"/>
        <w:ind w:firstLine="600" w:firstLineChars="200"/>
        <w:rPr>
          <w:rFonts w:hint="eastAsia" w:ascii="宋体" w:hAnsi="宋体" w:eastAsia="宋体" w:cs="宋体"/>
          <w:sz w:val="30"/>
          <w:szCs w:val="30"/>
        </w:rPr>
      </w:pPr>
    </w:p>
    <w:bookmarkEnd w:id="567"/>
    <w:bookmarkEnd w:id="568"/>
    <w:bookmarkEnd w:id="569"/>
    <w:p w14:paraId="0B602E83">
      <w:pPr>
        <w:rPr>
          <w:rFonts w:hint="eastAsia" w:ascii="宋体" w:hAnsi="宋体" w:eastAsia="宋体" w:cs="宋体"/>
          <w:b w:val="0"/>
          <w:bCs/>
          <w:kern w:val="44"/>
          <w:sz w:val="30"/>
          <w:szCs w:val="30"/>
          <w:lang w:val="en-US" w:eastAsia="zh-CN" w:bidi="ar-SA"/>
        </w:rPr>
      </w:pPr>
      <w:bookmarkStart w:id="571" w:name="_Toc528076057"/>
      <w:bookmarkStart w:id="572" w:name="_Toc26185"/>
      <w:bookmarkStart w:id="573" w:name="_Toc525303566"/>
      <w:bookmarkStart w:id="574" w:name="_Toc12260"/>
      <w:bookmarkStart w:id="575" w:name="_Toc444182765"/>
      <w:bookmarkStart w:id="576" w:name="_Toc6522"/>
      <w:bookmarkStart w:id="577" w:name="_Toc29102"/>
      <w:r>
        <w:rPr>
          <w:rFonts w:hint="eastAsia" w:ascii="宋体" w:hAnsi="宋体" w:eastAsia="宋体" w:cs="宋体"/>
          <w:b w:val="0"/>
          <w:bCs/>
          <w:kern w:val="44"/>
          <w:sz w:val="30"/>
          <w:szCs w:val="30"/>
          <w:lang w:val="en-US" w:eastAsia="zh-CN" w:bidi="ar-SA"/>
        </w:rPr>
        <w:br w:type="page"/>
      </w:r>
    </w:p>
    <w:p w14:paraId="5661BB54">
      <w:pPr>
        <w:pStyle w:val="5"/>
        <w:pageBreakBefore w:val="0"/>
        <w:kinsoku/>
        <w:wordWrap/>
        <w:overflowPunct/>
        <w:topLinePunct w:val="0"/>
        <w:bidi w:val="0"/>
        <w:spacing w:line="560" w:lineRule="exact"/>
        <w:ind w:left="0"/>
        <w:jc w:val="center"/>
        <w:textAlignment w:val="auto"/>
        <w:rPr>
          <w:rFonts w:hint="eastAsia" w:ascii="宋体" w:hAnsi="宋体" w:eastAsia="宋体" w:cs="宋体"/>
          <w:b w:val="0"/>
          <w:bCs/>
          <w:kern w:val="44"/>
          <w:sz w:val="30"/>
          <w:szCs w:val="30"/>
          <w:lang w:val="en-US" w:eastAsia="zh-CN" w:bidi="ar-SA"/>
        </w:rPr>
      </w:pPr>
      <w:r>
        <w:rPr>
          <w:rFonts w:hint="eastAsia" w:ascii="宋体" w:hAnsi="宋体" w:eastAsia="宋体" w:cs="宋体"/>
          <w:b/>
          <w:bCs w:val="0"/>
          <w:kern w:val="44"/>
          <w:sz w:val="30"/>
          <w:szCs w:val="30"/>
          <w:lang w:val="en-US" w:eastAsia="zh-CN" w:bidi="ar-SA"/>
        </w:rPr>
        <w:t>第二章 施工图设计工作要求</w:t>
      </w:r>
      <w:bookmarkEnd w:id="571"/>
      <w:bookmarkEnd w:id="572"/>
      <w:bookmarkEnd w:id="573"/>
      <w:bookmarkEnd w:id="574"/>
      <w:bookmarkEnd w:id="575"/>
      <w:bookmarkEnd w:id="576"/>
      <w:bookmarkEnd w:id="577"/>
    </w:p>
    <w:p w14:paraId="3155F9F4">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总承包单位应当坚持概算控制预算的原则，做到施工图的编制提交要与施工图设计预算的编制提交同步进行。</w:t>
      </w:r>
    </w:p>
    <w:p w14:paraId="4C4DF785">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bookmarkStart w:id="578" w:name="_Toc525303567"/>
      <w:bookmarkStart w:id="579" w:name="_Toc444182766"/>
      <w:bookmarkStart w:id="580" w:name="_Toc19783"/>
      <w:bookmarkStart w:id="581" w:name="_Toc24841"/>
      <w:bookmarkStart w:id="582" w:name="_Toc528076058"/>
      <w:bookmarkStart w:id="583" w:name="_Toc11282"/>
      <w:bookmarkStart w:id="584" w:name="_Toc23702"/>
      <w:r>
        <w:rPr>
          <w:rFonts w:hint="eastAsia" w:ascii="宋体" w:hAnsi="宋体" w:eastAsia="宋体" w:cs="宋体"/>
          <w:b w:val="0"/>
          <w:bCs w:val="0"/>
          <w:sz w:val="24"/>
          <w:szCs w:val="24"/>
        </w:rPr>
        <w:t>2.1设计愿景</w:t>
      </w:r>
      <w:bookmarkEnd w:id="578"/>
      <w:bookmarkEnd w:id="579"/>
      <w:bookmarkEnd w:id="580"/>
      <w:bookmarkEnd w:id="581"/>
      <w:bookmarkEnd w:id="582"/>
      <w:bookmarkEnd w:id="583"/>
      <w:bookmarkEnd w:id="584"/>
    </w:p>
    <w:p w14:paraId="567CA068">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以改善南雄市中心城区排水设施、提升城市排水防涝能力为导向，围绕“十五五”规划新要求，建设美丽浈江和美丽凌江，建立有效的城市雨水防涝系统，基本形成“源头减排、管网排放、蓄排并举、超标应急”的排水防涝工程体系，全面提升水环境质量。</w:t>
      </w:r>
    </w:p>
    <w:p w14:paraId="029073B0">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2.2设计目标</w:t>
      </w:r>
    </w:p>
    <w:p w14:paraId="11AC34E4">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衔接国家、广东省城市内涝治理工作部署及相关规划要求，以解决中心城区16处积涝点为核心。构建“源头减排、管网排放、蓄排并举、超标应急”的排水防涝工程体系，消除历史易涝积水点，补齐污水收集设施空白，杜绝污水直排水体，显著提升中心城区排水防涝能力与水环境质量。在超出防治标准的降雨条件下保障城市生命线工程功能不丧失；新建污水管网及配套化粪池，实现生活污水全收集，实施雨污分流改造。</w:t>
      </w:r>
    </w:p>
    <w:p w14:paraId="39818539">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bookmarkStart w:id="585" w:name="_Toc308181984"/>
      <w:bookmarkStart w:id="586" w:name="_Toc308181985"/>
      <w:r>
        <w:rPr>
          <w:rFonts w:hint="eastAsia" w:ascii="宋体" w:hAnsi="宋体" w:eastAsia="宋体" w:cs="宋体"/>
          <w:b w:val="0"/>
          <w:bCs w:val="0"/>
          <w:sz w:val="24"/>
          <w:szCs w:val="24"/>
        </w:rPr>
        <w:t>2.3 基本</w:t>
      </w:r>
      <w:bookmarkEnd w:id="585"/>
      <w:r>
        <w:rPr>
          <w:rFonts w:hint="eastAsia" w:ascii="宋体" w:hAnsi="宋体" w:eastAsia="宋体" w:cs="宋体"/>
          <w:b w:val="0"/>
          <w:bCs w:val="0"/>
          <w:sz w:val="24"/>
          <w:szCs w:val="24"/>
        </w:rPr>
        <w:t>内容</w:t>
      </w:r>
    </w:p>
    <w:p w14:paraId="3F94F440">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项目对南雄市中心城区16处城市部分积涝点、排水管网进行建设及改造，包含排水工程、雨水工程及附属工程等;并对破损河堤加固修复。</w:t>
      </w:r>
    </w:p>
    <w:p w14:paraId="56615727">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具体建设内容明细如下（实际以选定方案为准）。</w:t>
      </w:r>
    </w:p>
    <w:p w14:paraId="5591385A">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瑞幸线工程：瑞幸线沿线两侧部分居民区的生活污水未接入污水系统，通过现状污水管直排入附近水系，现状建有部分DN100~DN300污水接户管，在瑞幸线道路北侧建有一段DN600污水主管。改造主要内容为新建污水管。</w:t>
      </w:r>
    </w:p>
    <w:p w14:paraId="6D37C62B">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交运街工程：交运街片区目前正在进行老旧小区改造，光明苑片区已完成老旧小区改造，可利用其现状雨污主管；九龙花园南面片区地势低，为片区内雨水排放下游，北侧环市中路正在实施市政道路雨污分流改造工程。改造主要内容为新建雨水管及污水管。</w:t>
      </w:r>
    </w:p>
    <w:p w14:paraId="32B70CA3">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二中周边道路排水提升改造工程：二中内部现状排水体制为雨污分流，污水接入南侧合流管道。周边道路未建设污水管道，雄东路现状已建设d500污水主管，周边道路与雄东路存在高差。改造主要内容为新建压力污水管、重力污水管及污水提升泵站。</w:t>
      </w:r>
    </w:p>
    <w:p w14:paraId="2542C246">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新风路排水改造工程：新风路现状排水体制为雨污合流制，合流管道分为南北两段，分别接入雄州大道及青云西路现状雨水管道。雄州大道及青云西路现状已分别建设d400、d800污水主管。改造主要内容为新建污水管。</w:t>
      </w:r>
    </w:p>
    <w:p w14:paraId="1AE35D17">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老虎塘小区排水改造工程：老虎塘小区现状雨水经排水明渠收集，散排至马路口路两侧。马路口路地势为南高北低，北侧环城中路已敷设d800雨水管道。改造主要内容为新建雨水边沟、雨水管道。</w:t>
      </w:r>
    </w:p>
    <w:p w14:paraId="02ECBC3A">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w:t>
      </w:r>
      <w:r>
        <w:rPr>
          <w:rFonts w:hint="eastAsia" w:ascii="宋体" w:hAnsi="宋体" w:eastAsia="宋体" w:cs="宋体"/>
          <w:sz w:val="24"/>
          <w:szCs w:val="24"/>
        </w:rPr>
        <w:t>老交通局宿舍段排水改造项目：老交通局宿舍小区西北角现状为地势低处，现状雨水汇入雨水边沟接至环城东路雨水管道。现状雨水边沟尺寸较小，破损及淤塞严重，雨季常发生内涝。改造主要内容为新建雨水边沟、雨水管道。</w:t>
      </w:r>
    </w:p>
    <w:p w14:paraId="59394181">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w:t>
      </w:r>
      <w:r>
        <w:rPr>
          <w:rFonts w:hint="eastAsia" w:ascii="宋体" w:hAnsi="宋体" w:eastAsia="宋体" w:cs="宋体"/>
          <w:sz w:val="24"/>
          <w:szCs w:val="24"/>
        </w:rPr>
        <w:t>老粮食局宿舍段排水改造项目：老粮食局宿舍小区现状雨水汇入雨水边沟接至八一路雨水管道，现状雨水边沟尺寸较小，破损及淤塞严重，雨季常发生内涝。改造主要内容为新建雨水边沟。</w:t>
      </w:r>
    </w:p>
    <w:p w14:paraId="3B417446">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w:t>
      </w:r>
      <w:r>
        <w:rPr>
          <w:rFonts w:hint="eastAsia" w:ascii="宋体" w:hAnsi="宋体" w:eastAsia="宋体" w:cs="宋体"/>
          <w:sz w:val="24"/>
          <w:szCs w:val="24"/>
        </w:rPr>
        <w:t>马路口C区排水改造工程：马路口C区楼栋存在化粪池破损、污水管道尺寸较小及破裂等情况，造成地面污水横流。西侧罗汉井路现状已敷设d500污水管道。改造主要内容为新建污水管道及化粪池。</w:t>
      </w:r>
    </w:p>
    <w:p w14:paraId="74FB67F4">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w:t>
      </w:r>
      <w:r>
        <w:rPr>
          <w:rFonts w:hint="eastAsia" w:ascii="宋体" w:hAnsi="宋体" w:eastAsia="宋体" w:cs="宋体"/>
          <w:sz w:val="24"/>
          <w:szCs w:val="24"/>
        </w:rPr>
        <w:t>大成街排水改造工程：大成街巷道存在现状合流管道尺寸较小，造成地面污水横流。大成街主路已敷设d500污水管道。改造主要内容为新建雨水边沟、雨水管道；新建污水管道。</w:t>
      </w:r>
    </w:p>
    <w:p w14:paraId="6BF8BF3E">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w:t>
      </w:r>
      <w:r>
        <w:rPr>
          <w:rFonts w:hint="eastAsia" w:ascii="宋体" w:hAnsi="宋体" w:eastAsia="宋体" w:cs="宋体"/>
          <w:sz w:val="24"/>
          <w:szCs w:val="24"/>
        </w:rPr>
        <w:t>富华花园A1栋排水改造工程：富华花园A1栋存在化粪池破损、污水管道尺寸较小及破裂等情况，造成地面污水横流。西侧路现状已敷设d500污水管道。东侧罗汉井路现状已敷设d500污水管道。改造主要内容为新建污水管道及化粪池。</w:t>
      </w:r>
    </w:p>
    <w:p w14:paraId="00B0F3D2">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w:t>
      </w:r>
      <w:r>
        <w:rPr>
          <w:rFonts w:hint="eastAsia" w:ascii="宋体" w:hAnsi="宋体" w:eastAsia="宋体" w:cs="宋体"/>
          <w:sz w:val="24"/>
          <w:szCs w:val="24"/>
        </w:rPr>
        <w:t>新岭南花苑门口路段排水改造工程：新岭南花苑北侧门口地势低，道路现状合流管尺寸较小，常发生内涝。西侧环城东路现状已敷设d1000雨水管道。改造主要内容为新建雨水管道及新建污水管道。</w:t>
      </w:r>
    </w:p>
    <w:p w14:paraId="6F1211B7">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12</w:t>
      </w:r>
      <w:r>
        <w:rPr>
          <w:rFonts w:hint="eastAsia" w:ascii="宋体" w:hAnsi="宋体" w:eastAsia="宋体" w:cs="宋体"/>
          <w:sz w:val="24"/>
          <w:szCs w:val="24"/>
          <w:lang w:eastAsia="zh-CN"/>
        </w:rPr>
        <w:t>）</w:t>
      </w:r>
      <w:r>
        <w:rPr>
          <w:rFonts w:hint="eastAsia" w:ascii="宋体" w:hAnsi="宋体" w:eastAsia="宋体" w:cs="宋体"/>
          <w:sz w:val="24"/>
          <w:szCs w:val="24"/>
        </w:rPr>
        <w:t>河南街排水改造工程：河南街西侧巷道路口位置地势低，雨天易造成巷道内涝。路口北侧位置已敷设500*500雨水盖板边沟。改造主要内容为新建雨水盖板边沟。</w:t>
      </w:r>
    </w:p>
    <w:p w14:paraId="69822963">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13</w:t>
      </w:r>
      <w:r>
        <w:rPr>
          <w:rFonts w:hint="eastAsia" w:ascii="宋体" w:hAnsi="宋体" w:eastAsia="宋体" w:cs="宋体"/>
          <w:sz w:val="24"/>
          <w:szCs w:val="24"/>
          <w:lang w:eastAsia="zh-CN"/>
        </w:rPr>
        <w:t>）</w:t>
      </w:r>
      <w:r>
        <w:rPr>
          <w:rFonts w:hint="eastAsia" w:ascii="宋体" w:hAnsi="宋体" w:eastAsia="宋体" w:cs="宋体"/>
          <w:sz w:val="24"/>
          <w:szCs w:val="24"/>
        </w:rPr>
        <w:t>浈江楼排水改造工程：浈江楼存在化粪池破损、污水管道尺寸较小及破裂等情况，造成地面污水横流。西侧路现状已敷设d500污水管道。东侧罗汉井路现状已敷设d500污水管道。改造主要内容为新建雨水边沟、雨水管道，新建污水管道。</w:t>
      </w:r>
    </w:p>
    <w:p w14:paraId="2EA0030B">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14</w:t>
      </w:r>
      <w:r>
        <w:rPr>
          <w:rFonts w:hint="eastAsia" w:ascii="宋体" w:hAnsi="宋体" w:eastAsia="宋体" w:cs="宋体"/>
          <w:sz w:val="24"/>
          <w:szCs w:val="24"/>
          <w:lang w:eastAsia="zh-CN"/>
        </w:rPr>
        <w:t>）</w:t>
      </w:r>
      <w:r>
        <w:rPr>
          <w:rFonts w:hint="eastAsia" w:ascii="宋体" w:hAnsi="宋体" w:eastAsia="宋体" w:cs="宋体"/>
          <w:sz w:val="24"/>
          <w:szCs w:val="24"/>
        </w:rPr>
        <w:t>中山锦苑排水改造工程：中山锦苑小区西侧秋千街人行道污水管道破裂，造成地面污水横流。秋千街现状已敷设d500污水管道。改造主要内容为新建污水管道。</w:t>
      </w:r>
    </w:p>
    <w:p w14:paraId="2DE7B66B">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15</w:t>
      </w:r>
      <w:r>
        <w:rPr>
          <w:rFonts w:hint="eastAsia" w:ascii="宋体" w:hAnsi="宋体" w:eastAsia="宋体" w:cs="宋体"/>
          <w:sz w:val="24"/>
          <w:szCs w:val="24"/>
          <w:lang w:eastAsia="zh-CN"/>
        </w:rPr>
        <w:t>）</w:t>
      </w:r>
      <w:r>
        <w:rPr>
          <w:rFonts w:hint="eastAsia" w:ascii="宋体" w:hAnsi="宋体" w:eastAsia="宋体" w:cs="宋体"/>
          <w:sz w:val="24"/>
          <w:szCs w:val="24"/>
        </w:rPr>
        <w:t>金刚河黎口村委会段除险加固项目：金刚河黎口村段现状西侧40米河堤镂空。改造主要内容为河堤加固修复及临时围堰。</w:t>
      </w:r>
    </w:p>
    <w:p w14:paraId="30A11294">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16</w:t>
      </w:r>
      <w:r>
        <w:rPr>
          <w:rFonts w:hint="eastAsia" w:ascii="宋体" w:hAnsi="宋体" w:eastAsia="宋体" w:cs="宋体"/>
          <w:sz w:val="24"/>
          <w:szCs w:val="24"/>
          <w:lang w:eastAsia="zh-CN"/>
        </w:rPr>
        <w:t>）</w:t>
      </w:r>
      <w:r>
        <w:rPr>
          <w:rFonts w:hint="eastAsia" w:ascii="宋体" w:hAnsi="宋体" w:eastAsia="宋体" w:cs="宋体"/>
          <w:sz w:val="24"/>
          <w:szCs w:val="24"/>
        </w:rPr>
        <w:t>沿江花苑排水改造工程：沿江花苑小区内现状雨水边沟及化粪池破裂，南侧化粪池无出路，造成地面污水横流及雨季内涝。西侧教育路现状已敷设d500污水管道。改造主要内容为新建雨水边沟及新建污水管道。</w:t>
      </w:r>
    </w:p>
    <w:p w14:paraId="0D04D34E">
      <w:pPr>
        <w:pStyle w:val="80"/>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17</w:t>
      </w:r>
      <w:r>
        <w:rPr>
          <w:rFonts w:hint="eastAsia" w:ascii="宋体" w:hAnsi="宋体" w:eastAsia="宋体" w:cs="宋体"/>
          <w:sz w:val="24"/>
          <w:szCs w:val="24"/>
          <w:lang w:eastAsia="zh-CN"/>
        </w:rPr>
        <w:t>）</w:t>
      </w:r>
      <w:r>
        <w:rPr>
          <w:rFonts w:hint="eastAsia" w:ascii="宋体" w:hAnsi="宋体" w:eastAsia="宋体" w:cs="宋体"/>
          <w:sz w:val="24"/>
          <w:szCs w:val="24"/>
        </w:rPr>
        <w:t>繁荣锦苑排水提升改造工程：繁荣锦苑小区内现状低洼处无雨水边沟，雨水无法排入东侧现状雨水管渠，造成内涝。改造主要内容为新建雨水边沟。</w:t>
      </w:r>
    </w:p>
    <w:p w14:paraId="7FC92478">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2.4 其他相关要求</w:t>
      </w:r>
      <w:bookmarkEnd w:id="586"/>
    </w:p>
    <w:p w14:paraId="6E182BEC">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（1）在保证设计质量前提下，严格按政府主管部门确定的投资额度控制，严格控制施工图设计。</w:t>
      </w:r>
    </w:p>
    <w:p w14:paraId="7079BFAC">
      <w:pPr>
        <w:pageBreakBefore w:val="0"/>
        <w:kinsoku/>
        <w:wordWrap/>
        <w:overflowPunct/>
        <w:topLinePunct w:val="0"/>
        <w:bidi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（2）满足国家市政工程设计规范标准及强制性条文要求。</w:t>
      </w:r>
    </w:p>
    <w:p w14:paraId="1A3C11EC">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bookmarkStart w:id="587" w:name="_Toc444182768"/>
      <w:bookmarkStart w:id="588" w:name="_Toc528076060"/>
      <w:bookmarkStart w:id="589" w:name="_Toc4821"/>
      <w:bookmarkStart w:id="590" w:name="_Toc14397"/>
      <w:bookmarkStart w:id="591" w:name="_Toc21155"/>
      <w:bookmarkStart w:id="592" w:name="_Toc525303569"/>
      <w:bookmarkStart w:id="593" w:name="_Toc31533"/>
      <w:r>
        <w:rPr>
          <w:rFonts w:hint="eastAsia" w:ascii="宋体" w:hAnsi="宋体" w:eastAsia="宋体" w:cs="宋体"/>
          <w:b w:val="0"/>
          <w:bCs w:val="0"/>
          <w:sz w:val="24"/>
          <w:szCs w:val="24"/>
        </w:rPr>
        <w:t>2.5 设计要求</w:t>
      </w:r>
      <w:bookmarkEnd w:id="587"/>
      <w:bookmarkEnd w:id="588"/>
      <w:bookmarkEnd w:id="589"/>
      <w:bookmarkEnd w:id="590"/>
      <w:bookmarkEnd w:id="591"/>
      <w:bookmarkEnd w:id="592"/>
      <w:bookmarkEnd w:id="593"/>
    </w:p>
    <w:p w14:paraId="4D5E1763">
      <w:pPr>
        <w:pageBreakBefore w:val="0"/>
        <w:kinsoku/>
        <w:wordWrap/>
        <w:overflowPunct/>
        <w:topLinePunct w:val="0"/>
        <w:bidi w:val="0"/>
        <w:spacing w:line="560" w:lineRule="exact"/>
        <w:ind w:left="0" w:firstLine="482" w:firstLineChars="200"/>
        <w:textAlignment w:val="auto"/>
        <w:rPr>
          <w:rFonts w:hint="eastAsia" w:ascii="宋体" w:hAnsi="宋体" w:eastAsia="宋体" w:cs="宋体"/>
          <w:bCs/>
          <w:sz w:val="24"/>
          <w:szCs w:val="24"/>
        </w:rPr>
      </w:pPr>
      <w:r>
        <w:rPr>
          <w:rFonts w:hint="eastAsia" w:ascii="宋体" w:hAnsi="宋体" w:eastAsia="宋体" w:cs="宋体"/>
          <w:b/>
          <w:bCs w:val="0"/>
          <w:sz w:val="24"/>
          <w:szCs w:val="24"/>
        </w:rPr>
        <w:t>2.5.1对设计与法律、法规、规章、规范、标准的符合性要求</w:t>
      </w:r>
    </w:p>
    <w:p w14:paraId="62239FAC">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（1）设计文件应符合现行法律法规和工程设计技术规范，执行工程建设标准强制性条文，新规范颁布时及时落实到设计和变更中。</w:t>
      </w:r>
    </w:p>
    <w:p w14:paraId="07A443F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（2）对非强制性条文需突破的，须提出充分理由及质量保证措施，经建设管理单位同意后以文件认可。</w:t>
      </w:r>
    </w:p>
    <w:p w14:paraId="6E6637A2">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（3）工程材料、构配件和设备质量标准须符合国家规范要求。</w:t>
      </w:r>
    </w:p>
    <w:p w14:paraId="4BAAD8A2">
      <w:pPr>
        <w:pageBreakBefore w:val="0"/>
        <w:kinsoku/>
        <w:wordWrap/>
        <w:overflowPunct/>
        <w:topLinePunct w:val="0"/>
        <w:bidi w:val="0"/>
        <w:spacing w:line="560" w:lineRule="exact"/>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2.5.2 规划设计要求</w:t>
      </w:r>
    </w:p>
    <w:p w14:paraId="6CD2532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（1）符合城乡规划要求，设计风格与周围环境协调，满足节约用地和保护环境规定。</w:t>
      </w:r>
    </w:p>
    <w:p w14:paraId="3707B75E">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（2）符合现有地形特征，合理确定总体布局与功能设置。</w:t>
      </w:r>
    </w:p>
    <w:p w14:paraId="3C09F6D1">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（3）总体规划功能齐全、分区明确，满足基本功能及规模需求。</w:t>
      </w:r>
    </w:p>
    <w:p w14:paraId="19E2BE2C">
      <w:pPr>
        <w:pageBreakBefore w:val="0"/>
        <w:kinsoku/>
        <w:wordWrap/>
        <w:overflowPunct/>
        <w:topLinePunct w:val="0"/>
        <w:bidi w:val="0"/>
        <w:spacing w:line="560" w:lineRule="exact"/>
        <w:ind w:left="0" w:firstLine="482" w:firstLineChars="200"/>
        <w:textAlignment w:val="auto"/>
        <w:rPr>
          <w:rFonts w:hint="eastAsia" w:ascii="宋体" w:hAnsi="宋体" w:eastAsia="宋体" w:cs="宋体"/>
          <w:b/>
          <w:bCs w:val="0"/>
          <w:sz w:val="24"/>
          <w:szCs w:val="24"/>
        </w:rPr>
      </w:pPr>
      <w:bookmarkStart w:id="594" w:name="_Toc9804"/>
      <w:bookmarkStart w:id="595" w:name="_Toc444182769"/>
      <w:r>
        <w:rPr>
          <w:rFonts w:hint="eastAsia" w:ascii="宋体" w:hAnsi="宋体" w:eastAsia="宋体" w:cs="宋体"/>
          <w:b/>
          <w:bCs w:val="0"/>
          <w:sz w:val="24"/>
          <w:szCs w:val="24"/>
        </w:rPr>
        <w:t>2.5.3危大工程安全管理</w:t>
      </w:r>
      <w:bookmarkEnd w:id="594"/>
    </w:p>
    <w:p w14:paraId="33B2362E">
      <w:pPr>
        <w:pStyle w:val="60"/>
        <w:pageBreakBefore w:val="0"/>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（1）依据：《危险性较大的分部分项工程安全管理规定》（住建部〔2018〕37号令）等现行规范。</w:t>
      </w:r>
    </w:p>
    <w:p w14:paraId="656BDD1C">
      <w:pPr>
        <w:pStyle w:val="60"/>
        <w:pageBreakBefore w:val="0"/>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（2）定义：危大工程指施工中容易导致群死群伤或重大经济损失的分部分项工程。</w:t>
      </w:r>
    </w:p>
    <w:p w14:paraId="40A4B3CD">
      <w:pPr>
        <w:pStyle w:val="60"/>
        <w:pageBreakBefore w:val="0"/>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要求：总承包单位应在设计文件中注明涉及危大工程的重点部位和环节，提出安全保障意见，必要时进行专项设计。危大工程范围包括开挖深度超过3m的基坑、模板工程、起重吊装、脚手架工程、拆除工程、暗挖工程等。</w:t>
      </w:r>
    </w:p>
    <w:p w14:paraId="1B699812">
      <w:pPr>
        <w:pStyle w:val="60"/>
        <w:pageBreakBefore w:val="0"/>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（4）在施工组织设计中列出危大工程清单，编制专项施工方案，超过一定规模的组织专家论证。</w:t>
      </w:r>
    </w:p>
    <w:p w14:paraId="2E6CED5E">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bookmarkStart w:id="596" w:name="_Toc6107"/>
      <w:bookmarkStart w:id="597" w:name="_Toc523"/>
      <w:bookmarkStart w:id="598" w:name="_Toc528076061"/>
      <w:bookmarkStart w:id="599" w:name="_Toc19152"/>
      <w:bookmarkStart w:id="600" w:name="_Toc30623"/>
      <w:bookmarkStart w:id="601" w:name="_Toc525303570"/>
      <w:r>
        <w:rPr>
          <w:rFonts w:hint="eastAsia" w:ascii="宋体" w:hAnsi="宋体" w:eastAsia="宋体" w:cs="宋体"/>
          <w:b w:val="0"/>
          <w:bCs w:val="0"/>
          <w:sz w:val="24"/>
          <w:szCs w:val="24"/>
        </w:rPr>
        <w:t>2.6 对各阶段设计文件设计深度的要求</w:t>
      </w:r>
      <w:bookmarkEnd w:id="595"/>
      <w:bookmarkEnd w:id="596"/>
      <w:bookmarkEnd w:id="597"/>
      <w:bookmarkEnd w:id="598"/>
      <w:bookmarkEnd w:id="599"/>
      <w:bookmarkEnd w:id="600"/>
      <w:bookmarkEnd w:id="601"/>
    </w:p>
    <w:p w14:paraId="693E9D7C">
      <w:pPr>
        <w:pageBreakBefore w:val="0"/>
        <w:kinsoku/>
        <w:wordWrap/>
        <w:overflowPunct/>
        <w:topLinePunct w:val="0"/>
        <w:bidi w:val="0"/>
        <w:spacing w:line="560" w:lineRule="exact"/>
        <w:ind w:left="0"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2.6.1设计文件的设计深度</w:t>
      </w:r>
    </w:p>
    <w:p w14:paraId="6D80E072">
      <w:pPr>
        <w:pageBreakBefore w:val="0"/>
        <w:widowControl/>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（1）设计工作包括施工图设计、施工期配合服务等阶段，图纸须按现行国家技术规范及韶关市主管部门审批要求编制。</w:t>
      </w:r>
    </w:p>
    <w:p w14:paraId="7C74D695">
      <w:pPr>
        <w:pageBreakBefore w:val="0"/>
        <w:widowControl/>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（2）各阶段图纸须满足现行规范、规程、标准，存在不一致时按较高标准执行。</w:t>
      </w:r>
    </w:p>
    <w:p w14:paraId="475D920F">
      <w:pPr>
        <w:pageBreakBefore w:val="0"/>
        <w:widowControl/>
        <w:kinsoku/>
        <w:wordWrap/>
        <w:overflowPunct/>
        <w:topLinePunct w:val="0"/>
        <w:bidi w:val="0"/>
        <w:adjustRightInd w:val="0"/>
        <w:snapToGrid w:val="0"/>
        <w:spacing w:line="560" w:lineRule="exact"/>
        <w:ind w:left="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（3）设计深度应满足编制深度规定及施工图预算要求。</w:t>
      </w:r>
    </w:p>
    <w:p w14:paraId="25B932E8">
      <w:pPr>
        <w:pageBreakBefore w:val="0"/>
        <w:kinsoku/>
        <w:wordWrap/>
        <w:overflowPunct/>
        <w:topLinePunct w:val="0"/>
        <w:bidi w:val="0"/>
        <w:spacing w:line="560" w:lineRule="exact"/>
        <w:ind w:left="0" w:firstLine="482" w:firstLineChars="200"/>
        <w:textAlignment w:val="auto"/>
        <w:rPr>
          <w:rFonts w:hint="eastAsia" w:ascii="宋体" w:hAnsi="宋体" w:eastAsia="宋体" w:cs="宋体"/>
          <w:b/>
          <w:bCs w:val="0"/>
          <w:sz w:val="24"/>
          <w:szCs w:val="24"/>
        </w:rPr>
      </w:pPr>
      <w:r>
        <w:rPr>
          <w:rFonts w:hint="eastAsia" w:ascii="宋体" w:hAnsi="宋体" w:eastAsia="宋体" w:cs="宋体"/>
          <w:b/>
          <w:bCs w:val="0"/>
          <w:sz w:val="24"/>
          <w:szCs w:val="24"/>
        </w:rPr>
        <w:t>2.6.2施工图设计工作范围</w:t>
      </w:r>
    </w:p>
    <w:p w14:paraId="6D32BCE9">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项目涉及的所有建设内容施工图设计，包含各改造及新建建筑工程、室外配套工程（道路、综合管线、基础设施等），以及方案深化、施工图设计、施工图预算（含工程量清单）、施工期指导和后续设计服务等。</w:t>
      </w:r>
    </w:p>
    <w:p w14:paraId="26F8907B">
      <w:pPr>
        <w:pStyle w:val="6"/>
        <w:pageBreakBefore w:val="0"/>
        <w:kinsoku/>
        <w:wordWrap/>
        <w:overflowPunct/>
        <w:topLinePunct w:val="0"/>
        <w:bidi w:val="0"/>
        <w:spacing w:before="0" w:after="0" w:line="560" w:lineRule="exact"/>
        <w:ind w:left="0" w:firstLine="482" w:firstLineChars="200"/>
        <w:jc w:val="both"/>
        <w:textAlignment w:val="auto"/>
        <w:rPr>
          <w:rFonts w:hint="eastAsia" w:ascii="宋体" w:hAnsi="宋体" w:eastAsia="宋体" w:cs="宋体"/>
          <w:b/>
          <w:bCs w:val="0"/>
          <w:kern w:val="2"/>
          <w:sz w:val="24"/>
          <w:szCs w:val="24"/>
          <w:lang w:val="en-US" w:eastAsia="zh-CN" w:bidi="ar-SA"/>
        </w:rPr>
      </w:pPr>
      <w:bookmarkStart w:id="602" w:name="_Toc6943"/>
      <w:bookmarkStart w:id="603" w:name="_Toc528076062"/>
      <w:bookmarkStart w:id="604" w:name="_Toc8329"/>
      <w:bookmarkStart w:id="605" w:name="_Toc23063"/>
      <w:bookmarkStart w:id="606" w:name="_Toc5104"/>
      <w:bookmarkStart w:id="607" w:name="_Toc525303571"/>
      <w:bookmarkStart w:id="608" w:name="_Toc444182770"/>
      <w:r>
        <w:rPr>
          <w:rFonts w:hint="eastAsia" w:ascii="宋体" w:hAnsi="宋体" w:eastAsia="宋体" w:cs="宋体"/>
          <w:b/>
          <w:bCs w:val="0"/>
          <w:kern w:val="2"/>
          <w:sz w:val="24"/>
          <w:szCs w:val="24"/>
          <w:lang w:val="en-US" w:eastAsia="zh-CN" w:bidi="ar-SA"/>
        </w:rPr>
        <w:t>2.6.3 对设计质量的要求</w:t>
      </w:r>
      <w:bookmarkEnd w:id="602"/>
      <w:bookmarkEnd w:id="603"/>
      <w:bookmarkEnd w:id="604"/>
      <w:bookmarkEnd w:id="605"/>
      <w:bookmarkEnd w:id="606"/>
      <w:bookmarkEnd w:id="607"/>
      <w:bookmarkEnd w:id="608"/>
    </w:p>
    <w:p w14:paraId="4B340B1A">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（1）设计应体现建设意图，满足功能需求，做到美观、适用、安全、经济。</w:t>
      </w:r>
    </w:p>
    <w:p w14:paraId="2E3B474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（2）交付的设计文件应完整、正确、清晰，各专业设计协调统一。</w:t>
      </w:r>
    </w:p>
    <w:p w14:paraId="0F860486">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（3）设计单位应建立质量保证制度和责任追究制度，确保各专业间充分提资和校对。</w:t>
      </w:r>
    </w:p>
    <w:p w14:paraId="154EBC88">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（4）优先采用标准设计，采用合理方案确保可实施性。</w:t>
      </w:r>
    </w:p>
    <w:p w14:paraId="2573D7AF">
      <w:pPr>
        <w:pStyle w:val="6"/>
        <w:pageBreakBefore w:val="0"/>
        <w:kinsoku/>
        <w:wordWrap/>
        <w:overflowPunct/>
        <w:topLinePunct w:val="0"/>
        <w:bidi w:val="0"/>
        <w:spacing w:before="0" w:after="0" w:line="560" w:lineRule="exact"/>
        <w:ind w:left="0" w:firstLine="482" w:firstLineChars="200"/>
        <w:jc w:val="both"/>
        <w:textAlignment w:val="auto"/>
        <w:rPr>
          <w:rFonts w:hint="eastAsia" w:ascii="宋体" w:hAnsi="宋体" w:eastAsia="宋体" w:cs="宋体"/>
          <w:b/>
          <w:bCs w:val="0"/>
          <w:kern w:val="2"/>
          <w:sz w:val="24"/>
          <w:szCs w:val="24"/>
          <w:lang w:val="en-US" w:eastAsia="zh-CN" w:bidi="ar-SA"/>
        </w:rPr>
      </w:pPr>
      <w:bookmarkStart w:id="609" w:name="_Toc444182771"/>
      <w:bookmarkStart w:id="610" w:name="_Toc8141"/>
      <w:bookmarkStart w:id="611" w:name="_Toc528076063"/>
      <w:bookmarkStart w:id="612" w:name="_Toc26265"/>
      <w:bookmarkStart w:id="613" w:name="_Toc525303572"/>
      <w:bookmarkStart w:id="614" w:name="_Toc12550"/>
      <w:bookmarkStart w:id="615" w:name="_Toc3547"/>
      <w:r>
        <w:rPr>
          <w:rFonts w:hint="eastAsia" w:ascii="宋体" w:hAnsi="宋体" w:eastAsia="宋体" w:cs="宋体"/>
          <w:b/>
          <w:bCs w:val="0"/>
          <w:kern w:val="2"/>
          <w:sz w:val="24"/>
          <w:szCs w:val="24"/>
          <w:lang w:val="en-US" w:eastAsia="zh-CN" w:bidi="ar-SA"/>
        </w:rPr>
        <w:t>2.6.4对设计与设备、材料选购及施工组织配合方面的要求</w:t>
      </w:r>
      <w:bookmarkEnd w:id="609"/>
      <w:bookmarkEnd w:id="610"/>
      <w:bookmarkEnd w:id="611"/>
      <w:bookmarkEnd w:id="612"/>
      <w:bookmarkEnd w:id="613"/>
      <w:bookmarkEnd w:id="614"/>
      <w:bookmarkEnd w:id="615"/>
    </w:p>
    <w:p w14:paraId="7515232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（1）总承包单位应编制设备材料采购技术文件，包括采购清单、技术要求、参数表等。</w:t>
      </w:r>
    </w:p>
    <w:p w14:paraId="516BAE04">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（2）设计应满足施工工期要求，充分考虑可实施性。</w:t>
      </w:r>
    </w:p>
    <w:p w14:paraId="39E5A73C">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（3）设计质量应符合ISO-9000质量保证体系标准。</w:t>
      </w:r>
    </w:p>
    <w:p w14:paraId="6C26884B">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bookmarkStart w:id="616" w:name="_Toc525303573"/>
      <w:bookmarkStart w:id="617" w:name="_Toc444182772"/>
      <w:bookmarkStart w:id="618" w:name="_Toc27842"/>
      <w:bookmarkStart w:id="619" w:name="_Toc20146"/>
      <w:bookmarkStart w:id="620" w:name="_Toc18407"/>
      <w:bookmarkStart w:id="621" w:name="_Toc528076064"/>
      <w:bookmarkStart w:id="622" w:name="_Toc1010"/>
      <w:r>
        <w:rPr>
          <w:rFonts w:hint="eastAsia" w:ascii="宋体" w:hAnsi="宋体" w:eastAsia="宋体" w:cs="宋体"/>
          <w:b w:val="0"/>
          <w:bCs w:val="0"/>
          <w:sz w:val="24"/>
          <w:szCs w:val="24"/>
        </w:rPr>
        <w:t>2.8 投资控制</w:t>
      </w:r>
      <w:bookmarkEnd w:id="616"/>
      <w:bookmarkEnd w:id="617"/>
      <w:bookmarkEnd w:id="618"/>
      <w:bookmarkEnd w:id="619"/>
      <w:bookmarkEnd w:id="620"/>
      <w:bookmarkEnd w:id="621"/>
      <w:bookmarkEnd w:id="622"/>
    </w:p>
    <w:p w14:paraId="641B4A86">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（1）设计应遵循功能适用、标准合理、经济合理原则。</w:t>
      </w:r>
    </w:p>
    <w:p w14:paraId="1CB410C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（2）设计方案须进行技术经济分析，采用优化方案控制工程投资，完成造价分析文件编制。</w:t>
      </w:r>
    </w:p>
    <w:p w14:paraId="292A3FBA">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（3）施工图预算须由注册造价工程师签字盖章，经审图机构审查合格并完成备案。</w:t>
      </w:r>
    </w:p>
    <w:p w14:paraId="35BCBCFC">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30"/>
          <w:szCs w:val="30"/>
        </w:rPr>
      </w:pPr>
      <w:r>
        <w:rPr>
          <w:rFonts w:hint="eastAsia" w:ascii="宋体" w:hAnsi="宋体" w:eastAsia="宋体" w:cs="宋体"/>
          <w:sz w:val="24"/>
          <w:szCs w:val="24"/>
        </w:rPr>
        <w:t>（4）坚持估算控制概算、概算控制预算、预算控制决算，做好限额设计，提供施工图设计成果和施工图预算。</w:t>
      </w:r>
    </w:p>
    <w:p w14:paraId="792A6764">
      <w:pPr>
        <w:pStyle w:val="5"/>
        <w:pageBreakBefore w:val="0"/>
        <w:kinsoku/>
        <w:wordWrap/>
        <w:overflowPunct/>
        <w:topLinePunct w:val="0"/>
        <w:bidi w:val="0"/>
        <w:spacing w:line="560" w:lineRule="exact"/>
        <w:ind w:left="0"/>
        <w:jc w:val="center"/>
        <w:textAlignment w:val="auto"/>
        <w:rPr>
          <w:rFonts w:hint="eastAsia" w:ascii="宋体" w:hAnsi="宋体" w:eastAsia="宋体" w:cs="宋体"/>
          <w:b w:val="0"/>
          <w:bCs/>
          <w:sz w:val="30"/>
          <w:szCs w:val="30"/>
        </w:rPr>
      </w:pPr>
    </w:p>
    <w:p w14:paraId="64DDA98A">
      <w:pPr>
        <w:rPr>
          <w:rFonts w:hint="eastAsia" w:ascii="宋体" w:hAnsi="宋体" w:eastAsia="宋体" w:cs="宋体"/>
          <w:b w:val="0"/>
          <w:bCs/>
          <w:sz w:val="30"/>
          <w:szCs w:val="30"/>
        </w:rPr>
      </w:pPr>
      <w:r>
        <w:rPr>
          <w:rFonts w:hint="eastAsia" w:ascii="宋体" w:hAnsi="宋体" w:eastAsia="宋体" w:cs="宋体"/>
          <w:b w:val="0"/>
          <w:bCs/>
          <w:sz w:val="30"/>
          <w:szCs w:val="30"/>
        </w:rPr>
        <w:br w:type="page"/>
      </w:r>
    </w:p>
    <w:p w14:paraId="0A865954">
      <w:pPr>
        <w:pStyle w:val="5"/>
        <w:pageBreakBefore w:val="0"/>
        <w:kinsoku/>
        <w:wordWrap/>
        <w:overflowPunct/>
        <w:topLinePunct w:val="0"/>
        <w:bidi w:val="0"/>
        <w:spacing w:line="560" w:lineRule="exact"/>
        <w:ind w:left="0"/>
        <w:jc w:val="center"/>
        <w:textAlignment w:val="auto"/>
        <w:rPr>
          <w:rFonts w:hint="eastAsia" w:ascii="宋体" w:hAnsi="宋体" w:eastAsia="宋体" w:cs="宋体"/>
          <w:b w:val="0"/>
          <w:bCs/>
          <w:sz w:val="30"/>
          <w:szCs w:val="30"/>
        </w:rPr>
      </w:pPr>
      <w:r>
        <w:rPr>
          <w:rFonts w:hint="eastAsia" w:ascii="宋体" w:hAnsi="宋体" w:eastAsia="宋体" w:cs="宋体"/>
          <w:b/>
          <w:bCs w:val="0"/>
          <w:sz w:val="30"/>
          <w:szCs w:val="30"/>
        </w:rPr>
        <w:t>第</w:t>
      </w:r>
      <w:r>
        <w:rPr>
          <w:rFonts w:hint="eastAsia" w:ascii="宋体" w:hAnsi="宋体" w:eastAsia="宋体" w:cs="宋体"/>
          <w:b/>
          <w:bCs w:val="0"/>
          <w:sz w:val="30"/>
          <w:szCs w:val="30"/>
          <w:lang w:eastAsia="zh-CN"/>
        </w:rPr>
        <w:t>三</w:t>
      </w:r>
      <w:r>
        <w:rPr>
          <w:rFonts w:hint="eastAsia" w:ascii="宋体" w:hAnsi="宋体" w:eastAsia="宋体" w:cs="宋体"/>
          <w:b/>
          <w:bCs w:val="0"/>
          <w:sz w:val="30"/>
          <w:szCs w:val="30"/>
        </w:rPr>
        <w:t>章 设计服务要求</w:t>
      </w:r>
    </w:p>
    <w:p w14:paraId="48868764">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.1设计服务要求</w:t>
      </w:r>
    </w:p>
    <w:p w14:paraId="0E9CF38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（1）施工图设计按国家现行编制办法深度要求，应满足设备材料采购和施工需要，注明建设工程合理使用年限。</w:t>
      </w:r>
    </w:p>
    <w:p w14:paraId="57FA485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（2）施工图应考虑交通维护、临时便道、周边建筑物影响等因素，提供设计方案及计算书。</w:t>
      </w:r>
    </w:p>
    <w:p w14:paraId="74501A0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（3）施工阶段总承包单位须派1名熟悉本项目的设计代表到现场配合施工。</w:t>
      </w:r>
    </w:p>
    <w:p w14:paraId="13CF0D45">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.2人员要求</w:t>
      </w:r>
    </w:p>
    <w:p w14:paraId="31756665">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根据项目设计任务及工期要求建立项目组，设计工作不满足进度时可要求增加人员。</w:t>
      </w:r>
    </w:p>
    <w:p w14:paraId="476A5E40">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30"/>
          <w:szCs w:val="30"/>
        </w:rPr>
      </w:pPr>
      <w:r>
        <w:rPr>
          <w:rFonts w:hint="eastAsia" w:ascii="宋体" w:hAnsi="宋体" w:eastAsia="宋体" w:cs="宋体"/>
          <w:sz w:val="24"/>
          <w:szCs w:val="24"/>
        </w:rPr>
        <w:t>项目设计人员不可随意撤换，特殊情况撤换须征得建设单位同意，未及时更换补充的视为违约。</w:t>
      </w:r>
    </w:p>
    <w:p w14:paraId="4B73EF5C">
      <w:pPr>
        <w:pStyle w:val="5"/>
        <w:pageBreakBefore w:val="0"/>
        <w:kinsoku/>
        <w:wordWrap/>
        <w:overflowPunct/>
        <w:topLinePunct w:val="0"/>
        <w:bidi w:val="0"/>
        <w:spacing w:line="560" w:lineRule="exact"/>
        <w:ind w:left="0"/>
        <w:jc w:val="center"/>
        <w:textAlignment w:val="auto"/>
        <w:rPr>
          <w:rFonts w:hint="eastAsia" w:ascii="宋体" w:hAnsi="宋体" w:eastAsia="宋体" w:cs="宋体"/>
          <w:b w:val="0"/>
          <w:bCs/>
          <w:sz w:val="30"/>
          <w:szCs w:val="30"/>
        </w:rPr>
      </w:pPr>
    </w:p>
    <w:p w14:paraId="5097C4C4">
      <w:pPr>
        <w:pStyle w:val="5"/>
        <w:pageBreakBefore w:val="0"/>
        <w:kinsoku/>
        <w:wordWrap/>
        <w:overflowPunct/>
        <w:topLinePunct w:val="0"/>
        <w:bidi w:val="0"/>
        <w:spacing w:line="560" w:lineRule="exact"/>
        <w:ind w:left="0"/>
        <w:jc w:val="center"/>
        <w:textAlignment w:val="auto"/>
        <w:rPr>
          <w:rFonts w:hint="eastAsia" w:ascii="宋体" w:hAnsi="宋体" w:eastAsia="宋体" w:cs="宋体"/>
          <w:b w:val="0"/>
          <w:bCs/>
          <w:sz w:val="30"/>
          <w:szCs w:val="30"/>
        </w:rPr>
      </w:pPr>
      <w:r>
        <w:rPr>
          <w:rFonts w:hint="eastAsia" w:ascii="宋体" w:hAnsi="宋体" w:eastAsia="宋体" w:cs="宋体"/>
          <w:b/>
          <w:bCs w:val="0"/>
          <w:sz w:val="30"/>
          <w:szCs w:val="30"/>
        </w:rPr>
        <w:t>第</w:t>
      </w:r>
      <w:r>
        <w:rPr>
          <w:rFonts w:hint="eastAsia" w:ascii="宋体" w:hAnsi="宋体" w:eastAsia="宋体" w:cs="宋体"/>
          <w:b/>
          <w:bCs w:val="0"/>
          <w:sz w:val="30"/>
          <w:szCs w:val="30"/>
          <w:lang w:eastAsia="zh-CN"/>
        </w:rPr>
        <w:t>四</w:t>
      </w:r>
      <w:r>
        <w:rPr>
          <w:rFonts w:hint="eastAsia" w:ascii="宋体" w:hAnsi="宋体" w:eastAsia="宋体" w:cs="宋体"/>
          <w:b/>
          <w:bCs w:val="0"/>
          <w:sz w:val="30"/>
          <w:szCs w:val="30"/>
        </w:rPr>
        <w:t>章 施工服务要求</w:t>
      </w:r>
    </w:p>
    <w:p w14:paraId="0EA87375">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.1 施工现场技术服务</w:t>
      </w:r>
    </w:p>
    <w:p w14:paraId="0D614506">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（1）EPC模式下总承包单位应在施工全过程提供现场技术服务，确保设计意图准确落实。</w:t>
      </w:r>
    </w:p>
    <w:p w14:paraId="0C4D213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（2）各分部分项工程开工前进行技术交底，说明设计要求、施工工艺、质量标准和安全注意事项。</w:t>
      </w:r>
    </w:p>
    <w:p w14:paraId="09C1FF1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（3）遇与设计文件不符的现场情况，及时组织设计人员核查，出具设计变更或技术处理方案。</w:t>
      </w:r>
    </w:p>
    <w:p w14:paraId="1E58B6D3">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.2 施工过程配合</w:t>
      </w:r>
    </w:p>
    <w:p w14:paraId="0BBF4A0E">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（1）配合监理单位监督检查，及时提交施工组织设计、专项方案等文件。</w:t>
      </w:r>
    </w:p>
    <w:p w14:paraId="23FCBB32">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（2）配合建设单位组织的检查和协调会议，提交施工进展报告。</w:t>
      </w:r>
    </w:p>
    <w:p w14:paraId="2B907E11">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（3）配合城管、交警、环保等部门监督检查，完善相关手续。</w:t>
      </w:r>
    </w:p>
    <w:p w14:paraId="2CC38D02">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（4）涉及专业管线施工，主动与产权单位协调，制定管线保护方案。</w:t>
      </w:r>
    </w:p>
    <w:p w14:paraId="18E0E505">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.3 设计变更管理</w:t>
      </w:r>
    </w:p>
    <w:p w14:paraId="6A3C479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（1）确需设计变更的应提出申请，说明变更原因、方案和造价影响，经建设单位同意后实施。</w:t>
      </w:r>
    </w:p>
    <w:p w14:paraId="528D71A5">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（2）设计变更文件经技术负责人审核，重大变更应组织专家论证。</w:t>
      </w:r>
    </w:p>
    <w:p w14:paraId="42E81BBA">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（3）设计变更及时落实到施工图和竣工图。</w:t>
      </w:r>
    </w:p>
    <w:p w14:paraId="69F2D864">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.4 竣工验收服务</w:t>
      </w:r>
    </w:p>
    <w:p w14:paraId="454D5022">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（1）工程竣工前编制竣工图和竣工资料，确保资料完整准确。</w:t>
      </w:r>
    </w:p>
    <w:p w14:paraId="31114AA3">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（2）配合建设单位组织的竣工验收，提供检测报告和技术资料。</w:t>
      </w:r>
    </w:p>
    <w:p w14:paraId="2ADE15C6">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（3）验收问题在规定时间内整改完毕并提交整改报告。</w:t>
      </w:r>
    </w:p>
    <w:p w14:paraId="1C26BD29">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.5 保修期服务</w:t>
      </w:r>
    </w:p>
    <w:p w14:paraId="00FDF21A">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（1）排水管道工程保修期2年，防水工程保修期5年。</w:t>
      </w:r>
    </w:p>
    <w:p w14:paraId="535C1E2B">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（2）保修期内质量问题24小时内到场，7日内完成修复。</w:t>
      </w:r>
    </w:p>
    <w:p w14:paraId="6F265BEE">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（3）定期回访检查，遇暴雨等极端天气主动到现场检查排水系统。</w:t>
      </w:r>
    </w:p>
    <w:p w14:paraId="15D7396E">
      <w:pPr>
        <w:pStyle w:val="6"/>
        <w:pageBreakBefore w:val="0"/>
        <w:kinsoku/>
        <w:wordWrap/>
        <w:overflowPunct/>
        <w:topLinePunct w:val="0"/>
        <w:bidi w:val="0"/>
        <w:spacing w:before="0" w:after="0" w:line="560" w:lineRule="exact"/>
        <w:ind w:left="0"/>
        <w:jc w:val="both"/>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.6 应急服务</w:t>
      </w:r>
    </w:p>
    <w:p w14:paraId="16E1694F">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（1）建立施工及保修期应急响应机制，制定应急预案，配备应急人员和设备。</w:t>
      </w:r>
    </w:p>
    <w:p w14:paraId="1EE96A8B">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（2）施工期间遇突发内涝等紧急情况，立即启动应急响应并报告建设单位。</w:t>
      </w:r>
    </w:p>
    <w:p w14:paraId="2E12B7AA">
      <w:pPr>
        <w:pageBreakBefore w:val="0"/>
        <w:kinsoku/>
        <w:wordWrap/>
        <w:overflowPunct/>
        <w:topLinePunct w:val="0"/>
        <w:bidi w:val="0"/>
        <w:spacing w:line="560" w:lineRule="exact"/>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（3）保修期内遇暴雨引发的排水问题，及时到达现场处理。</w:t>
      </w:r>
    </w:p>
    <w:p w14:paraId="3E119F9A">
      <w:pPr>
        <w:pageBreakBefore w:val="0"/>
        <w:kinsoku/>
        <w:wordWrap/>
        <w:overflowPunct/>
        <w:topLinePunct w:val="0"/>
        <w:bidi w:val="0"/>
        <w:spacing w:line="560" w:lineRule="exact"/>
        <w:ind w:left="0" w:firstLine="480" w:firstLineChars="200"/>
        <w:textAlignment w:val="auto"/>
        <w:rPr>
          <w:color w:val="auto"/>
          <w:highlight w:val="none"/>
        </w:rPr>
      </w:pPr>
      <w:r>
        <w:rPr>
          <w:rFonts w:hint="eastAsia" w:ascii="宋体" w:hAnsi="宋体" w:eastAsia="宋体" w:cs="宋体"/>
          <w:sz w:val="24"/>
          <w:szCs w:val="24"/>
        </w:rPr>
        <w:t>（4）配合建设单位建立排水防涝应急预案，提供技术支持。</w:t>
      </w:r>
      <w:r>
        <w:rPr>
          <w:rFonts w:hint="eastAsia" w:ascii="宋体" w:hAnsi="宋体" w:cs="宋体"/>
          <w:b/>
          <w:color w:val="auto"/>
          <w:sz w:val="48"/>
          <w:szCs w:val="48"/>
          <w:highlight w:val="none"/>
        </w:rPr>
        <w:br w:type="page"/>
      </w:r>
    </w:p>
    <w:p w14:paraId="0424EAA5">
      <w:pPr>
        <w:pStyle w:val="8"/>
        <w:rPr>
          <w:rFonts w:hint="eastAsia" w:eastAsia="等线"/>
          <w:color w:val="auto"/>
          <w:highlight w:val="none"/>
          <w:lang w:val="en-US" w:eastAsia="zh-CN"/>
        </w:rPr>
      </w:pPr>
    </w:p>
    <w:bookmarkEnd w:id="538"/>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14:paraId="09D92F98">
      <w:pPr>
        <w:pStyle w:val="4"/>
        <w:numPr>
          <w:ilvl w:val="0"/>
          <w:numId w:val="0"/>
        </w:numPr>
        <w:jc w:val="center"/>
        <w:rPr>
          <w:rFonts w:hint="default" w:asciiTheme="minorEastAsia" w:hAnsiTheme="minorEastAsia" w:eastAsiaTheme="minorEastAsia" w:cstheme="minorEastAsia"/>
          <w:b/>
          <w:color w:val="auto"/>
          <w:kern w:val="44"/>
          <w:sz w:val="36"/>
          <w:szCs w:val="36"/>
          <w:highlight w:val="none"/>
        </w:rPr>
      </w:pPr>
      <w:bookmarkStart w:id="623" w:name="_Toc19159"/>
      <w:r>
        <w:rPr>
          <w:rFonts w:hint="eastAsia" w:asciiTheme="minorEastAsia" w:hAnsiTheme="minorEastAsia" w:eastAsiaTheme="minorEastAsia" w:cstheme="minorEastAsia"/>
          <w:b/>
          <w:color w:val="auto"/>
          <w:kern w:val="44"/>
          <w:sz w:val="36"/>
          <w:szCs w:val="36"/>
          <w:highlight w:val="none"/>
          <w:lang w:val="en-US" w:eastAsia="zh-CN" w:bidi="ar-SA"/>
        </w:rPr>
        <w:t xml:space="preserve">第七章 </w:t>
      </w:r>
      <w:r>
        <w:rPr>
          <w:rFonts w:asciiTheme="minorEastAsia" w:hAnsiTheme="minorEastAsia" w:eastAsiaTheme="minorEastAsia" w:cstheme="minorEastAsia"/>
          <w:b/>
          <w:color w:val="auto"/>
          <w:kern w:val="44"/>
          <w:sz w:val="36"/>
          <w:szCs w:val="36"/>
          <w:highlight w:val="none"/>
        </w:rPr>
        <w:t>招标文件</w:t>
      </w:r>
      <w:bookmarkStart w:id="624" w:name="_Hlt75747044"/>
      <w:bookmarkEnd w:id="624"/>
      <w:r>
        <w:rPr>
          <w:rFonts w:asciiTheme="minorEastAsia" w:hAnsiTheme="minorEastAsia" w:eastAsiaTheme="minorEastAsia" w:cstheme="minorEastAsia"/>
          <w:b/>
          <w:color w:val="auto"/>
          <w:kern w:val="44"/>
          <w:sz w:val="36"/>
          <w:szCs w:val="36"/>
          <w:highlight w:val="none"/>
        </w:rPr>
        <w:t>的附件</w:t>
      </w:r>
      <w:bookmarkEnd w:id="623"/>
    </w:p>
    <w:p w14:paraId="0B1CA85B">
      <w:pPr>
        <w:rPr>
          <w:rFonts w:hint="default" w:asciiTheme="minorEastAsia" w:hAnsiTheme="minorEastAsia" w:eastAsiaTheme="minorEastAsia" w:cstheme="minorEastAsia"/>
          <w:color w:val="auto"/>
          <w:highlight w:val="none"/>
        </w:rPr>
      </w:pPr>
    </w:p>
    <w:bookmarkEnd w:id="539"/>
    <w:p w14:paraId="1A552D63">
      <w:pPr>
        <w:pStyle w:val="5"/>
        <w:spacing w:before="120"/>
        <w:rPr>
          <w:rFonts w:asciiTheme="minorEastAsia" w:hAnsiTheme="minorEastAsia" w:eastAsiaTheme="minorEastAsia" w:cstheme="minorEastAsia"/>
          <w:b/>
          <w:snapToGrid w:val="0"/>
          <w:color w:val="auto"/>
          <w:szCs w:val="24"/>
          <w:highlight w:val="none"/>
        </w:rPr>
      </w:pPr>
      <w:bookmarkStart w:id="625" w:name="_附件五：综合评审合理低价法"/>
      <w:bookmarkEnd w:id="625"/>
      <w:bookmarkStart w:id="626" w:name="_附件二：工期承诺书"/>
      <w:bookmarkEnd w:id="626"/>
      <w:bookmarkStart w:id="627" w:name="_附件一：对招标文件条款自愿接受承诺书"/>
      <w:bookmarkEnd w:id="627"/>
      <w:bookmarkStart w:id="628" w:name="_附件一：投标函"/>
      <w:bookmarkEnd w:id="628"/>
      <w:bookmarkStart w:id="629" w:name="_附件四：工期承诺书"/>
      <w:bookmarkEnd w:id="629"/>
      <w:bookmarkStart w:id="630" w:name="_附件二：近三年度主要施工项目（竣工及在建）一览表"/>
      <w:bookmarkEnd w:id="630"/>
      <w:bookmarkStart w:id="631" w:name="_Toc12527"/>
      <w:bookmarkStart w:id="632" w:name="_Toc3855"/>
      <w:bookmarkStart w:id="633" w:name="_Toc12406"/>
      <w:bookmarkStart w:id="634" w:name="_Toc2902"/>
      <w:bookmarkStart w:id="635" w:name="_Toc39136360"/>
      <w:bookmarkStart w:id="636" w:name="_Toc142468134"/>
      <w:bookmarkStart w:id="637" w:name="_Toc133160683"/>
      <w:bookmarkStart w:id="638" w:name="_Toc137444778"/>
      <w:bookmarkStart w:id="639" w:name="_Toc132687128"/>
      <w:bookmarkStart w:id="640" w:name="_Toc78794873"/>
      <w:bookmarkStart w:id="641" w:name="_Toc133815902"/>
    </w:p>
    <w:p w14:paraId="5C08D1E4">
      <w:pPr>
        <w:pStyle w:val="5"/>
        <w:spacing w:before="120"/>
        <w:rPr>
          <w:rFonts w:hint="default" w:asciiTheme="minorEastAsia" w:hAnsiTheme="minorEastAsia" w:eastAsiaTheme="minorEastAsia" w:cstheme="minorEastAsia"/>
          <w:b/>
          <w:snapToGrid w:val="0"/>
          <w:color w:val="auto"/>
          <w:szCs w:val="24"/>
          <w:highlight w:val="none"/>
        </w:rPr>
      </w:pPr>
      <w:bookmarkStart w:id="642" w:name="_Toc1270"/>
      <w:r>
        <w:rPr>
          <w:rFonts w:asciiTheme="minorEastAsia" w:hAnsiTheme="minorEastAsia" w:eastAsiaTheme="minorEastAsia" w:cstheme="minorEastAsia"/>
          <w:b/>
          <w:snapToGrid w:val="0"/>
          <w:color w:val="auto"/>
          <w:szCs w:val="24"/>
          <w:highlight w:val="none"/>
        </w:rPr>
        <w:t>格式一 封面</w:t>
      </w:r>
      <w:bookmarkEnd w:id="631"/>
      <w:bookmarkEnd w:id="632"/>
      <w:bookmarkEnd w:id="633"/>
      <w:bookmarkEnd w:id="634"/>
      <w:bookmarkEnd w:id="635"/>
      <w:bookmarkEnd w:id="642"/>
    </w:p>
    <w:p w14:paraId="370403B9">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1B206CEB">
      <w:pPr>
        <w:pStyle w:val="49"/>
        <w:widowControl w:val="0"/>
        <w:wordWrap w:val="0"/>
        <w:adjustRightInd w:val="0"/>
        <w:snapToGrid w:val="0"/>
        <w:jc w:val="right"/>
        <w:rPr>
          <w:rFonts w:asciiTheme="minorEastAsia" w:hAnsiTheme="minorEastAsia" w:eastAsiaTheme="minorEastAsia" w:cstheme="minorEastAsia"/>
          <w:b/>
          <w:snapToGrid w:val="0"/>
          <w:color w:val="auto"/>
          <w:sz w:val="24"/>
          <w:szCs w:val="24"/>
          <w:highlight w:val="none"/>
        </w:rPr>
      </w:pPr>
    </w:p>
    <w:p w14:paraId="4DBE26CE">
      <w:pPr>
        <w:pStyle w:val="49"/>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06333084">
      <w:pPr>
        <w:pStyle w:val="49"/>
        <w:widowControl w:val="0"/>
        <w:wordWrap w:val="0"/>
        <w:adjustRightInd w:val="0"/>
        <w:snapToGrid w:val="0"/>
        <w:ind w:firstLine="0"/>
        <w:rPr>
          <w:rFonts w:asciiTheme="minorEastAsia" w:hAnsiTheme="minorEastAsia" w:eastAsiaTheme="minorEastAsia" w:cstheme="minorEastAsia"/>
          <w:b/>
          <w:snapToGrid w:val="0"/>
          <w:color w:val="auto"/>
          <w:sz w:val="24"/>
          <w:highlight w:val="none"/>
        </w:rPr>
      </w:pPr>
      <w:bookmarkStart w:id="643" w:name="_附件十：单项工程费汇总表"/>
      <w:bookmarkEnd w:id="643"/>
      <w:bookmarkStart w:id="644" w:name="_Hlt69116778"/>
      <w:bookmarkEnd w:id="644"/>
      <w:bookmarkStart w:id="645" w:name="_附件二十四：技术标提问单"/>
      <w:bookmarkEnd w:id="645"/>
      <w:bookmarkStart w:id="646" w:name="_附件二十五：综合评审合理低价法"/>
      <w:bookmarkEnd w:id="646"/>
      <w:bookmarkStart w:id="647" w:name="_Hlt68774664"/>
      <w:bookmarkEnd w:id="647"/>
      <w:bookmarkStart w:id="648" w:name="_Toc26795"/>
      <w:bookmarkStart w:id="649" w:name="_Toc39136361"/>
      <w:bookmarkStart w:id="650" w:name="_Toc15791"/>
      <w:bookmarkStart w:id="651" w:name="_Toc28483"/>
      <w:bookmarkStart w:id="652" w:name="_Toc5872"/>
      <w:bookmarkStart w:id="653" w:name="_Hlt66847557"/>
      <w:bookmarkStart w:id="654" w:name="_Toc66849200"/>
      <w:bookmarkStart w:id="655" w:name="_Toc104711098"/>
      <w:bookmarkStart w:id="656" w:name="_Toc106418843"/>
      <w:bookmarkStart w:id="657" w:name="_Toc466640620"/>
    </w:p>
    <w:p w14:paraId="0D186759">
      <w:pPr>
        <w:pStyle w:val="49"/>
        <w:widowControl w:val="0"/>
        <w:wordWrap w:val="0"/>
        <w:adjustRightInd w:val="0"/>
        <w:snapToGrid w:val="0"/>
        <w:rPr>
          <w:rFonts w:asciiTheme="minorEastAsia" w:hAnsiTheme="minorEastAsia" w:eastAsiaTheme="minorEastAsia" w:cstheme="minorEastAsia"/>
          <w:b/>
          <w:snapToGrid w:val="0"/>
          <w:color w:val="auto"/>
          <w:sz w:val="24"/>
          <w:highlight w:val="none"/>
        </w:rPr>
      </w:pPr>
    </w:p>
    <w:p w14:paraId="366AA9F1">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（项目名称）   </w:t>
      </w:r>
      <w:r>
        <w:rPr>
          <w:rFonts w:hint="eastAsia" w:asciiTheme="minorEastAsia" w:hAnsiTheme="minorEastAsia" w:eastAsiaTheme="minorEastAsia" w:cstheme="minorEastAsia"/>
          <w:b/>
          <w:snapToGrid w:val="0"/>
          <w:color w:val="auto"/>
          <w:sz w:val="48"/>
          <w:szCs w:val="48"/>
          <w:highlight w:val="none"/>
        </w:rPr>
        <w:t>招标</w:t>
      </w:r>
    </w:p>
    <w:p w14:paraId="1766BEE6">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61865BEC">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D4842C6">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7151870D">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010C339C">
      <w:pPr>
        <w:pStyle w:val="49"/>
        <w:widowControl w:val="0"/>
        <w:wordWrap w:val="0"/>
        <w:adjustRightInd w:val="0"/>
        <w:snapToGrid w:val="0"/>
        <w:ind w:firstLine="0"/>
        <w:jc w:val="center"/>
        <w:rPr>
          <w:rFonts w:hint="eastAsia" w:asciiTheme="minorEastAsia" w:hAnsiTheme="minorEastAsia" w:eastAsiaTheme="minorEastAsia" w:cstheme="minorEastAsia"/>
          <w:b/>
          <w:snapToGrid w:val="0"/>
          <w:color w:val="auto"/>
          <w:sz w:val="72"/>
          <w:highlight w:val="none"/>
        </w:rPr>
      </w:pPr>
      <w:r>
        <w:rPr>
          <w:rFonts w:hint="eastAsia" w:asciiTheme="minorEastAsia" w:hAnsiTheme="minorEastAsia" w:eastAsiaTheme="minorEastAsia" w:cstheme="minorEastAsia"/>
          <w:b/>
          <w:snapToGrid w:val="0"/>
          <w:color w:val="auto"/>
          <w:sz w:val="72"/>
          <w:highlight w:val="none"/>
        </w:rPr>
        <w:t>投  标  文  件</w:t>
      </w:r>
    </w:p>
    <w:p w14:paraId="39931015">
      <w:pPr>
        <w:pStyle w:val="49"/>
        <w:widowControl w:val="0"/>
        <w:wordWrap w:val="0"/>
        <w:adjustRightInd w:val="0"/>
        <w:snapToGrid w:val="0"/>
        <w:ind w:firstLine="0"/>
        <w:jc w:val="center"/>
        <w:rPr>
          <w:rFonts w:hint="default" w:asciiTheme="minorEastAsia" w:hAnsiTheme="minorEastAsia" w:eastAsiaTheme="minorEastAsia" w:cstheme="minorEastAsia"/>
          <w:b/>
          <w:snapToGrid w:val="0"/>
          <w:color w:val="auto"/>
          <w:sz w:val="44"/>
          <w:szCs w:val="44"/>
          <w:highlight w:val="none"/>
          <w:lang w:val="en-US" w:eastAsia="zh-CN"/>
        </w:rPr>
      </w:pPr>
      <w:r>
        <w:rPr>
          <w:rFonts w:hint="eastAsia" w:asciiTheme="minorEastAsia" w:hAnsiTheme="minorEastAsia" w:eastAsiaTheme="minorEastAsia" w:cstheme="minorEastAsia"/>
          <w:b/>
          <w:snapToGrid w:val="0"/>
          <w:color w:val="auto"/>
          <w:sz w:val="44"/>
          <w:szCs w:val="44"/>
          <w:highlight w:val="none"/>
          <w:lang w:eastAsia="zh-CN"/>
        </w:rPr>
        <w:t>（</w:t>
      </w:r>
      <w:r>
        <w:rPr>
          <w:rFonts w:hint="eastAsia" w:asciiTheme="minorEastAsia" w:hAnsiTheme="minorEastAsia" w:eastAsiaTheme="minorEastAsia" w:cstheme="minorEastAsia"/>
          <w:b/>
          <w:snapToGrid w:val="0"/>
          <w:color w:val="auto"/>
          <w:sz w:val="44"/>
          <w:szCs w:val="44"/>
          <w:highlight w:val="none"/>
          <w:lang w:val="en-US" w:eastAsia="zh-CN"/>
        </w:rPr>
        <w:t>投标标书、定标文件）</w:t>
      </w:r>
    </w:p>
    <w:p w14:paraId="71B25CCD">
      <w:pPr>
        <w:pStyle w:val="49"/>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48EB4A14">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5524CF12">
      <w:pPr>
        <w:pStyle w:val="49"/>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2DDDE178">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39BD40AE">
      <w:pPr>
        <w:pStyle w:val="49"/>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7CA7C372">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投标人：（盖单位章）</w:t>
      </w:r>
    </w:p>
    <w:p w14:paraId="28F5E9CC">
      <w:pPr>
        <w:pStyle w:val="49"/>
        <w:widowControl w:val="0"/>
        <w:wordWrap w:val="0"/>
        <w:adjustRightInd w:val="0"/>
        <w:snapToGrid w:val="0"/>
        <w:ind w:firstLine="0"/>
        <w:jc w:val="center"/>
        <w:rPr>
          <w:rFonts w:hAnsi="宋体" w:eastAsia="宋体" w:cs="宋体"/>
          <w:bCs/>
          <w:snapToGrid w:val="0"/>
          <w:color w:val="auto"/>
          <w:sz w:val="32"/>
          <w:highlight w:val="none"/>
        </w:rPr>
      </w:pPr>
    </w:p>
    <w:p w14:paraId="59209F55">
      <w:pPr>
        <w:pStyle w:val="49"/>
        <w:widowControl w:val="0"/>
        <w:wordWrap w:val="0"/>
        <w:adjustRightInd w:val="0"/>
        <w:snapToGrid w:val="0"/>
        <w:ind w:firstLine="0"/>
        <w:jc w:val="center"/>
        <w:rPr>
          <w:rFonts w:hAnsi="宋体" w:eastAsia="宋体" w:cs="宋体"/>
          <w:bCs/>
          <w:snapToGrid w:val="0"/>
          <w:color w:val="auto"/>
          <w:sz w:val="32"/>
          <w:highlight w:val="none"/>
        </w:rPr>
      </w:pPr>
    </w:p>
    <w:p w14:paraId="5CA4505E">
      <w:pPr>
        <w:pStyle w:val="49"/>
        <w:widowControl w:val="0"/>
        <w:wordWrap w:val="0"/>
        <w:adjustRightInd w:val="0"/>
        <w:snapToGrid w:val="0"/>
        <w:ind w:firstLine="0"/>
        <w:jc w:val="center"/>
        <w:rPr>
          <w:rFonts w:hAnsi="宋体" w:eastAsia="宋体" w:cs="宋体"/>
          <w:bCs/>
          <w:snapToGrid w:val="0"/>
          <w:color w:val="auto"/>
          <w:sz w:val="32"/>
          <w:highlight w:val="none"/>
        </w:rPr>
      </w:pPr>
    </w:p>
    <w:p w14:paraId="02583736">
      <w:pPr>
        <w:pStyle w:val="49"/>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法定代表人或其委托代理人：（签字或盖章）</w:t>
      </w:r>
    </w:p>
    <w:p w14:paraId="5BD35C12">
      <w:pPr>
        <w:pStyle w:val="49"/>
        <w:widowControl w:val="0"/>
        <w:wordWrap w:val="0"/>
        <w:adjustRightInd w:val="0"/>
        <w:snapToGrid w:val="0"/>
        <w:ind w:firstLine="0"/>
        <w:jc w:val="center"/>
        <w:rPr>
          <w:rFonts w:hAnsi="宋体" w:eastAsia="宋体" w:cs="宋体"/>
          <w:bCs/>
          <w:snapToGrid w:val="0"/>
          <w:color w:val="auto"/>
          <w:sz w:val="32"/>
          <w:highlight w:val="none"/>
        </w:rPr>
      </w:pPr>
    </w:p>
    <w:p w14:paraId="6C8504EC">
      <w:pPr>
        <w:pStyle w:val="49"/>
        <w:widowControl w:val="0"/>
        <w:wordWrap w:val="0"/>
        <w:adjustRightInd w:val="0"/>
        <w:snapToGrid w:val="0"/>
        <w:ind w:firstLine="0"/>
        <w:jc w:val="center"/>
        <w:rPr>
          <w:rFonts w:hAnsi="宋体" w:eastAsia="宋体" w:cs="宋体"/>
          <w:bCs/>
          <w:snapToGrid w:val="0"/>
          <w:color w:val="auto"/>
          <w:sz w:val="32"/>
          <w:highlight w:val="none"/>
          <w:u w:val="single"/>
        </w:rPr>
      </w:pPr>
    </w:p>
    <w:p w14:paraId="0C54AB3D">
      <w:pPr>
        <w:pStyle w:val="49"/>
        <w:widowControl w:val="0"/>
        <w:wordWrap w:val="0"/>
        <w:adjustRightInd w:val="0"/>
        <w:snapToGrid w:val="0"/>
        <w:ind w:firstLine="0"/>
        <w:jc w:val="center"/>
        <w:rPr>
          <w:rFonts w:hAnsi="宋体" w:eastAsia="宋体" w:cs="宋体"/>
          <w:b/>
          <w:snapToGrid w:val="0"/>
          <w:color w:val="auto"/>
          <w:highlight w:val="none"/>
        </w:rPr>
      </w:pP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lang w:val="en-US" w:eastAsia="zh-CN"/>
        </w:rPr>
        <w:t xml:space="preserve">  </w:t>
      </w:r>
      <w:r>
        <w:rPr>
          <w:rFonts w:hint="eastAsia" w:hAnsi="宋体" w:eastAsia="宋体" w:cs="宋体"/>
          <w:bCs/>
          <w:snapToGrid w:val="0"/>
          <w:color w:val="auto"/>
          <w:sz w:val="32"/>
          <w:highlight w:val="none"/>
        </w:rPr>
        <w:t>日</w:t>
      </w:r>
    </w:p>
    <w:p w14:paraId="3CEE3005">
      <w:pPr>
        <w:spacing w:before="120"/>
        <w:rPr>
          <w:rFonts w:hint="default" w:asciiTheme="minorEastAsia" w:hAnsiTheme="minorEastAsia" w:eastAsiaTheme="minorEastAsia" w:cstheme="minorEastAsia"/>
          <w:b/>
          <w:bCs/>
          <w:color w:val="auto"/>
          <w:szCs w:val="24"/>
          <w:highlight w:val="none"/>
        </w:rPr>
      </w:pPr>
    </w:p>
    <w:p w14:paraId="636E659B">
      <w:pPr>
        <w:spacing w:before="120"/>
        <w:rPr>
          <w:rFonts w:hint="default" w:asciiTheme="minorEastAsia" w:hAnsiTheme="minorEastAsia" w:eastAsiaTheme="minorEastAsia" w:cstheme="minorEastAsia"/>
          <w:b/>
          <w:bCs/>
          <w:color w:val="auto"/>
          <w:szCs w:val="24"/>
          <w:highlight w:val="none"/>
        </w:rPr>
      </w:pPr>
    </w:p>
    <w:p w14:paraId="4E45BF0D">
      <w:pPr>
        <w:spacing w:before="120"/>
        <w:rPr>
          <w:rFonts w:hint="default" w:asciiTheme="minorEastAsia" w:hAnsiTheme="minorEastAsia" w:eastAsiaTheme="minorEastAsia" w:cstheme="minorEastAsia"/>
          <w:b/>
          <w:bCs/>
          <w:color w:val="auto"/>
          <w:szCs w:val="24"/>
          <w:highlight w:val="none"/>
        </w:rPr>
      </w:pPr>
    </w:p>
    <w:p w14:paraId="1154E3EC">
      <w:pPr>
        <w:rPr>
          <w:rFonts w:hint="default"/>
          <w:color w:val="auto"/>
          <w:highlight w:val="none"/>
        </w:rPr>
      </w:pPr>
    </w:p>
    <w:p w14:paraId="05649FFE">
      <w:pPr>
        <w:pStyle w:val="5"/>
        <w:spacing w:before="120"/>
        <w:rPr>
          <w:rFonts w:hint="default" w:asciiTheme="minorEastAsia" w:hAnsiTheme="minorEastAsia" w:eastAsiaTheme="minorEastAsia" w:cstheme="minorEastAsia"/>
          <w:b/>
          <w:bCs/>
          <w:color w:val="auto"/>
          <w:szCs w:val="24"/>
          <w:highlight w:val="none"/>
        </w:rPr>
      </w:pPr>
      <w:bookmarkStart w:id="658" w:name="_Toc8232"/>
      <w:r>
        <w:rPr>
          <w:rFonts w:asciiTheme="minorEastAsia" w:hAnsiTheme="minorEastAsia" w:eastAsiaTheme="minorEastAsia" w:cstheme="minorEastAsia"/>
          <w:b/>
          <w:bCs/>
          <w:color w:val="auto"/>
          <w:szCs w:val="24"/>
          <w:highlight w:val="none"/>
        </w:rPr>
        <w:t xml:space="preserve">格式二 </w:t>
      </w:r>
      <w:bookmarkEnd w:id="648"/>
      <w:bookmarkEnd w:id="649"/>
      <w:bookmarkEnd w:id="650"/>
      <w:r>
        <w:rPr>
          <w:rFonts w:asciiTheme="minorEastAsia" w:hAnsiTheme="minorEastAsia" w:eastAsiaTheme="minorEastAsia" w:cstheme="minorEastAsia"/>
          <w:b/>
          <w:bCs/>
          <w:color w:val="auto"/>
          <w:szCs w:val="24"/>
          <w:highlight w:val="none"/>
        </w:rPr>
        <w:t>《投标函》及《工程项目总价表》</w:t>
      </w:r>
      <w:bookmarkEnd w:id="651"/>
      <w:bookmarkEnd w:id="652"/>
      <w:bookmarkEnd w:id="658"/>
    </w:p>
    <w:p w14:paraId="3C271060">
      <w:pPr>
        <w:pStyle w:val="6"/>
        <w:keepNext w:val="0"/>
        <w:keepLines w:val="0"/>
        <w:wordWrap w:val="0"/>
        <w:adjustRightInd w:val="0"/>
        <w:snapToGrid w:val="0"/>
        <w:spacing w:before="260" w:after="260" w:line="440" w:lineRule="exact"/>
        <w:jc w:val="center"/>
        <w:rPr>
          <w:rFonts w:asciiTheme="minorEastAsia" w:hAnsiTheme="minorEastAsia" w:eastAsiaTheme="minorEastAsia" w:cstheme="minorEastAsia"/>
          <w:snapToGrid w:val="0"/>
          <w:color w:val="auto"/>
          <w:szCs w:val="24"/>
          <w:highlight w:val="none"/>
        </w:rPr>
      </w:pPr>
      <w:bookmarkStart w:id="659" w:name="_Toc21577"/>
      <w:bookmarkStart w:id="660" w:name="_Toc8657"/>
      <w:bookmarkStart w:id="661" w:name="_Toc28636"/>
      <w:bookmarkStart w:id="662" w:name="_Toc10604"/>
      <w:bookmarkStart w:id="663" w:name="_Toc39136362"/>
      <w:bookmarkStart w:id="664" w:name="_Toc6739"/>
      <w:bookmarkStart w:id="665" w:name="_Toc29375"/>
      <w:bookmarkStart w:id="666" w:name="_Toc9280"/>
      <w:bookmarkStart w:id="667" w:name="_Toc27121"/>
      <w:bookmarkStart w:id="668" w:name="_Toc18294"/>
      <w:r>
        <w:rPr>
          <w:rFonts w:hint="eastAsia" w:asciiTheme="minorEastAsia" w:hAnsiTheme="minorEastAsia" w:eastAsiaTheme="minorEastAsia" w:cstheme="minorEastAsia"/>
          <w:snapToGrid w:val="0"/>
          <w:color w:val="auto"/>
          <w:szCs w:val="24"/>
          <w:highlight w:val="none"/>
        </w:rPr>
        <w:t>投  标  函</w:t>
      </w:r>
      <w:bookmarkEnd w:id="659"/>
      <w:bookmarkEnd w:id="660"/>
      <w:bookmarkEnd w:id="661"/>
      <w:bookmarkEnd w:id="662"/>
      <w:bookmarkEnd w:id="663"/>
      <w:bookmarkEnd w:id="664"/>
      <w:bookmarkEnd w:id="665"/>
      <w:bookmarkEnd w:id="666"/>
      <w:bookmarkEnd w:id="667"/>
      <w:bookmarkEnd w:id="668"/>
    </w:p>
    <w:p w14:paraId="584DB5ED">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1D6FD28">
      <w:pPr>
        <w:keepNext w:val="0"/>
        <w:keepLines w:val="0"/>
        <w:pageBreakBefore w:val="0"/>
        <w:widowControl w:val="0"/>
        <w:kinsoku/>
        <w:wordWrap w:val="0"/>
        <w:overflowPunct/>
        <w:topLinePunct w:val="0"/>
        <w:autoSpaceDE/>
        <w:autoSpaceDN/>
        <w:bidi w:val="0"/>
        <w:adjustRightInd w:val="0"/>
        <w:snapToGrid w:val="0"/>
        <w:spacing w:line="440" w:lineRule="exact"/>
        <w:textAlignment w:val="auto"/>
        <w:rPr>
          <w:rFonts w:hint="default"/>
          <w:color w:val="auto"/>
          <w:highlight w:val="none"/>
        </w:rPr>
      </w:pPr>
      <w:r>
        <w:rPr>
          <w:rFonts w:asciiTheme="minorEastAsia" w:hAnsiTheme="minorEastAsia" w:eastAsiaTheme="minorEastAsia" w:cstheme="minorEastAsia"/>
          <w:snapToGrid w:val="0"/>
          <w:color w:val="auto"/>
          <w:kern w:val="0"/>
          <w:szCs w:val="24"/>
          <w:highlight w:val="none"/>
        </w:rPr>
        <w:t>致：（招标人名称）</w:t>
      </w:r>
    </w:p>
    <w:p w14:paraId="168CFB9A">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color w:val="auto"/>
          <w:szCs w:val="22"/>
          <w:highlight w:val="none"/>
        </w:rPr>
      </w:pPr>
      <w:r>
        <w:rPr>
          <w:rFonts w:asciiTheme="minorEastAsia" w:hAnsiTheme="minorEastAsia" w:eastAsiaTheme="minorEastAsia" w:cstheme="minorEastAsia"/>
          <w:color w:val="auto"/>
          <w:szCs w:val="22"/>
          <w:highlight w:val="none"/>
        </w:rPr>
        <w:t>1.在研</w:t>
      </w:r>
      <w:r>
        <w:rPr>
          <w:rFonts w:asciiTheme="minorEastAsia" w:hAnsiTheme="minorEastAsia" w:eastAsiaTheme="minorEastAsia" w:cstheme="minorEastAsia"/>
          <w:color w:val="auto"/>
          <w:szCs w:val="22"/>
          <w:highlight w:val="none"/>
          <w:u w:val="none"/>
        </w:rPr>
        <w:t>究</w:t>
      </w:r>
      <w:r>
        <w:rPr>
          <w:rFonts w:asciiTheme="minorEastAsia" w:hAnsiTheme="minorEastAsia" w:eastAsiaTheme="minorEastAsia" w:cstheme="minorEastAsia"/>
          <w:color w:val="auto"/>
          <w:szCs w:val="22"/>
          <w:highlight w:val="none"/>
          <w:u w:val="single"/>
        </w:rPr>
        <w:t xml:space="preserve">        （项目名称）        </w:t>
      </w:r>
      <w:r>
        <w:rPr>
          <w:rFonts w:asciiTheme="minorEastAsia" w:hAnsiTheme="minorEastAsia" w:eastAsiaTheme="minorEastAsia" w:cstheme="minorEastAsia"/>
          <w:color w:val="auto"/>
          <w:szCs w:val="22"/>
          <w:highlight w:val="none"/>
        </w:rPr>
        <w:t>招标文件和其它相关文件，并对现场进行深入了解后，我方（即文末签名人），考虑了本企业的实力和特点，愿意接受招标文件的全部内容和条件，兹以人民币（大写）：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小写：（¥）</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的投标总价竞投本项目。</w:t>
      </w:r>
    </w:p>
    <w:p w14:paraId="4A7E6019">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2. </w:t>
      </w:r>
      <w:r>
        <w:rPr>
          <w:rFonts w:asciiTheme="minorEastAsia" w:hAnsiTheme="minorEastAsia" w:eastAsiaTheme="minorEastAsia" w:cstheme="minorEastAsia"/>
          <w:color w:val="auto"/>
          <w:szCs w:val="22"/>
          <w:highlight w:val="none"/>
        </w:rPr>
        <w:t>如果我方中标，我方保证按照合同约定的开工日期开始本项目的设计、施工，本工程设计、施工招标工期为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个日历天（其中：设计工期为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日历天，施工工期为</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日历天）内竣工，并确保工程质量达到</w:t>
      </w:r>
      <w:r>
        <w:rPr>
          <w:rFonts w:hint="eastAsia" w:asciiTheme="minorEastAsia" w:hAnsiTheme="minorEastAsia" w:eastAsiaTheme="minorEastAsia" w:cstheme="minorEastAsia"/>
          <w:color w:val="auto"/>
          <w:szCs w:val="22"/>
          <w:highlight w:val="none"/>
          <w:u w:val="single"/>
          <w:lang w:val="en-US" w:eastAsia="zh-CN"/>
        </w:rPr>
        <w:t xml:space="preserve">            </w:t>
      </w:r>
      <w:r>
        <w:rPr>
          <w:rFonts w:asciiTheme="minorEastAsia" w:hAnsiTheme="minorEastAsia" w:eastAsiaTheme="minorEastAsia" w:cstheme="minorEastAsia"/>
          <w:color w:val="auto"/>
          <w:szCs w:val="22"/>
          <w:highlight w:val="none"/>
        </w:rPr>
        <w:t>标准和维修其中的任何缺陷</w:t>
      </w:r>
      <w:r>
        <w:rPr>
          <w:rFonts w:asciiTheme="minorEastAsia" w:hAnsiTheme="minorEastAsia" w:eastAsiaTheme="minorEastAsia" w:cstheme="minorEastAsia"/>
          <w:snapToGrid w:val="0"/>
          <w:color w:val="auto"/>
          <w:kern w:val="0"/>
          <w:szCs w:val="24"/>
          <w:highlight w:val="none"/>
        </w:rPr>
        <w:t>。</w:t>
      </w:r>
    </w:p>
    <w:p w14:paraId="76A6905F">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 本投标函在你方接收我方递交的投标文件之日起、到招标文件规定的投标有效期期满前对我方具有约束力。我方随时准备接受你方发出的中标通知书。</w:t>
      </w:r>
    </w:p>
    <w:p w14:paraId="2C6AD5BE">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4．我方在此声明，我方不存在本工程招标文件所列示的“禁止投标条款”所列出的任何一种情形，并愿意承担因我方就此弄虚作假所引起的一切法律后果。</w:t>
      </w:r>
    </w:p>
    <w:p w14:paraId="18F5BB09">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5．我方在此承诺，所递交投标文件的全部内容均为真实、有效、准确的，并愿意承担因我方就此弄虚作假所引起的一切法律后果，同时理解和同意有可能被要求提供更多的资料。</w:t>
      </w:r>
    </w:p>
    <w:p w14:paraId="6C138625">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 我方理解你方不一定要接纳收到的最低投标总价或任何投标总价的投标人中标，也不要求你方解释我方是否中标的原因。</w:t>
      </w:r>
    </w:p>
    <w:p w14:paraId="1105383D">
      <w:pPr>
        <w:keepNext w:val="0"/>
        <w:keepLines w:val="0"/>
        <w:pageBreakBefore w:val="0"/>
        <w:widowControl w:val="0"/>
        <w:kinsoku/>
        <w:wordWrap w:val="0"/>
        <w:overflowPunct/>
        <w:topLinePunct w:val="0"/>
        <w:autoSpaceDE/>
        <w:autoSpaceDN/>
        <w:bidi w:val="0"/>
        <w:adjustRightInd w:val="0"/>
        <w:snapToGrid w:val="0"/>
        <w:spacing w:line="440" w:lineRule="exact"/>
        <w:ind w:firstLine="570"/>
        <w:textAlignment w:val="auto"/>
        <w:rPr>
          <w:rFonts w:hint="default" w:asciiTheme="minorEastAsia" w:hAnsiTheme="minorEastAsia" w:eastAsiaTheme="minorEastAsia" w:cstheme="minorEastAsia"/>
          <w:snapToGrid w:val="0"/>
          <w:color w:val="auto"/>
          <w:kern w:val="0"/>
          <w:szCs w:val="24"/>
          <w:highlight w:val="none"/>
        </w:rPr>
      </w:pPr>
    </w:p>
    <w:p w14:paraId="5B08FA2D">
      <w:pPr>
        <w:keepNext w:val="0"/>
        <w:keepLines w:val="0"/>
        <w:pageBreakBefore w:val="0"/>
        <w:widowControl w:val="0"/>
        <w:kinsoku/>
        <w:wordWrap w:val="0"/>
        <w:overflowPunct/>
        <w:topLinePunct w:val="0"/>
        <w:autoSpaceDE/>
        <w:autoSpaceDN/>
        <w:bidi w:val="0"/>
        <w:adjustRightInd w:val="0"/>
        <w:snapToGrid w:val="0"/>
        <w:spacing w:line="440" w:lineRule="exact"/>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投标人：（盖单位章）</w:t>
      </w:r>
    </w:p>
    <w:p w14:paraId="693B4F68">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jc w:val="righ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27A37F38">
      <w:pPr>
        <w:keepNext w:val="0"/>
        <w:keepLines w:val="0"/>
        <w:pageBreakBefore w:val="0"/>
        <w:widowControl w:val="0"/>
        <w:kinsoku/>
        <w:wordWrap w:val="0"/>
        <w:overflowPunct/>
        <w:topLinePunct w:val="0"/>
        <w:autoSpaceDE/>
        <w:autoSpaceDN/>
        <w:bidi w:val="0"/>
        <w:adjustRightInd w:val="0"/>
        <w:snapToGrid w:val="0"/>
        <w:spacing w:line="440" w:lineRule="exact"/>
        <w:ind w:firstLine="6960" w:firstLineChars="2900"/>
        <w:jc w:val="left"/>
        <w:textAlignment w:val="auto"/>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506D75C2">
      <w:pPr>
        <w:jc w:val="lef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60AA171B">
      <w:pPr>
        <w:jc w:val="left"/>
        <w:rPr>
          <w:rFonts w:hint="default" w:asciiTheme="minorEastAsia" w:hAnsiTheme="minorEastAsia" w:eastAsiaTheme="minorEastAsia" w:cstheme="minorEastAsia"/>
          <w:snapToGrid w:val="0"/>
          <w:color w:val="auto"/>
          <w:kern w:val="0"/>
          <w:szCs w:val="24"/>
          <w:highlight w:val="none"/>
        </w:rPr>
      </w:pPr>
    </w:p>
    <w:p w14:paraId="695BB7A8">
      <w:pPr>
        <w:pStyle w:val="6"/>
        <w:spacing w:before="260" w:after="260"/>
        <w:jc w:val="center"/>
        <w:rPr>
          <w:rFonts w:asciiTheme="minorEastAsia" w:hAnsiTheme="minorEastAsia" w:eastAsiaTheme="minorEastAsia" w:cstheme="minorEastAsia"/>
          <w:bCs/>
          <w:color w:val="auto"/>
          <w:szCs w:val="24"/>
          <w:highlight w:val="none"/>
        </w:rPr>
      </w:pPr>
      <w:bookmarkStart w:id="669" w:name="_Toc5052"/>
      <w:bookmarkStart w:id="670" w:name="_Toc20338"/>
      <w:bookmarkStart w:id="671" w:name="_Toc453"/>
      <w:bookmarkStart w:id="672" w:name="_Toc3900"/>
      <w:bookmarkStart w:id="673" w:name="_Toc25829"/>
      <w:bookmarkStart w:id="674" w:name="_Toc25629"/>
      <w:bookmarkStart w:id="675" w:name="_Toc39136364"/>
      <w:bookmarkStart w:id="676" w:name="_Toc7915"/>
      <w:r>
        <w:rPr>
          <w:rFonts w:hint="eastAsia" w:asciiTheme="minorEastAsia" w:hAnsiTheme="minorEastAsia" w:eastAsiaTheme="minorEastAsia" w:cstheme="minorEastAsia"/>
          <w:bCs/>
          <w:color w:val="auto"/>
          <w:szCs w:val="24"/>
          <w:highlight w:val="none"/>
        </w:rPr>
        <w:t>工程项目总价表</w:t>
      </w:r>
      <w:bookmarkEnd w:id="669"/>
      <w:bookmarkEnd w:id="670"/>
      <w:bookmarkEnd w:id="671"/>
      <w:bookmarkEnd w:id="672"/>
      <w:bookmarkEnd w:id="673"/>
      <w:bookmarkEnd w:id="674"/>
    </w:p>
    <w:tbl>
      <w:tblPr>
        <w:tblStyle w:val="24"/>
        <w:tblW w:w="94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0"/>
        <w:gridCol w:w="1440"/>
        <w:gridCol w:w="1508"/>
        <w:gridCol w:w="975"/>
        <w:gridCol w:w="1450"/>
        <w:gridCol w:w="3283"/>
      </w:tblGrid>
      <w:tr w14:paraId="5E5BC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5" w:hRule="atLeast"/>
          <w:jc w:val="center"/>
        </w:trPr>
        <w:tc>
          <w:tcPr>
            <w:tcW w:w="770" w:type="dxa"/>
            <w:vAlign w:val="center"/>
          </w:tcPr>
          <w:p w14:paraId="22AE597F">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序号</w:t>
            </w:r>
          </w:p>
        </w:tc>
        <w:tc>
          <w:tcPr>
            <w:tcW w:w="1440" w:type="dxa"/>
            <w:vAlign w:val="center"/>
          </w:tcPr>
          <w:p w14:paraId="3ABA873A">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项目名称</w:t>
            </w:r>
          </w:p>
        </w:tc>
        <w:tc>
          <w:tcPr>
            <w:tcW w:w="1508" w:type="dxa"/>
            <w:vAlign w:val="center"/>
          </w:tcPr>
          <w:p w14:paraId="4B655B3B">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计算基数（元）</w:t>
            </w:r>
          </w:p>
        </w:tc>
        <w:tc>
          <w:tcPr>
            <w:tcW w:w="975" w:type="dxa"/>
            <w:vAlign w:val="center"/>
          </w:tcPr>
          <w:p w14:paraId="40455D0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w:t>
            </w:r>
            <w:r>
              <w:rPr>
                <w:rFonts w:asciiTheme="minorEastAsia" w:hAnsiTheme="minorEastAsia" w:eastAsiaTheme="minorEastAsia" w:cstheme="minorEastAsia"/>
                <w:color w:val="auto"/>
                <w:sz w:val="24"/>
                <w:szCs w:val="24"/>
                <w:highlight w:val="none"/>
                <w:lang w:val="zh-CN"/>
              </w:rPr>
              <w:t>下</w:t>
            </w:r>
            <w:r>
              <w:rPr>
                <w:rFonts w:asciiTheme="minorEastAsia" w:hAnsiTheme="minorEastAsia" w:eastAsiaTheme="minorEastAsia" w:cstheme="minorEastAsia"/>
                <w:color w:val="auto"/>
                <w:sz w:val="24"/>
                <w:szCs w:val="24"/>
                <w:highlight w:val="none"/>
              </w:rPr>
              <w:t>浮率</w:t>
            </w:r>
          </w:p>
        </w:tc>
        <w:tc>
          <w:tcPr>
            <w:tcW w:w="1450" w:type="dxa"/>
            <w:vAlign w:val="center"/>
          </w:tcPr>
          <w:p w14:paraId="18599BD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投标报价（元）</w:t>
            </w:r>
          </w:p>
        </w:tc>
        <w:tc>
          <w:tcPr>
            <w:tcW w:w="3283" w:type="dxa"/>
            <w:vAlign w:val="center"/>
          </w:tcPr>
          <w:p w14:paraId="6E8EF986">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报价要求</w:t>
            </w:r>
          </w:p>
        </w:tc>
      </w:tr>
      <w:tr w14:paraId="2DC2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1" w:hRule="atLeast"/>
          <w:jc w:val="center"/>
        </w:trPr>
        <w:tc>
          <w:tcPr>
            <w:tcW w:w="770" w:type="dxa"/>
            <w:vAlign w:val="center"/>
          </w:tcPr>
          <w:p w14:paraId="3333C2F0">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1</w:t>
            </w:r>
          </w:p>
        </w:tc>
        <w:tc>
          <w:tcPr>
            <w:tcW w:w="1440" w:type="dxa"/>
            <w:vAlign w:val="center"/>
          </w:tcPr>
          <w:p w14:paraId="6050FF55">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设计费</w:t>
            </w:r>
          </w:p>
        </w:tc>
        <w:tc>
          <w:tcPr>
            <w:tcW w:w="1508" w:type="dxa"/>
            <w:vAlign w:val="center"/>
          </w:tcPr>
          <w:p w14:paraId="13B48B62">
            <w:pPr>
              <w:keepNext w:val="0"/>
              <w:keepLines w:val="0"/>
              <w:pageBreakBefore w:val="0"/>
              <w:widowControl/>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3D1F1F8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w:t>
            </w:r>
          </w:p>
        </w:tc>
        <w:tc>
          <w:tcPr>
            <w:tcW w:w="1450" w:type="dxa"/>
            <w:vAlign w:val="center"/>
          </w:tcPr>
          <w:p w14:paraId="6BE3157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0EBCC6E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sz w:val="24"/>
                <w:szCs w:val="24"/>
                <w:highlight w:val="none"/>
              </w:rPr>
              <w:t>设计费自行报价，结算按设计费的中标价包干不作任何调整。设计费的报价应包含各个不同专业的设计费用、进行优化设计或修改设计所增加的设计费用、各项专家评审的专家费用、预算编制费等</w:t>
            </w:r>
            <w:r>
              <w:rPr>
                <w:rFonts w:hint="eastAsia" w:asciiTheme="minorEastAsia" w:hAnsiTheme="minorEastAsia" w:eastAsiaTheme="minorEastAsia" w:cstheme="minorEastAsia"/>
                <w:color w:val="auto"/>
                <w:sz w:val="24"/>
                <w:szCs w:val="24"/>
                <w:highlight w:val="none"/>
              </w:rPr>
              <w:t>（不含第三方施工图审查费）</w:t>
            </w:r>
            <w:r>
              <w:rPr>
                <w:rFonts w:asciiTheme="minorEastAsia" w:hAnsiTheme="minorEastAsia" w:eastAsiaTheme="minorEastAsia" w:cstheme="minorEastAsia"/>
                <w:color w:val="auto"/>
                <w:sz w:val="24"/>
                <w:szCs w:val="24"/>
                <w:highlight w:val="none"/>
              </w:rPr>
              <w:t>。</w:t>
            </w:r>
          </w:p>
        </w:tc>
      </w:tr>
      <w:tr w14:paraId="48F6F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jc w:val="center"/>
        </w:trPr>
        <w:tc>
          <w:tcPr>
            <w:tcW w:w="770" w:type="dxa"/>
            <w:vAlign w:val="center"/>
          </w:tcPr>
          <w:p w14:paraId="315A987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2</w:t>
            </w:r>
          </w:p>
        </w:tc>
        <w:tc>
          <w:tcPr>
            <w:tcW w:w="1440" w:type="dxa"/>
            <w:vAlign w:val="center"/>
          </w:tcPr>
          <w:p w14:paraId="3E284DD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建安工程费</w:t>
            </w:r>
          </w:p>
        </w:tc>
        <w:tc>
          <w:tcPr>
            <w:tcW w:w="1508" w:type="dxa"/>
            <w:vAlign w:val="center"/>
          </w:tcPr>
          <w:p w14:paraId="53DFF8B1">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4BE4ED91">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sz w:val="24"/>
                <w:szCs w:val="24"/>
                <w:highlight w:val="none"/>
              </w:rPr>
              <w:t>%</w:t>
            </w:r>
          </w:p>
        </w:tc>
        <w:tc>
          <w:tcPr>
            <w:tcW w:w="1450" w:type="dxa"/>
            <w:vAlign w:val="center"/>
          </w:tcPr>
          <w:p w14:paraId="1C97A22A">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p>
        </w:tc>
        <w:tc>
          <w:tcPr>
            <w:tcW w:w="3283" w:type="dxa"/>
            <w:vAlign w:val="center"/>
          </w:tcPr>
          <w:p w14:paraId="6D317550">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zh-CN"/>
              </w:rPr>
            </w:pPr>
            <w:r>
              <w:rPr>
                <w:rFonts w:asciiTheme="minorEastAsia" w:hAnsiTheme="minorEastAsia" w:eastAsiaTheme="minorEastAsia" w:cstheme="minorEastAsia"/>
                <w:color w:val="auto"/>
                <w:sz w:val="24"/>
                <w:szCs w:val="24"/>
                <w:highlight w:val="none"/>
              </w:rPr>
              <w:t>建安工程费下浮率≥</w:t>
            </w:r>
            <w:r>
              <w:rPr>
                <w:rFonts w:hint="eastAsia" w:asciiTheme="minorEastAsia" w:hAnsiTheme="minorEastAsia" w:eastAsiaTheme="minorEastAsia" w:cstheme="minorEastAsia"/>
                <w:color w:val="auto"/>
                <w:sz w:val="24"/>
                <w:szCs w:val="24"/>
                <w:highlight w:val="none"/>
                <w:lang w:val="en-US" w:eastAsia="zh-CN"/>
              </w:rPr>
              <w:t>5.00</w:t>
            </w:r>
            <w:r>
              <w:rPr>
                <w:rFonts w:asciiTheme="minorEastAsia" w:hAnsiTheme="minorEastAsia" w:eastAsiaTheme="minorEastAsia" w:cstheme="minorEastAsia"/>
                <w:color w:val="auto"/>
                <w:sz w:val="24"/>
                <w:szCs w:val="24"/>
                <w:highlight w:val="none"/>
              </w:rPr>
              <w:t>%。</w:t>
            </w:r>
          </w:p>
        </w:tc>
      </w:tr>
      <w:tr w14:paraId="288EE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1" w:hRule="atLeast"/>
          <w:jc w:val="center"/>
        </w:trPr>
        <w:tc>
          <w:tcPr>
            <w:tcW w:w="770" w:type="dxa"/>
            <w:vAlign w:val="center"/>
          </w:tcPr>
          <w:p w14:paraId="0CE17177">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3</w:t>
            </w:r>
          </w:p>
        </w:tc>
        <w:tc>
          <w:tcPr>
            <w:tcW w:w="1440" w:type="dxa"/>
            <w:vAlign w:val="center"/>
          </w:tcPr>
          <w:p w14:paraId="251C290B">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预备费</w:t>
            </w:r>
          </w:p>
        </w:tc>
        <w:tc>
          <w:tcPr>
            <w:tcW w:w="1508" w:type="dxa"/>
            <w:vAlign w:val="center"/>
          </w:tcPr>
          <w:p w14:paraId="55E554D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lang w:val="en-US" w:eastAsia="zh-CN"/>
              </w:rPr>
            </w:pPr>
          </w:p>
        </w:tc>
        <w:tc>
          <w:tcPr>
            <w:tcW w:w="975" w:type="dxa"/>
            <w:vAlign w:val="center"/>
          </w:tcPr>
          <w:p w14:paraId="1DB230D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p>
        </w:tc>
        <w:tc>
          <w:tcPr>
            <w:tcW w:w="1450" w:type="dxa"/>
            <w:vAlign w:val="center"/>
          </w:tcPr>
          <w:p w14:paraId="599FB49D">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2AE6DB98">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sz w:val="24"/>
                <w:szCs w:val="24"/>
                <w:highlight w:val="none"/>
              </w:rPr>
              <w:t>统一报价，按实际发生结算。</w:t>
            </w:r>
          </w:p>
        </w:tc>
      </w:tr>
      <w:tr w14:paraId="435E8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2210" w:type="dxa"/>
            <w:gridSpan w:val="2"/>
            <w:vAlign w:val="center"/>
          </w:tcPr>
          <w:p w14:paraId="508B3A4B">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合计</w:t>
            </w: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2+3</w:t>
            </w:r>
            <w:r>
              <w:rPr>
                <w:rFonts w:hint="eastAsia" w:asciiTheme="minorEastAsia" w:hAnsiTheme="minorEastAsia" w:eastAsiaTheme="minorEastAsia" w:cstheme="minorEastAsia"/>
                <w:color w:val="auto"/>
                <w:kern w:val="0"/>
                <w:sz w:val="24"/>
                <w:szCs w:val="24"/>
                <w:highlight w:val="none"/>
              </w:rPr>
              <w:t>）</w:t>
            </w:r>
          </w:p>
        </w:tc>
        <w:tc>
          <w:tcPr>
            <w:tcW w:w="1508" w:type="dxa"/>
            <w:vAlign w:val="center"/>
          </w:tcPr>
          <w:p w14:paraId="2135EE0B">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lang w:val="en-US" w:eastAsia="zh-CN"/>
              </w:rPr>
            </w:pPr>
          </w:p>
        </w:tc>
        <w:tc>
          <w:tcPr>
            <w:tcW w:w="975" w:type="dxa"/>
            <w:vAlign w:val="center"/>
          </w:tcPr>
          <w:p w14:paraId="5A82CF84">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sz w:val="24"/>
                <w:szCs w:val="24"/>
                <w:highlight w:val="none"/>
              </w:rPr>
            </w:pPr>
            <w:r>
              <w:rPr>
                <w:rFonts w:asciiTheme="minorEastAsia" w:hAnsiTheme="minorEastAsia" w:eastAsiaTheme="minorEastAsia" w:cstheme="minorEastAsia"/>
                <w:color w:val="auto"/>
                <w:kern w:val="1"/>
                <w:sz w:val="24"/>
                <w:szCs w:val="24"/>
                <w:highlight w:val="none"/>
              </w:rPr>
              <w:t>/</w:t>
            </w:r>
          </w:p>
        </w:tc>
        <w:tc>
          <w:tcPr>
            <w:tcW w:w="1450" w:type="dxa"/>
            <w:vAlign w:val="center"/>
          </w:tcPr>
          <w:p w14:paraId="369D1423">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right"/>
              <w:textAlignment w:val="auto"/>
              <w:rPr>
                <w:rFonts w:hint="default" w:asciiTheme="minorEastAsia" w:hAnsiTheme="minorEastAsia" w:eastAsiaTheme="minorEastAsia" w:cstheme="minorEastAsia"/>
                <w:color w:val="auto"/>
                <w:sz w:val="24"/>
                <w:szCs w:val="24"/>
                <w:highlight w:val="none"/>
              </w:rPr>
            </w:pPr>
          </w:p>
        </w:tc>
        <w:tc>
          <w:tcPr>
            <w:tcW w:w="3283" w:type="dxa"/>
            <w:vAlign w:val="center"/>
          </w:tcPr>
          <w:p w14:paraId="602C6655">
            <w:pPr>
              <w:keepNext w:val="0"/>
              <w:keepLines w:val="0"/>
              <w:pageBreakBefore w:val="0"/>
              <w:suppressLineNumbers w:val="0"/>
              <w:kinsoku/>
              <w:overflowPunct/>
              <w:topLinePunct w:val="0"/>
              <w:autoSpaceDE/>
              <w:autoSpaceDN/>
              <w:bidi w:val="0"/>
              <w:spacing w:before="0" w:beforeAutospacing="0" w:after="0" w:afterAutospacing="0" w:line="440" w:lineRule="exact"/>
              <w:ind w:left="0" w:right="0"/>
              <w:jc w:val="center"/>
              <w:textAlignment w:val="auto"/>
              <w:rPr>
                <w:rFonts w:hint="default" w:asciiTheme="minorEastAsia" w:hAnsiTheme="minorEastAsia" w:eastAsiaTheme="minorEastAsia" w:cstheme="minorEastAsia"/>
                <w:color w:val="auto"/>
                <w:kern w:val="1"/>
                <w:sz w:val="24"/>
                <w:szCs w:val="24"/>
                <w:highlight w:val="none"/>
              </w:rPr>
            </w:pPr>
            <w:r>
              <w:rPr>
                <w:rFonts w:asciiTheme="minorEastAsia" w:hAnsiTheme="minorEastAsia" w:eastAsiaTheme="minorEastAsia" w:cstheme="minorEastAsia"/>
                <w:color w:val="auto"/>
                <w:kern w:val="1"/>
                <w:sz w:val="24"/>
                <w:szCs w:val="24"/>
                <w:highlight w:val="none"/>
              </w:rPr>
              <w:t>/</w:t>
            </w:r>
          </w:p>
        </w:tc>
      </w:tr>
    </w:tbl>
    <w:p w14:paraId="2B98D3CE">
      <w:pPr>
        <w:rPr>
          <w:rFonts w:hint="default" w:asciiTheme="minorEastAsia" w:hAnsiTheme="minorEastAsia" w:eastAsiaTheme="minorEastAsia" w:cstheme="minorEastAsia"/>
          <w:color w:val="auto"/>
          <w:szCs w:val="24"/>
          <w:highlight w:val="none"/>
        </w:rPr>
      </w:pPr>
    </w:p>
    <w:p w14:paraId="2BB29A4B">
      <w:pPr>
        <w:wordWrap w:val="0"/>
        <w:adjustRightInd w:val="0"/>
        <w:snapToGrid w:val="0"/>
        <w:spacing w:line="440" w:lineRule="exact"/>
        <w:rPr>
          <w:rFonts w:hint="default" w:asciiTheme="minorEastAsia" w:hAnsiTheme="minorEastAsia" w:eastAsiaTheme="minorEastAsia" w:cstheme="minorEastAsia"/>
          <w:snapToGrid w:val="0"/>
          <w:color w:val="auto"/>
          <w:szCs w:val="24"/>
          <w:highlight w:val="none"/>
        </w:rPr>
      </w:pPr>
      <w:r>
        <w:rPr>
          <w:rFonts w:asciiTheme="minorEastAsia" w:hAnsiTheme="minorEastAsia" w:eastAsiaTheme="minorEastAsia" w:cstheme="minorEastAsia"/>
          <w:snapToGrid w:val="0"/>
          <w:color w:val="auto"/>
          <w:szCs w:val="24"/>
          <w:highlight w:val="none"/>
        </w:rPr>
        <w:t>注：投标报价及投标费率均按“四舍五入”原则精确到两位小数，建安工程费投标报价=计算基数×（1-下浮率）。</w:t>
      </w:r>
    </w:p>
    <w:p w14:paraId="59BD50AC">
      <w:pPr>
        <w:pStyle w:val="8"/>
        <w:ind w:firstLine="0"/>
        <w:rPr>
          <w:rFonts w:hint="default" w:asciiTheme="minorEastAsia" w:hAnsiTheme="minorEastAsia" w:eastAsiaTheme="minorEastAsia" w:cstheme="minorEastAsia"/>
          <w:snapToGrid w:val="0"/>
          <w:color w:val="auto"/>
          <w:sz w:val="24"/>
          <w:szCs w:val="24"/>
          <w:highlight w:val="none"/>
        </w:rPr>
      </w:pPr>
    </w:p>
    <w:p w14:paraId="4825BC34">
      <w:pPr>
        <w:wordWrap w:val="0"/>
        <w:adjustRightInd w:val="0"/>
        <w:snapToGrid w:val="0"/>
        <w:spacing w:line="276" w:lineRule="auto"/>
        <w:jc w:val="right"/>
        <w:rPr>
          <w:rFonts w:hint="default" w:asciiTheme="minorEastAsia" w:hAnsiTheme="minorEastAsia" w:eastAsiaTheme="minorEastAsia" w:cstheme="minorEastAsia"/>
          <w:snapToGrid w:val="0"/>
          <w:color w:val="auto"/>
          <w:kern w:val="0"/>
          <w:szCs w:val="24"/>
          <w:highlight w:val="none"/>
        </w:rPr>
      </w:pPr>
    </w:p>
    <w:p w14:paraId="1C597A38">
      <w:pPr>
        <w:rPr>
          <w:rFonts w:hint="default" w:asciiTheme="minorEastAsia" w:hAnsiTheme="minorEastAsia" w:eastAsiaTheme="minorEastAsia" w:cstheme="minorEastAsia"/>
          <w:color w:val="auto"/>
          <w:highlight w:val="none"/>
        </w:rPr>
      </w:pPr>
    </w:p>
    <w:p w14:paraId="36FB0E4F">
      <w:pPr>
        <w:wordWrap w:val="0"/>
        <w:adjustRightInd w:val="0"/>
        <w:snapToGrid w:val="0"/>
        <w:spacing w:line="276" w:lineRule="auto"/>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1C2BA791">
      <w:pPr>
        <w:wordWrap w:val="0"/>
        <w:adjustRightInd w:val="0"/>
        <w:snapToGrid w:val="0"/>
        <w:spacing w:line="276" w:lineRule="auto"/>
        <w:jc w:val="right"/>
        <w:rPr>
          <w:rFonts w:hint="default" w:hAnsi="宋体" w:eastAsia="宋体" w:cs="宋体"/>
          <w:snapToGrid w:val="0"/>
          <w:color w:val="auto"/>
          <w:kern w:val="0"/>
          <w:szCs w:val="24"/>
          <w:highlight w:val="none"/>
        </w:rPr>
      </w:pPr>
    </w:p>
    <w:p w14:paraId="0AB7C415">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19B4D0F0">
      <w:pPr>
        <w:wordWrap w:val="0"/>
        <w:adjustRightInd w:val="0"/>
        <w:snapToGrid w:val="0"/>
        <w:spacing w:line="276" w:lineRule="auto"/>
        <w:ind w:firstLine="480" w:firstLineChars="200"/>
        <w:jc w:val="right"/>
        <w:rPr>
          <w:rFonts w:hint="default" w:hAnsi="宋体" w:eastAsia="宋体" w:cs="宋体"/>
          <w:snapToGrid w:val="0"/>
          <w:color w:val="auto"/>
          <w:kern w:val="0"/>
          <w:szCs w:val="24"/>
          <w:highlight w:val="none"/>
        </w:rPr>
      </w:pPr>
    </w:p>
    <w:p w14:paraId="34660FEF">
      <w:pPr>
        <w:spacing w:line="276" w:lineRule="auto"/>
        <w:ind w:firstLine="7200" w:firstLineChars="3000"/>
        <w:rPr>
          <w:rFonts w:hint="default" w:asciiTheme="minorEastAsia" w:hAnsiTheme="minorEastAsia" w:eastAsiaTheme="minorEastAsia" w:cstheme="minorEastAsia"/>
          <w:color w:val="auto"/>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r>
        <w:rPr>
          <w:rFonts w:hAnsi="宋体" w:eastAsia="宋体" w:cs="宋体"/>
          <w:snapToGrid w:val="0"/>
          <w:color w:val="auto"/>
          <w:kern w:val="0"/>
          <w:szCs w:val="24"/>
          <w:highlight w:val="none"/>
        </w:rPr>
        <w:t>年</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月</w:t>
      </w:r>
      <w:r>
        <w:rPr>
          <w:rFonts w:hint="eastAsia" w:hAnsi="宋体" w:eastAsia="宋体" w:cs="宋体"/>
          <w:snapToGrid w:val="0"/>
          <w:color w:val="auto"/>
          <w:kern w:val="0"/>
          <w:szCs w:val="24"/>
          <w:highlight w:val="none"/>
          <w:lang w:val="en-US" w:eastAsia="zh-CN"/>
        </w:rPr>
        <w:t xml:space="preserve">  </w:t>
      </w:r>
      <w:r>
        <w:rPr>
          <w:rFonts w:hAnsi="宋体" w:eastAsia="宋体" w:cs="宋体"/>
          <w:snapToGrid w:val="0"/>
          <w:color w:val="auto"/>
          <w:kern w:val="0"/>
          <w:szCs w:val="24"/>
          <w:highlight w:val="none"/>
        </w:rPr>
        <w:t>日</w:t>
      </w:r>
    </w:p>
    <w:p w14:paraId="59EF5ECE">
      <w:pPr>
        <w:pStyle w:val="5"/>
        <w:spacing w:before="120"/>
        <w:rPr>
          <w:rStyle w:val="61"/>
          <w:rFonts w:hint="default" w:asciiTheme="minorEastAsia" w:hAnsiTheme="minorEastAsia" w:eastAsiaTheme="minorEastAsia" w:cstheme="minorEastAsia"/>
          <w:color w:val="auto"/>
          <w:sz w:val="24"/>
          <w:szCs w:val="24"/>
          <w:highlight w:val="none"/>
        </w:rPr>
      </w:pPr>
      <w:bookmarkStart w:id="677" w:name="_Toc28529"/>
      <w:bookmarkStart w:id="678" w:name="_Toc29234"/>
      <w:bookmarkStart w:id="679" w:name="_Toc919"/>
      <w:bookmarkStart w:id="680" w:name="_Toc20987"/>
      <w:bookmarkStart w:id="681" w:name="_Toc32555"/>
      <w:bookmarkStart w:id="682" w:name="_Toc1017"/>
      <w:bookmarkStart w:id="683" w:name="_Toc21928"/>
      <w:r>
        <w:rPr>
          <w:rStyle w:val="61"/>
          <w:rFonts w:asciiTheme="minorEastAsia" w:hAnsiTheme="minorEastAsia" w:eastAsiaTheme="minorEastAsia" w:cstheme="minorEastAsia"/>
          <w:color w:val="auto"/>
          <w:sz w:val="24"/>
          <w:szCs w:val="24"/>
          <w:highlight w:val="none"/>
        </w:rPr>
        <w:t>格式三 各项</w:t>
      </w:r>
      <w:r>
        <w:rPr>
          <w:rFonts w:asciiTheme="minorEastAsia" w:hAnsiTheme="minorEastAsia" w:eastAsiaTheme="minorEastAsia" w:cstheme="minorEastAsia"/>
          <w:b/>
          <w:bCs/>
          <w:color w:val="auto"/>
          <w:szCs w:val="24"/>
          <w:highlight w:val="none"/>
        </w:rPr>
        <w:t>承诺</w:t>
      </w:r>
      <w:r>
        <w:rPr>
          <w:rStyle w:val="61"/>
          <w:rFonts w:asciiTheme="minorEastAsia" w:hAnsiTheme="minorEastAsia" w:eastAsiaTheme="minorEastAsia" w:cstheme="minorEastAsia"/>
          <w:color w:val="auto"/>
          <w:sz w:val="24"/>
          <w:szCs w:val="24"/>
          <w:highlight w:val="none"/>
        </w:rPr>
        <w:t>一览表</w:t>
      </w:r>
      <w:bookmarkEnd w:id="675"/>
      <w:bookmarkEnd w:id="676"/>
      <w:bookmarkEnd w:id="677"/>
      <w:bookmarkEnd w:id="678"/>
      <w:bookmarkEnd w:id="679"/>
      <w:bookmarkEnd w:id="680"/>
    </w:p>
    <w:bookmarkEnd w:id="681"/>
    <w:bookmarkEnd w:id="682"/>
    <w:bookmarkEnd w:id="683"/>
    <w:p w14:paraId="6240AFDA">
      <w:pPr>
        <w:spacing w:line="480" w:lineRule="auto"/>
        <w:jc w:val="center"/>
        <w:rPr>
          <w:rFonts w:hint="default" w:asciiTheme="minorEastAsia" w:hAnsiTheme="minorEastAsia" w:eastAsiaTheme="minorEastAsia" w:cstheme="minorEastAsia"/>
          <w:b/>
          <w:bCs/>
          <w:color w:val="auto"/>
          <w:szCs w:val="24"/>
          <w:highlight w:val="none"/>
        </w:rPr>
      </w:pPr>
      <w:bookmarkStart w:id="684" w:name="_Toc39136365"/>
      <w:bookmarkStart w:id="685" w:name="_Toc20729"/>
      <w:bookmarkStart w:id="686" w:name="_Toc21521"/>
      <w:bookmarkStart w:id="687" w:name="_Toc30877"/>
      <w:bookmarkStart w:id="688" w:name="_Toc16438"/>
      <w:bookmarkStart w:id="689" w:name="_Toc15279"/>
      <w:bookmarkStart w:id="690" w:name="_Toc18136"/>
      <w:bookmarkStart w:id="691" w:name="_Toc31113"/>
      <w:r>
        <w:rPr>
          <w:rFonts w:asciiTheme="minorEastAsia" w:hAnsiTheme="minorEastAsia" w:eastAsiaTheme="minorEastAsia" w:cstheme="minorEastAsia"/>
          <w:b/>
          <w:bCs/>
          <w:color w:val="auto"/>
          <w:szCs w:val="24"/>
          <w:highlight w:val="none"/>
        </w:rPr>
        <w:t>各项承诺一览表</w:t>
      </w:r>
      <w:bookmarkEnd w:id="684"/>
      <w:bookmarkEnd w:id="685"/>
      <w:bookmarkEnd w:id="686"/>
      <w:bookmarkEnd w:id="687"/>
    </w:p>
    <w:bookmarkEnd w:id="688"/>
    <w:bookmarkEnd w:id="689"/>
    <w:bookmarkEnd w:id="690"/>
    <w:bookmarkEnd w:id="691"/>
    <w:tbl>
      <w:tblPr>
        <w:tblStyle w:val="24"/>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7"/>
        <w:gridCol w:w="1133"/>
        <w:gridCol w:w="3166"/>
        <w:gridCol w:w="5022"/>
      </w:tblGrid>
      <w:tr w14:paraId="3C46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617" w:type="dxa"/>
          </w:tcPr>
          <w:p w14:paraId="5718F835">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133" w:type="dxa"/>
          </w:tcPr>
          <w:p w14:paraId="47D3870E">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承诺标题</w:t>
            </w:r>
          </w:p>
        </w:tc>
        <w:tc>
          <w:tcPr>
            <w:tcW w:w="3166" w:type="dxa"/>
          </w:tcPr>
          <w:p w14:paraId="4BA74D0A">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承诺内容</w:t>
            </w:r>
          </w:p>
        </w:tc>
        <w:tc>
          <w:tcPr>
            <w:tcW w:w="5022" w:type="dxa"/>
            <w:tcBorders>
              <w:bottom w:val="single" w:color="auto" w:sz="4" w:space="0"/>
            </w:tcBorders>
          </w:tcPr>
          <w:p w14:paraId="790CF818">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违约承诺</w:t>
            </w:r>
          </w:p>
        </w:tc>
      </w:tr>
      <w:tr w14:paraId="37D8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vAlign w:val="center"/>
          </w:tcPr>
          <w:p w14:paraId="2FCBE1E0">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133" w:type="dxa"/>
            <w:vAlign w:val="center"/>
          </w:tcPr>
          <w:p w14:paraId="388982BB">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对招标文件条款自愿接受承诺书</w:t>
            </w:r>
          </w:p>
        </w:tc>
        <w:tc>
          <w:tcPr>
            <w:tcW w:w="3166" w:type="dxa"/>
            <w:vAlign w:val="center"/>
          </w:tcPr>
          <w:p w14:paraId="619F02EB">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我方保证接受招标文件的所有条款，响应招标文件的</w:t>
            </w:r>
            <w:bookmarkStart w:id="692" w:name="_Hlt66510765"/>
            <w:bookmarkEnd w:id="692"/>
            <w:r>
              <w:rPr>
                <w:rFonts w:hint="eastAsia" w:asciiTheme="minorEastAsia" w:hAnsiTheme="minorEastAsia" w:eastAsiaTheme="minorEastAsia" w:cstheme="minorEastAsia"/>
                <w:color w:val="auto"/>
                <w:sz w:val="21"/>
                <w:szCs w:val="21"/>
                <w:highlight w:val="none"/>
              </w:rPr>
              <w:t>所有要求，并同意招标文件为施工承包合同的组成部分</w:t>
            </w:r>
          </w:p>
        </w:tc>
        <w:tc>
          <w:tcPr>
            <w:tcW w:w="5022" w:type="dxa"/>
            <w:tcBorders>
              <w:tr2bl w:val="single" w:color="auto" w:sz="4" w:space="0"/>
            </w:tcBorders>
            <w:vAlign w:val="center"/>
          </w:tcPr>
          <w:p w14:paraId="5CC5BDFC">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p>
        </w:tc>
      </w:tr>
      <w:tr w14:paraId="386E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41426082">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w:t>
            </w:r>
          </w:p>
        </w:tc>
        <w:tc>
          <w:tcPr>
            <w:tcW w:w="1133" w:type="dxa"/>
            <w:vAlign w:val="center"/>
          </w:tcPr>
          <w:p w14:paraId="35232A05">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5E059F32">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情形的承诺</w:t>
            </w:r>
          </w:p>
        </w:tc>
        <w:tc>
          <w:tcPr>
            <w:tcW w:w="3166" w:type="dxa"/>
            <w:vAlign w:val="center"/>
          </w:tcPr>
          <w:p w14:paraId="09374340">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022" w:type="dxa"/>
            <w:vAlign w:val="center"/>
          </w:tcPr>
          <w:p w14:paraId="54C0F8EB">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D79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2AA75642">
            <w:pPr>
              <w:pStyle w:val="37"/>
              <w:keepNext w:val="0"/>
              <w:keepLines w:val="0"/>
              <w:suppressLineNumbers w:val="0"/>
              <w:spacing w:before="0" w:beforeAutospacing="0" w:after="0" w:afterAutospacing="0" w:line="38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3</w:t>
            </w:r>
          </w:p>
        </w:tc>
        <w:tc>
          <w:tcPr>
            <w:tcW w:w="1133" w:type="dxa"/>
            <w:vAlign w:val="center"/>
          </w:tcPr>
          <w:p w14:paraId="614DD660">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自觉抵制围标串标和弄虚作假行为的承诺</w:t>
            </w:r>
          </w:p>
        </w:tc>
        <w:tc>
          <w:tcPr>
            <w:tcW w:w="3166" w:type="dxa"/>
            <w:vAlign w:val="center"/>
          </w:tcPr>
          <w:p w14:paraId="2AAAE235">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022" w:type="dxa"/>
            <w:vAlign w:val="center"/>
          </w:tcPr>
          <w:p w14:paraId="7F30AFCC">
            <w:pPr>
              <w:pStyle w:val="63"/>
              <w:keepNext w:val="0"/>
              <w:keepLines w:val="0"/>
              <w:suppressLineNumbers w:val="0"/>
              <w:wordWrap w:val="0"/>
              <w:adjustRightInd w:val="0"/>
              <w:snapToGrid w:val="0"/>
              <w:spacing w:before="0" w:beforeAutospacing="0" w:after="0" w:afterAutospacing="0" w:line="380" w:lineRule="exact"/>
              <w:ind w:left="0" w:right="0"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2460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3666229C">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4</w:t>
            </w:r>
          </w:p>
        </w:tc>
        <w:tc>
          <w:tcPr>
            <w:tcW w:w="1133" w:type="dxa"/>
            <w:vAlign w:val="center"/>
          </w:tcPr>
          <w:p w14:paraId="59850FDB">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履约保证金承诺书</w:t>
            </w:r>
          </w:p>
        </w:tc>
        <w:tc>
          <w:tcPr>
            <w:tcW w:w="3166" w:type="dxa"/>
            <w:vAlign w:val="center"/>
          </w:tcPr>
          <w:p w14:paraId="2881196E">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如果我方中标，</w:t>
            </w:r>
            <w:r>
              <w:rPr>
                <w:rFonts w:hint="eastAsia" w:asciiTheme="minorEastAsia" w:hAnsiTheme="minorEastAsia" w:eastAsiaTheme="minorEastAsia" w:cstheme="minorEastAsia"/>
                <w:color w:val="auto"/>
                <w:sz w:val="21"/>
                <w:szCs w:val="21"/>
                <w:highlight w:val="none"/>
              </w:rPr>
              <w:t>我方保证按时缴纳全部履约保证金</w:t>
            </w:r>
            <w:bookmarkStart w:id="693" w:name="_Hlt104711307"/>
            <w:bookmarkEnd w:id="693"/>
          </w:p>
        </w:tc>
        <w:tc>
          <w:tcPr>
            <w:tcW w:w="5022" w:type="dxa"/>
            <w:vAlign w:val="center"/>
          </w:tcPr>
          <w:p w14:paraId="1359DDD6">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在施工过程中，如由于我方自身的资金、技术、质量、非不可抗力等原因给招标人造成损失时，或未能按招标文件所承诺的各项承诺完成时，我方同意扣除全部履约保证金，并承担由此引起的所有责任。</w:t>
            </w:r>
          </w:p>
        </w:tc>
      </w:tr>
      <w:tr w14:paraId="7724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0" w:hRule="atLeast"/>
          <w:jc w:val="center"/>
        </w:trPr>
        <w:tc>
          <w:tcPr>
            <w:tcW w:w="617" w:type="dxa"/>
            <w:shd w:val="clear" w:color="auto" w:fill="auto"/>
            <w:vAlign w:val="center"/>
          </w:tcPr>
          <w:p w14:paraId="7F954B92">
            <w:pPr>
              <w:pStyle w:val="50"/>
              <w:keepNext w:val="0"/>
              <w:keepLines w:val="0"/>
              <w:suppressLineNumbers w:val="0"/>
              <w:wordWrap w:val="0"/>
              <w:adjustRightInd w:val="0"/>
              <w:snapToGrid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snapToGrid w:val="0"/>
                <w:color w:val="auto"/>
                <w:kern w:val="0"/>
                <w:szCs w:val="21"/>
                <w:highlight w:val="none"/>
              </w:rPr>
              <w:t>5</w:t>
            </w:r>
          </w:p>
        </w:tc>
        <w:tc>
          <w:tcPr>
            <w:tcW w:w="1133" w:type="dxa"/>
            <w:vAlign w:val="center"/>
          </w:tcPr>
          <w:p w14:paraId="5B6CACBD">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工期、进度承诺书</w:t>
            </w:r>
          </w:p>
        </w:tc>
        <w:tc>
          <w:tcPr>
            <w:tcW w:w="3166" w:type="dxa"/>
            <w:vAlign w:val="center"/>
          </w:tcPr>
          <w:p w14:paraId="4B5C70BD">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日历天内（其中：设计工期为：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日历天；施工工期为：</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日历天内）完成工程设计、施工并通过竣工验收。</w:t>
            </w:r>
          </w:p>
          <w:p w14:paraId="4FDA0A43">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我方保证各分部、分项工程的施工进度按我方投标文件中的施工进度计划完成施工任务。</w:t>
            </w:r>
          </w:p>
        </w:tc>
        <w:tc>
          <w:tcPr>
            <w:tcW w:w="5022" w:type="dxa"/>
            <w:vAlign w:val="center"/>
          </w:tcPr>
          <w:p w14:paraId="71CE8398">
            <w:pPr>
              <w:pStyle w:val="12"/>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 w:val="21"/>
                <w:szCs w:val="20"/>
                <w:highlight w:val="none"/>
              </w:rPr>
            </w:pPr>
            <w:r>
              <w:rPr>
                <w:rFonts w:asciiTheme="minorEastAsia" w:hAnsiTheme="minorEastAsia" w:eastAsiaTheme="minorEastAsia" w:cstheme="minorEastAsia"/>
                <w:color w:val="auto"/>
                <w:sz w:val="21"/>
                <w:szCs w:val="21"/>
                <w:highlight w:val="none"/>
              </w:rPr>
              <w:t>若因我方原因，没有按期完成设计任务、工程没有按期竣工时，我方在逾期第壹天起每天分别按设计、施工合同价款的1.5‰向招标人缴纳逾期违约金，分别累计最高不超过设计、施工合同价款的10%向招标人缴纳逾期违约金。</w:t>
            </w:r>
          </w:p>
          <w:p w14:paraId="63775961">
            <w:pPr>
              <w:pStyle w:val="12"/>
              <w:keepNext w:val="0"/>
              <w:keepLines w:val="0"/>
              <w:suppressLineNumbers w:val="0"/>
              <w:spacing w:before="0" w:beforeAutospacing="0" w:after="0" w:afterAutospacing="0" w:line="360" w:lineRule="exact"/>
              <w:ind w:left="0" w:right="0" w:firstLine="210" w:firstLineChars="100"/>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 w:val="21"/>
                <w:szCs w:val="21"/>
                <w:highlight w:val="none"/>
              </w:rPr>
              <w:t xml:space="preserve">   若因我方原因，各分部、分项工程的施工进度未能按我方投标文件中的施工进度计划完成施工任务，延期达到30日历天，招标人有权终止合同。我方愿意承担所有由此引起的责任及经济损失。</w:t>
            </w:r>
          </w:p>
        </w:tc>
      </w:tr>
      <w:tr w14:paraId="4F63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0" w:hRule="atLeast"/>
          <w:jc w:val="center"/>
        </w:trPr>
        <w:tc>
          <w:tcPr>
            <w:tcW w:w="617" w:type="dxa"/>
            <w:shd w:val="clear" w:color="auto" w:fill="auto"/>
            <w:vAlign w:val="center"/>
          </w:tcPr>
          <w:p w14:paraId="4A7B1872">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6</w:t>
            </w:r>
          </w:p>
        </w:tc>
        <w:tc>
          <w:tcPr>
            <w:tcW w:w="1133" w:type="dxa"/>
            <w:vAlign w:val="center"/>
          </w:tcPr>
          <w:p w14:paraId="64425448">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bookmarkStart w:id="694" w:name="_Hlt98038044"/>
            <w:r>
              <w:rPr>
                <w:rFonts w:hint="eastAsia" w:asciiTheme="minorEastAsia" w:hAnsiTheme="minorEastAsia" w:eastAsiaTheme="minorEastAsia" w:cstheme="minorEastAsia"/>
                <w:color w:val="auto"/>
                <w:sz w:val="21"/>
                <w:szCs w:val="21"/>
                <w:highlight w:val="none"/>
              </w:rPr>
              <w:t>安全、文明施工承诺</w:t>
            </w:r>
            <w:bookmarkEnd w:id="694"/>
            <w:r>
              <w:rPr>
                <w:rFonts w:hint="eastAsia" w:asciiTheme="minorEastAsia" w:hAnsiTheme="minorEastAsia" w:eastAsiaTheme="minorEastAsia" w:cstheme="minorEastAsia"/>
                <w:color w:val="auto"/>
                <w:sz w:val="21"/>
                <w:szCs w:val="21"/>
                <w:highlight w:val="none"/>
              </w:rPr>
              <w:t>书</w:t>
            </w:r>
          </w:p>
        </w:tc>
        <w:tc>
          <w:tcPr>
            <w:tcW w:w="3166" w:type="dxa"/>
            <w:vAlign w:val="center"/>
          </w:tcPr>
          <w:p w14:paraId="052CD004">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我方保证在施工期间严格遵守国家、省、市有关安全、文明施工规定，确保施工安全和第三者的安全，根据施工现场情况保证绿色施工安全防护措施费投入。</w:t>
            </w:r>
          </w:p>
        </w:tc>
        <w:tc>
          <w:tcPr>
            <w:tcW w:w="5022" w:type="dxa"/>
            <w:vAlign w:val="center"/>
          </w:tcPr>
          <w:p w14:paraId="1AB83E09">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若因我方原因，在施工期间发生安全事故，造成施工人员或第三者的伤亡，我方愿意承担由此造成的一切经济损失和法律责任。</w:t>
            </w:r>
          </w:p>
          <w:p w14:paraId="0E752BAD">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若我方在施工中发生一般事故及以上等级生产安全事故，可扣除相当于所有“绿色施工安全防护措施费”的管理费。</w:t>
            </w:r>
          </w:p>
        </w:tc>
      </w:tr>
      <w:tr w14:paraId="53C4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30" w:hRule="atLeast"/>
          <w:jc w:val="center"/>
        </w:trPr>
        <w:tc>
          <w:tcPr>
            <w:tcW w:w="617" w:type="dxa"/>
            <w:shd w:val="clear" w:color="auto" w:fill="auto"/>
            <w:vAlign w:val="center"/>
          </w:tcPr>
          <w:p w14:paraId="3428A6E0">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7</w:t>
            </w:r>
          </w:p>
        </w:tc>
        <w:tc>
          <w:tcPr>
            <w:tcW w:w="1133" w:type="dxa"/>
            <w:vAlign w:val="center"/>
          </w:tcPr>
          <w:p w14:paraId="1381B275">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p>
          <w:p w14:paraId="03C560D3">
            <w:pPr>
              <w:pStyle w:val="63"/>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任职承诺</w:t>
            </w:r>
          </w:p>
        </w:tc>
        <w:tc>
          <w:tcPr>
            <w:tcW w:w="3166" w:type="dxa"/>
            <w:vAlign w:val="center"/>
          </w:tcPr>
          <w:p w14:paraId="1A40DDC1">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我方拟派项目经理现阶段没有担任任何在施（包括已中标或已签订合同未开工、已开工未竣工、已建成未竣工）建设工程项目的项目经理。</w:t>
            </w:r>
          </w:p>
        </w:tc>
        <w:tc>
          <w:tcPr>
            <w:tcW w:w="5022" w:type="dxa"/>
            <w:vAlign w:val="center"/>
          </w:tcPr>
          <w:p w14:paraId="3FF23AE5">
            <w:pPr>
              <w:pStyle w:val="63"/>
              <w:keepNext w:val="0"/>
              <w:keepLines w:val="0"/>
              <w:suppressLineNumbers w:val="0"/>
              <w:wordWrap w:val="0"/>
              <w:adjustRightInd w:val="0"/>
              <w:snapToGrid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如果我方拟派项目经理在本工程招标投标活动期间有担任其他任何在施（包括已中标或已签订合同未开工、已开工未竣工、已建成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6EC7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jc w:val="center"/>
        </w:trPr>
        <w:tc>
          <w:tcPr>
            <w:tcW w:w="617" w:type="dxa"/>
            <w:shd w:val="clear" w:color="auto" w:fill="auto"/>
            <w:vAlign w:val="center"/>
          </w:tcPr>
          <w:p w14:paraId="74D29236">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8</w:t>
            </w:r>
          </w:p>
        </w:tc>
        <w:tc>
          <w:tcPr>
            <w:tcW w:w="1133" w:type="dxa"/>
            <w:vAlign w:val="center"/>
          </w:tcPr>
          <w:p w14:paraId="07BC0A2A">
            <w:pPr>
              <w:pStyle w:val="63"/>
              <w:keepNext w:val="0"/>
              <w:keepLines w:val="0"/>
              <w:suppressLineNumbers w:val="0"/>
              <w:spacing w:before="0" w:beforeAutospacing="0" w:after="0" w:afterAutospacing="0" w:line="380" w:lineRule="exact"/>
              <w:ind w:left="0" w:right="0" w:firstLine="0" w:firstLineChars="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质量承诺书</w:t>
            </w:r>
          </w:p>
        </w:tc>
        <w:tc>
          <w:tcPr>
            <w:tcW w:w="3166" w:type="dxa"/>
            <w:vAlign w:val="center"/>
          </w:tcPr>
          <w:p w14:paraId="434C9DFD">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我方保证按照现行的国家和广东省的有关施工技术规范及现行标准，达</w:t>
            </w:r>
            <w:bookmarkStart w:id="695" w:name="_Hlt112573700"/>
            <w:bookmarkEnd w:id="695"/>
            <w:r>
              <w:rPr>
                <w:rFonts w:hint="eastAsia" w:asciiTheme="minorEastAsia" w:hAnsiTheme="minorEastAsia" w:eastAsiaTheme="minorEastAsia" w:cstheme="minorEastAsia"/>
                <w:color w:val="auto"/>
                <w:sz w:val="21"/>
                <w:szCs w:val="21"/>
                <w:highlight w:val="none"/>
              </w:rPr>
              <w:t>到</w:t>
            </w:r>
            <w:r>
              <w:rPr>
                <w:rFonts w:hint="eastAsia" w:asciiTheme="minorEastAsia" w:hAnsiTheme="minorEastAsia" w:eastAsiaTheme="minorEastAsia" w:cstheme="minorEastAsia"/>
                <w:snapToGrid/>
                <w:color w:val="auto"/>
                <w:kern w:val="2"/>
                <w:sz w:val="21"/>
                <w:szCs w:val="21"/>
                <w:highlight w:val="none"/>
              </w:rPr>
              <w:t>《建筑工程施工质量验收统一标准》(GB50300-2013)</w:t>
            </w:r>
            <w:r>
              <w:rPr>
                <w:rFonts w:hint="eastAsia" w:asciiTheme="minorEastAsia" w:hAnsiTheme="minorEastAsia" w:eastAsiaTheme="minorEastAsia" w:cstheme="minorEastAsia"/>
                <w:snapToGrid/>
                <w:color w:val="auto"/>
                <w:kern w:val="2"/>
                <w:sz w:val="21"/>
                <w:szCs w:val="21"/>
                <w:highlight w:val="none"/>
                <w:lang w:eastAsia="zh-CN"/>
              </w:rPr>
              <w:t>、</w:t>
            </w:r>
            <w:r>
              <w:rPr>
                <w:rFonts w:hint="eastAsia" w:asciiTheme="minorEastAsia" w:hAnsiTheme="minorEastAsia" w:eastAsiaTheme="minorEastAsia" w:cstheme="minorEastAsia"/>
                <w:color w:val="auto"/>
                <w:sz w:val="21"/>
                <w:szCs w:val="21"/>
                <w:highlight w:val="none"/>
              </w:rPr>
              <w:t>《建筑与市政工程施工质量控制通用规范》（GB55032-2022）合格标准。</w:t>
            </w:r>
          </w:p>
          <w:p w14:paraId="2818CC8D">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p>
        </w:tc>
        <w:tc>
          <w:tcPr>
            <w:tcW w:w="5022" w:type="dxa"/>
            <w:vAlign w:val="center"/>
          </w:tcPr>
          <w:p w14:paraId="0EFF4A31">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若因我方原因，工程在竣工验收或分部分项工程验收时没有达到合格标准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2"/>
                <w:sz w:val="21"/>
                <w:szCs w:val="21"/>
                <w:highlight w:val="none"/>
              </w:rPr>
              <w:t>我方每次（每分部每分项次）验收检查时按</w:t>
            </w:r>
            <w:r>
              <w:rPr>
                <w:rFonts w:hint="eastAsia" w:asciiTheme="minorEastAsia" w:hAnsiTheme="minorEastAsia" w:eastAsiaTheme="minorEastAsia" w:cstheme="minorEastAsia"/>
                <w:color w:val="auto"/>
                <w:sz w:val="21"/>
                <w:szCs w:val="21"/>
                <w:highlight w:val="none"/>
              </w:rPr>
              <w:t>合同价款的</w:t>
            </w:r>
            <w:r>
              <w:rPr>
                <w:rFonts w:hint="eastAsia" w:asciiTheme="minorEastAsia" w:hAnsiTheme="minorEastAsia" w:eastAsiaTheme="minorEastAsia" w:cstheme="minorEastAsia"/>
                <w:color w:val="auto"/>
                <w:sz w:val="21"/>
                <w:szCs w:val="21"/>
                <w:highlight w:val="none"/>
                <w:u w:val="single"/>
              </w:rPr>
              <w:t>1％</w:t>
            </w:r>
            <w:r>
              <w:rPr>
                <w:rFonts w:hint="eastAsia" w:asciiTheme="minorEastAsia" w:hAnsiTheme="minorEastAsia" w:eastAsiaTheme="minorEastAsia" w:cstheme="minorEastAsia"/>
                <w:color w:val="auto"/>
                <w:sz w:val="21"/>
                <w:szCs w:val="21"/>
                <w:highlight w:val="none"/>
              </w:rPr>
              <w:t>向招标人缴纳质量违约金。并达到合格标准为止，同时承担所有的责任及经济损失。</w:t>
            </w:r>
          </w:p>
          <w:p w14:paraId="646FBAA4">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在建设或监理单位组织的质量检查中，一次一个分项工程实测或其他项、程序不合格不符合要求的，一次向建设单位交纳质量违约金¥1000元/次项，分部工程不合格的一次、一个分部向建设（委托）单位交纳违约金¥2000元/次、项；</w:t>
            </w:r>
          </w:p>
          <w:p w14:paraId="762C1C33">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2E00B270">
            <w:pPr>
              <w:pStyle w:val="65"/>
              <w:keepNext w:val="0"/>
              <w:keepLines w:val="0"/>
              <w:suppressLineNumbers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未能在限期内完成质量安全隐患整改的，每逾期一天，向建设单位交纳罚金¥1000元；</w:t>
            </w:r>
          </w:p>
          <w:p w14:paraId="563BCD9F">
            <w:pPr>
              <w:pStyle w:val="65"/>
              <w:keepNext w:val="0"/>
              <w:keepLines w:val="0"/>
              <w:suppressLineNumbers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未按规定委派专业人员参加检验批、分部分项工程验收，不及时签署验收记录的，一次向建设（委托）单位交纳违约金¥2000元/次、项；</w:t>
            </w:r>
          </w:p>
          <w:p w14:paraId="254D9FF1">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4"/>
                <w:highlight w:val="none"/>
              </w:rPr>
            </w:pPr>
            <w:r>
              <w:rPr>
                <w:rFonts w:hint="eastAsia" w:asciiTheme="minorEastAsia" w:hAnsiTheme="minorEastAsia" w:eastAsiaTheme="minorEastAsia" w:cstheme="minorEastAsia"/>
                <w:color w:val="auto"/>
                <w:sz w:val="21"/>
                <w:szCs w:val="24"/>
                <w:highlight w:val="none"/>
              </w:rPr>
              <w:t>不按规定委派相关人员参加项目竣工验收的，一次向建设单位交纳违约金¥50000元/项，不签署意见的交纳违约金¥50000元。</w:t>
            </w:r>
          </w:p>
        </w:tc>
      </w:tr>
      <w:tr w14:paraId="5643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0" w:hRule="atLeast"/>
          <w:jc w:val="center"/>
        </w:trPr>
        <w:tc>
          <w:tcPr>
            <w:tcW w:w="617" w:type="dxa"/>
            <w:shd w:val="clear" w:color="auto" w:fill="auto"/>
            <w:vAlign w:val="center"/>
          </w:tcPr>
          <w:p w14:paraId="3A88854C">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9</w:t>
            </w:r>
          </w:p>
        </w:tc>
        <w:tc>
          <w:tcPr>
            <w:tcW w:w="1133" w:type="dxa"/>
            <w:vAlign w:val="center"/>
          </w:tcPr>
          <w:p w14:paraId="35BD5533">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账户承诺</w:t>
            </w:r>
          </w:p>
        </w:tc>
        <w:tc>
          <w:tcPr>
            <w:tcW w:w="3166" w:type="dxa"/>
            <w:vAlign w:val="center"/>
          </w:tcPr>
          <w:p w14:paraId="7C27070C">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我方保证招标人的资金随时可划入合同中规</w:t>
            </w:r>
            <w:bookmarkStart w:id="696" w:name="_Hlt127094672"/>
            <w:bookmarkEnd w:id="696"/>
            <w:r>
              <w:rPr>
                <w:rFonts w:hint="eastAsia" w:asciiTheme="minorEastAsia" w:hAnsiTheme="minorEastAsia" w:eastAsiaTheme="minorEastAsia" w:cstheme="minorEastAsia"/>
                <w:color w:val="auto"/>
                <w:spacing w:val="-2"/>
                <w:sz w:val="21"/>
                <w:szCs w:val="21"/>
                <w:highlight w:val="none"/>
              </w:rPr>
              <w:t>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w:t>
            </w:r>
          </w:p>
        </w:tc>
        <w:tc>
          <w:tcPr>
            <w:tcW w:w="5022" w:type="dxa"/>
            <w:vAlign w:val="center"/>
          </w:tcPr>
          <w:p w14:paraId="7B86D5E2">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若因我方原因造成招标人的资金无法划入合同中规定的我方</w:t>
            </w:r>
            <w:r>
              <w:rPr>
                <w:rFonts w:hint="eastAsia" w:asciiTheme="minorEastAsia" w:hAnsiTheme="minorEastAsia" w:eastAsiaTheme="minorEastAsia" w:cstheme="minorEastAsia"/>
                <w:color w:val="auto"/>
                <w:sz w:val="21"/>
                <w:szCs w:val="21"/>
                <w:highlight w:val="none"/>
              </w:rPr>
              <w:t>账</w:t>
            </w:r>
            <w:r>
              <w:rPr>
                <w:rFonts w:hint="eastAsia" w:asciiTheme="minorEastAsia" w:hAnsiTheme="minorEastAsia" w:eastAsiaTheme="minorEastAsia" w:cstheme="minorEastAsia"/>
                <w:color w:val="auto"/>
                <w:spacing w:val="-2"/>
                <w:sz w:val="21"/>
                <w:szCs w:val="21"/>
                <w:highlight w:val="none"/>
              </w:rPr>
              <w:t>户，如时间达到30日历天，招标人有权终止合同。我方承担由此造成的所有责任及经济损失。</w:t>
            </w:r>
          </w:p>
        </w:tc>
      </w:tr>
      <w:tr w14:paraId="1768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617" w:type="dxa"/>
            <w:shd w:val="clear" w:color="auto" w:fill="auto"/>
            <w:vAlign w:val="center"/>
          </w:tcPr>
          <w:p w14:paraId="29A5CD7F">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10</w:t>
            </w:r>
          </w:p>
        </w:tc>
        <w:tc>
          <w:tcPr>
            <w:tcW w:w="1133" w:type="dxa"/>
            <w:vAlign w:val="center"/>
          </w:tcPr>
          <w:p w14:paraId="6EFCB500">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工程的配合服务承诺</w:t>
            </w:r>
          </w:p>
        </w:tc>
        <w:tc>
          <w:tcPr>
            <w:tcW w:w="3166" w:type="dxa"/>
            <w:vAlign w:val="center"/>
          </w:tcPr>
          <w:p w14:paraId="54A3B6DF">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我方服从业主管理，保证配合与工程承包范围内相关的其他标段（工种、分项）工程施工单位的工程施工，不提出额外增加费用的要求。</w:t>
            </w:r>
          </w:p>
        </w:tc>
        <w:tc>
          <w:tcPr>
            <w:tcW w:w="5022" w:type="dxa"/>
            <w:vAlign w:val="center"/>
          </w:tcPr>
          <w:p w14:paraId="0EBD9087">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652D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9" w:hRule="atLeast"/>
          <w:jc w:val="center"/>
        </w:trPr>
        <w:tc>
          <w:tcPr>
            <w:tcW w:w="617" w:type="dxa"/>
            <w:shd w:val="clear" w:color="auto" w:fill="auto"/>
            <w:vAlign w:val="center"/>
          </w:tcPr>
          <w:p w14:paraId="64EE6A52">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11</w:t>
            </w:r>
          </w:p>
        </w:tc>
        <w:tc>
          <w:tcPr>
            <w:tcW w:w="1133" w:type="dxa"/>
            <w:vAlign w:val="center"/>
          </w:tcPr>
          <w:p w14:paraId="3ED6EC3A">
            <w:pPr>
              <w:pStyle w:val="67"/>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中标人员承诺</w:t>
            </w:r>
          </w:p>
        </w:tc>
        <w:tc>
          <w:tcPr>
            <w:tcW w:w="3166" w:type="dxa"/>
            <w:vAlign w:val="center"/>
          </w:tcPr>
          <w:p w14:paraId="7A44F151">
            <w:pPr>
              <w:pStyle w:val="67"/>
              <w:keepNext w:val="0"/>
              <w:keepLines w:val="0"/>
              <w:suppressLineNumbers w:val="0"/>
              <w:spacing w:before="0" w:beforeAutospacing="0" w:after="0" w:afterAutospacing="0" w:line="300" w:lineRule="exact"/>
              <w:ind w:left="0" w:right="0" w:firstLine="412" w:firstLineChars="20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我方保证投标文件中所拟派的中标人员全部配合施工现场管理施工。</w:t>
            </w:r>
          </w:p>
        </w:tc>
        <w:tc>
          <w:tcPr>
            <w:tcW w:w="5022" w:type="dxa"/>
            <w:vAlign w:val="center"/>
          </w:tcPr>
          <w:p w14:paraId="741892CF">
            <w:pPr>
              <w:pStyle w:val="68"/>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设计单位未能在招标人通知的时间内（提前一天通知，紧急情况随时通知）参加设计交底、处理有关设计问题、参加必要部位隐蔽验收和竣工验收等工作，每人次交纳违约金</w:t>
            </w:r>
            <w:r>
              <w:rPr>
                <w:rFonts w:hint="eastAsia" w:asciiTheme="minorEastAsia" w:hAnsiTheme="minorEastAsia" w:eastAsiaTheme="minorEastAsia" w:cstheme="minorEastAsia"/>
                <w:color w:val="auto"/>
                <w:sz w:val="21"/>
                <w:highlight w:val="none"/>
              </w:rPr>
              <w:t>¥</w:t>
            </w:r>
            <w:r>
              <w:rPr>
                <w:rFonts w:hint="eastAsia" w:asciiTheme="minorEastAsia" w:hAnsiTheme="minorEastAsia" w:eastAsiaTheme="minorEastAsia" w:cstheme="minorEastAsia"/>
                <w:snapToGrid w:val="0"/>
                <w:color w:val="auto"/>
                <w:sz w:val="21"/>
                <w:szCs w:val="21"/>
                <w:highlight w:val="none"/>
              </w:rPr>
              <w:t>1000元。</w:t>
            </w:r>
          </w:p>
          <w:p w14:paraId="2AD63B0D">
            <w:pPr>
              <w:pStyle w:val="68"/>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驻韶办公的项目负责人（即投标文件所拟派的项目负责人）必须负责本项目设计全过程（包括施工图设计审查、施工图设计修编、预算跟踪服务、图纸会审和技术交底）。项目负责人未准时参加上述环节工作的，每缺席一次交纳违约金</w:t>
            </w:r>
            <w:r>
              <w:rPr>
                <w:rFonts w:hint="eastAsia" w:asciiTheme="minorEastAsia" w:hAnsiTheme="minorEastAsia" w:eastAsiaTheme="minorEastAsia" w:cstheme="minorEastAsia"/>
                <w:color w:val="auto"/>
                <w:sz w:val="21"/>
                <w:highlight w:val="none"/>
              </w:rPr>
              <w:t>¥</w:t>
            </w:r>
            <w:r>
              <w:rPr>
                <w:rFonts w:hint="eastAsia" w:asciiTheme="minorEastAsia" w:hAnsiTheme="minorEastAsia" w:eastAsiaTheme="minorEastAsia" w:cstheme="minorEastAsia"/>
                <w:snapToGrid w:val="0"/>
                <w:color w:val="auto"/>
                <w:sz w:val="21"/>
                <w:szCs w:val="21"/>
                <w:highlight w:val="none"/>
              </w:rPr>
              <w:t>5000元（以招标人发出的违约通知为准）。</w:t>
            </w:r>
          </w:p>
          <w:p w14:paraId="11A17918">
            <w:pPr>
              <w:pStyle w:val="68"/>
              <w:keepNext w:val="0"/>
              <w:keepLines w:val="0"/>
              <w:suppressLineNumbers w:val="0"/>
              <w:spacing w:before="0" w:beforeAutospacing="0" w:after="0" w:afterAutospacing="0" w:line="300" w:lineRule="exact"/>
              <w:ind w:left="0" w:leftChars="0" w:right="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snapToGrid w:val="0"/>
                <w:color w:val="auto"/>
                <w:sz w:val="21"/>
                <w:szCs w:val="21"/>
                <w:highlight w:val="none"/>
              </w:rPr>
              <w:t>设计单位应委派1名参与并熟悉本项目设计任务，有现场处理经验的设计代表常驻项目现场。中标人应为派驻现场的设计工作人员提供工作、生活及交通等方面的便利条件及准备必要的劳动保护装备。未经招标人书面许可，缺少1天向建设单位每人每天支付违约金¥2000元/天。</w:t>
            </w:r>
          </w:p>
        </w:tc>
      </w:tr>
      <w:tr w14:paraId="3B4C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9" w:hRule="atLeast"/>
          <w:jc w:val="center"/>
        </w:trPr>
        <w:tc>
          <w:tcPr>
            <w:tcW w:w="617" w:type="dxa"/>
            <w:shd w:val="clear" w:color="auto" w:fill="auto"/>
            <w:vAlign w:val="center"/>
          </w:tcPr>
          <w:p w14:paraId="571CB8A1">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12</w:t>
            </w:r>
          </w:p>
        </w:tc>
        <w:tc>
          <w:tcPr>
            <w:tcW w:w="1133" w:type="dxa"/>
            <w:vAlign w:val="center"/>
          </w:tcPr>
          <w:p w14:paraId="2E49E751">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项目管理班子人员承诺</w:t>
            </w:r>
          </w:p>
        </w:tc>
        <w:tc>
          <w:tcPr>
            <w:tcW w:w="3166" w:type="dxa"/>
            <w:vAlign w:val="center"/>
          </w:tcPr>
          <w:p w14:paraId="083AB796">
            <w:pPr>
              <w:pStyle w:val="37"/>
              <w:keepNext w:val="0"/>
              <w:keepLines w:val="0"/>
              <w:suppressLineNumbers w:val="0"/>
              <w:spacing w:before="0" w:beforeAutospacing="0" w:after="0" w:afterAutospacing="0" w:line="380" w:lineRule="exact"/>
              <w:ind w:left="0" w:right="0" w:firstLine="560"/>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我方保证投标文件中所拟派的项目经理、技术负责人、施工员、质量员、安全员等工程管理人员全部在施工现场管理施工</w:t>
            </w:r>
          </w:p>
        </w:tc>
        <w:tc>
          <w:tcPr>
            <w:tcW w:w="5022" w:type="dxa"/>
            <w:vAlign w:val="center"/>
          </w:tcPr>
          <w:p w14:paraId="7CE0BCF0">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asciiTheme="minorEastAsia" w:hAnsiTheme="minorEastAsia" w:eastAsiaTheme="minorEastAsia" w:cstheme="minorEastAsia"/>
                <w:color w:val="auto"/>
                <w:sz w:val="21"/>
                <w:szCs w:val="24"/>
                <w:highlight w:val="none"/>
              </w:rPr>
              <w:t>¥</w:t>
            </w:r>
            <w:r>
              <w:rPr>
                <w:rFonts w:hint="eastAsia" w:asciiTheme="minorEastAsia" w:hAnsiTheme="minorEastAsia" w:eastAsiaTheme="minorEastAsia" w:cstheme="minorEastAsia"/>
                <w:color w:val="auto"/>
                <w:spacing w:val="-2"/>
                <w:sz w:val="21"/>
                <w:szCs w:val="21"/>
                <w:highlight w:val="none"/>
              </w:rPr>
              <w:t>3000元（项目经理未签到每天支付违约金</w:t>
            </w:r>
            <w:r>
              <w:rPr>
                <w:rFonts w:hint="eastAsia" w:asciiTheme="minorEastAsia" w:hAnsiTheme="minorEastAsia" w:eastAsiaTheme="minorEastAsia" w:cstheme="minorEastAsia"/>
                <w:color w:val="auto"/>
                <w:sz w:val="21"/>
                <w:szCs w:val="24"/>
                <w:highlight w:val="none"/>
              </w:rPr>
              <w:t>¥</w:t>
            </w:r>
            <w:r>
              <w:rPr>
                <w:rFonts w:hint="eastAsia" w:asciiTheme="minorEastAsia" w:hAnsiTheme="minorEastAsia" w:eastAsiaTheme="minorEastAsia" w:cstheme="minorEastAsia"/>
                <w:color w:val="auto"/>
                <w:spacing w:val="-2"/>
                <w:sz w:val="21"/>
                <w:szCs w:val="21"/>
                <w:highlight w:val="none"/>
              </w:rPr>
              <w:t>3000元）；</w:t>
            </w:r>
          </w:p>
          <w:p w14:paraId="1437B3F8">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22天的，招标人有权终止合同。我方承担由此造成的所有责任及经济损失。</w:t>
            </w:r>
          </w:p>
        </w:tc>
      </w:tr>
      <w:tr w14:paraId="63C9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90" w:hRule="atLeast"/>
          <w:jc w:val="center"/>
        </w:trPr>
        <w:tc>
          <w:tcPr>
            <w:tcW w:w="617" w:type="dxa"/>
            <w:shd w:val="clear" w:color="auto" w:fill="auto"/>
            <w:vAlign w:val="center"/>
          </w:tcPr>
          <w:p w14:paraId="38E5BE86">
            <w:pPr>
              <w:pStyle w:val="69"/>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13</w:t>
            </w:r>
          </w:p>
        </w:tc>
        <w:tc>
          <w:tcPr>
            <w:tcW w:w="1133" w:type="dxa"/>
            <w:vAlign w:val="center"/>
          </w:tcPr>
          <w:p w14:paraId="67CB2AEA">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对支付农民工工资的承诺</w:t>
            </w:r>
          </w:p>
        </w:tc>
        <w:tc>
          <w:tcPr>
            <w:tcW w:w="3166" w:type="dxa"/>
            <w:vAlign w:val="center"/>
          </w:tcPr>
          <w:p w14:paraId="791E92B7">
            <w:pPr>
              <w:pStyle w:val="63"/>
              <w:keepNext w:val="0"/>
              <w:keepLines w:val="0"/>
              <w:suppressLineNumbers w:val="0"/>
              <w:spacing w:before="0" w:beforeAutospacing="0" w:after="0" w:afterAutospacing="0" w:line="380" w:lineRule="exact"/>
              <w:ind w:left="0" w:right="0" w:firstLine="206"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w:t>
            </w:r>
          </w:p>
        </w:tc>
        <w:tc>
          <w:tcPr>
            <w:tcW w:w="5022" w:type="dxa"/>
            <w:vAlign w:val="center"/>
          </w:tcPr>
          <w:p w14:paraId="370AED1F">
            <w:pPr>
              <w:pStyle w:val="63"/>
              <w:keepNext w:val="0"/>
              <w:keepLines w:val="0"/>
              <w:suppressLineNumbers w:val="0"/>
              <w:spacing w:before="0" w:beforeAutospacing="0" w:after="0" w:afterAutospacing="0" w:line="380" w:lineRule="exact"/>
              <w:ind w:left="0" w:right="0" w:firstLine="412"/>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如我方中标，我方无条件同意按照用工合同支付</w:t>
            </w:r>
            <w:r>
              <w:rPr>
                <w:rFonts w:hint="eastAsia" w:asciiTheme="minorEastAsia" w:hAnsiTheme="minorEastAsia" w:eastAsiaTheme="minorEastAsia" w:cstheme="minorEastAsia"/>
                <w:color w:val="auto"/>
                <w:sz w:val="21"/>
                <w:szCs w:val="21"/>
                <w:highlight w:val="none"/>
              </w:rPr>
              <w:t>农民工工资。否则，招标人有权终止合同，扣除履约保证金，并由招标人先行垫付农民工被拖欠的工资，数额以未结清的工程数为限。</w:t>
            </w:r>
          </w:p>
        </w:tc>
      </w:tr>
      <w:tr w14:paraId="11B3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jc w:val="center"/>
        </w:trPr>
        <w:tc>
          <w:tcPr>
            <w:tcW w:w="617" w:type="dxa"/>
            <w:shd w:val="clear" w:color="auto" w:fill="auto"/>
            <w:vAlign w:val="center"/>
          </w:tcPr>
          <w:p w14:paraId="0C3E4563">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14</w:t>
            </w:r>
          </w:p>
        </w:tc>
        <w:tc>
          <w:tcPr>
            <w:tcW w:w="1133" w:type="dxa"/>
            <w:vAlign w:val="center"/>
          </w:tcPr>
          <w:p w14:paraId="4C5A1726">
            <w:pPr>
              <w:pStyle w:val="63"/>
              <w:keepNext w:val="0"/>
              <w:keepLines w:val="0"/>
              <w:suppressLineNumbers w:val="0"/>
              <w:spacing w:before="0" w:beforeAutospacing="0" w:after="0" w:afterAutospacing="0" w:line="380" w:lineRule="exact"/>
              <w:ind w:left="0" w:right="0" w:firstLine="210" w:firstLineChars="10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施工组织设计承诺</w:t>
            </w:r>
          </w:p>
        </w:tc>
        <w:tc>
          <w:tcPr>
            <w:tcW w:w="3166" w:type="dxa"/>
            <w:vAlign w:val="center"/>
          </w:tcPr>
          <w:p w14:paraId="326B5574">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我方保证施工组织设计按照国家省市有关规定进行编写。</w:t>
            </w:r>
          </w:p>
        </w:tc>
        <w:tc>
          <w:tcPr>
            <w:tcW w:w="5022" w:type="dxa"/>
            <w:vAlign w:val="center"/>
          </w:tcPr>
          <w:p w14:paraId="409A2FFA">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如我方的施工组织设计未根据招标项目情况按照国家省市有关规定进行编写的，扣除全部履约保证金。</w:t>
            </w:r>
          </w:p>
        </w:tc>
      </w:tr>
      <w:tr w14:paraId="1269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5" w:hRule="atLeast"/>
          <w:jc w:val="center"/>
        </w:trPr>
        <w:tc>
          <w:tcPr>
            <w:tcW w:w="617" w:type="dxa"/>
            <w:shd w:val="clear" w:color="auto" w:fill="auto"/>
            <w:vAlign w:val="center"/>
          </w:tcPr>
          <w:p w14:paraId="6B2CFC3F">
            <w:pPr>
              <w:pStyle w:val="37"/>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15</w:t>
            </w:r>
          </w:p>
        </w:tc>
        <w:tc>
          <w:tcPr>
            <w:tcW w:w="1133" w:type="dxa"/>
            <w:vAlign w:val="center"/>
          </w:tcPr>
          <w:p w14:paraId="5B05BFAA">
            <w:pPr>
              <w:pStyle w:val="69"/>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设计承诺</w:t>
            </w:r>
          </w:p>
        </w:tc>
        <w:tc>
          <w:tcPr>
            <w:tcW w:w="3166" w:type="dxa"/>
            <w:vAlign w:val="center"/>
          </w:tcPr>
          <w:p w14:paraId="09C08129">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如我方中标，我方保证按设计规范及有关法律法规进行设计，并准时提供设计文件和施工图预算，相应设计文件经审图机构审查通过</w:t>
            </w:r>
            <w:r>
              <w:rPr>
                <w:rFonts w:hint="eastAsia" w:asciiTheme="minorEastAsia" w:hAnsiTheme="minorEastAsia" w:eastAsiaTheme="minorEastAsia" w:cstheme="minorEastAsia"/>
                <w:color w:val="auto"/>
                <w:sz w:val="21"/>
                <w:szCs w:val="21"/>
                <w:highlight w:val="none"/>
              </w:rPr>
              <w:t>。</w:t>
            </w:r>
          </w:p>
        </w:tc>
        <w:tc>
          <w:tcPr>
            <w:tcW w:w="5022" w:type="dxa"/>
            <w:vAlign w:val="center"/>
          </w:tcPr>
          <w:p w14:paraId="08F08C0C">
            <w:pPr>
              <w:pStyle w:val="70"/>
              <w:keepNext w:val="0"/>
              <w:keepLines w:val="0"/>
              <w:suppressLineNumbers w:val="0"/>
              <w:spacing w:before="0" w:beforeAutospacing="0" w:after="0" w:afterAutospacing="0" w:line="300" w:lineRule="exact"/>
              <w:ind w:left="0" w:leftChars="0" w:right="0" w:firstLine="412"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如我方中标，未能按招标文件要求提供设计文件和施工图预算</w:t>
            </w:r>
            <w:r>
              <w:rPr>
                <w:rFonts w:hint="eastAsia" w:asciiTheme="minorEastAsia" w:hAnsiTheme="minorEastAsia" w:eastAsiaTheme="minorEastAsia" w:cstheme="minorEastAsia"/>
                <w:color w:val="auto"/>
                <w:sz w:val="21"/>
                <w:szCs w:val="21"/>
                <w:highlight w:val="none"/>
              </w:rPr>
              <w:t>，招标人有权终止合同，扣除设计费的10%作为违约罚款，并由招标人另行委托相应资质的单位进行设计，其费用由中标人支付，施工工期不予顺延且不另外计取赶工措施费。</w:t>
            </w:r>
          </w:p>
          <w:p w14:paraId="0B7E4ED1">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由于设计单位设计工作错误造成工程设计质量事故，根据责任情况，按招标文件及合同相应违约条款的约定处理。负责采取补救措施。</w:t>
            </w:r>
          </w:p>
          <w:p w14:paraId="6557B0D2">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施工期间</w:t>
            </w:r>
            <w:r>
              <w:rPr>
                <w:rFonts w:hint="eastAsia" w:asciiTheme="minorEastAsia" w:hAnsiTheme="minorEastAsia" w:eastAsiaTheme="minorEastAsia" w:cstheme="minorEastAsia"/>
                <w:bCs/>
                <w:snapToGrid w:val="0"/>
                <w:color w:val="auto"/>
                <w:sz w:val="21"/>
                <w:szCs w:val="21"/>
                <w:highlight w:val="none"/>
              </w:rPr>
              <w:t>除招标人要求或特殊地质原因外，</w:t>
            </w:r>
            <w:r>
              <w:rPr>
                <w:rFonts w:hint="eastAsia" w:asciiTheme="minorEastAsia" w:hAnsiTheme="minorEastAsia" w:eastAsiaTheme="minorEastAsia" w:cstheme="minorEastAsia"/>
                <w:snapToGrid w:val="0"/>
                <w:color w:val="auto"/>
                <w:sz w:val="21"/>
                <w:szCs w:val="21"/>
                <w:highlight w:val="none"/>
              </w:rPr>
              <w:t>因设计质量和深度不够的原因引起的工程返工或需要设计变更引起工程造价增加的，每次扣减设计合同价款中设计费的2％，扣完为止。</w:t>
            </w:r>
          </w:p>
          <w:p w14:paraId="73960171">
            <w:pPr>
              <w:pStyle w:val="70"/>
              <w:keepNext w:val="0"/>
              <w:keepLines w:val="0"/>
              <w:suppressLineNumbers w:val="0"/>
              <w:spacing w:before="0" w:beforeAutospacing="0" w:after="0" w:afterAutospacing="0" w:line="300" w:lineRule="exact"/>
              <w:ind w:left="0" w:leftChars="0" w:right="0" w:firstLine="420" w:firstLineChars="2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因设计单位自身原因造成工程结算超施工招标中标价的，扣除应付设计合同价款中的余款。</w:t>
            </w:r>
          </w:p>
        </w:tc>
      </w:tr>
      <w:tr w14:paraId="5709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17" w:type="dxa"/>
            <w:shd w:val="clear" w:color="auto" w:fill="auto"/>
            <w:vAlign w:val="center"/>
          </w:tcPr>
          <w:p w14:paraId="3610F399">
            <w:pPr>
              <w:pStyle w:val="9"/>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16</w:t>
            </w:r>
          </w:p>
        </w:tc>
        <w:tc>
          <w:tcPr>
            <w:tcW w:w="1133" w:type="dxa"/>
            <w:vAlign w:val="center"/>
          </w:tcPr>
          <w:p w14:paraId="5DA82393">
            <w:pPr>
              <w:pStyle w:val="63"/>
              <w:keepNext w:val="0"/>
              <w:keepLines w:val="0"/>
              <w:suppressLineNumbers w:val="0"/>
              <w:spacing w:before="0" w:beforeAutospacing="0" w:after="0" w:afterAutospacing="0" w:line="38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综合服务能力承诺</w:t>
            </w:r>
          </w:p>
        </w:tc>
        <w:tc>
          <w:tcPr>
            <w:tcW w:w="3166" w:type="dxa"/>
            <w:vAlign w:val="center"/>
          </w:tcPr>
          <w:p w14:paraId="036E5622">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我方保证中标后，自行解决施工中遇到的各种外部问题，协调周边企业、村民关系，并承担由此产生的所有责任及损失。</w:t>
            </w:r>
          </w:p>
        </w:tc>
        <w:tc>
          <w:tcPr>
            <w:tcW w:w="5022" w:type="dxa"/>
            <w:vAlign w:val="center"/>
          </w:tcPr>
          <w:p w14:paraId="6A89774D">
            <w:pPr>
              <w:pStyle w:val="63"/>
              <w:keepNext w:val="0"/>
              <w:keepLines w:val="0"/>
              <w:suppressLineNumbers w:val="0"/>
              <w:spacing w:before="0" w:beforeAutospacing="0" w:after="0" w:afterAutospacing="0" w:line="38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若我方未能按招标文件所承诺的各项承诺完成时，我方同意按比例扣除相应履约保证金，并承担由此引起的所有责任。</w:t>
            </w:r>
          </w:p>
        </w:tc>
      </w:tr>
      <w:tr w14:paraId="48EA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0" w:hRule="atLeast"/>
          <w:jc w:val="center"/>
        </w:trPr>
        <w:tc>
          <w:tcPr>
            <w:tcW w:w="617" w:type="dxa"/>
            <w:shd w:val="clear" w:color="auto" w:fill="auto"/>
            <w:vAlign w:val="center"/>
          </w:tcPr>
          <w:p w14:paraId="00F2D5C9">
            <w:pPr>
              <w:pStyle w:val="9"/>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17</w:t>
            </w:r>
          </w:p>
        </w:tc>
        <w:tc>
          <w:tcPr>
            <w:tcW w:w="1133" w:type="dxa"/>
            <w:vAlign w:val="center"/>
          </w:tcPr>
          <w:p w14:paraId="4574D5C0">
            <w:pPr>
              <w:pStyle w:val="63"/>
              <w:keepNext w:val="0"/>
              <w:keepLines w:val="0"/>
              <w:suppressLineNumbers w:val="0"/>
              <w:spacing w:before="0" w:beforeAutospacing="0" w:after="0" w:afterAutospacing="0" w:line="380" w:lineRule="exact"/>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廉政承诺</w:t>
            </w:r>
          </w:p>
        </w:tc>
        <w:tc>
          <w:tcPr>
            <w:tcW w:w="3166" w:type="dxa"/>
            <w:vAlign w:val="center"/>
          </w:tcPr>
          <w:p w14:paraId="69EE4378">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如我方中标，我方将严格执行国家、广东省、韶关市有关工程建设廉政的有关法律法规及双方签订的廉政合同。</w:t>
            </w:r>
          </w:p>
        </w:tc>
        <w:tc>
          <w:tcPr>
            <w:tcW w:w="5022" w:type="dxa"/>
            <w:vAlign w:val="center"/>
          </w:tcPr>
          <w:p w14:paraId="6AEF8C20">
            <w:pPr>
              <w:pStyle w:val="63"/>
              <w:keepNext w:val="0"/>
              <w:keepLines w:val="0"/>
              <w:suppressLineNumbers w:val="0"/>
              <w:spacing w:before="0" w:beforeAutospacing="0" w:after="0" w:afterAutospacing="0" w:line="38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4BE8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4" w:hRule="atLeast"/>
          <w:jc w:val="center"/>
        </w:trPr>
        <w:tc>
          <w:tcPr>
            <w:tcW w:w="617" w:type="dxa"/>
            <w:shd w:val="clear" w:color="auto" w:fill="auto"/>
            <w:vAlign w:val="center"/>
          </w:tcPr>
          <w:p w14:paraId="1737C837">
            <w:pPr>
              <w:pStyle w:val="9"/>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kern w:val="2"/>
                <w:sz w:val="24"/>
                <w:szCs w:val="21"/>
                <w:highlight w:val="none"/>
                <w:lang w:val="en-US" w:eastAsia="zh-CN" w:bidi="ar-SA"/>
              </w:rPr>
            </w:pPr>
            <w:r>
              <w:rPr>
                <w:rFonts w:hint="eastAsia" w:asciiTheme="minorEastAsia" w:hAnsiTheme="minorEastAsia" w:eastAsiaTheme="minorEastAsia" w:cstheme="minorEastAsia"/>
                <w:color w:val="auto"/>
                <w:sz w:val="24"/>
                <w:szCs w:val="21"/>
                <w:highlight w:val="none"/>
              </w:rPr>
              <w:t>18</w:t>
            </w:r>
          </w:p>
        </w:tc>
        <w:tc>
          <w:tcPr>
            <w:tcW w:w="1133" w:type="dxa"/>
            <w:vAlign w:val="center"/>
          </w:tcPr>
          <w:p w14:paraId="611CD7F5">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投标文件</w:t>
            </w:r>
          </w:p>
          <w:p w14:paraId="4F6FB2C5">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信息公开承诺</w:t>
            </w:r>
          </w:p>
        </w:tc>
        <w:tc>
          <w:tcPr>
            <w:tcW w:w="3166" w:type="dxa"/>
            <w:vAlign w:val="center"/>
          </w:tcPr>
          <w:p w14:paraId="3D54FF77">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4384" behindDoc="0" locked="0" layoutInCell="1" allowOverlap="1">
                      <wp:simplePos x="0" y="0"/>
                      <wp:positionH relativeFrom="column">
                        <wp:posOffset>2006600</wp:posOffset>
                      </wp:positionH>
                      <wp:positionV relativeFrom="paragraph">
                        <wp:posOffset>5715</wp:posOffset>
                      </wp:positionV>
                      <wp:extent cx="3208020" cy="1260475"/>
                      <wp:effectExtent l="1905" t="4445" r="9525" b="11430"/>
                      <wp:wrapNone/>
                      <wp:docPr id="5" name="直线 18"/>
                      <wp:cNvGraphicFramePr/>
                      <a:graphic xmlns:a="http://schemas.openxmlformats.org/drawingml/2006/main">
                        <a:graphicData uri="http://schemas.microsoft.com/office/word/2010/wordprocessingShape">
                          <wps:wsp>
                            <wps:cNvCnPr/>
                            <wps:spPr>
                              <a:xfrm flipV="1">
                                <a:off x="0" y="0"/>
                                <a:ext cx="3208020" cy="12604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58pt;margin-top:0.45pt;height:99.25pt;width:252.6pt;z-index:251664384;mso-width-relative:page;mso-height-relative:page;" filled="f" stroked="t" coordsize="21600,21600" o:gfxdata="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gLYEHWAAAACAEAAA8AAAAAAAAAAQAgAAAAIgAAAGRycy9kb3ducmV2LnhtbFBL&#10;AQIUABQAAAAIAIdO4kAWO9wh+AEAAPoDAAAOAAAAAAAAAAEAIAAAACUBAABkcnMvZTJvRG9jLnht&#10;bFBLBQYAAAAABgAGAFkBAACPBQ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color w:val="auto"/>
                <w:sz w:val="21"/>
                <w:szCs w:val="21"/>
                <w:highlight w:val="none"/>
              </w:rPr>
              <w:t>我方提供完整的电子文件。如果我方成为本项目中标候选人，我方同意并授权招标人在评标结果公示期内公开我方商务部分的全部内容。</w:t>
            </w:r>
          </w:p>
        </w:tc>
        <w:tc>
          <w:tcPr>
            <w:tcW w:w="5022" w:type="dxa"/>
            <w:vAlign w:val="center"/>
          </w:tcPr>
          <w:p w14:paraId="08C44270">
            <w:pPr>
              <w:pStyle w:val="63"/>
              <w:keepNext w:val="0"/>
              <w:keepLines w:val="0"/>
              <w:suppressLineNumbers w:val="0"/>
              <w:snapToGrid w:val="0"/>
              <w:spacing w:before="0" w:beforeAutospacing="0" w:after="0" w:afterAutospacing="0" w:line="240" w:lineRule="auto"/>
              <w:ind w:left="0" w:right="0" w:firstLine="0" w:firstLineChars="0"/>
              <w:rPr>
                <w:rFonts w:hint="default" w:asciiTheme="minorEastAsia" w:hAnsiTheme="minorEastAsia" w:eastAsiaTheme="minorEastAsia" w:cstheme="minorEastAsia"/>
                <w:color w:val="auto"/>
                <w:sz w:val="21"/>
                <w:szCs w:val="21"/>
                <w:highlight w:val="none"/>
              </w:rPr>
            </w:pPr>
          </w:p>
          <w:p w14:paraId="1FC37018">
            <w:pPr>
              <w:pStyle w:val="63"/>
              <w:keepNext w:val="0"/>
              <w:keepLines w:val="0"/>
              <w:suppressLineNumbers w:val="0"/>
              <w:snapToGrid w:val="0"/>
              <w:spacing w:before="0" w:beforeAutospacing="0" w:after="0" w:afterAutospacing="0" w:line="400" w:lineRule="exact"/>
              <w:ind w:left="0" w:right="0" w:firstLine="0" w:firstLineChars="0"/>
              <w:rPr>
                <w:rFonts w:hint="default" w:asciiTheme="minorEastAsia" w:hAnsiTheme="minorEastAsia" w:eastAsiaTheme="minorEastAsia" w:cstheme="minorEastAsia"/>
                <w:color w:val="auto"/>
                <w:sz w:val="21"/>
                <w:szCs w:val="21"/>
                <w:highlight w:val="none"/>
              </w:rPr>
            </w:pPr>
          </w:p>
        </w:tc>
      </w:tr>
      <w:tr w14:paraId="29F3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1" w:hRule="atLeast"/>
          <w:jc w:val="center"/>
        </w:trPr>
        <w:tc>
          <w:tcPr>
            <w:tcW w:w="617" w:type="dxa"/>
            <w:vAlign w:val="center"/>
          </w:tcPr>
          <w:p w14:paraId="42045F2F">
            <w:pPr>
              <w:pStyle w:val="9"/>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19</w:t>
            </w:r>
          </w:p>
        </w:tc>
        <w:tc>
          <w:tcPr>
            <w:tcW w:w="1133" w:type="dxa"/>
            <w:vAlign w:val="center"/>
          </w:tcPr>
          <w:p w14:paraId="16CDAC8A">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质量安全受检承诺</w:t>
            </w:r>
          </w:p>
        </w:tc>
        <w:tc>
          <w:tcPr>
            <w:tcW w:w="3166" w:type="dxa"/>
            <w:vAlign w:val="center"/>
          </w:tcPr>
          <w:p w14:paraId="04D33D81">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5022" w:type="dxa"/>
            <w:vAlign w:val="center"/>
          </w:tcPr>
          <w:p w14:paraId="208F81D9">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如我方不配合或未通过相关的监督检查及考核，我方承诺接受业主单位、发包单位的相关管理规定和处罚，并承担相应的责任。</w:t>
            </w:r>
          </w:p>
        </w:tc>
      </w:tr>
      <w:tr w14:paraId="45FF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6" w:hRule="atLeast"/>
          <w:jc w:val="center"/>
        </w:trPr>
        <w:tc>
          <w:tcPr>
            <w:tcW w:w="617" w:type="dxa"/>
            <w:vAlign w:val="center"/>
          </w:tcPr>
          <w:p w14:paraId="245EF915">
            <w:pPr>
              <w:pStyle w:val="9"/>
              <w:keepNext w:val="0"/>
              <w:keepLines w:val="0"/>
              <w:suppressLineNumbers w:val="0"/>
              <w:spacing w:before="0" w:beforeAutospacing="0" w:after="0" w:afterAutospacing="0" w:line="380" w:lineRule="exact"/>
              <w:ind w:left="0" w:right="0"/>
              <w:jc w:val="center"/>
              <w:rPr>
                <w:rFonts w:hint="default" w:asciiTheme="minorEastAsia" w:hAnsiTheme="minorEastAsia" w:eastAsiaTheme="minorEastAsia" w:cstheme="minorEastAsia"/>
                <w:color w:val="auto"/>
                <w:sz w:val="24"/>
                <w:szCs w:val="21"/>
                <w:highlight w:val="none"/>
                <w:lang w:val="en-US" w:eastAsia="zh-CN"/>
              </w:rPr>
            </w:pPr>
            <w:r>
              <w:rPr>
                <w:rFonts w:hint="eastAsia" w:asciiTheme="minorEastAsia" w:hAnsiTheme="minorEastAsia" w:eastAsiaTheme="minorEastAsia" w:cstheme="minorEastAsia"/>
                <w:color w:val="auto"/>
                <w:sz w:val="24"/>
                <w:szCs w:val="21"/>
                <w:highlight w:val="none"/>
                <w:lang w:val="en-US" w:eastAsia="zh-CN"/>
              </w:rPr>
              <w:t>20</w:t>
            </w:r>
          </w:p>
        </w:tc>
        <w:tc>
          <w:tcPr>
            <w:tcW w:w="1133" w:type="dxa"/>
            <w:vAlign w:val="center"/>
          </w:tcPr>
          <w:p w14:paraId="0E365400">
            <w:pPr>
              <w:pStyle w:val="63"/>
              <w:keepNext w:val="0"/>
              <w:keepLines w:val="0"/>
              <w:suppressLineNumbers w:val="0"/>
              <w:snapToGrid w:val="0"/>
              <w:spacing w:before="0" w:beforeAutospacing="0" w:after="0" w:afterAutospacing="0" w:line="400" w:lineRule="exact"/>
              <w:ind w:left="0" w:right="0" w:firstLine="0" w:firstLineChars="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对工程预付款的使用承诺</w:t>
            </w:r>
          </w:p>
        </w:tc>
        <w:tc>
          <w:tcPr>
            <w:tcW w:w="3166" w:type="dxa"/>
            <w:vAlign w:val="center"/>
          </w:tcPr>
          <w:p w14:paraId="5D2BE232">
            <w:pPr>
              <w:pStyle w:val="63"/>
              <w:keepNext w:val="0"/>
              <w:keepLines w:val="0"/>
              <w:suppressLineNumbers w:val="0"/>
              <w:snapToGrid w:val="0"/>
              <w:spacing w:before="0" w:beforeAutospacing="0" w:after="0" w:afterAutospacing="0" w:line="400" w:lineRule="exact"/>
              <w:ind w:left="0" w:right="0" w:firstLine="42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我方保证工程预付款用于主要建筑材料的备料及支付工人工资。</w:t>
            </w:r>
          </w:p>
        </w:tc>
        <w:tc>
          <w:tcPr>
            <w:tcW w:w="5022" w:type="dxa"/>
            <w:vAlign w:val="center"/>
          </w:tcPr>
          <w:p w14:paraId="6F79EB7E">
            <w:pPr>
              <w:pStyle w:val="63"/>
              <w:keepNext w:val="0"/>
              <w:keepLines w:val="0"/>
              <w:suppressLineNumbers w:val="0"/>
              <w:snapToGrid w:val="0"/>
              <w:spacing w:before="0" w:beforeAutospacing="0" w:after="0" w:afterAutospacing="0" w:line="400" w:lineRule="exact"/>
              <w:ind w:left="0" w:right="0" w:firstLine="420"/>
              <w:jc w:val="left"/>
              <w:rPr>
                <w:rFonts w:hint="default" w:asciiTheme="minorEastAsia" w:hAnsiTheme="minorEastAsia" w:eastAsiaTheme="minorEastAsia" w:cstheme="minorEastAsia"/>
                <w:color w:val="auto"/>
                <w:sz w:val="21"/>
                <w:szCs w:val="21"/>
                <w:highlight w:val="none"/>
              </w:rPr>
            </w:pPr>
            <w:r>
              <w:rPr>
                <w:rFonts w:hint="default" w:asciiTheme="minorEastAsia" w:hAnsiTheme="minorEastAsia" w:eastAsiaTheme="minorEastAsia" w:cstheme="minorEastAsia"/>
                <w:color w:val="auto"/>
                <w:sz w:val="21"/>
                <w:szCs w:val="20"/>
                <w:highlight w:val="none"/>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24765</wp:posOffset>
                      </wp:positionV>
                      <wp:extent cx="3179445" cy="841375"/>
                      <wp:effectExtent l="1270" t="4445" r="19685" b="11430"/>
                      <wp:wrapNone/>
                      <wp:docPr id="1" name="直线 18"/>
                      <wp:cNvGraphicFramePr/>
                      <a:graphic xmlns:a="http://schemas.openxmlformats.org/drawingml/2006/main">
                        <a:graphicData uri="http://schemas.microsoft.com/office/word/2010/wordprocessingShape">
                          <wps:wsp>
                            <wps:cNvCnPr/>
                            <wps:spPr>
                              <a:xfrm flipV="1">
                                <a:off x="0" y="0"/>
                                <a:ext cx="3179445" cy="8413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8" o:spid="_x0000_s1026" o:spt="20" style="position:absolute;left:0pt;flip:y;margin-left:1.2pt;margin-top:1.95pt;height:66.25pt;width:250.35pt;z-index:251663360;mso-width-relative:page;mso-height-relative:page;" filled="f" stroked="t" coordsize="21600,21600" o:gfxdata="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nEH6jUAAAABwEAAA8AAAAAAAAAAQAgAAAAIgAAAGRycy9kb3ducmV2LnhtbFBLAQIU&#10;ABQAAAAIAIdO4kAFTNSO9wEAAPkDAAAOAAAAAAAAAAEAIAAAACMBAABkcnMvZTJvRG9jLnhtbFBL&#10;BQYAAAAABgAGAFkBAACMBQAAAAA=&#10;">
                      <v:fill on="f" focussize="0,0"/>
                      <v:stroke color="#000000" joinstyle="round"/>
                      <v:imagedata o:title=""/>
                      <o:lock v:ext="edit" aspectratio="f"/>
                    </v:line>
                  </w:pict>
                </mc:Fallback>
              </mc:AlternateContent>
            </w:r>
          </w:p>
        </w:tc>
      </w:tr>
    </w:tbl>
    <w:p w14:paraId="5D492C40">
      <w:pPr>
        <w:pStyle w:val="71"/>
        <w:rPr>
          <w:rFonts w:hint="eastAsia" w:asciiTheme="minorEastAsia" w:hAnsiTheme="minorEastAsia" w:eastAsiaTheme="minorEastAsia" w:cstheme="minorEastAsia"/>
          <w:color w:val="auto"/>
          <w:sz w:val="21"/>
          <w:szCs w:val="21"/>
          <w:highlight w:val="none"/>
        </w:rPr>
      </w:pPr>
    </w:p>
    <w:p w14:paraId="38FA470B">
      <w:pPr>
        <w:pStyle w:val="71"/>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注：所有违约金均从中标人的进度款中扣除，最终结算以扣除违约金总数后的金额为准。</w:t>
      </w:r>
    </w:p>
    <w:p w14:paraId="29876F42">
      <w:pPr>
        <w:pStyle w:val="37"/>
        <w:spacing w:line="400" w:lineRule="exact"/>
        <w:jc w:val="left"/>
        <w:rPr>
          <w:rFonts w:asciiTheme="minorEastAsia" w:hAnsiTheme="minorEastAsia" w:eastAsiaTheme="minorEastAsia" w:cstheme="minorEastAsia"/>
          <w:color w:val="auto"/>
          <w:szCs w:val="24"/>
          <w:highlight w:val="none"/>
        </w:rPr>
      </w:pPr>
    </w:p>
    <w:p w14:paraId="1C0CB5DF">
      <w:pPr>
        <w:pStyle w:val="15"/>
        <w:wordWrap w:val="0"/>
        <w:adjustRightInd w:val="0"/>
        <w:snapToGrid w:val="0"/>
        <w:spacing w:line="420" w:lineRule="exact"/>
        <w:ind w:firstLine="480" w:firstLineChars="200"/>
        <w:jc w:val="right"/>
        <w:rPr>
          <w:rFonts w:hAnsi="宋体" w:eastAsia="宋体" w:cs="宋体"/>
          <w:snapToGrid w:val="0"/>
          <w:color w:val="auto"/>
          <w:kern w:val="0"/>
          <w:szCs w:val="24"/>
          <w:highlight w:val="none"/>
        </w:rPr>
      </w:pPr>
    </w:p>
    <w:p w14:paraId="70BD56D4">
      <w:pPr>
        <w:pStyle w:val="15"/>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投标人：（盖单位章）</w:t>
      </w:r>
    </w:p>
    <w:p w14:paraId="1A8F7F47">
      <w:pPr>
        <w:pStyle w:val="15"/>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3205F81B">
      <w:pPr>
        <w:pStyle w:val="15"/>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r>
        <w:rPr>
          <w:rFonts w:hAnsi="宋体" w:eastAsia="宋体" w:cs="宋体"/>
          <w:snapToGrid w:val="0"/>
          <w:color w:val="auto"/>
          <w:kern w:val="0"/>
          <w:szCs w:val="24"/>
          <w:highlight w:val="none"/>
        </w:rPr>
        <w:t>法定代表人或其委托代理人：（签字或盖章）</w:t>
      </w:r>
    </w:p>
    <w:p w14:paraId="2C5DC9A9">
      <w:pPr>
        <w:pStyle w:val="15"/>
        <w:wordWrap w:val="0"/>
        <w:adjustRightInd w:val="0"/>
        <w:snapToGrid w:val="0"/>
        <w:spacing w:line="420" w:lineRule="exact"/>
        <w:ind w:firstLine="480" w:firstLineChars="200"/>
        <w:jc w:val="right"/>
        <w:rPr>
          <w:rFonts w:hint="default" w:hAnsi="宋体" w:eastAsia="宋体" w:cs="宋体"/>
          <w:snapToGrid w:val="0"/>
          <w:color w:val="auto"/>
          <w:kern w:val="0"/>
          <w:szCs w:val="24"/>
          <w:highlight w:val="none"/>
        </w:rPr>
      </w:pPr>
    </w:p>
    <w:p w14:paraId="428494EA">
      <w:pPr>
        <w:widowControl/>
        <w:jc w:val="right"/>
        <w:rPr>
          <w:rFonts w:hint="default" w:asciiTheme="minorEastAsia" w:hAnsiTheme="minorEastAsia" w:eastAsiaTheme="minorEastAsia" w:cstheme="minorEastAsia"/>
          <w:b/>
          <w:bCs/>
          <w:snapToGrid w:val="0"/>
          <w:color w:val="auto"/>
          <w:kern w:val="0"/>
          <w:szCs w:val="24"/>
          <w:highlight w:val="none"/>
        </w:rPr>
      </w:pPr>
      <w:r>
        <w:rPr>
          <w:rFonts w:hint="eastAsia" w:hAnsi="宋体" w:eastAsia="宋体" w:cs="宋体"/>
          <w:snapToGrid w:val="0"/>
          <w:color w:val="auto"/>
          <w:kern w:val="0"/>
          <w:szCs w:val="24"/>
          <w:highlight w:val="none"/>
          <w:lang w:eastAsia="zh-CN"/>
        </w:rPr>
        <w:t xml:space="preserve"> 年   月  日</w:t>
      </w:r>
      <w:r>
        <w:rPr>
          <w:rFonts w:asciiTheme="minorEastAsia" w:hAnsiTheme="minorEastAsia" w:eastAsiaTheme="minorEastAsia" w:cstheme="minorEastAsia"/>
          <w:b/>
          <w:bCs/>
          <w:snapToGrid w:val="0"/>
          <w:color w:val="auto"/>
          <w:kern w:val="0"/>
          <w:szCs w:val="24"/>
          <w:highlight w:val="none"/>
        </w:rPr>
        <w:br w:type="page"/>
      </w:r>
    </w:p>
    <w:p w14:paraId="295513B3">
      <w:pPr>
        <w:pStyle w:val="5"/>
        <w:spacing w:before="120"/>
        <w:rPr>
          <w:rFonts w:hint="default" w:asciiTheme="minorEastAsia" w:hAnsiTheme="minorEastAsia" w:eastAsiaTheme="minorEastAsia" w:cstheme="minorEastAsia"/>
          <w:b/>
          <w:bCs/>
          <w:color w:val="auto"/>
          <w:szCs w:val="24"/>
          <w:highlight w:val="none"/>
        </w:rPr>
      </w:pPr>
      <w:bookmarkStart w:id="697" w:name="_Toc10981"/>
      <w:bookmarkStart w:id="698" w:name="_Toc109"/>
      <w:bookmarkStart w:id="699" w:name="_Toc30764"/>
      <w:bookmarkStart w:id="700" w:name="_Toc6896"/>
      <w:bookmarkStart w:id="701" w:name="_Toc30463"/>
      <w:r>
        <w:rPr>
          <w:rFonts w:asciiTheme="minorEastAsia" w:hAnsiTheme="minorEastAsia" w:eastAsiaTheme="minorEastAsia" w:cstheme="minorEastAsia"/>
          <w:b/>
          <w:bCs/>
          <w:color w:val="auto"/>
          <w:szCs w:val="24"/>
          <w:highlight w:val="none"/>
        </w:rPr>
        <w:t>格式四 授权委托书</w:t>
      </w:r>
      <w:bookmarkEnd w:id="697"/>
      <w:bookmarkEnd w:id="698"/>
      <w:bookmarkEnd w:id="699"/>
      <w:bookmarkEnd w:id="700"/>
      <w:bookmarkEnd w:id="701"/>
    </w:p>
    <w:p w14:paraId="10F7C3B9">
      <w:pPr>
        <w:wordWrap w:val="0"/>
        <w:adjustRightInd w:val="0"/>
        <w:snapToGrid w:val="0"/>
        <w:spacing w:line="440" w:lineRule="exact"/>
        <w:rPr>
          <w:rFonts w:hint="default" w:asciiTheme="minorEastAsia" w:hAnsiTheme="minorEastAsia" w:eastAsiaTheme="minorEastAsia" w:cstheme="minorEastAsia"/>
          <w:b/>
          <w:bCs/>
          <w:snapToGrid w:val="0"/>
          <w:color w:val="auto"/>
          <w:kern w:val="0"/>
          <w:szCs w:val="24"/>
          <w:highlight w:val="none"/>
        </w:rPr>
      </w:pPr>
    </w:p>
    <w:p w14:paraId="3FF53306">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授权委托书</w:t>
      </w:r>
    </w:p>
    <w:p w14:paraId="438960C0">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5B3CC034">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本人（姓名）系（投标人名称）的法定代表人，现委托（姓名）为我方代理人。代理人根据授权，以我方名义签署、澄清、说明、补正、递交、撤回、修改（项目名称）投标文件、签订合同和处理有关事宜，其法律后果由我方承担。</w:t>
      </w:r>
    </w:p>
    <w:p w14:paraId="101AC8B0">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委托期限：至</w:t>
      </w:r>
      <w:r>
        <w:rPr>
          <w:rFonts w:asciiTheme="minorEastAsia" w:hAnsiTheme="minorEastAsia" w:eastAsiaTheme="minorEastAsia" w:cstheme="minorEastAsia"/>
          <w:snapToGrid w:val="0"/>
          <w:color w:val="auto"/>
          <w:kern w:val="0"/>
          <w:szCs w:val="24"/>
          <w:highlight w:val="none"/>
          <w:u w:val="single"/>
        </w:rPr>
        <w:t xml:space="preserve">     年   月   日</w:t>
      </w:r>
      <w:r>
        <w:rPr>
          <w:rFonts w:asciiTheme="minorEastAsia" w:hAnsiTheme="minorEastAsia" w:eastAsiaTheme="minorEastAsia" w:cstheme="minorEastAsia"/>
          <w:i/>
          <w:iCs/>
          <w:snapToGrid w:val="0"/>
          <w:color w:val="auto"/>
          <w:kern w:val="0"/>
          <w:szCs w:val="24"/>
          <w:highlight w:val="none"/>
          <w:u w:val="single"/>
        </w:rPr>
        <w:t>（不得短于招标文件规定的投标有效期）</w:t>
      </w:r>
      <w:r>
        <w:rPr>
          <w:rFonts w:asciiTheme="minorEastAsia" w:hAnsiTheme="minorEastAsia" w:eastAsiaTheme="minorEastAsia" w:cstheme="minorEastAsia"/>
          <w:snapToGrid w:val="0"/>
          <w:color w:val="auto"/>
          <w:kern w:val="0"/>
          <w:szCs w:val="24"/>
          <w:highlight w:val="none"/>
        </w:rPr>
        <w:t xml:space="preserve"> 。</w:t>
      </w:r>
    </w:p>
    <w:p w14:paraId="6ED1A61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代理人无转委托权。</w:t>
      </w:r>
    </w:p>
    <w:p w14:paraId="21BD46E5">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39A27F61">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5790177C">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  标  人：（盖单位章）</w:t>
      </w:r>
    </w:p>
    <w:p w14:paraId="64393CD4">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6F64B7D1">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0D99B0C0">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p>
    <w:p w14:paraId="52F6FDF0">
      <w:pPr>
        <w:wordWrap w:val="0"/>
        <w:adjustRightInd w:val="0"/>
        <w:snapToGrid w:val="0"/>
        <w:spacing w:line="440" w:lineRule="exact"/>
        <w:ind w:firstLine="480" w:firstLineChars="2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委托代理人：（签字或盖章）</w:t>
      </w:r>
    </w:p>
    <w:p w14:paraId="3E5F990B">
      <w:pPr>
        <w:wordWrap w:val="0"/>
        <w:adjustRightInd w:val="0"/>
        <w:snapToGrid w:val="0"/>
        <w:spacing w:line="440" w:lineRule="exact"/>
        <w:ind w:firstLine="480" w:firstLineChars="200"/>
        <w:jc w:val="right"/>
        <w:rPr>
          <w:rFonts w:hint="eastAsia" w:asciiTheme="minorEastAsia" w:hAnsiTheme="minorEastAsia" w:eastAsiaTheme="minorEastAsia" w:cstheme="minorEastAsia"/>
          <w:snapToGrid w:val="0"/>
          <w:color w:val="auto"/>
          <w:kern w:val="0"/>
          <w:szCs w:val="24"/>
          <w:highlight w:val="none"/>
          <w:lang w:eastAsia="zh-CN"/>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p>
    <w:p w14:paraId="009E57C2">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034CE383">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23124359">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363ADC6E">
      <w:pPr>
        <w:wordWrap w:val="0"/>
        <w:adjustRightInd w:val="0"/>
        <w:snapToGrid w:val="0"/>
        <w:ind w:firstLine="5520" w:firstLineChars="2300"/>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2336"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C9B63D8">
                            <w:pPr>
                              <w:jc w:val="center"/>
                              <w:rPr>
                                <w:rFonts w:hint="default"/>
                                <w:szCs w:val="21"/>
                              </w:rPr>
                            </w:pPr>
                          </w:p>
                          <w:p w14:paraId="05D9AA9C">
                            <w:pPr>
                              <w:jc w:val="center"/>
                              <w:rPr>
                                <w:rFonts w:hint="default"/>
                                <w:szCs w:val="21"/>
                              </w:rPr>
                            </w:pPr>
                          </w:p>
                          <w:p w14:paraId="116F9670">
                            <w:pPr>
                              <w:jc w:val="center"/>
                              <w:rPr>
                                <w:rFonts w:hint="default"/>
                                <w:szCs w:val="21"/>
                              </w:rPr>
                            </w:pPr>
                          </w:p>
                          <w:p w14:paraId="26C2F296">
                            <w:pPr>
                              <w:jc w:val="center"/>
                              <w:rPr>
                                <w:rFonts w:hint="default" w:hAnsi="宋体" w:eastAsia="宋体" w:cs="宋体"/>
                                <w:szCs w:val="21"/>
                              </w:rPr>
                            </w:pPr>
                            <w:r>
                              <w:rPr>
                                <w:rFonts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2336;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1C9B63D8">
                      <w:pPr>
                        <w:jc w:val="center"/>
                        <w:rPr>
                          <w:rFonts w:hint="default"/>
                          <w:szCs w:val="21"/>
                        </w:rPr>
                      </w:pPr>
                    </w:p>
                    <w:p w14:paraId="05D9AA9C">
                      <w:pPr>
                        <w:jc w:val="center"/>
                        <w:rPr>
                          <w:rFonts w:hint="default"/>
                          <w:szCs w:val="21"/>
                        </w:rPr>
                      </w:pPr>
                    </w:p>
                    <w:p w14:paraId="116F9670">
                      <w:pPr>
                        <w:jc w:val="center"/>
                        <w:rPr>
                          <w:rFonts w:hint="default"/>
                          <w:szCs w:val="21"/>
                        </w:rPr>
                      </w:pPr>
                    </w:p>
                    <w:p w14:paraId="26C2F296">
                      <w:pPr>
                        <w:jc w:val="center"/>
                        <w:rPr>
                          <w:rFonts w:hint="default" w:hAnsi="宋体" w:eastAsia="宋体" w:cs="宋体"/>
                          <w:szCs w:val="21"/>
                        </w:rPr>
                      </w:pPr>
                      <w:r>
                        <w:rPr>
                          <w:rFonts w:hAnsi="宋体" w:eastAsia="宋体" w:cs="宋体"/>
                          <w:szCs w:val="21"/>
                        </w:rPr>
                        <w:t>委托代理人身份证彩色扫描件正、反面</w:t>
                      </w:r>
                    </w:p>
                  </w:txbxContent>
                </v:textbox>
              </v:shape>
            </w:pict>
          </mc:Fallback>
        </mc:AlternateContent>
      </w:r>
    </w:p>
    <w:p w14:paraId="66677E78">
      <w:pPr>
        <w:pStyle w:val="10"/>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690B1AF9">
      <w:pPr>
        <w:rPr>
          <w:rFonts w:hint="default" w:asciiTheme="minorEastAsia" w:hAnsiTheme="minorEastAsia" w:eastAsiaTheme="minorEastAsia" w:cstheme="minorEastAsia"/>
          <w:color w:val="auto"/>
          <w:szCs w:val="24"/>
          <w:highlight w:val="none"/>
        </w:rPr>
      </w:pPr>
    </w:p>
    <w:p w14:paraId="4BD0688A">
      <w:pPr>
        <w:wordWrap w:val="0"/>
        <w:adjustRightInd w:val="0"/>
        <w:snapToGrid w:val="0"/>
        <w:rPr>
          <w:rFonts w:hint="default" w:asciiTheme="minorEastAsia" w:hAnsiTheme="minorEastAsia" w:eastAsiaTheme="minorEastAsia" w:cstheme="minorEastAsia"/>
          <w:snapToGrid w:val="0"/>
          <w:color w:val="auto"/>
          <w:kern w:val="0"/>
          <w:szCs w:val="24"/>
          <w:highlight w:val="none"/>
        </w:rPr>
        <w:sectPr>
          <w:headerReference r:id="rId6" w:type="default"/>
          <w:footerReference r:id="rId7" w:type="default"/>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29AE3AEB">
      <w:pPr>
        <w:pStyle w:val="5"/>
        <w:spacing w:before="120"/>
        <w:rPr>
          <w:rFonts w:hint="default" w:asciiTheme="minorEastAsia" w:hAnsiTheme="minorEastAsia" w:eastAsiaTheme="minorEastAsia" w:cstheme="minorEastAsia"/>
          <w:b/>
          <w:bCs/>
          <w:color w:val="auto"/>
          <w:szCs w:val="24"/>
          <w:highlight w:val="none"/>
        </w:rPr>
      </w:pPr>
      <w:bookmarkStart w:id="702" w:name="_Toc31702"/>
      <w:bookmarkStart w:id="703" w:name="_Toc12031"/>
      <w:r>
        <w:rPr>
          <w:rFonts w:asciiTheme="minorEastAsia" w:hAnsiTheme="minorEastAsia" w:eastAsiaTheme="minorEastAsia" w:cstheme="minorEastAsia"/>
          <w:b/>
          <w:bCs/>
          <w:color w:val="auto"/>
          <w:szCs w:val="24"/>
          <w:highlight w:val="none"/>
        </w:rPr>
        <w:t>格式五 法定代表人身份证明</w:t>
      </w:r>
      <w:bookmarkEnd w:id="702"/>
      <w:bookmarkEnd w:id="703"/>
    </w:p>
    <w:p w14:paraId="2340D251">
      <w:pPr>
        <w:wordWrap w:val="0"/>
        <w:adjustRightInd w:val="0"/>
        <w:snapToGrid w:val="0"/>
        <w:spacing w:line="440" w:lineRule="exact"/>
        <w:rPr>
          <w:rFonts w:hint="default" w:asciiTheme="minorEastAsia" w:hAnsiTheme="minorEastAsia" w:eastAsiaTheme="minorEastAsia" w:cstheme="minorEastAsia"/>
          <w:b/>
          <w:snapToGrid w:val="0"/>
          <w:color w:val="auto"/>
          <w:kern w:val="0"/>
          <w:szCs w:val="24"/>
          <w:highlight w:val="none"/>
        </w:rPr>
      </w:pPr>
    </w:p>
    <w:p w14:paraId="3526F803">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法定代表人身份证明</w:t>
      </w:r>
    </w:p>
    <w:p w14:paraId="105CFD6B">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54C7275C">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投标人名称：</w:t>
      </w:r>
    </w:p>
    <w:p w14:paraId="367CCB4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u w:val="single"/>
        </w:rPr>
      </w:pPr>
      <w:r>
        <w:rPr>
          <w:rFonts w:asciiTheme="minorEastAsia" w:hAnsiTheme="minorEastAsia" w:eastAsiaTheme="minorEastAsia" w:cstheme="minorEastAsia"/>
          <w:snapToGrid w:val="0"/>
          <w:color w:val="auto"/>
          <w:kern w:val="0"/>
          <w:szCs w:val="24"/>
          <w:highlight w:val="none"/>
        </w:rPr>
        <w:t>姓名：性别：年龄：职务：</w:t>
      </w:r>
    </w:p>
    <w:p w14:paraId="275FD910">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系（投标人名称）的法定代表人。</w:t>
      </w:r>
    </w:p>
    <w:p w14:paraId="7572E50E">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特此证明。</w:t>
      </w:r>
    </w:p>
    <w:p w14:paraId="6A2E4745">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5617F98">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78ABC0A7">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7A296AAE">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D5D535B">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B3BFC84">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法定代表人：（签字或盖章）</w:t>
      </w:r>
    </w:p>
    <w:p w14:paraId="0E6E2D1C">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6D6F63E3">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eastAsia="zh-CN"/>
        </w:rPr>
        <w:t xml:space="preserve"> 年   月  日</w:t>
      </w:r>
      <w:r>
        <w:rPr>
          <w:rFonts w:asciiTheme="minorEastAsia" w:hAnsiTheme="minorEastAsia" w:eastAsiaTheme="minorEastAsia" w:cstheme="minorEastAsia"/>
          <w:snapToGrid w:val="0"/>
          <w:color w:val="auto"/>
          <w:kern w:val="0"/>
          <w:szCs w:val="24"/>
          <w:highlight w:val="none"/>
        </w:rPr>
        <w:t xml:space="preserve">       </w:t>
      </w:r>
    </w:p>
    <w:p w14:paraId="54CAB101">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4EF4875C">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7E0AF24B">
      <w:pPr>
        <w:wordWrap w:val="0"/>
        <w:adjustRightInd w:val="0"/>
        <w:snapToGrid w:val="0"/>
        <w:rPr>
          <w:rFonts w:hint="default" w:asciiTheme="minorEastAsia" w:hAnsiTheme="minorEastAsia" w:eastAsiaTheme="minorEastAsia" w:cstheme="minorEastAsia"/>
          <w:b/>
          <w:snapToGrid w:val="0"/>
          <w:color w:val="auto"/>
          <w:kern w:val="0"/>
          <w:szCs w:val="24"/>
          <w:highlight w:val="none"/>
        </w:rPr>
      </w:pPr>
      <w:r>
        <w:rPr>
          <w:rFonts w:hint="default"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508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38345A5">
                            <w:pPr>
                              <w:jc w:val="center"/>
                              <w:rPr>
                                <w:rFonts w:hint="default"/>
                                <w:szCs w:val="21"/>
                              </w:rPr>
                            </w:pPr>
                          </w:p>
                          <w:p w14:paraId="3BE17FBB">
                            <w:pPr>
                              <w:jc w:val="center"/>
                              <w:rPr>
                                <w:rFonts w:hint="default"/>
                                <w:szCs w:val="21"/>
                              </w:rPr>
                            </w:pPr>
                          </w:p>
                          <w:p w14:paraId="09497D91">
                            <w:pPr>
                              <w:jc w:val="center"/>
                              <w:rPr>
                                <w:rFonts w:hint="default"/>
                                <w:szCs w:val="21"/>
                              </w:rPr>
                            </w:pPr>
                          </w:p>
                          <w:p w14:paraId="1604FCEC">
                            <w:pPr>
                              <w:jc w:val="center"/>
                              <w:rPr>
                                <w:rFonts w:hint="default" w:hAnsi="宋体" w:eastAsia="宋体" w:cs="宋体"/>
                                <w:szCs w:val="21"/>
                              </w:rPr>
                            </w:pPr>
                            <w:r>
                              <w:rPr>
                                <w:rFonts w:hAnsi="宋体" w:eastAsia="宋体" w:cs="宋体"/>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038345A5">
                      <w:pPr>
                        <w:jc w:val="center"/>
                        <w:rPr>
                          <w:rFonts w:hint="default"/>
                          <w:szCs w:val="21"/>
                        </w:rPr>
                      </w:pPr>
                    </w:p>
                    <w:p w14:paraId="3BE17FBB">
                      <w:pPr>
                        <w:jc w:val="center"/>
                        <w:rPr>
                          <w:rFonts w:hint="default"/>
                          <w:szCs w:val="21"/>
                        </w:rPr>
                      </w:pPr>
                    </w:p>
                    <w:p w14:paraId="09497D91">
                      <w:pPr>
                        <w:jc w:val="center"/>
                        <w:rPr>
                          <w:rFonts w:hint="default"/>
                          <w:szCs w:val="21"/>
                        </w:rPr>
                      </w:pPr>
                    </w:p>
                    <w:p w14:paraId="1604FCEC">
                      <w:pPr>
                        <w:jc w:val="center"/>
                        <w:rPr>
                          <w:rFonts w:hint="default" w:hAnsi="宋体" w:eastAsia="宋体" w:cs="宋体"/>
                          <w:szCs w:val="21"/>
                        </w:rPr>
                      </w:pPr>
                      <w:r>
                        <w:rPr>
                          <w:rFonts w:hAnsi="宋体" w:eastAsia="宋体" w:cs="宋体"/>
                          <w:szCs w:val="21"/>
                        </w:rPr>
                        <w:t>法定代表人身份证彩色扫描件正、反面</w:t>
                      </w:r>
                    </w:p>
                  </w:txbxContent>
                </v:textbox>
              </v:shape>
            </w:pict>
          </mc:Fallback>
        </mc:AlternateContent>
      </w:r>
    </w:p>
    <w:p w14:paraId="4945C4BE">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32B6C8EF">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58B67AC9">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5E740B98">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0B424123">
      <w:pPr>
        <w:pStyle w:val="5"/>
        <w:spacing w:before="120"/>
        <w:rPr>
          <w:rFonts w:hint="default" w:asciiTheme="minorEastAsia" w:hAnsiTheme="minorEastAsia" w:eastAsiaTheme="minorEastAsia" w:cstheme="minorEastAsia"/>
          <w:b/>
          <w:bCs/>
          <w:color w:val="auto"/>
          <w:szCs w:val="24"/>
          <w:highlight w:val="none"/>
        </w:rPr>
      </w:pPr>
      <w:bookmarkStart w:id="704" w:name="_Toc29945"/>
      <w:bookmarkStart w:id="705" w:name="_Toc16430"/>
      <w:bookmarkStart w:id="706" w:name="_Toc26395"/>
      <w:bookmarkStart w:id="707" w:name="_Toc26875"/>
      <w:bookmarkStart w:id="708" w:name="_Toc30665"/>
      <w:r>
        <w:rPr>
          <w:rFonts w:asciiTheme="minorEastAsia" w:hAnsiTheme="minorEastAsia" w:eastAsiaTheme="minorEastAsia" w:cstheme="minorEastAsia"/>
          <w:b/>
          <w:bCs/>
          <w:color w:val="auto"/>
          <w:szCs w:val="24"/>
          <w:highlight w:val="none"/>
        </w:rPr>
        <w:t>格式六 联合体协议书</w:t>
      </w:r>
      <w:bookmarkEnd w:id="704"/>
      <w:bookmarkEnd w:id="705"/>
      <w:bookmarkEnd w:id="706"/>
      <w:bookmarkEnd w:id="707"/>
      <w:bookmarkEnd w:id="708"/>
    </w:p>
    <w:p w14:paraId="1E305EE3">
      <w:pPr>
        <w:pStyle w:val="49"/>
        <w:widowControl w:val="0"/>
        <w:wordWrap w:val="0"/>
        <w:adjustRightInd w:val="0"/>
        <w:snapToGrid w:val="0"/>
        <w:spacing w:before="240" w:after="240" w:line="44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1E8D591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4CBFCD8D">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2296D5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牵头人名称：</w:t>
      </w:r>
    </w:p>
    <w:p w14:paraId="21838016">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21A56771">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法定住所：</w:t>
      </w:r>
    </w:p>
    <w:p w14:paraId="030A7439">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410CD879">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成员二名称：</w:t>
      </w:r>
    </w:p>
    <w:p w14:paraId="53B35F44">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法定代表人：</w:t>
      </w:r>
    </w:p>
    <w:p w14:paraId="61CAC27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u w:val="single"/>
        </w:rPr>
      </w:pPr>
      <w:r>
        <w:rPr>
          <w:rFonts w:hint="eastAsia" w:asciiTheme="minorEastAsia" w:hAnsiTheme="minorEastAsia" w:eastAsiaTheme="minorEastAsia" w:cstheme="minorEastAsia"/>
          <w:snapToGrid w:val="0"/>
          <w:color w:val="auto"/>
          <w:sz w:val="24"/>
          <w:szCs w:val="24"/>
          <w:highlight w:val="none"/>
        </w:rPr>
        <w:t>法定住所：</w:t>
      </w:r>
    </w:p>
    <w:p w14:paraId="5BB7BBC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2F520954">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383DC200">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w:t>
      </w:r>
    </w:p>
    <w:p w14:paraId="5B74E148">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上述各成员单位经过友好协商，自愿组成联合体，共同参加（项目名称）（以下简称“本项目”）的投标并争取赢得本项目</w:t>
      </w:r>
      <w:r>
        <w:rPr>
          <w:rFonts w:hint="eastAsia" w:asciiTheme="minorEastAsia" w:hAnsiTheme="minorEastAsia" w:eastAsiaTheme="minorEastAsia" w:cstheme="minorEastAsia"/>
          <w:snapToGrid w:val="0"/>
          <w:color w:val="auto"/>
          <w:sz w:val="24"/>
          <w:szCs w:val="24"/>
          <w:highlight w:val="none"/>
          <w:lang w:eastAsia="zh-CN"/>
        </w:rPr>
        <w:t>设计施工总承包</w:t>
      </w:r>
      <w:r>
        <w:rPr>
          <w:rFonts w:hint="eastAsia" w:asciiTheme="minorEastAsia" w:hAnsiTheme="minorEastAsia" w:eastAsiaTheme="minorEastAsia" w:cstheme="minorEastAsia"/>
          <w:snapToGrid w:val="0"/>
          <w:color w:val="auto"/>
          <w:sz w:val="24"/>
          <w:szCs w:val="24"/>
          <w:highlight w:val="none"/>
        </w:rPr>
        <w:t>总承包合同（以下简称合同）。现就联合体投标事宜订立如下协议：</w:t>
      </w:r>
    </w:p>
    <w:p w14:paraId="74D4CF7F">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1．（某成员单位名称）为联合体牵头人。</w:t>
      </w:r>
    </w:p>
    <w:p w14:paraId="1A193018">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2074484">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264F49A9">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4．联合体各成员单位内部的职责分工如下：。</w:t>
      </w:r>
    </w:p>
    <w:p w14:paraId="383B1191">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5．投标工作和联合体在中标后工程实施过程中的有关费用按各自承担的工作量分摊。</w:t>
      </w:r>
    </w:p>
    <w:p w14:paraId="3BC5A769">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6．联合体中标后，本联合体协议是合同的附件，对联合体各成员单位有合同约束力。</w:t>
      </w:r>
    </w:p>
    <w:p w14:paraId="00B19D92">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7．本协议书自签署之日起生效，联合体未中标或者中标时合同履行完毕后自动失效。</w:t>
      </w:r>
    </w:p>
    <w:p w14:paraId="4D7B4095">
      <w:pPr>
        <w:pStyle w:val="49"/>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8．本协议书一式份，联合体成员和招标人各执一份。</w:t>
      </w:r>
    </w:p>
    <w:p w14:paraId="0D42DAAB">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6807C467">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49760F73">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牵头人名称：（盖单位章）</w:t>
      </w:r>
    </w:p>
    <w:p w14:paraId="198CA906">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w:t>
      </w:r>
    </w:p>
    <w:p w14:paraId="297C11AA">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5B984D2B">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4253138C">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成员二名称：（盖单位章）</w:t>
      </w:r>
    </w:p>
    <w:p w14:paraId="537D0D67">
      <w:pPr>
        <w:pStyle w:val="49"/>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4"/>
          <w:szCs w:val="24"/>
          <w:highlight w:val="none"/>
        </w:rPr>
      </w:pPr>
    </w:p>
    <w:p w14:paraId="4ECF9B88">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法定代表人或其委托代理人：（签字或盖章）</w:t>
      </w:r>
    </w:p>
    <w:p w14:paraId="07A94BC4">
      <w:pPr>
        <w:pStyle w:val="49"/>
        <w:widowControl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rPr>
      </w:pPr>
    </w:p>
    <w:p w14:paraId="53142978">
      <w:pPr>
        <w:pStyle w:val="49"/>
        <w:widowControl w:val="0"/>
        <w:wordWrap w:val="0"/>
        <w:adjustRightInd w:val="0"/>
        <w:snapToGrid w:val="0"/>
        <w:spacing w:line="440" w:lineRule="exact"/>
        <w:ind w:firstLine="3840" w:firstLineChars="1600"/>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 xml:space="preserve"> ……</w:t>
      </w:r>
    </w:p>
    <w:p w14:paraId="4A72DAB5">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45639195">
      <w:pPr>
        <w:pStyle w:val="49"/>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4"/>
          <w:szCs w:val="24"/>
          <w:highlight w:val="none"/>
          <w:u w:val="none"/>
        </w:rPr>
      </w:pP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年</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月</w:t>
      </w:r>
      <w:r>
        <w:rPr>
          <w:rFonts w:hint="eastAsia" w:asciiTheme="minorEastAsia" w:hAnsiTheme="minorEastAsia" w:eastAsiaTheme="minorEastAsia" w:cstheme="minorEastAsia"/>
          <w:snapToGrid w:val="0"/>
          <w:color w:val="auto"/>
          <w:sz w:val="24"/>
          <w:szCs w:val="24"/>
          <w:highlight w:val="none"/>
          <w:u w:val="none"/>
          <w:lang w:val="en-US" w:eastAsia="zh-CN"/>
        </w:rPr>
        <w:t xml:space="preserve">  </w:t>
      </w:r>
      <w:r>
        <w:rPr>
          <w:rFonts w:asciiTheme="minorEastAsia" w:hAnsiTheme="minorEastAsia" w:eastAsiaTheme="minorEastAsia" w:cstheme="minorEastAsia"/>
          <w:snapToGrid w:val="0"/>
          <w:color w:val="auto"/>
          <w:sz w:val="24"/>
          <w:szCs w:val="24"/>
          <w:highlight w:val="none"/>
          <w:u w:val="none"/>
        </w:rPr>
        <w:t>日</w:t>
      </w:r>
    </w:p>
    <w:p w14:paraId="29B5A4E7">
      <w:pPr>
        <w:pStyle w:val="49"/>
        <w:widowControl w:val="0"/>
        <w:wordWrap w:val="0"/>
        <w:adjustRightInd w:val="0"/>
        <w:snapToGrid w:val="0"/>
        <w:spacing w:line="440" w:lineRule="exact"/>
        <w:jc w:val="center"/>
        <w:rPr>
          <w:rFonts w:asciiTheme="minorEastAsia" w:hAnsiTheme="minorEastAsia" w:eastAsiaTheme="minorEastAsia" w:cstheme="minorEastAsia"/>
          <w:snapToGrid w:val="0"/>
          <w:color w:val="auto"/>
          <w:sz w:val="24"/>
          <w:szCs w:val="24"/>
          <w:highlight w:val="none"/>
        </w:rPr>
      </w:pPr>
    </w:p>
    <w:p w14:paraId="44CE9923">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7E2EE234">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129C75C">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058D235B">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4"/>
          <w:szCs w:val="24"/>
          <w:highlight w:val="none"/>
        </w:rPr>
        <w:t>说明：《联合体协议书》由委托代理人签字或盖章的，应附法定代表人签字或盖章的授权委托书。</w:t>
      </w:r>
    </w:p>
    <w:p w14:paraId="413E03BC">
      <w:pPr>
        <w:pStyle w:val="49"/>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30D024E8">
      <w:pPr>
        <w:pStyle w:val="5"/>
        <w:spacing w:before="120"/>
        <w:rPr>
          <w:rFonts w:hint="default" w:asciiTheme="minorEastAsia" w:hAnsiTheme="minorEastAsia" w:eastAsiaTheme="minorEastAsia" w:cstheme="minorEastAsia"/>
          <w:b/>
          <w:bCs/>
          <w:color w:val="auto"/>
          <w:szCs w:val="24"/>
          <w:highlight w:val="none"/>
        </w:rPr>
      </w:pPr>
      <w:bookmarkStart w:id="709" w:name="_Toc31264"/>
      <w:bookmarkStart w:id="710" w:name="_Toc28266"/>
      <w:r>
        <w:rPr>
          <w:rFonts w:asciiTheme="minorEastAsia" w:hAnsiTheme="minorEastAsia" w:eastAsiaTheme="minorEastAsia" w:cstheme="minorEastAsia"/>
          <w:b/>
          <w:bCs/>
          <w:color w:val="auto"/>
          <w:szCs w:val="24"/>
          <w:highlight w:val="none"/>
        </w:rPr>
        <w:t>格式七 投标人基本情况表</w:t>
      </w:r>
      <w:bookmarkEnd w:id="709"/>
      <w:bookmarkEnd w:id="710"/>
    </w:p>
    <w:p w14:paraId="67F4B966">
      <w:pPr>
        <w:pStyle w:val="49"/>
        <w:widowControl w:val="0"/>
        <w:wordWrap w:val="0"/>
        <w:adjustRightInd w:val="0"/>
        <w:snapToGrid w:val="0"/>
        <w:spacing w:before="260" w:after="260" w:line="40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4"/>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1CAD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60253C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投标人名称</w:t>
            </w:r>
          </w:p>
        </w:tc>
        <w:tc>
          <w:tcPr>
            <w:tcW w:w="7280" w:type="dxa"/>
            <w:gridSpan w:val="8"/>
            <w:vAlign w:val="center"/>
          </w:tcPr>
          <w:p w14:paraId="17162CA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34AB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35942A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注册地址</w:t>
            </w:r>
          </w:p>
        </w:tc>
        <w:tc>
          <w:tcPr>
            <w:tcW w:w="3514" w:type="dxa"/>
            <w:gridSpan w:val="3"/>
            <w:vAlign w:val="center"/>
          </w:tcPr>
          <w:p w14:paraId="07C2EA9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0EAD8DB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邮政编码</w:t>
            </w:r>
          </w:p>
        </w:tc>
        <w:tc>
          <w:tcPr>
            <w:tcW w:w="2474" w:type="dxa"/>
            <w:gridSpan w:val="3"/>
            <w:vAlign w:val="center"/>
          </w:tcPr>
          <w:p w14:paraId="2C3D381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766B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vAlign w:val="center"/>
          </w:tcPr>
          <w:p w14:paraId="6D80252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联系方式</w:t>
            </w:r>
          </w:p>
        </w:tc>
        <w:tc>
          <w:tcPr>
            <w:tcW w:w="1541" w:type="dxa"/>
            <w:vAlign w:val="center"/>
          </w:tcPr>
          <w:p w14:paraId="5A749E1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联系人</w:t>
            </w:r>
          </w:p>
        </w:tc>
        <w:tc>
          <w:tcPr>
            <w:tcW w:w="1973" w:type="dxa"/>
            <w:gridSpan w:val="2"/>
            <w:vAlign w:val="center"/>
          </w:tcPr>
          <w:p w14:paraId="0AE8D52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2F89557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  话</w:t>
            </w:r>
          </w:p>
        </w:tc>
        <w:tc>
          <w:tcPr>
            <w:tcW w:w="2474" w:type="dxa"/>
            <w:gridSpan w:val="3"/>
            <w:vAlign w:val="center"/>
          </w:tcPr>
          <w:p w14:paraId="61BF2B6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1980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vAlign w:val="center"/>
          </w:tcPr>
          <w:p w14:paraId="1FB5C21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541" w:type="dxa"/>
            <w:vAlign w:val="center"/>
          </w:tcPr>
          <w:p w14:paraId="27FE84C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传  真</w:t>
            </w:r>
          </w:p>
        </w:tc>
        <w:tc>
          <w:tcPr>
            <w:tcW w:w="1973" w:type="dxa"/>
            <w:gridSpan w:val="2"/>
            <w:vAlign w:val="center"/>
          </w:tcPr>
          <w:p w14:paraId="5BE9FB8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2" w:type="dxa"/>
            <w:gridSpan w:val="2"/>
            <w:vAlign w:val="center"/>
          </w:tcPr>
          <w:p w14:paraId="1C39971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电子邮箱</w:t>
            </w:r>
          </w:p>
        </w:tc>
        <w:tc>
          <w:tcPr>
            <w:tcW w:w="2474" w:type="dxa"/>
            <w:gridSpan w:val="3"/>
            <w:vAlign w:val="center"/>
          </w:tcPr>
          <w:p w14:paraId="244683A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A75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3D8857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单位性质</w:t>
            </w:r>
          </w:p>
        </w:tc>
        <w:tc>
          <w:tcPr>
            <w:tcW w:w="7280" w:type="dxa"/>
            <w:gridSpan w:val="8"/>
            <w:vAlign w:val="center"/>
          </w:tcPr>
          <w:p w14:paraId="7C1CBE4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6AD1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6BDF423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法定代表人</w:t>
            </w:r>
          </w:p>
        </w:tc>
        <w:tc>
          <w:tcPr>
            <w:tcW w:w="1541" w:type="dxa"/>
            <w:vAlign w:val="center"/>
          </w:tcPr>
          <w:p w14:paraId="23F2D3C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姓名</w:t>
            </w:r>
          </w:p>
        </w:tc>
        <w:tc>
          <w:tcPr>
            <w:tcW w:w="1140" w:type="dxa"/>
            <w:vAlign w:val="center"/>
          </w:tcPr>
          <w:p w14:paraId="585C3ED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Align w:val="center"/>
          </w:tcPr>
          <w:p w14:paraId="10D4565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技术职称</w:t>
            </w:r>
          </w:p>
        </w:tc>
        <w:tc>
          <w:tcPr>
            <w:tcW w:w="1101" w:type="dxa"/>
            <w:gridSpan w:val="2"/>
            <w:vAlign w:val="center"/>
          </w:tcPr>
          <w:p w14:paraId="6EC2C85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735" w:type="dxa"/>
            <w:vAlign w:val="center"/>
          </w:tcPr>
          <w:p w14:paraId="5D8BB28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电话</w:t>
            </w:r>
          </w:p>
        </w:tc>
        <w:tc>
          <w:tcPr>
            <w:tcW w:w="1470" w:type="dxa"/>
            <w:vAlign w:val="center"/>
          </w:tcPr>
          <w:p w14:paraId="54F10E2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53E1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3B1B524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成立时间</w:t>
            </w:r>
          </w:p>
        </w:tc>
        <w:tc>
          <w:tcPr>
            <w:tcW w:w="2681" w:type="dxa"/>
            <w:gridSpan w:val="2"/>
            <w:vAlign w:val="center"/>
          </w:tcPr>
          <w:p w14:paraId="2CF6E82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4599" w:type="dxa"/>
            <w:gridSpan w:val="6"/>
            <w:vAlign w:val="center"/>
          </w:tcPr>
          <w:p w14:paraId="356F4B2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员工总人数（个）：</w:t>
            </w:r>
          </w:p>
        </w:tc>
      </w:tr>
      <w:tr w14:paraId="057D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jc w:val="center"/>
        </w:trPr>
        <w:tc>
          <w:tcPr>
            <w:tcW w:w="1540" w:type="dxa"/>
            <w:vAlign w:val="center"/>
          </w:tcPr>
          <w:p w14:paraId="5C97A8F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企业资质</w:t>
            </w:r>
          </w:p>
          <w:p w14:paraId="39FF8DC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类型和等级</w:t>
            </w:r>
          </w:p>
        </w:tc>
        <w:tc>
          <w:tcPr>
            <w:tcW w:w="2681" w:type="dxa"/>
            <w:gridSpan w:val="2"/>
            <w:vAlign w:val="center"/>
          </w:tcPr>
          <w:p w14:paraId="6A5AC1B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restart"/>
            <w:vAlign w:val="center"/>
          </w:tcPr>
          <w:p w14:paraId="2D0C646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其中</w:t>
            </w:r>
          </w:p>
        </w:tc>
        <w:tc>
          <w:tcPr>
            <w:tcW w:w="1836" w:type="dxa"/>
            <w:gridSpan w:val="3"/>
            <w:vAlign w:val="center"/>
          </w:tcPr>
          <w:p w14:paraId="5670944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项目经理</w:t>
            </w:r>
          </w:p>
        </w:tc>
        <w:tc>
          <w:tcPr>
            <w:tcW w:w="1470" w:type="dxa"/>
            <w:vAlign w:val="center"/>
          </w:tcPr>
          <w:p w14:paraId="22920FC4">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2873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4CDE22C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营业执照号</w:t>
            </w:r>
          </w:p>
        </w:tc>
        <w:tc>
          <w:tcPr>
            <w:tcW w:w="2681" w:type="dxa"/>
            <w:gridSpan w:val="2"/>
            <w:vAlign w:val="center"/>
          </w:tcPr>
          <w:p w14:paraId="5C7F15A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0EF9517B">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6A0C0E3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高级职称人员</w:t>
            </w:r>
          </w:p>
        </w:tc>
        <w:tc>
          <w:tcPr>
            <w:tcW w:w="1470" w:type="dxa"/>
            <w:vAlign w:val="center"/>
          </w:tcPr>
          <w:p w14:paraId="7623CFA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303F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Align w:val="center"/>
          </w:tcPr>
          <w:p w14:paraId="416BFB4D">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注册资金</w:t>
            </w:r>
          </w:p>
        </w:tc>
        <w:tc>
          <w:tcPr>
            <w:tcW w:w="2681" w:type="dxa"/>
            <w:gridSpan w:val="2"/>
            <w:vAlign w:val="center"/>
          </w:tcPr>
          <w:p w14:paraId="70A4FC4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2609EE1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58033D18">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中级职称人员</w:t>
            </w:r>
          </w:p>
        </w:tc>
        <w:tc>
          <w:tcPr>
            <w:tcW w:w="1470" w:type="dxa"/>
            <w:vAlign w:val="center"/>
          </w:tcPr>
          <w:p w14:paraId="43F204C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1853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vAlign w:val="center"/>
          </w:tcPr>
          <w:p w14:paraId="4DE8F6BE">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38EC55C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开户银行</w:t>
            </w:r>
          </w:p>
        </w:tc>
        <w:tc>
          <w:tcPr>
            <w:tcW w:w="2681" w:type="dxa"/>
            <w:gridSpan w:val="2"/>
            <w:vAlign w:val="center"/>
          </w:tcPr>
          <w:p w14:paraId="68A995A6">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52243A2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104B0AE9">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初级职称人员</w:t>
            </w:r>
          </w:p>
        </w:tc>
        <w:tc>
          <w:tcPr>
            <w:tcW w:w="1470" w:type="dxa"/>
            <w:vAlign w:val="center"/>
          </w:tcPr>
          <w:p w14:paraId="4B6B0F3F">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4950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vAlign w:val="center"/>
          </w:tcPr>
          <w:p w14:paraId="6ADE843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基本账户</w:t>
            </w:r>
          </w:p>
          <w:p w14:paraId="3EC4444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银行账号</w:t>
            </w:r>
          </w:p>
        </w:tc>
        <w:tc>
          <w:tcPr>
            <w:tcW w:w="2681" w:type="dxa"/>
            <w:gridSpan w:val="2"/>
            <w:vAlign w:val="center"/>
          </w:tcPr>
          <w:p w14:paraId="76811365">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293" w:type="dxa"/>
            <w:gridSpan w:val="2"/>
            <w:vMerge w:val="continue"/>
            <w:vAlign w:val="center"/>
          </w:tcPr>
          <w:p w14:paraId="0B62259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c>
          <w:tcPr>
            <w:tcW w:w="1836" w:type="dxa"/>
            <w:gridSpan w:val="3"/>
            <w:vAlign w:val="center"/>
          </w:tcPr>
          <w:p w14:paraId="24B7A772">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技术员</w:t>
            </w:r>
          </w:p>
        </w:tc>
        <w:tc>
          <w:tcPr>
            <w:tcW w:w="1470" w:type="dxa"/>
            <w:vAlign w:val="center"/>
          </w:tcPr>
          <w:p w14:paraId="72D14A6C">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r w14:paraId="3379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1540" w:type="dxa"/>
            <w:vAlign w:val="center"/>
          </w:tcPr>
          <w:p w14:paraId="18913567">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经营范围</w:t>
            </w:r>
          </w:p>
        </w:tc>
        <w:tc>
          <w:tcPr>
            <w:tcW w:w="7280" w:type="dxa"/>
            <w:gridSpan w:val="8"/>
            <w:vAlign w:val="center"/>
          </w:tcPr>
          <w:p w14:paraId="1A4A4933">
            <w:pPr>
              <w:pStyle w:val="45"/>
              <w:keepNext w:val="0"/>
              <w:keepLines w:val="0"/>
              <w:suppressLineNumbers w:val="0"/>
              <w:wordWrap w:val="0"/>
              <w:adjustRightInd w:val="0"/>
              <w:snapToGrid w:val="0"/>
              <w:spacing w:before="0" w:beforeAutospacing="0" w:after="0" w:afterAutospacing="0"/>
              <w:ind w:left="0" w:right="0"/>
              <w:jc w:val="left"/>
              <w:rPr>
                <w:rFonts w:hint="default" w:asciiTheme="minorEastAsia" w:hAnsiTheme="minorEastAsia" w:eastAsiaTheme="minorEastAsia" w:cstheme="minorEastAsia"/>
                <w:snapToGrid w:val="0"/>
                <w:color w:val="auto"/>
                <w:kern w:val="0"/>
                <w:sz w:val="24"/>
                <w:highlight w:val="none"/>
              </w:rPr>
            </w:pPr>
          </w:p>
        </w:tc>
      </w:tr>
      <w:tr w14:paraId="0A04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vAlign w:val="center"/>
          </w:tcPr>
          <w:p w14:paraId="18F67CD0">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关联企业情况</w:t>
            </w:r>
          </w:p>
        </w:tc>
        <w:tc>
          <w:tcPr>
            <w:tcW w:w="7280" w:type="dxa"/>
            <w:gridSpan w:val="8"/>
            <w:vAlign w:val="center"/>
          </w:tcPr>
          <w:p w14:paraId="0759E170">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包括但不限于与投标人存在以下关系的不同单位：</w:t>
            </w:r>
          </w:p>
          <w:p w14:paraId="6E52FA5D">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1．法定代表人为同一人的。</w:t>
            </w:r>
          </w:p>
          <w:p w14:paraId="49E50260">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2．存在控股、管理关系的。</w:t>
            </w:r>
          </w:p>
          <w:p w14:paraId="1E918F51">
            <w:pPr>
              <w:pStyle w:val="45"/>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3．主要人员相互任职的。</w:t>
            </w:r>
          </w:p>
        </w:tc>
      </w:tr>
      <w:tr w14:paraId="7069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540" w:type="dxa"/>
            <w:vAlign w:val="center"/>
          </w:tcPr>
          <w:p w14:paraId="62ED3A7A">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备注</w:t>
            </w:r>
          </w:p>
        </w:tc>
        <w:tc>
          <w:tcPr>
            <w:tcW w:w="7280" w:type="dxa"/>
            <w:gridSpan w:val="8"/>
            <w:vAlign w:val="center"/>
          </w:tcPr>
          <w:p w14:paraId="136450A3">
            <w:pPr>
              <w:pStyle w:val="45"/>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4"/>
                <w:highlight w:val="none"/>
              </w:rPr>
            </w:pPr>
          </w:p>
        </w:tc>
      </w:tr>
    </w:tbl>
    <w:p w14:paraId="5C369156">
      <w:pPr>
        <w:pStyle w:val="45"/>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 w:val="24"/>
          <w:highlight w:val="none"/>
        </w:rPr>
      </w:pPr>
      <w:r>
        <w:rPr>
          <w:rFonts w:hint="eastAsia" w:asciiTheme="minorEastAsia" w:hAnsiTheme="minorEastAsia" w:eastAsiaTheme="minorEastAsia" w:cstheme="minorEastAsia"/>
          <w:snapToGrid w:val="0"/>
          <w:color w:val="auto"/>
          <w:kern w:val="0"/>
          <w:sz w:val="24"/>
          <w:highlight w:val="none"/>
        </w:rPr>
        <w:t>说明：</w:t>
      </w:r>
    </w:p>
    <w:bookmarkEnd w:id="653"/>
    <w:bookmarkEnd w:id="654"/>
    <w:bookmarkEnd w:id="655"/>
    <w:bookmarkEnd w:id="656"/>
    <w:bookmarkEnd w:id="657"/>
    <w:p w14:paraId="2ACE9749">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bookmarkStart w:id="711" w:name="_Toc1659"/>
      <w:bookmarkStart w:id="712" w:name="_Toc48547015"/>
      <w:bookmarkStart w:id="713" w:name="_Toc535300004"/>
      <w:bookmarkStart w:id="714" w:name="_Toc534641863"/>
      <w:bookmarkStart w:id="715" w:name="_Toc118541763"/>
      <w:bookmarkStart w:id="716" w:name="_Toc210101349"/>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4D062129">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（1）企业营业执照、资质证书、安全生产许可证的扫描件</w:t>
      </w:r>
      <w:r>
        <w:rPr>
          <w:rFonts w:hint="eastAsia" w:asciiTheme="minorEastAsia" w:hAnsiTheme="minorEastAsia" w:eastAsiaTheme="minorEastAsia" w:cstheme="minorEastAsia"/>
          <w:b/>
          <w:bCs/>
          <w:snapToGrid w:val="0"/>
          <w:color w:val="auto"/>
          <w:sz w:val="21"/>
          <w:szCs w:val="21"/>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w:t>
      </w:r>
      <w:r>
        <w:rPr>
          <w:rFonts w:hint="eastAsia" w:asciiTheme="minorEastAsia" w:hAnsiTheme="minorEastAsia" w:eastAsiaTheme="minorEastAsia" w:cstheme="minorEastAsia"/>
          <w:b/>
          <w:bCs/>
          <w:strike w:val="0"/>
          <w:dstrike w:val="0"/>
          <w:snapToGrid w:val="0"/>
          <w:color w:val="auto"/>
          <w:sz w:val="21"/>
          <w:szCs w:val="21"/>
          <w:highlight w:val="none"/>
          <w:lang w:val="en-US" w:eastAsia="zh-CN"/>
        </w:rPr>
        <w:t>项目</w:t>
      </w:r>
      <w:r>
        <w:rPr>
          <w:rFonts w:hint="eastAsia" w:asciiTheme="minorEastAsia" w:hAnsiTheme="minorEastAsia" w:eastAsiaTheme="minorEastAsia" w:cstheme="minorEastAsia"/>
          <w:b/>
          <w:bCs/>
          <w:snapToGrid w:val="0"/>
          <w:color w:val="auto"/>
          <w:sz w:val="21"/>
          <w:szCs w:val="21"/>
          <w:highlight w:val="none"/>
        </w:rPr>
        <w:t>招标公告发布之日起至开标前。如中标后，投标单位安全生产许可证发生被暂扣情形，需双方另行协商）；</w:t>
      </w:r>
    </w:p>
    <w:p w14:paraId="616A20D1">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6F1F1C16">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68AAAB53">
      <w:pPr>
        <w:pStyle w:val="49"/>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6049C177">
      <w:pPr>
        <w:pStyle w:val="5"/>
        <w:spacing w:before="120"/>
        <w:rPr>
          <w:rFonts w:hint="default" w:asciiTheme="minorEastAsia" w:hAnsiTheme="minorEastAsia" w:eastAsiaTheme="minorEastAsia" w:cstheme="minorEastAsia"/>
          <w:b/>
          <w:bCs/>
          <w:color w:val="auto"/>
          <w:szCs w:val="24"/>
          <w:highlight w:val="none"/>
        </w:rPr>
      </w:pPr>
      <w:bookmarkStart w:id="717" w:name="_Toc7866"/>
      <w:r>
        <w:rPr>
          <w:rFonts w:asciiTheme="minorEastAsia" w:hAnsiTheme="minorEastAsia" w:eastAsiaTheme="minorEastAsia" w:cstheme="minorEastAsia"/>
          <w:b/>
          <w:bCs/>
          <w:color w:val="auto"/>
          <w:szCs w:val="24"/>
          <w:highlight w:val="none"/>
        </w:rPr>
        <w:t>格式八 项目经理简历表</w:t>
      </w:r>
      <w:bookmarkEnd w:id="711"/>
      <w:bookmarkEnd w:id="717"/>
    </w:p>
    <w:p w14:paraId="2A629C69">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FF202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716FD4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46770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0E01149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3D61E2B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133A941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098146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0B02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4D284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359A8D2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11A6BEF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5BA992D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0EB2C56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14BD6A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738C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FF781B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40920B6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63AFD62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47D1274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9E6CA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0E7871C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以项目经理身份参与过的主要业绩（已完工项目）</w:t>
            </w:r>
          </w:p>
        </w:tc>
      </w:tr>
      <w:tr w14:paraId="2AABBF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79192F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D19B71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29B71C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BE7CED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1C5D79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614DED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488B7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C0C424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B9A776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B91DC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EC544E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6691BD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57EA12F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9F5B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E26A1B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D326C9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3373A1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B56591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65B6D56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1BF8BB0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C20B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064ACF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E24BB5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83E5B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65F408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28D6017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22FDEA5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61B89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D01D10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5192D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A28E26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770222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4658278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4A6DDA9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6447090E">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项目经理简历表</w:t>
      </w:r>
    </w:p>
    <w:p w14:paraId="05CD9745">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4A0C4382">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268E8E10">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项目经理：（签字）</w:t>
      </w:r>
    </w:p>
    <w:p w14:paraId="10E5FB59">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10863D83">
      <w:pPr>
        <w:wordWrap w:val="0"/>
        <w:adjustRightInd w:val="0"/>
        <w:snapToGrid w:val="0"/>
        <w:spacing w:line="400" w:lineRule="exact"/>
        <w:ind w:firstLine="7524" w:firstLineChars="3135"/>
        <w:rPr>
          <w:rFonts w:hint="default"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61247FBD">
      <w:pPr>
        <w:rPr>
          <w:rFonts w:hint="default"/>
          <w:color w:val="auto"/>
          <w:highlight w:val="none"/>
        </w:rPr>
      </w:pPr>
    </w:p>
    <w:p w14:paraId="50445252">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说明：《项目经理简历表》后应附拟派项目经理以下资料：</w:t>
      </w:r>
    </w:p>
    <w:p w14:paraId="4BA6FD7F">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1．身份证彩色扫描件；</w:t>
      </w:r>
    </w:p>
    <w:p w14:paraId="75603F1A">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2．建造师电子注册证书（在使用有效期内的有效电子证书）彩色扫描件；</w:t>
      </w:r>
    </w:p>
    <w:p w14:paraId="348D9CEA">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3．B类安全生产考核合格证书彩色扫描件或广东省建筑施工企业管理人员安全生产考核系统考核合格信息彩色扫描件；</w:t>
      </w:r>
    </w:p>
    <w:p w14:paraId="098B93F6">
      <w:pPr>
        <w:wordWrap w:val="0"/>
        <w:adjustRightInd w:val="0"/>
        <w:snapToGrid w:val="0"/>
        <w:spacing w:line="400" w:lineRule="exact"/>
        <w:ind w:firstLine="480" w:firstLineChars="200"/>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9</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；拟派项目经理为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p>
    <w:p w14:paraId="445EBCA4">
      <w:pPr>
        <w:pStyle w:val="5"/>
        <w:spacing w:before="120"/>
        <w:ind w:firstLine="480" w:firstLineChars="200"/>
        <w:rPr>
          <w:rFonts w:asciiTheme="minorEastAsia" w:hAnsiTheme="minorEastAsia" w:eastAsiaTheme="minorEastAsia" w:cstheme="minorEastAsia"/>
          <w:color w:val="auto"/>
          <w:szCs w:val="24"/>
          <w:highlight w:val="none"/>
        </w:rPr>
      </w:pPr>
      <w:bookmarkStart w:id="718" w:name="_Toc5709"/>
      <w:r>
        <w:rPr>
          <w:rFonts w:asciiTheme="minorEastAsia" w:hAnsiTheme="minorEastAsia" w:eastAsiaTheme="minorEastAsia" w:cstheme="minorEastAsia"/>
          <w:color w:val="auto"/>
          <w:szCs w:val="24"/>
          <w:highlight w:val="none"/>
        </w:rPr>
        <w:t>5．“进粤企业和人员诚信信息登记平台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（若组成联合体时，由联合体牵头人提供）</w:t>
      </w:r>
      <w:bookmarkEnd w:id="718"/>
    </w:p>
    <w:p w14:paraId="49463CEC">
      <w:pPr>
        <w:pStyle w:val="2"/>
        <w:jc w:val="both"/>
        <w:rPr>
          <w:rFonts w:hint="default"/>
          <w:color w:val="auto"/>
          <w:highlight w:val="none"/>
        </w:rPr>
      </w:pPr>
    </w:p>
    <w:p w14:paraId="36542978">
      <w:pPr>
        <w:pStyle w:val="5"/>
        <w:spacing w:before="120"/>
        <w:ind w:firstLine="480" w:firstLineChars="200"/>
        <w:rPr>
          <w:rFonts w:asciiTheme="minorEastAsia" w:hAnsiTheme="minorEastAsia" w:eastAsiaTheme="minorEastAsia" w:cstheme="minorEastAsia"/>
          <w:color w:val="auto"/>
          <w:szCs w:val="24"/>
          <w:highlight w:val="none"/>
        </w:rPr>
      </w:pPr>
    </w:p>
    <w:p w14:paraId="13139EB5">
      <w:pPr>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 xml:space="preserve">  </w:t>
      </w:r>
    </w:p>
    <w:p w14:paraId="18DEF12E">
      <w:pPr>
        <w:pStyle w:val="7"/>
        <w:rPr>
          <w:rFonts w:hint="default"/>
          <w:color w:val="auto"/>
          <w:highlight w:val="none"/>
          <w:lang w:val="en-US" w:eastAsia="zh-CN"/>
        </w:rPr>
      </w:pPr>
    </w:p>
    <w:p w14:paraId="08A08DCD">
      <w:pPr>
        <w:pStyle w:val="8"/>
        <w:rPr>
          <w:rFonts w:hint="default"/>
          <w:color w:val="auto"/>
          <w:highlight w:val="none"/>
        </w:rPr>
      </w:pPr>
    </w:p>
    <w:p w14:paraId="2E111F8E">
      <w:pPr>
        <w:pStyle w:val="5"/>
        <w:spacing w:before="120"/>
        <w:rPr>
          <w:rFonts w:hint="default" w:asciiTheme="minorEastAsia" w:hAnsiTheme="minorEastAsia" w:eastAsiaTheme="minorEastAsia" w:cstheme="minorEastAsia"/>
          <w:b/>
          <w:bCs/>
          <w:color w:val="auto"/>
          <w:szCs w:val="24"/>
          <w:highlight w:val="none"/>
        </w:rPr>
      </w:pPr>
      <w:bookmarkStart w:id="719" w:name="_Toc15040"/>
      <w:r>
        <w:rPr>
          <w:rFonts w:asciiTheme="minorEastAsia" w:hAnsiTheme="minorEastAsia" w:eastAsiaTheme="minorEastAsia" w:cstheme="minorEastAsia"/>
          <w:b/>
          <w:bCs/>
          <w:color w:val="auto"/>
          <w:szCs w:val="24"/>
          <w:highlight w:val="none"/>
        </w:rPr>
        <w:t>格式九 项目经理任职声明</w:t>
      </w:r>
      <w:bookmarkEnd w:id="719"/>
    </w:p>
    <w:p w14:paraId="737E5E72">
      <w:pPr>
        <w:wordWrap w:val="0"/>
        <w:adjustRightInd w:val="0"/>
        <w:snapToGrid w:val="0"/>
        <w:spacing w:line="440" w:lineRule="exact"/>
        <w:jc w:val="left"/>
        <w:rPr>
          <w:rFonts w:hint="default" w:asciiTheme="minorEastAsia" w:hAnsiTheme="minorEastAsia" w:eastAsiaTheme="minorEastAsia" w:cstheme="minorEastAsia"/>
          <w:b/>
          <w:snapToGrid w:val="0"/>
          <w:color w:val="auto"/>
          <w:kern w:val="0"/>
          <w:szCs w:val="24"/>
          <w:highlight w:val="none"/>
        </w:rPr>
      </w:pPr>
    </w:p>
    <w:p w14:paraId="614A6725">
      <w:pPr>
        <w:wordWrap w:val="0"/>
        <w:adjustRightInd w:val="0"/>
        <w:snapToGrid w:val="0"/>
        <w:spacing w:before="260" w:after="260"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项目经理任职声明</w:t>
      </w:r>
    </w:p>
    <w:p w14:paraId="7E829BE6">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185C7DEC">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bookmarkStart w:id="720" w:name="_Toc21599"/>
      <w:r>
        <w:rPr>
          <w:rFonts w:asciiTheme="minorEastAsia" w:hAnsiTheme="minorEastAsia" w:eastAsiaTheme="minorEastAsia" w:cstheme="minorEastAsia"/>
          <w:snapToGrid w:val="0"/>
          <w:color w:val="auto"/>
          <w:kern w:val="0"/>
          <w:szCs w:val="24"/>
          <w:highlight w:val="none"/>
        </w:rPr>
        <w:t>致：（招标人名称）：</w:t>
      </w:r>
    </w:p>
    <w:p w14:paraId="6CD9D815">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我方在此声明，我方拟派往（项目名称）的项目经理（项目经理姓名）现阶段没有担任任何在施（包括已中标未开工、已开工未竣工）建设工程项目的项目经理。</w:t>
      </w:r>
    </w:p>
    <w:p w14:paraId="6B6AC94A">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我方保证上述信息的真实和准确，并愿意承担因我方就此弄虚作假所引起的一切法律后果。</w:t>
      </w:r>
    </w:p>
    <w:p w14:paraId="19BFCD95">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67087B1B">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特此承诺　　</w:t>
      </w:r>
    </w:p>
    <w:p w14:paraId="78475ADC">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3C7E751E">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w:t>
      </w:r>
    </w:p>
    <w:p w14:paraId="3FF3E7F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投标人：（盖单位章）</w:t>
      </w:r>
    </w:p>
    <w:p w14:paraId="659312D0">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0E60C08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062598DB">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法定代表人或其委托代理人：（签字或盖章）</w:t>
      </w:r>
    </w:p>
    <w:p w14:paraId="1A73A5E4">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p>
    <w:p w14:paraId="4F068217">
      <w:pPr>
        <w:wordWrap w:val="0"/>
        <w:adjustRightInd w:val="0"/>
        <w:snapToGrid w:val="0"/>
        <w:spacing w:line="440" w:lineRule="exact"/>
        <w:jc w:val="center"/>
        <w:rPr>
          <w:rFonts w:asciiTheme="minorEastAsia" w:hAnsiTheme="minorEastAsia" w:eastAsiaTheme="minorEastAsia" w:cstheme="minorEastAsia"/>
          <w:snapToGrid w:val="0"/>
          <w:color w:val="auto"/>
          <w:kern w:val="0"/>
          <w:szCs w:val="24"/>
          <w:highlight w:val="none"/>
        </w:rPr>
      </w:pP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年</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月</w:t>
      </w:r>
      <w:r>
        <w:rPr>
          <w:rFonts w:hint="eastAsia" w:asciiTheme="minorEastAsia" w:hAnsiTheme="minorEastAsia" w:eastAsiaTheme="minorEastAsia" w:cstheme="minorEastAsia"/>
          <w:snapToGrid w:val="0"/>
          <w:color w:val="auto"/>
          <w:kern w:val="0"/>
          <w:szCs w:val="24"/>
          <w:highlight w:val="none"/>
          <w:lang w:val="en-US" w:eastAsia="zh-CN"/>
        </w:rPr>
        <w:t xml:space="preserve">  </w:t>
      </w:r>
      <w:r>
        <w:rPr>
          <w:rFonts w:asciiTheme="minorEastAsia" w:hAnsiTheme="minorEastAsia" w:eastAsiaTheme="minorEastAsia" w:cstheme="minorEastAsia"/>
          <w:snapToGrid w:val="0"/>
          <w:color w:val="auto"/>
          <w:kern w:val="0"/>
          <w:szCs w:val="24"/>
          <w:highlight w:val="none"/>
        </w:rPr>
        <w:t>日</w:t>
      </w:r>
    </w:p>
    <w:p w14:paraId="2DB734D2">
      <w:pPr>
        <w:rPr>
          <w:rFonts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3DC88537">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36F7FBB7">
      <w:pPr>
        <w:pStyle w:val="7"/>
        <w:rPr>
          <w:rFonts w:hint="default"/>
          <w:color w:val="auto"/>
          <w:highlight w:val="none"/>
        </w:rPr>
      </w:pPr>
    </w:p>
    <w:p w14:paraId="7067E6B8">
      <w:pPr>
        <w:pStyle w:val="5"/>
        <w:spacing w:before="120"/>
        <w:rPr>
          <w:rFonts w:hint="default" w:asciiTheme="minorEastAsia" w:hAnsiTheme="minorEastAsia" w:eastAsiaTheme="minorEastAsia" w:cstheme="minorEastAsia"/>
          <w:b/>
          <w:bCs/>
          <w:color w:val="auto"/>
          <w:szCs w:val="24"/>
          <w:highlight w:val="none"/>
        </w:rPr>
      </w:pPr>
      <w:bookmarkStart w:id="721" w:name="_Toc32212"/>
      <w:r>
        <w:rPr>
          <w:rFonts w:asciiTheme="minorEastAsia" w:hAnsiTheme="minorEastAsia" w:eastAsiaTheme="minorEastAsia" w:cstheme="minorEastAsia"/>
          <w:b/>
          <w:bCs/>
          <w:color w:val="auto"/>
          <w:szCs w:val="24"/>
          <w:highlight w:val="none"/>
        </w:rPr>
        <w:t>格式十 项目技术负责人简历表</w:t>
      </w:r>
      <w:bookmarkEnd w:id="720"/>
      <w:bookmarkEnd w:id="721"/>
    </w:p>
    <w:p w14:paraId="35F92DB2">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196CB7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18A4C9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2E34B6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03687EF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3865AC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7CC051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7ED455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734E6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2653500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940AA7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2654E2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1BBC193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2A20FB7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79EAE3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27619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175001D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1CC3CFC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53366B1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6006BBC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7D320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1E9760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以项目技术负责人身份参与过的主要业绩（已完工项目）</w:t>
            </w:r>
          </w:p>
        </w:tc>
      </w:tr>
      <w:tr w14:paraId="0D785D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5E9442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F992EE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1A972D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23A8E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44A69A2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3761A99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42C16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8404CA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009052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FF4840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54BD10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22040FC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DE873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5508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CAF031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8C0384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A694BE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C714AD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644F06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77F2C09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9DDBD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4DB1F9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ECED1D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F9C8A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18F072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6B73E1A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2F35885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D1CA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C609E6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67398E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D49574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B11E10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1F42577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2E96736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331EBC21">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项目技术负责人简历表</w:t>
      </w:r>
    </w:p>
    <w:p w14:paraId="04860878">
      <w:pPr>
        <w:pStyle w:val="50"/>
        <w:wordWrap w:val="0"/>
        <w:adjustRightInd w:val="0"/>
        <w:snapToGrid w:val="0"/>
        <w:spacing w:line="440" w:lineRule="exact"/>
        <w:jc w:val="both"/>
        <w:rPr>
          <w:rFonts w:asciiTheme="minorEastAsia" w:hAnsiTheme="minorEastAsia" w:eastAsiaTheme="minorEastAsia" w:cstheme="minorEastAsia"/>
          <w:snapToGrid w:val="0"/>
          <w:color w:val="auto"/>
          <w:kern w:val="0"/>
          <w:sz w:val="24"/>
          <w:szCs w:val="24"/>
          <w:highlight w:val="none"/>
        </w:rPr>
      </w:pPr>
    </w:p>
    <w:p w14:paraId="654E59E1">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项目技术负责人：（签字）</w:t>
      </w:r>
    </w:p>
    <w:p w14:paraId="77F3855D">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69D8EB0">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58E5329D">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4E9F7C65">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说明：《项目技术负责人简历表》后应附拟派项目技术负责人以下资料：</w:t>
      </w:r>
    </w:p>
    <w:p w14:paraId="3576DC2C">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1．身份证彩色扫描件；</w:t>
      </w:r>
    </w:p>
    <w:p w14:paraId="659587E7">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2．职称证彩色扫描件；</w:t>
      </w:r>
    </w:p>
    <w:p w14:paraId="6ADF5228">
      <w:pPr>
        <w:wordWrap w:val="0"/>
        <w:adjustRightInd w:val="0"/>
        <w:snapToGrid w:val="0"/>
        <w:spacing w:line="400" w:lineRule="exact"/>
        <w:ind w:firstLine="480" w:firstLineChars="200"/>
        <w:rPr>
          <w:rFonts w:hint="eastAsia"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9</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扫描件</w:t>
      </w:r>
      <w:r>
        <w:rPr>
          <w:rFonts w:hint="eastAsia" w:asciiTheme="minorEastAsia" w:hAnsiTheme="minorEastAsia" w:eastAsiaTheme="minorEastAsia" w:cstheme="minorEastAsia"/>
          <w:snapToGrid w:val="0"/>
          <w:color w:val="auto"/>
          <w:kern w:val="0"/>
          <w:szCs w:val="24"/>
          <w:highlight w:val="none"/>
        </w:rPr>
        <w:t>；拟派技术负责人为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43C54F3B">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 “进粤企业和人员诚信信息登记平台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（若组成联合体时，由联合体牵头人提供）</w:t>
      </w:r>
    </w:p>
    <w:p w14:paraId="2B589B1C">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szCs w:val="24"/>
          <w:highlight w:val="none"/>
        </w:rPr>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327" w:charSpace="0"/>
        </w:sectPr>
      </w:pPr>
    </w:p>
    <w:p w14:paraId="71D4B78C">
      <w:pPr>
        <w:pStyle w:val="5"/>
        <w:spacing w:before="120"/>
        <w:rPr>
          <w:rFonts w:hint="default" w:asciiTheme="minorEastAsia" w:hAnsiTheme="minorEastAsia" w:eastAsiaTheme="minorEastAsia" w:cstheme="minorEastAsia"/>
          <w:b/>
          <w:bCs/>
          <w:color w:val="auto"/>
          <w:szCs w:val="24"/>
          <w:highlight w:val="none"/>
        </w:rPr>
      </w:pPr>
      <w:bookmarkStart w:id="722" w:name="_Toc28032"/>
      <w:bookmarkStart w:id="723" w:name="_Toc31518"/>
      <w:r>
        <w:rPr>
          <w:rFonts w:asciiTheme="minorEastAsia" w:hAnsiTheme="minorEastAsia" w:eastAsiaTheme="minorEastAsia" w:cstheme="minorEastAsia"/>
          <w:b/>
          <w:bCs/>
          <w:color w:val="auto"/>
          <w:szCs w:val="24"/>
          <w:highlight w:val="none"/>
        </w:rPr>
        <w:t>格式十一 项目设计负责人简历表</w:t>
      </w:r>
      <w:bookmarkEnd w:id="722"/>
      <w:bookmarkEnd w:id="723"/>
    </w:p>
    <w:p w14:paraId="2775B499">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73AB69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6F8C97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9CF163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015590F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vAlign w:val="center"/>
          </w:tcPr>
          <w:p w14:paraId="19D689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358D2F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vAlign w:val="center"/>
          </w:tcPr>
          <w:p w14:paraId="6AB0974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124D32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D9D7FA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78BC03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294" w:type="dxa"/>
            <w:tcBorders>
              <w:top w:val="single" w:color="auto" w:sz="6" w:space="0"/>
              <w:left w:val="single" w:color="auto" w:sz="6" w:space="0"/>
              <w:bottom w:val="single" w:color="auto" w:sz="6" w:space="0"/>
              <w:right w:val="single" w:color="auto" w:sz="6" w:space="0"/>
            </w:tcBorders>
            <w:vAlign w:val="center"/>
          </w:tcPr>
          <w:p w14:paraId="14F17E4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vAlign w:val="center"/>
          </w:tcPr>
          <w:p w14:paraId="4D33491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6EED96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vAlign w:val="center"/>
          </w:tcPr>
          <w:p w14:paraId="2A623C7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01BD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6F5F3D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5D4EB7B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758F91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1AD6CC6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F055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122B697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以项目设计负责人身份参与过的主要业绩（已完工项目）</w:t>
            </w:r>
          </w:p>
        </w:tc>
      </w:tr>
      <w:tr w14:paraId="082EF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836398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55FF3E6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1BD4B7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145EAE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1938A6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711E812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质量等级</w:t>
            </w:r>
          </w:p>
        </w:tc>
      </w:tr>
      <w:tr w14:paraId="753E5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844906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AD9588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ED3DE0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8F3307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66C80B2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215921A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6BB71B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EC6D79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A8F9E4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5A44B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6A214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5088867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5968324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28FE1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3F7F6B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27A9BF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630822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50B5AD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70E9CF1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55BFC7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97635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28CEAC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E1D49E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852BC0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3DAB37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549BFFD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66CC44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8600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35E85D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DCF653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CE1708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4C404A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706" w:type="dxa"/>
            <w:tcBorders>
              <w:top w:val="single" w:color="auto" w:sz="6" w:space="0"/>
              <w:left w:val="single" w:color="auto" w:sz="6" w:space="0"/>
              <w:bottom w:val="single" w:color="auto" w:sz="6" w:space="0"/>
              <w:right w:val="single" w:color="auto" w:sz="6" w:space="0"/>
            </w:tcBorders>
            <w:vAlign w:val="center"/>
          </w:tcPr>
          <w:p w14:paraId="2498270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327" w:type="dxa"/>
            <w:tcBorders>
              <w:top w:val="single" w:color="auto" w:sz="6" w:space="0"/>
              <w:left w:val="single" w:color="auto" w:sz="6" w:space="0"/>
              <w:bottom w:val="single" w:color="auto" w:sz="6" w:space="0"/>
              <w:right w:val="single" w:color="auto" w:sz="6" w:space="0"/>
            </w:tcBorders>
            <w:vAlign w:val="center"/>
          </w:tcPr>
          <w:p w14:paraId="7BDBFA7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bl>
    <w:p w14:paraId="1423F89C">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项目设计负责人简历表</w:t>
      </w:r>
    </w:p>
    <w:p w14:paraId="3DD8F257">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Cs w:val="24"/>
          <w:highlight w:val="none"/>
        </w:rPr>
      </w:pPr>
    </w:p>
    <w:p w14:paraId="38CB0A40">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621B48D5">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r>
        <w:rPr>
          <w:rFonts w:hint="eastAsia" w:asciiTheme="minorEastAsia" w:hAnsiTheme="minorEastAsia" w:eastAsiaTheme="minorEastAsia" w:cstheme="minorEastAsia"/>
          <w:snapToGrid w:val="0"/>
          <w:color w:val="auto"/>
          <w:kern w:val="0"/>
          <w:sz w:val="24"/>
          <w:szCs w:val="24"/>
          <w:highlight w:val="none"/>
        </w:rPr>
        <w:t>项目设计负责人：（签字）</w:t>
      </w:r>
    </w:p>
    <w:p w14:paraId="27DC21EB">
      <w:pPr>
        <w:pStyle w:val="50"/>
        <w:wordWrap w:val="0"/>
        <w:adjustRightInd w:val="0"/>
        <w:snapToGrid w:val="0"/>
        <w:spacing w:line="440" w:lineRule="exact"/>
        <w:jc w:val="right"/>
        <w:rPr>
          <w:rFonts w:asciiTheme="minorEastAsia" w:hAnsiTheme="minorEastAsia" w:eastAsiaTheme="minorEastAsia" w:cstheme="minorEastAsia"/>
          <w:snapToGrid w:val="0"/>
          <w:color w:val="auto"/>
          <w:kern w:val="0"/>
          <w:sz w:val="24"/>
          <w:szCs w:val="24"/>
          <w:highlight w:val="none"/>
        </w:rPr>
      </w:pPr>
    </w:p>
    <w:p w14:paraId="31FDC33C">
      <w:pPr>
        <w:pStyle w:val="50"/>
        <w:wordWrap w:val="0"/>
        <w:adjustRightInd w:val="0"/>
        <w:snapToGrid w:val="0"/>
        <w:spacing w:line="440" w:lineRule="exact"/>
        <w:jc w:val="center"/>
        <w:rPr>
          <w:rFonts w:hint="eastAsia" w:asciiTheme="minorEastAsia" w:hAnsiTheme="minorEastAsia" w:eastAsiaTheme="minorEastAsia" w:cstheme="minorEastAsia"/>
          <w:snapToGrid w:val="0"/>
          <w:color w:val="auto"/>
          <w:kern w:val="0"/>
          <w:sz w:val="24"/>
          <w:szCs w:val="24"/>
          <w:highlight w:val="none"/>
          <w:lang w:eastAsia="zh-CN"/>
        </w:rPr>
      </w:pPr>
      <w:r>
        <w:rPr>
          <w:rFonts w:hint="eastAsia" w:asciiTheme="minorEastAsia" w:hAnsiTheme="minorEastAsia" w:eastAsiaTheme="minorEastAsia" w:cstheme="minorEastAsia"/>
          <w:snapToGrid w:val="0"/>
          <w:color w:val="auto"/>
          <w:kern w:val="0"/>
          <w:sz w:val="24"/>
          <w:szCs w:val="24"/>
          <w:highlight w:val="none"/>
          <w:lang w:val="en-US" w:eastAsia="zh-CN"/>
        </w:rPr>
        <w:t xml:space="preserve">                                             </w:t>
      </w:r>
      <w:r>
        <w:rPr>
          <w:rFonts w:hint="eastAsia" w:asciiTheme="minorEastAsia" w:hAnsiTheme="minorEastAsia" w:eastAsiaTheme="minorEastAsia" w:cstheme="minorEastAsia"/>
          <w:snapToGrid w:val="0"/>
          <w:color w:val="auto"/>
          <w:kern w:val="0"/>
          <w:sz w:val="24"/>
          <w:szCs w:val="24"/>
          <w:highlight w:val="none"/>
          <w:lang w:eastAsia="zh-CN"/>
        </w:rPr>
        <w:t xml:space="preserve"> 年   月  日</w:t>
      </w:r>
    </w:p>
    <w:p w14:paraId="39D02D7D">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54ECDC54">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Cs w:val="24"/>
          <w:highlight w:val="none"/>
        </w:rPr>
      </w:pPr>
    </w:p>
    <w:p w14:paraId="73EC064F">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说明：《项目设计负责人简历表》后应附拟派项目设计负责人以下资料：</w:t>
      </w:r>
    </w:p>
    <w:p w14:paraId="0393A05E">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1．身份证彩色扫描件；</w:t>
      </w:r>
    </w:p>
    <w:p w14:paraId="67C532ED">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 xml:space="preserve">    2．职称证彩色扫描件；</w:t>
      </w:r>
    </w:p>
    <w:p w14:paraId="2A82613F">
      <w:pPr>
        <w:wordWrap w:val="0"/>
        <w:adjustRightInd w:val="0"/>
        <w:snapToGrid w:val="0"/>
        <w:spacing w:line="400" w:lineRule="exact"/>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snapToGrid w:val="0"/>
          <w:color w:val="auto"/>
          <w:kern w:val="0"/>
          <w:szCs w:val="24"/>
          <w:highlight w:val="none"/>
        </w:rPr>
        <w:t>3．</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9</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件；拟派设计负责人为</w:t>
      </w:r>
      <w:r>
        <w:rPr>
          <w:rFonts w:hint="eastAsia" w:hAnsi="宋体" w:eastAsia="宋体" w:cs="宋体"/>
          <w:color w:val="auto"/>
          <w:sz w:val="24"/>
          <w:szCs w:val="24"/>
          <w:highlight w:val="none"/>
          <w:lang w:eastAsia="zh-CN"/>
        </w:rPr>
        <w:t>退休人员需提供退休证和返聘合同（协议）彩色扫描件</w:t>
      </w:r>
      <w:r>
        <w:rPr>
          <w:rFonts w:asciiTheme="minorEastAsia" w:hAnsiTheme="minorEastAsia" w:eastAsiaTheme="minorEastAsia" w:cstheme="minorEastAsia"/>
          <w:snapToGrid w:val="0"/>
          <w:color w:val="auto"/>
          <w:kern w:val="0"/>
          <w:szCs w:val="24"/>
          <w:highlight w:val="none"/>
        </w:rPr>
        <w:t>。</w:t>
      </w:r>
      <w:bookmarkEnd w:id="712"/>
      <w:bookmarkEnd w:id="713"/>
      <w:bookmarkEnd w:id="714"/>
      <w:bookmarkEnd w:id="715"/>
      <w:bookmarkEnd w:id="716"/>
    </w:p>
    <w:p w14:paraId="20D14DB0">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4．“进粤企业和人员诚信信息登记平台”个人信息情况截图。（适用于省外建筑企业）。</w:t>
      </w:r>
      <w:r>
        <w:rPr>
          <w:rFonts w:hint="eastAsia" w:asciiTheme="minorEastAsia" w:hAnsiTheme="minorEastAsia" w:eastAsiaTheme="minorEastAsia" w:cstheme="minorEastAsia"/>
          <w:snapToGrid w:val="0"/>
          <w:color w:val="auto"/>
          <w:kern w:val="0"/>
          <w:sz w:val="21"/>
          <w:szCs w:val="21"/>
          <w:highlight w:val="none"/>
          <w:u w:val="none"/>
          <w:lang w:val="zh-CN"/>
        </w:rPr>
        <w:t>（若组成联合体时，由</w:t>
      </w:r>
      <w:r>
        <w:rPr>
          <w:rFonts w:hint="eastAsia" w:asciiTheme="minorEastAsia" w:hAnsiTheme="minorEastAsia" w:eastAsiaTheme="minorEastAsia" w:cstheme="minorEastAsia"/>
          <w:snapToGrid w:val="0"/>
          <w:color w:val="auto"/>
          <w:kern w:val="0"/>
          <w:sz w:val="21"/>
          <w:szCs w:val="21"/>
          <w:highlight w:val="none"/>
          <w:u w:val="none"/>
          <w:lang w:val="en-US" w:eastAsia="zh-CN"/>
        </w:rPr>
        <w:t>设计单位</w:t>
      </w:r>
      <w:r>
        <w:rPr>
          <w:rFonts w:hint="eastAsia" w:asciiTheme="minorEastAsia" w:hAnsiTheme="minorEastAsia" w:eastAsiaTheme="minorEastAsia" w:cstheme="minorEastAsia"/>
          <w:snapToGrid w:val="0"/>
          <w:color w:val="auto"/>
          <w:kern w:val="0"/>
          <w:sz w:val="21"/>
          <w:szCs w:val="21"/>
          <w:highlight w:val="none"/>
          <w:u w:val="none"/>
          <w:lang w:val="zh-CN"/>
        </w:rPr>
        <w:t>提供）</w:t>
      </w:r>
    </w:p>
    <w:p w14:paraId="24EF8573">
      <w:pPr>
        <w:pStyle w:val="5"/>
        <w:spacing w:before="120"/>
        <w:rPr>
          <w:rFonts w:hint="default" w:asciiTheme="minorEastAsia" w:hAnsiTheme="minorEastAsia" w:eastAsiaTheme="minorEastAsia" w:cstheme="minorEastAsia"/>
          <w:bCs/>
          <w:snapToGrid w:val="0"/>
          <w:color w:val="auto"/>
          <w:szCs w:val="24"/>
          <w:highlight w:val="none"/>
        </w:rPr>
      </w:pPr>
      <w:r>
        <w:rPr>
          <w:rFonts w:asciiTheme="minorEastAsia" w:hAnsiTheme="minorEastAsia" w:eastAsiaTheme="minorEastAsia" w:cstheme="minorEastAsia"/>
          <w:bCs/>
          <w:color w:val="auto"/>
          <w:szCs w:val="24"/>
          <w:highlight w:val="none"/>
        </w:rPr>
        <w:br w:type="page"/>
      </w:r>
      <w:bookmarkStart w:id="724" w:name="_Toc10080"/>
      <w:bookmarkStart w:id="725" w:name="_Toc21808"/>
      <w:bookmarkStart w:id="726" w:name="_Toc8264"/>
      <w:r>
        <w:rPr>
          <w:rFonts w:asciiTheme="minorEastAsia" w:hAnsiTheme="minorEastAsia" w:eastAsiaTheme="minorEastAsia" w:cstheme="minorEastAsia"/>
          <w:b/>
          <w:snapToGrid w:val="0"/>
          <w:color w:val="auto"/>
          <w:szCs w:val="24"/>
          <w:highlight w:val="none"/>
        </w:rPr>
        <w:t>格式十二 项目管理机构组成表</w:t>
      </w:r>
      <w:bookmarkEnd w:id="724"/>
      <w:bookmarkEnd w:id="725"/>
    </w:p>
    <w:p w14:paraId="03BD411F">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项目管理机构组成表</w:t>
      </w:r>
    </w:p>
    <w:tbl>
      <w:tblPr>
        <w:tblStyle w:val="24"/>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7912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vAlign w:val="center"/>
          </w:tcPr>
          <w:p w14:paraId="2946DB1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序号</w:t>
            </w:r>
          </w:p>
        </w:tc>
        <w:tc>
          <w:tcPr>
            <w:tcW w:w="1424" w:type="dxa"/>
            <w:tcBorders>
              <w:top w:val="single" w:color="auto" w:sz="6" w:space="0"/>
              <w:left w:val="single" w:color="auto" w:sz="6" w:space="0"/>
              <w:bottom w:val="single" w:color="auto" w:sz="6" w:space="0"/>
              <w:right w:val="single" w:color="auto" w:sz="6" w:space="0"/>
            </w:tcBorders>
            <w:vAlign w:val="center"/>
          </w:tcPr>
          <w:p w14:paraId="6BD6DF6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职务</w:t>
            </w:r>
          </w:p>
        </w:tc>
        <w:tc>
          <w:tcPr>
            <w:tcW w:w="1358" w:type="dxa"/>
            <w:tcBorders>
              <w:top w:val="single" w:color="auto" w:sz="6" w:space="0"/>
              <w:left w:val="single" w:color="auto" w:sz="6" w:space="0"/>
              <w:bottom w:val="single" w:color="auto" w:sz="6" w:space="0"/>
              <w:right w:val="single" w:color="auto" w:sz="6" w:space="0"/>
            </w:tcBorders>
            <w:vAlign w:val="center"/>
          </w:tcPr>
          <w:p w14:paraId="6CCB2A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姓名</w:t>
            </w:r>
          </w:p>
        </w:tc>
        <w:tc>
          <w:tcPr>
            <w:tcW w:w="902" w:type="dxa"/>
            <w:tcBorders>
              <w:top w:val="single" w:color="auto" w:sz="6" w:space="0"/>
              <w:left w:val="single" w:color="auto" w:sz="6" w:space="0"/>
              <w:bottom w:val="single" w:color="auto" w:sz="6" w:space="0"/>
              <w:right w:val="single" w:color="auto" w:sz="6" w:space="0"/>
            </w:tcBorders>
            <w:vAlign w:val="center"/>
          </w:tcPr>
          <w:p w14:paraId="4D92C8B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性别</w:t>
            </w:r>
          </w:p>
        </w:tc>
        <w:tc>
          <w:tcPr>
            <w:tcW w:w="819" w:type="dxa"/>
            <w:tcBorders>
              <w:top w:val="single" w:color="auto" w:sz="6" w:space="0"/>
              <w:left w:val="single" w:color="auto" w:sz="6" w:space="0"/>
              <w:bottom w:val="single" w:color="auto" w:sz="6" w:space="0"/>
              <w:right w:val="single" w:color="auto" w:sz="6" w:space="0"/>
            </w:tcBorders>
            <w:vAlign w:val="center"/>
          </w:tcPr>
          <w:p w14:paraId="25FD752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年龄</w:t>
            </w:r>
          </w:p>
        </w:tc>
        <w:tc>
          <w:tcPr>
            <w:tcW w:w="1541" w:type="dxa"/>
            <w:tcBorders>
              <w:top w:val="single" w:color="auto" w:sz="6" w:space="0"/>
              <w:left w:val="single" w:color="auto" w:sz="6" w:space="0"/>
              <w:bottom w:val="single" w:color="auto" w:sz="6" w:space="0"/>
              <w:right w:val="single" w:color="auto" w:sz="6" w:space="0"/>
            </w:tcBorders>
            <w:vAlign w:val="center"/>
          </w:tcPr>
          <w:p w14:paraId="6E65AD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职称</w:t>
            </w:r>
          </w:p>
        </w:tc>
        <w:tc>
          <w:tcPr>
            <w:tcW w:w="2169" w:type="dxa"/>
            <w:tcBorders>
              <w:top w:val="single" w:color="auto" w:sz="6" w:space="0"/>
              <w:left w:val="single" w:color="auto" w:sz="6" w:space="0"/>
              <w:bottom w:val="single" w:color="auto" w:sz="6" w:space="0"/>
              <w:right w:val="single" w:color="auto" w:sz="6" w:space="0"/>
            </w:tcBorders>
            <w:vAlign w:val="center"/>
          </w:tcPr>
          <w:p w14:paraId="3A963A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备注</w:t>
            </w:r>
          </w:p>
        </w:tc>
      </w:tr>
      <w:tr w14:paraId="21E727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vAlign w:val="center"/>
          </w:tcPr>
          <w:p w14:paraId="504CE1D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w:t>
            </w:r>
          </w:p>
        </w:tc>
        <w:tc>
          <w:tcPr>
            <w:tcW w:w="1424" w:type="dxa"/>
            <w:tcBorders>
              <w:top w:val="single" w:color="auto" w:sz="6" w:space="0"/>
              <w:left w:val="single" w:color="auto" w:sz="6" w:space="0"/>
              <w:right w:val="single" w:color="auto" w:sz="6" w:space="0"/>
            </w:tcBorders>
            <w:vAlign w:val="center"/>
          </w:tcPr>
          <w:p w14:paraId="47E69DC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项目经理</w:t>
            </w:r>
          </w:p>
        </w:tc>
        <w:tc>
          <w:tcPr>
            <w:tcW w:w="1358" w:type="dxa"/>
            <w:tcBorders>
              <w:top w:val="single" w:color="auto" w:sz="6" w:space="0"/>
              <w:left w:val="single" w:color="auto" w:sz="6" w:space="0"/>
              <w:bottom w:val="single" w:color="auto" w:sz="6" w:space="0"/>
              <w:right w:val="single" w:color="auto" w:sz="6" w:space="0"/>
            </w:tcBorders>
            <w:vAlign w:val="center"/>
          </w:tcPr>
          <w:p w14:paraId="7D524F4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DD999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400CB7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11FEE04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7B589E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0D73B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4E3A72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w:t>
            </w:r>
          </w:p>
        </w:tc>
        <w:tc>
          <w:tcPr>
            <w:tcW w:w="1424" w:type="dxa"/>
            <w:tcBorders>
              <w:top w:val="single" w:color="auto" w:sz="6" w:space="0"/>
              <w:left w:val="single" w:color="auto" w:sz="6" w:space="0"/>
              <w:right w:val="single" w:color="auto" w:sz="6" w:space="0"/>
            </w:tcBorders>
            <w:vAlign w:val="center"/>
          </w:tcPr>
          <w:p w14:paraId="114AB0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项目技术</w:t>
            </w:r>
          </w:p>
          <w:p w14:paraId="72F6C99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099BCE2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19AB29A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5D06CC5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A75563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853555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CC9E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vAlign w:val="center"/>
          </w:tcPr>
          <w:p w14:paraId="57080B7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w:t>
            </w:r>
          </w:p>
        </w:tc>
        <w:tc>
          <w:tcPr>
            <w:tcW w:w="1424" w:type="dxa"/>
            <w:tcBorders>
              <w:top w:val="single" w:color="auto" w:sz="6" w:space="0"/>
              <w:left w:val="single" w:color="auto" w:sz="6" w:space="0"/>
              <w:right w:val="single" w:color="auto" w:sz="6" w:space="0"/>
            </w:tcBorders>
            <w:vAlign w:val="center"/>
          </w:tcPr>
          <w:p w14:paraId="45E7683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项目设计</w:t>
            </w:r>
          </w:p>
          <w:p w14:paraId="1B1BEDD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负责人</w:t>
            </w:r>
          </w:p>
        </w:tc>
        <w:tc>
          <w:tcPr>
            <w:tcW w:w="1358" w:type="dxa"/>
            <w:tcBorders>
              <w:top w:val="single" w:color="auto" w:sz="6" w:space="0"/>
              <w:left w:val="single" w:color="auto" w:sz="6" w:space="0"/>
              <w:bottom w:val="single" w:color="auto" w:sz="6" w:space="0"/>
              <w:right w:val="single" w:color="auto" w:sz="6" w:space="0"/>
            </w:tcBorders>
            <w:vAlign w:val="center"/>
          </w:tcPr>
          <w:p w14:paraId="27C1975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F7404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490B3C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86C0CC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6876FF6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0BBBF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133375C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p>
        </w:tc>
        <w:tc>
          <w:tcPr>
            <w:tcW w:w="1424" w:type="dxa"/>
            <w:tcBorders>
              <w:top w:val="single" w:color="auto" w:sz="6" w:space="0"/>
              <w:left w:val="single" w:color="auto" w:sz="6" w:space="0"/>
              <w:bottom w:val="single" w:color="auto" w:sz="6" w:space="0"/>
              <w:right w:val="single" w:color="auto" w:sz="6" w:space="0"/>
            </w:tcBorders>
            <w:vAlign w:val="center"/>
          </w:tcPr>
          <w:p w14:paraId="17B342D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专职安全员</w:t>
            </w:r>
          </w:p>
        </w:tc>
        <w:tc>
          <w:tcPr>
            <w:tcW w:w="1358" w:type="dxa"/>
            <w:tcBorders>
              <w:top w:val="single" w:color="auto" w:sz="6" w:space="0"/>
              <w:left w:val="single" w:color="auto" w:sz="6" w:space="0"/>
              <w:bottom w:val="single" w:color="auto" w:sz="6" w:space="0"/>
              <w:right w:val="single" w:color="auto" w:sz="6" w:space="0"/>
            </w:tcBorders>
            <w:vAlign w:val="center"/>
          </w:tcPr>
          <w:p w14:paraId="386AC9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540D4E4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0A1B2E3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23D096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48E58D9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2906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744C3E06">
            <w:pPr>
              <w:keepNext w:val="0"/>
              <w:keepLines w:val="0"/>
              <w:suppressLineNumbers w:val="0"/>
              <w:wordWrap w:val="0"/>
              <w:adjustRightInd w:val="0"/>
              <w:snapToGrid w:val="0"/>
              <w:spacing w:before="0" w:beforeAutospacing="0" w:after="0" w:afterAutospacing="0"/>
              <w:ind w:left="0" w:right="0" w:firstLine="360" w:firstLineChars="15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5</w:t>
            </w:r>
          </w:p>
        </w:tc>
        <w:tc>
          <w:tcPr>
            <w:tcW w:w="1424" w:type="dxa"/>
            <w:tcBorders>
              <w:top w:val="single" w:color="auto" w:sz="6" w:space="0"/>
              <w:left w:val="single" w:color="auto" w:sz="6" w:space="0"/>
              <w:bottom w:val="single" w:color="auto" w:sz="6" w:space="0"/>
              <w:right w:val="single" w:color="auto" w:sz="6" w:space="0"/>
            </w:tcBorders>
            <w:vAlign w:val="center"/>
          </w:tcPr>
          <w:p w14:paraId="01AFE09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施工员</w:t>
            </w:r>
          </w:p>
        </w:tc>
        <w:tc>
          <w:tcPr>
            <w:tcW w:w="1358" w:type="dxa"/>
            <w:tcBorders>
              <w:top w:val="single" w:color="auto" w:sz="6" w:space="0"/>
              <w:left w:val="single" w:color="auto" w:sz="6" w:space="0"/>
              <w:bottom w:val="single" w:color="auto" w:sz="6" w:space="0"/>
              <w:right w:val="single" w:color="auto" w:sz="6" w:space="0"/>
            </w:tcBorders>
            <w:vAlign w:val="center"/>
          </w:tcPr>
          <w:p w14:paraId="6E8637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473223F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5539AE8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2FCCE2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0779FD7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D243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487CB39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6</w:t>
            </w:r>
          </w:p>
        </w:tc>
        <w:tc>
          <w:tcPr>
            <w:tcW w:w="1424" w:type="dxa"/>
            <w:tcBorders>
              <w:top w:val="single" w:color="auto" w:sz="6" w:space="0"/>
              <w:left w:val="single" w:color="auto" w:sz="6" w:space="0"/>
              <w:bottom w:val="single" w:color="auto" w:sz="6" w:space="0"/>
              <w:right w:val="single" w:color="auto" w:sz="6" w:space="0"/>
            </w:tcBorders>
            <w:vAlign w:val="center"/>
          </w:tcPr>
          <w:p w14:paraId="475A226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质量员</w:t>
            </w:r>
          </w:p>
        </w:tc>
        <w:tc>
          <w:tcPr>
            <w:tcW w:w="1358" w:type="dxa"/>
            <w:tcBorders>
              <w:top w:val="single" w:color="auto" w:sz="6" w:space="0"/>
              <w:left w:val="single" w:color="auto" w:sz="6" w:space="0"/>
              <w:bottom w:val="single" w:color="auto" w:sz="6" w:space="0"/>
              <w:right w:val="single" w:color="auto" w:sz="6" w:space="0"/>
            </w:tcBorders>
            <w:vAlign w:val="center"/>
          </w:tcPr>
          <w:p w14:paraId="2B94086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6E535F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1A54DFB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0CBB7F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169FE9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7C77D8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4FE2C64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7</w:t>
            </w:r>
          </w:p>
        </w:tc>
        <w:tc>
          <w:tcPr>
            <w:tcW w:w="1424" w:type="dxa"/>
            <w:tcBorders>
              <w:top w:val="single" w:color="auto" w:sz="6" w:space="0"/>
              <w:left w:val="single" w:color="auto" w:sz="6" w:space="0"/>
              <w:bottom w:val="single" w:color="auto" w:sz="6" w:space="0"/>
              <w:right w:val="single" w:color="auto" w:sz="6" w:space="0"/>
            </w:tcBorders>
            <w:vAlign w:val="center"/>
          </w:tcPr>
          <w:p w14:paraId="3262025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材料员</w:t>
            </w:r>
          </w:p>
        </w:tc>
        <w:tc>
          <w:tcPr>
            <w:tcW w:w="1358" w:type="dxa"/>
            <w:tcBorders>
              <w:top w:val="single" w:color="auto" w:sz="6" w:space="0"/>
              <w:left w:val="single" w:color="auto" w:sz="6" w:space="0"/>
              <w:bottom w:val="single" w:color="auto" w:sz="6" w:space="0"/>
              <w:right w:val="single" w:color="auto" w:sz="6" w:space="0"/>
            </w:tcBorders>
            <w:vAlign w:val="center"/>
          </w:tcPr>
          <w:p w14:paraId="48A6DDB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20CF6C4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050B261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53E0A01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2A77951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3E3A1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2576F9A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8</w:t>
            </w:r>
          </w:p>
        </w:tc>
        <w:tc>
          <w:tcPr>
            <w:tcW w:w="1424" w:type="dxa"/>
            <w:tcBorders>
              <w:top w:val="single" w:color="auto" w:sz="6" w:space="0"/>
              <w:left w:val="single" w:color="auto" w:sz="6" w:space="0"/>
              <w:bottom w:val="single" w:color="auto" w:sz="6" w:space="0"/>
              <w:right w:val="single" w:color="auto" w:sz="6" w:space="0"/>
            </w:tcBorders>
            <w:vAlign w:val="center"/>
          </w:tcPr>
          <w:p w14:paraId="374E1D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资料员</w:t>
            </w:r>
          </w:p>
        </w:tc>
        <w:tc>
          <w:tcPr>
            <w:tcW w:w="1358" w:type="dxa"/>
            <w:tcBorders>
              <w:top w:val="single" w:color="auto" w:sz="6" w:space="0"/>
              <w:left w:val="single" w:color="auto" w:sz="6" w:space="0"/>
              <w:bottom w:val="single" w:color="auto" w:sz="6" w:space="0"/>
              <w:right w:val="single" w:color="auto" w:sz="6" w:space="0"/>
            </w:tcBorders>
            <w:vAlign w:val="center"/>
          </w:tcPr>
          <w:p w14:paraId="7A61CD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FFA757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5761B2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4CD44C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38A6724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52033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vAlign w:val="center"/>
          </w:tcPr>
          <w:p w14:paraId="38B5C41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9</w:t>
            </w:r>
          </w:p>
        </w:tc>
        <w:tc>
          <w:tcPr>
            <w:tcW w:w="1424" w:type="dxa"/>
            <w:tcBorders>
              <w:top w:val="single" w:color="auto" w:sz="6" w:space="0"/>
              <w:left w:val="single" w:color="auto" w:sz="6" w:space="0"/>
              <w:bottom w:val="single" w:color="auto" w:sz="6" w:space="0"/>
              <w:right w:val="single" w:color="auto" w:sz="6" w:space="0"/>
            </w:tcBorders>
            <w:vAlign w:val="center"/>
          </w:tcPr>
          <w:p w14:paraId="11094C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造价员</w:t>
            </w:r>
          </w:p>
        </w:tc>
        <w:tc>
          <w:tcPr>
            <w:tcW w:w="1358" w:type="dxa"/>
            <w:tcBorders>
              <w:top w:val="single" w:color="auto" w:sz="6" w:space="0"/>
              <w:left w:val="single" w:color="auto" w:sz="6" w:space="0"/>
              <w:bottom w:val="single" w:color="auto" w:sz="6" w:space="0"/>
              <w:right w:val="single" w:color="auto" w:sz="6" w:space="0"/>
            </w:tcBorders>
            <w:vAlign w:val="center"/>
          </w:tcPr>
          <w:p w14:paraId="455088A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48D464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4867AF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2960F3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6B48C75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tr w14:paraId="42D4A7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vAlign w:val="center"/>
          </w:tcPr>
          <w:p w14:paraId="5FEB4A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424" w:type="dxa"/>
            <w:tcBorders>
              <w:top w:val="single" w:color="auto" w:sz="6" w:space="0"/>
              <w:left w:val="single" w:color="auto" w:sz="6" w:space="0"/>
              <w:bottom w:val="single" w:color="auto" w:sz="6" w:space="0"/>
              <w:right w:val="single" w:color="auto" w:sz="6" w:space="0"/>
            </w:tcBorders>
            <w:vAlign w:val="center"/>
          </w:tcPr>
          <w:p w14:paraId="028C2B4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w:t>
            </w:r>
          </w:p>
        </w:tc>
        <w:tc>
          <w:tcPr>
            <w:tcW w:w="1358" w:type="dxa"/>
            <w:tcBorders>
              <w:top w:val="single" w:color="auto" w:sz="6" w:space="0"/>
              <w:left w:val="single" w:color="auto" w:sz="6" w:space="0"/>
              <w:bottom w:val="single" w:color="auto" w:sz="6" w:space="0"/>
              <w:right w:val="single" w:color="auto" w:sz="6" w:space="0"/>
            </w:tcBorders>
            <w:vAlign w:val="center"/>
          </w:tcPr>
          <w:p w14:paraId="3B722DD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902" w:type="dxa"/>
            <w:tcBorders>
              <w:top w:val="single" w:color="auto" w:sz="6" w:space="0"/>
              <w:left w:val="single" w:color="auto" w:sz="6" w:space="0"/>
              <w:bottom w:val="single" w:color="auto" w:sz="6" w:space="0"/>
              <w:right w:val="single" w:color="auto" w:sz="6" w:space="0"/>
            </w:tcBorders>
            <w:vAlign w:val="center"/>
          </w:tcPr>
          <w:p w14:paraId="30C19DD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819" w:type="dxa"/>
            <w:tcBorders>
              <w:top w:val="single" w:color="auto" w:sz="6" w:space="0"/>
              <w:left w:val="single" w:color="auto" w:sz="6" w:space="0"/>
              <w:bottom w:val="single" w:color="auto" w:sz="6" w:space="0"/>
              <w:right w:val="single" w:color="auto" w:sz="6" w:space="0"/>
            </w:tcBorders>
            <w:vAlign w:val="center"/>
          </w:tcPr>
          <w:p w14:paraId="60987F3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1B27F98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c>
          <w:tcPr>
            <w:tcW w:w="2169" w:type="dxa"/>
            <w:tcBorders>
              <w:top w:val="single" w:color="auto" w:sz="6" w:space="0"/>
              <w:left w:val="single" w:color="auto" w:sz="6" w:space="0"/>
              <w:bottom w:val="single" w:color="auto" w:sz="6" w:space="0"/>
              <w:right w:val="single" w:color="auto" w:sz="6" w:space="0"/>
            </w:tcBorders>
            <w:vAlign w:val="center"/>
          </w:tcPr>
          <w:p w14:paraId="541F159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Cs w:val="24"/>
                <w:highlight w:val="none"/>
              </w:rPr>
            </w:pPr>
          </w:p>
        </w:tc>
      </w:tr>
      <w:bookmarkEnd w:id="726"/>
    </w:tbl>
    <w:p w14:paraId="25344BAD">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bookmarkStart w:id="727" w:name="_Toc8648"/>
      <w:bookmarkStart w:id="728" w:name="_Toc25577"/>
      <w:bookmarkStart w:id="729" w:name="_Toc36804690"/>
    </w:p>
    <w:p w14:paraId="244EEE81">
      <w:pPr>
        <w:wordWrap w:val="0"/>
        <w:adjustRightInd w:val="0"/>
        <w:snapToGrid w:val="0"/>
        <w:spacing w:line="400" w:lineRule="exac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说明：</w:t>
      </w:r>
    </w:p>
    <w:p w14:paraId="20FF9B84">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1．《项目管理机构组成表》后应附表中拟派人员（项目经理、项目技术负责人、项目设计负责人除外）以下资料：</w:t>
      </w:r>
    </w:p>
    <w:p w14:paraId="6199B2BD">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（1）身份证证彩色扫描件；</w:t>
      </w:r>
    </w:p>
    <w:p w14:paraId="370F20CD">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（2）职称证或岗位证或培训证彩色扫描件；</w:t>
      </w:r>
    </w:p>
    <w:p w14:paraId="60F7A19A">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（3）专职安全员须提供C类安全生产考核合格证书证彩色扫描件或“广东省建筑施工企业管理人员安全生产考核系统”考核合格信息打印页；</w:t>
      </w:r>
    </w:p>
    <w:p w14:paraId="5B662A19">
      <w:pPr>
        <w:wordWrap w:val="0"/>
        <w:adjustRightInd w:val="0"/>
        <w:snapToGrid w:val="0"/>
        <w:spacing w:line="400" w:lineRule="exact"/>
        <w:ind w:firstLine="480" w:firstLineChars="200"/>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t>（4）</w:t>
      </w:r>
      <w:r>
        <w:rPr>
          <w:rFonts w:hint="eastAsia" w:asciiTheme="minorEastAsia" w:hAnsiTheme="minorEastAsia" w:eastAsiaTheme="minorEastAsia" w:cstheme="minorEastAsia"/>
          <w:snapToGrid w:val="0"/>
          <w:color w:val="auto"/>
          <w:kern w:val="0"/>
          <w:szCs w:val="24"/>
          <w:highlight w:val="none"/>
        </w:rPr>
        <w:t>在本单位缴纳社保的证明（至少</w:t>
      </w:r>
      <w:r>
        <w:rPr>
          <w:rFonts w:hint="eastAsia" w:asciiTheme="minorEastAsia" w:hAnsiTheme="minorEastAsia" w:eastAsiaTheme="minorEastAsia" w:cstheme="minorEastAsia"/>
          <w:snapToGrid w:val="0"/>
          <w:color w:val="auto"/>
          <w:kern w:val="0"/>
          <w:szCs w:val="24"/>
          <w:highlight w:val="none"/>
          <w:lang w:val="en-US" w:eastAsia="zh-CN"/>
        </w:rPr>
        <w:t>3</w:t>
      </w:r>
      <w:r>
        <w:rPr>
          <w:rFonts w:hint="eastAsia" w:asciiTheme="minorEastAsia" w:hAnsiTheme="minorEastAsia" w:eastAsiaTheme="minorEastAsia" w:cstheme="minorEastAsia"/>
          <w:snapToGrid w:val="0"/>
          <w:color w:val="auto"/>
          <w:kern w:val="0"/>
          <w:szCs w:val="24"/>
          <w:highlight w:val="none"/>
        </w:rPr>
        <w:t>个月，其中</w:t>
      </w:r>
      <w:r>
        <w:rPr>
          <w:rFonts w:hint="eastAsia" w:asciiTheme="minorEastAsia" w:hAnsiTheme="minorEastAsia" w:eastAsiaTheme="minorEastAsia" w:cstheme="minorEastAsia"/>
          <w:snapToGrid w:val="0"/>
          <w:color w:val="auto"/>
          <w:kern w:val="0"/>
          <w:szCs w:val="24"/>
          <w:highlight w:val="none"/>
          <w:lang w:eastAsia="zh-CN"/>
        </w:rPr>
        <w:t>必须有202</w:t>
      </w:r>
      <w:r>
        <w:rPr>
          <w:rFonts w:hint="eastAsia" w:asciiTheme="minorEastAsia" w:hAnsiTheme="minorEastAsia" w:eastAsiaTheme="minorEastAsia" w:cstheme="minorEastAsia"/>
          <w:snapToGrid w:val="0"/>
          <w:color w:val="auto"/>
          <w:kern w:val="0"/>
          <w:szCs w:val="24"/>
          <w:highlight w:val="none"/>
          <w:lang w:val="en-US" w:eastAsia="zh-CN"/>
        </w:rPr>
        <w:t>6</w:t>
      </w:r>
      <w:r>
        <w:rPr>
          <w:rFonts w:hint="eastAsia" w:asciiTheme="minorEastAsia" w:hAnsiTheme="minorEastAsia" w:eastAsiaTheme="minorEastAsia" w:cstheme="minorEastAsia"/>
          <w:snapToGrid w:val="0"/>
          <w:color w:val="auto"/>
          <w:kern w:val="0"/>
          <w:szCs w:val="24"/>
          <w:highlight w:val="none"/>
          <w:lang w:eastAsia="zh-CN"/>
        </w:rPr>
        <w:t>年</w:t>
      </w:r>
      <w:r>
        <w:rPr>
          <w:rFonts w:hint="eastAsia" w:asciiTheme="minorEastAsia" w:hAnsiTheme="minorEastAsia" w:eastAsiaTheme="minorEastAsia" w:cstheme="minorEastAsia"/>
          <w:snapToGrid w:val="0"/>
          <w:color w:val="auto"/>
          <w:kern w:val="0"/>
          <w:szCs w:val="24"/>
          <w:highlight w:val="none"/>
          <w:lang w:val="en-US" w:eastAsia="zh-CN"/>
        </w:rPr>
        <w:t>9</w:t>
      </w:r>
      <w:r>
        <w:rPr>
          <w:rFonts w:hint="eastAsia" w:asciiTheme="minorEastAsia" w:hAnsiTheme="minorEastAsia" w:eastAsiaTheme="minorEastAsia" w:cstheme="minorEastAsia"/>
          <w:snapToGrid w:val="0"/>
          <w:color w:val="auto"/>
          <w:kern w:val="0"/>
          <w:szCs w:val="24"/>
          <w:highlight w:val="none"/>
          <w:lang w:eastAsia="zh-CN"/>
        </w:rPr>
        <w:t>月</w:t>
      </w:r>
      <w:r>
        <w:rPr>
          <w:rFonts w:hint="eastAsia" w:asciiTheme="minorEastAsia" w:hAnsiTheme="minorEastAsia" w:eastAsiaTheme="minorEastAsia" w:cstheme="minorEastAsia"/>
          <w:snapToGrid w:val="0"/>
          <w:color w:val="auto"/>
          <w:kern w:val="0"/>
          <w:szCs w:val="24"/>
          <w:highlight w:val="none"/>
        </w:rPr>
        <w:t>）</w:t>
      </w:r>
      <w:r>
        <w:rPr>
          <w:rFonts w:hint="eastAsia" w:asciiTheme="minorEastAsia" w:hAnsiTheme="minorEastAsia" w:eastAsiaTheme="minorEastAsia" w:cstheme="minorEastAsia"/>
          <w:snapToGrid w:val="0"/>
          <w:color w:val="auto"/>
          <w:kern w:val="0"/>
          <w:szCs w:val="24"/>
          <w:highlight w:val="none"/>
          <w:lang w:val="en-US" w:eastAsia="zh-CN"/>
        </w:rPr>
        <w:t>扫描</w:t>
      </w:r>
      <w:r>
        <w:rPr>
          <w:rFonts w:hint="eastAsia" w:asciiTheme="minorEastAsia" w:hAnsiTheme="minorEastAsia" w:eastAsiaTheme="minorEastAsia" w:cstheme="minorEastAsia"/>
          <w:snapToGrid w:val="0"/>
          <w:color w:val="auto"/>
          <w:kern w:val="0"/>
          <w:szCs w:val="24"/>
          <w:highlight w:val="none"/>
        </w:rPr>
        <w:t>件；拟派人员为</w:t>
      </w:r>
      <w:r>
        <w:rPr>
          <w:rFonts w:hint="eastAsia" w:hAnsi="宋体" w:eastAsia="宋体" w:cs="宋体"/>
          <w:color w:val="auto"/>
          <w:sz w:val="24"/>
          <w:szCs w:val="24"/>
          <w:highlight w:val="none"/>
          <w:lang w:eastAsia="zh-CN"/>
        </w:rPr>
        <w:t>退休人员需提供退休证和返聘合同（协议）彩色扫描件</w:t>
      </w:r>
      <w:r>
        <w:rPr>
          <w:rFonts w:hint="eastAsia" w:asciiTheme="minorEastAsia" w:hAnsiTheme="minorEastAsia" w:eastAsiaTheme="minorEastAsia" w:cstheme="minorEastAsia"/>
          <w:snapToGrid w:val="0"/>
          <w:color w:val="auto"/>
          <w:kern w:val="0"/>
          <w:szCs w:val="24"/>
          <w:highlight w:val="none"/>
        </w:rPr>
        <w:t>；</w:t>
      </w:r>
    </w:p>
    <w:p w14:paraId="768E5D30">
      <w:pPr>
        <w:wordWrap w:val="0"/>
        <w:adjustRightInd w:val="0"/>
        <w:snapToGrid w:val="0"/>
        <w:spacing w:line="40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snapToGrid w:val="0"/>
          <w:color w:val="auto"/>
          <w:kern w:val="0"/>
          <w:szCs w:val="24"/>
          <w:highlight w:val="none"/>
        </w:rPr>
        <w:t xml:space="preserve">    2．联合体投标的，《项目管理机构组成表》应包括联合体成员单位参与项目管理机构的人员，并提供以上所需资料。</w:t>
      </w:r>
    </w:p>
    <w:p w14:paraId="1CB56AAA">
      <w:pPr>
        <w:spacing w:before="136"/>
        <w:rPr>
          <w:rFonts w:hint="default" w:asciiTheme="minorEastAsia" w:hAnsiTheme="minorEastAsia" w:eastAsiaTheme="minorEastAsia" w:cstheme="minorEastAsia"/>
          <w:b/>
          <w:bCs/>
          <w:color w:val="auto"/>
          <w:szCs w:val="24"/>
          <w:highlight w:val="none"/>
        </w:rPr>
      </w:pPr>
    </w:p>
    <w:p w14:paraId="52E545D5">
      <w:pPr>
        <w:spacing w:before="136"/>
        <w:rPr>
          <w:rFonts w:hint="default" w:asciiTheme="minorEastAsia" w:hAnsiTheme="minorEastAsia" w:eastAsiaTheme="minorEastAsia" w:cstheme="minorEastAsia"/>
          <w:b/>
          <w:bCs/>
          <w:color w:val="auto"/>
          <w:szCs w:val="24"/>
          <w:highlight w:val="none"/>
        </w:rPr>
      </w:pPr>
    </w:p>
    <w:p w14:paraId="627B693E">
      <w:pPr>
        <w:pStyle w:val="2"/>
        <w:rPr>
          <w:rFonts w:hint="default" w:asciiTheme="minorEastAsia" w:hAnsiTheme="minorEastAsia" w:eastAsiaTheme="minorEastAsia" w:cstheme="minorEastAsia"/>
          <w:b/>
          <w:bCs/>
          <w:color w:val="auto"/>
          <w:szCs w:val="24"/>
          <w:highlight w:val="none"/>
        </w:rPr>
      </w:pPr>
    </w:p>
    <w:p w14:paraId="79B7286C">
      <w:pPr>
        <w:rPr>
          <w:rFonts w:hint="default"/>
          <w:color w:val="auto"/>
          <w:highlight w:val="none"/>
        </w:rPr>
      </w:pPr>
    </w:p>
    <w:p w14:paraId="4336F090">
      <w:pPr>
        <w:pStyle w:val="5"/>
        <w:spacing w:before="136"/>
        <w:rPr>
          <w:rFonts w:hint="default" w:asciiTheme="minorEastAsia" w:hAnsiTheme="minorEastAsia" w:eastAsiaTheme="minorEastAsia" w:cstheme="minorEastAsia"/>
          <w:b/>
          <w:bCs/>
          <w:color w:val="auto"/>
          <w:szCs w:val="24"/>
          <w:highlight w:val="none"/>
          <w:lang w:val="en-US" w:eastAsia="zh-CN"/>
        </w:rPr>
      </w:pPr>
      <w:bookmarkStart w:id="730" w:name="_Toc5559"/>
      <w:r>
        <w:rPr>
          <w:rFonts w:asciiTheme="minorEastAsia" w:hAnsiTheme="minorEastAsia" w:eastAsiaTheme="minorEastAsia" w:cstheme="minorEastAsia"/>
          <w:b/>
          <w:bCs/>
          <w:color w:val="auto"/>
          <w:szCs w:val="24"/>
          <w:highlight w:val="none"/>
        </w:rPr>
        <w:t>格式十三 原件一览表</w:t>
      </w:r>
      <w:bookmarkEnd w:id="727"/>
      <w:bookmarkEnd w:id="728"/>
      <w:bookmarkEnd w:id="729"/>
      <w:r>
        <w:rPr>
          <w:rFonts w:hint="eastAsia" w:asciiTheme="minorEastAsia" w:hAnsiTheme="minorEastAsia" w:eastAsiaTheme="minorEastAsia" w:cstheme="minorEastAsia"/>
          <w:b/>
          <w:bCs/>
          <w:color w:val="auto"/>
          <w:szCs w:val="24"/>
          <w:highlight w:val="none"/>
          <w:lang w:eastAsia="zh-CN"/>
        </w:rPr>
        <w:t>（</w:t>
      </w:r>
      <w:r>
        <w:rPr>
          <w:rFonts w:hint="eastAsia" w:asciiTheme="minorEastAsia" w:hAnsiTheme="minorEastAsia" w:eastAsiaTheme="minorEastAsia" w:cstheme="minorEastAsia"/>
          <w:b/>
          <w:bCs/>
          <w:color w:val="auto"/>
          <w:szCs w:val="24"/>
          <w:highlight w:val="none"/>
          <w:lang w:val="en-US" w:eastAsia="zh-CN"/>
        </w:rPr>
        <w:t>须提供原件时适用）</w:t>
      </w:r>
      <w:bookmarkEnd w:id="730"/>
    </w:p>
    <w:p w14:paraId="63B08946">
      <w:pPr>
        <w:spacing w:line="336" w:lineRule="auto"/>
        <w:contextualSpacing/>
        <w:jc w:val="left"/>
        <w:rPr>
          <w:rFonts w:hint="default" w:asciiTheme="minorEastAsia" w:hAnsiTheme="minorEastAsia" w:eastAsiaTheme="minorEastAsia" w:cstheme="minorEastAsia"/>
          <w:color w:val="auto"/>
          <w:szCs w:val="24"/>
          <w:highlight w:val="none"/>
        </w:rPr>
      </w:pPr>
    </w:p>
    <w:tbl>
      <w:tblPr>
        <w:tblStyle w:val="24"/>
        <w:tblpPr w:leftFromText="180" w:rightFromText="180" w:vertAnchor="text" w:horzAnchor="page" w:tblpX="1664" w:tblpY="438"/>
        <w:tblOverlap w:val="never"/>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118A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9100" w:type="dxa"/>
            <w:gridSpan w:val="8"/>
            <w:tcMar>
              <w:left w:w="108" w:type="dxa"/>
              <w:right w:w="108" w:type="dxa"/>
            </w:tcMar>
            <w:vAlign w:val="center"/>
          </w:tcPr>
          <w:p w14:paraId="4987E4F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color w:val="auto"/>
                <w:szCs w:val="24"/>
                <w:highlight w:val="none"/>
              </w:rPr>
              <w:t>原件一览表</w:t>
            </w:r>
          </w:p>
        </w:tc>
      </w:tr>
      <w:tr w14:paraId="4E8C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5BD793C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工程名称</w:t>
            </w:r>
          </w:p>
        </w:tc>
        <w:tc>
          <w:tcPr>
            <w:tcW w:w="6272" w:type="dxa"/>
            <w:gridSpan w:val="5"/>
            <w:tcMar>
              <w:left w:w="108" w:type="dxa"/>
              <w:right w:w="108" w:type="dxa"/>
            </w:tcMar>
            <w:vAlign w:val="center"/>
          </w:tcPr>
          <w:p w14:paraId="7624B3A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74CB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6E4FF7C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投标人名称                （请务必填写单位全称）</w:t>
            </w:r>
          </w:p>
        </w:tc>
        <w:tc>
          <w:tcPr>
            <w:tcW w:w="6272" w:type="dxa"/>
            <w:gridSpan w:val="5"/>
            <w:tcMar>
              <w:left w:w="108" w:type="dxa"/>
              <w:right w:w="108" w:type="dxa"/>
            </w:tcMar>
            <w:vAlign w:val="center"/>
          </w:tcPr>
          <w:p w14:paraId="5FFD9D0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25C4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2828" w:type="dxa"/>
            <w:gridSpan w:val="3"/>
            <w:tcMar>
              <w:left w:w="108" w:type="dxa"/>
              <w:right w:w="108" w:type="dxa"/>
            </w:tcMar>
            <w:vAlign w:val="center"/>
          </w:tcPr>
          <w:p w14:paraId="104E205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投标人法定代表人或其</w:t>
            </w:r>
          </w:p>
          <w:p w14:paraId="7E95781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委托代理人签名</w:t>
            </w:r>
          </w:p>
        </w:tc>
        <w:tc>
          <w:tcPr>
            <w:tcW w:w="2992" w:type="dxa"/>
            <w:gridSpan w:val="2"/>
            <w:tcMar>
              <w:left w:w="108" w:type="dxa"/>
              <w:right w:w="108" w:type="dxa"/>
            </w:tcMar>
            <w:vAlign w:val="center"/>
          </w:tcPr>
          <w:p w14:paraId="399FA3B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c>
          <w:tcPr>
            <w:tcW w:w="753" w:type="dxa"/>
            <w:tcMar>
              <w:left w:w="108" w:type="dxa"/>
              <w:right w:w="108" w:type="dxa"/>
            </w:tcMar>
            <w:vAlign w:val="center"/>
          </w:tcPr>
          <w:p w14:paraId="1A1287A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手机号码</w:t>
            </w:r>
          </w:p>
        </w:tc>
        <w:tc>
          <w:tcPr>
            <w:tcW w:w="2527" w:type="dxa"/>
            <w:gridSpan w:val="2"/>
            <w:tcMar>
              <w:left w:w="108" w:type="dxa"/>
              <w:right w:w="108" w:type="dxa"/>
            </w:tcMar>
            <w:vAlign w:val="center"/>
          </w:tcPr>
          <w:p w14:paraId="0F40EF9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0A1A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9100" w:type="dxa"/>
            <w:gridSpan w:val="8"/>
            <w:tcMar>
              <w:left w:w="108" w:type="dxa"/>
              <w:right w:w="108" w:type="dxa"/>
            </w:tcMar>
            <w:vAlign w:val="center"/>
          </w:tcPr>
          <w:p w14:paraId="1FAA9DB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递交的证明材料原件如下：</w:t>
            </w:r>
          </w:p>
        </w:tc>
      </w:tr>
      <w:tr w14:paraId="0C8B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222BFBA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序号</w:t>
            </w:r>
          </w:p>
        </w:tc>
        <w:tc>
          <w:tcPr>
            <w:tcW w:w="5120" w:type="dxa"/>
            <w:gridSpan w:val="4"/>
            <w:tcMar>
              <w:left w:w="108" w:type="dxa"/>
              <w:right w:w="108" w:type="dxa"/>
            </w:tcMar>
            <w:vAlign w:val="center"/>
          </w:tcPr>
          <w:p w14:paraId="61D5EE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证明材料原件名称</w:t>
            </w:r>
          </w:p>
        </w:tc>
        <w:tc>
          <w:tcPr>
            <w:tcW w:w="1710" w:type="dxa"/>
            <w:gridSpan w:val="2"/>
            <w:tcMar>
              <w:left w:w="108" w:type="dxa"/>
              <w:right w:w="108" w:type="dxa"/>
            </w:tcMar>
            <w:vAlign w:val="center"/>
          </w:tcPr>
          <w:p w14:paraId="48CB8B8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单位</w:t>
            </w:r>
          </w:p>
        </w:tc>
        <w:tc>
          <w:tcPr>
            <w:tcW w:w="1570" w:type="dxa"/>
            <w:tcMar>
              <w:left w:w="108" w:type="dxa"/>
              <w:right w:w="108" w:type="dxa"/>
            </w:tcMar>
            <w:vAlign w:val="center"/>
          </w:tcPr>
          <w:p w14:paraId="0453632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数量</w:t>
            </w:r>
          </w:p>
        </w:tc>
      </w:tr>
      <w:tr w14:paraId="138C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2A65A67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w:t>
            </w:r>
          </w:p>
        </w:tc>
        <w:tc>
          <w:tcPr>
            <w:tcW w:w="5120" w:type="dxa"/>
            <w:gridSpan w:val="4"/>
            <w:tcMar>
              <w:left w:w="108" w:type="dxa"/>
              <w:right w:w="108" w:type="dxa"/>
            </w:tcMar>
            <w:vAlign w:val="center"/>
          </w:tcPr>
          <w:p w14:paraId="65DCCA3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3C1C741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527B48E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4D12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76D3041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w:t>
            </w:r>
          </w:p>
        </w:tc>
        <w:tc>
          <w:tcPr>
            <w:tcW w:w="5120" w:type="dxa"/>
            <w:gridSpan w:val="4"/>
            <w:tcMar>
              <w:left w:w="108" w:type="dxa"/>
              <w:right w:w="108" w:type="dxa"/>
            </w:tcMar>
            <w:vAlign w:val="center"/>
          </w:tcPr>
          <w:p w14:paraId="77FC200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227EF120">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2A35FC1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4D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539DA06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w:t>
            </w:r>
          </w:p>
        </w:tc>
        <w:tc>
          <w:tcPr>
            <w:tcW w:w="5120" w:type="dxa"/>
            <w:gridSpan w:val="4"/>
            <w:tcMar>
              <w:left w:w="108" w:type="dxa"/>
              <w:right w:w="108" w:type="dxa"/>
            </w:tcMar>
            <w:vAlign w:val="center"/>
          </w:tcPr>
          <w:p w14:paraId="2EB3712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4FDA722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28848F5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r>
      <w:tr w14:paraId="15B97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700" w:type="dxa"/>
            <w:tcMar>
              <w:left w:w="108" w:type="dxa"/>
              <w:right w:w="108" w:type="dxa"/>
            </w:tcMar>
            <w:vAlign w:val="center"/>
          </w:tcPr>
          <w:p w14:paraId="16A4092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w:t>
            </w:r>
          </w:p>
        </w:tc>
        <w:tc>
          <w:tcPr>
            <w:tcW w:w="5120" w:type="dxa"/>
            <w:gridSpan w:val="4"/>
            <w:tcMar>
              <w:left w:w="108" w:type="dxa"/>
              <w:right w:w="108" w:type="dxa"/>
            </w:tcMar>
            <w:vAlign w:val="center"/>
          </w:tcPr>
          <w:p w14:paraId="5F478DD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710" w:type="dxa"/>
            <w:gridSpan w:val="2"/>
            <w:tcMar>
              <w:left w:w="108" w:type="dxa"/>
              <w:right w:w="108" w:type="dxa"/>
            </w:tcMar>
            <w:vAlign w:val="center"/>
          </w:tcPr>
          <w:p w14:paraId="39A5E2F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570" w:type="dxa"/>
            <w:tcMar>
              <w:left w:w="108" w:type="dxa"/>
              <w:right w:w="108" w:type="dxa"/>
            </w:tcMar>
            <w:vAlign w:val="center"/>
          </w:tcPr>
          <w:p w14:paraId="69085A6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w:t>
            </w:r>
          </w:p>
        </w:tc>
      </w:tr>
      <w:tr w14:paraId="423D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trPr>
        <w:tc>
          <w:tcPr>
            <w:tcW w:w="700" w:type="dxa"/>
            <w:tcMar>
              <w:left w:w="108" w:type="dxa"/>
              <w:right w:w="108" w:type="dxa"/>
            </w:tcMar>
            <w:vAlign w:val="center"/>
          </w:tcPr>
          <w:p w14:paraId="7A11FEB5">
            <w:pPr>
              <w:keepNext w:val="0"/>
              <w:keepLines w:val="0"/>
              <w:suppressLineNumbers w:val="0"/>
              <w:spacing w:before="0" w:beforeAutospacing="0" w:after="0" w:afterAutospacing="0"/>
              <w:ind w:left="8" w:right="0" w:hanging="94"/>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注意：</w:t>
            </w:r>
          </w:p>
        </w:tc>
        <w:tc>
          <w:tcPr>
            <w:tcW w:w="8400" w:type="dxa"/>
            <w:gridSpan w:val="7"/>
            <w:tcMar>
              <w:left w:w="108" w:type="dxa"/>
              <w:right w:w="108" w:type="dxa"/>
            </w:tcMar>
            <w:vAlign w:val="center"/>
          </w:tcPr>
          <w:p w14:paraId="106B73F9">
            <w:pPr>
              <w:keepNext w:val="0"/>
              <w:keepLines w:val="0"/>
              <w:suppressLineNumbers w:val="0"/>
              <w:spacing w:before="0" w:beforeAutospacing="0" w:after="0" w:afterAutospacing="0"/>
              <w:ind w:left="0" w:right="0"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5FDC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trPr>
        <w:tc>
          <w:tcPr>
            <w:tcW w:w="2205" w:type="dxa"/>
            <w:gridSpan w:val="2"/>
            <w:tcMar>
              <w:left w:w="108" w:type="dxa"/>
              <w:right w:w="108" w:type="dxa"/>
            </w:tcMar>
            <w:vAlign w:val="center"/>
          </w:tcPr>
          <w:p w14:paraId="723089D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接收原件经办人（招标代理）：</w:t>
            </w:r>
          </w:p>
        </w:tc>
        <w:tc>
          <w:tcPr>
            <w:tcW w:w="1992" w:type="dxa"/>
            <w:gridSpan w:val="2"/>
            <w:tcMar>
              <w:left w:w="108" w:type="dxa"/>
              <w:right w:w="108" w:type="dxa"/>
            </w:tcMar>
            <w:vAlign w:val="center"/>
          </w:tcPr>
          <w:p w14:paraId="7D91D34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29BAE2E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接收时间：</w:t>
            </w:r>
          </w:p>
        </w:tc>
        <w:tc>
          <w:tcPr>
            <w:tcW w:w="3280" w:type="dxa"/>
            <w:gridSpan w:val="3"/>
            <w:tcMar>
              <w:left w:w="108" w:type="dxa"/>
              <w:right w:w="108" w:type="dxa"/>
            </w:tcMar>
            <w:vAlign w:val="center"/>
          </w:tcPr>
          <w:p w14:paraId="58B7A04E">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r w14:paraId="5779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trPr>
        <w:tc>
          <w:tcPr>
            <w:tcW w:w="2205" w:type="dxa"/>
            <w:gridSpan w:val="2"/>
            <w:tcMar>
              <w:left w:w="108" w:type="dxa"/>
              <w:right w:w="108" w:type="dxa"/>
            </w:tcMar>
            <w:vAlign w:val="center"/>
          </w:tcPr>
          <w:p w14:paraId="4651A85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退还原件接收人（投标人）：</w:t>
            </w:r>
          </w:p>
        </w:tc>
        <w:tc>
          <w:tcPr>
            <w:tcW w:w="1992" w:type="dxa"/>
            <w:gridSpan w:val="2"/>
            <w:tcMar>
              <w:left w:w="108" w:type="dxa"/>
              <w:right w:w="108" w:type="dxa"/>
            </w:tcMar>
            <w:vAlign w:val="center"/>
          </w:tcPr>
          <w:p w14:paraId="31D55D0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p>
        </w:tc>
        <w:tc>
          <w:tcPr>
            <w:tcW w:w="1623" w:type="dxa"/>
            <w:tcMar>
              <w:left w:w="108" w:type="dxa"/>
              <w:right w:w="108" w:type="dxa"/>
            </w:tcMar>
            <w:vAlign w:val="center"/>
          </w:tcPr>
          <w:p w14:paraId="25AF77B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退还时间：</w:t>
            </w:r>
          </w:p>
        </w:tc>
        <w:tc>
          <w:tcPr>
            <w:tcW w:w="3280" w:type="dxa"/>
            <w:gridSpan w:val="3"/>
            <w:tcMar>
              <w:left w:w="108" w:type="dxa"/>
              <w:right w:w="108" w:type="dxa"/>
            </w:tcMar>
            <w:vAlign w:val="center"/>
          </w:tcPr>
          <w:p w14:paraId="01A01C27">
            <w:pPr>
              <w:keepNext w:val="0"/>
              <w:keepLines w:val="0"/>
              <w:suppressLineNumbers w:val="0"/>
              <w:spacing w:before="0" w:beforeAutospacing="0" w:after="0" w:afterAutospacing="0"/>
              <w:ind w:left="0" w:right="0" w:firstLine="720" w:firstLineChars="300"/>
              <w:jc w:val="lef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年   月   日   时   分</w:t>
            </w:r>
          </w:p>
        </w:tc>
      </w:tr>
    </w:tbl>
    <w:p w14:paraId="471BC4C5">
      <w:pPr>
        <w:snapToGrid w:val="0"/>
        <w:spacing w:line="44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snapToGrid w:val="0"/>
          <w:color w:val="auto"/>
          <w:highlight w:val="none"/>
        </w:rPr>
        <w:br w:type="page"/>
      </w:r>
    </w:p>
    <w:p w14:paraId="487770A3">
      <w:pPr>
        <w:pStyle w:val="5"/>
        <w:spacing w:before="136"/>
        <w:rPr>
          <w:rFonts w:hint="eastAsia" w:asciiTheme="minorEastAsia" w:hAnsiTheme="minorEastAsia" w:eastAsiaTheme="minorEastAsia" w:cstheme="minorEastAsia"/>
          <w:b/>
          <w:bCs/>
          <w:color w:val="auto"/>
          <w:szCs w:val="24"/>
          <w:highlight w:val="none"/>
          <w:lang w:val="en-US" w:eastAsia="zh-CN"/>
        </w:rPr>
      </w:pPr>
      <w:bookmarkStart w:id="731" w:name="_Toc23117"/>
      <w:bookmarkStart w:id="732" w:name="_Toc8821"/>
      <w:bookmarkStart w:id="733" w:name="_Toc6918"/>
      <w:bookmarkStart w:id="734" w:name="_Toc23446"/>
      <w:bookmarkStart w:id="735" w:name="_Toc8121"/>
      <w:bookmarkStart w:id="736" w:name="_Toc26622"/>
      <w:bookmarkStart w:id="737" w:name="_Toc22541"/>
      <w:bookmarkStart w:id="738" w:name="_Toc9816"/>
      <w:bookmarkStart w:id="739" w:name="_Toc26638"/>
      <w:r>
        <w:rPr>
          <w:rFonts w:hint="eastAsia" w:asciiTheme="minorEastAsia" w:hAnsiTheme="minorEastAsia" w:eastAsiaTheme="minorEastAsia" w:cstheme="minorEastAsia"/>
          <w:b/>
          <w:bCs/>
          <w:color w:val="auto"/>
          <w:szCs w:val="24"/>
          <w:highlight w:val="none"/>
          <w:lang w:val="en-US" w:eastAsia="zh-CN"/>
        </w:rPr>
        <w:t>格式十四 定标因素评审资料</w:t>
      </w:r>
      <w:bookmarkEnd w:id="731"/>
    </w:p>
    <w:p w14:paraId="1AFEB119">
      <w:pPr>
        <w:wordWrap w:val="0"/>
        <w:adjustRightInd w:val="0"/>
        <w:snapToGrid w:val="0"/>
        <w:spacing w:line="400" w:lineRule="exact"/>
        <w:jc w:val="center"/>
        <w:rPr>
          <w:rFonts w:hint="eastAsia" w:asciiTheme="minorEastAsia" w:hAnsiTheme="minorEastAsia" w:eastAsiaTheme="minorEastAsia" w:cstheme="minorEastAsia"/>
          <w:color w:val="auto"/>
          <w:sz w:val="36"/>
          <w:szCs w:val="36"/>
          <w:highlight w:val="none"/>
          <w:lang w:val="en-US" w:eastAsia="zh-CN"/>
        </w:rPr>
      </w:pPr>
    </w:p>
    <w:p w14:paraId="2DD32EE1">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定标因素评审资料</w:t>
      </w:r>
    </w:p>
    <w:p w14:paraId="085348F5">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4AA335CD">
      <w:pPr>
        <w:wordWrap w:val="0"/>
        <w:adjustRightInd w:val="0"/>
        <w:snapToGrid w:val="0"/>
        <w:spacing w:line="400" w:lineRule="exact"/>
        <w:jc w:val="center"/>
        <w:rPr>
          <w:rFonts w:hint="eastAsia" w:asciiTheme="minorEastAsia" w:hAnsiTheme="minorEastAsia" w:eastAsiaTheme="minorEastAsia" w:cstheme="minorEastAsia"/>
          <w:b/>
          <w:bCs/>
          <w:color w:val="auto"/>
          <w:sz w:val="32"/>
          <w:szCs w:val="32"/>
          <w:highlight w:val="none"/>
          <w:lang w:val="en-US" w:eastAsia="zh-CN"/>
        </w:rPr>
      </w:pPr>
    </w:p>
    <w:p w14:paraId="7426CD45">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default" w:asciiTheme="minorEastAsia" w:hAnsiTheme="minorEastAsia" w:eastAsiaTheme="minorEastAsia" w:cstheme="minorEastAsia"/>
          <w:b w:val="0"/>
          <w:bCs w:val="0"/>
          <w:color w:val="auto"/>
          <w:sz w:val="24"/>
          <w:szCs w:val="24"/>
          <w:highlight w:val="none"/>
          <w:lang w:val="en-US" w:eastAsia="zh-CN"/>
        </w:rPr>
        <w:sect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heme="minorEastAsia" w:hAnsiTheme="minorEastAsia" w:eastAsiaTheme="minorEastAsia" w:cstheme="minorEastAsia"/>
          <w:b w:val="0"/>
          <w:bCs w:val="0"/>
          <w:color w:val="auto"/>
          <w:sz w:val="24"/>
          <w:szCs w:val="24"/>
          <w:highlight w:val="none"/>
          <w:lang w:val="en-US" w:eastAsia="zh-CN"/>
        </w:rPr>
        <w:t>投标人根据“第一章 第五节 定标规定及定标办法”载明的定标因素，提交评审资料。</w:t>
      </w:r>
      <w:r>
        <w:rPr>
          <w:rFonts w:hint="eastAsia" w:asciiTheme="minorEastAsia" w:hAnsiTheme="minorEastAsia" w:eastAsiaTheme="minorEastAsia" w:cstheme="minorEastAsia"/>
          <w:b w:val="0"/>
          <w:bCs w:val="0"/>
          <w:color w:val="auto"/>
          <w:sz w:val="24"/>
          <w:szCs w:val="24"/>
          <w:highlight w:val="none"/>
          <w:lang w:val="en-US" w:eastAsia="zh-CN"/>
        </w:rPr>
        <w:t>（评标报告除外）</w:t>
      </w:r>
    </w:p>
    <w:p w14:paraId="79CED700">
      <w:pPr>
        <w:pStyle w:val="4"/>
        <w:jc w:val="center"/>
        <w:rPr>
          <w:rFonts w:asciiTheme="minorEastAsia" w:hAnsiTheme="minorEastAsia" w:eastAsiaTheme="minorEastAsia" w:cstheme="minorEastAsia"/>
          <w:b/>
          <w:color w:val="auto"/>
          <w:kern w:val="44"/>
          <w:szCs w:val="30"/>
          <w:highlight w:val="none"/>
        </w:rPr>
      </w:pPr>
    </w:p>
    <w:p w14:paraId="31A94BDC">
      <w:pPr>
        <w:pStyle w:val="4"/>
        <w:jc w:val="center"/>
        <w:rPr>
          <w:rFonts w:hint="default" w:asciiTheme="minorEastAsia" w:hAnsiTheme="minorEastAsia" w:eastAsiaTheme="minorEastAsia" w:cstheme="minorEastAsia"/>
          <w:b/>
          <w:color w:val="auto"/>
          <w:kern w:val="44"/>
          <w:szCs w:val="30"/>
          <w:highlight w:val="none"/>
        </w:rPr>
      </w:pPr>
      <w:bookmarkStart w:id="740" w:name="_Toc29495"/>
      <w:r>
        <w:rPr>
          <w:rFonts w:asciiTheme="minorEastAsia" w:hAnsiTheme="minorEastAsia" w:eastAsiaTheme="minorEastAsia" w:cstheme="minorEastAsia"/>
          <w:b/>
          <w:color w:val="auto"/>
          <w:kern w:val="44"/>
          <w:szCs w:val="30"/>
          <w:highlight w:val="none"/>
        </w:rPr>
        <w:t>第八章  廉政合同、履约保函、预付款保函、支付保函</w:t>
      </w:r>
      <w:bookmarkEnd w:id="732"/>
      <w:bookmarkEnd w:id="733"/>
      <w:bookmarkEnd w:id="734"/>
      <w:bookmarkEnd w:id="735"/>
      <w:bookmarkEnd w:id="736"/>
      <w:bookmarkEnd w:id="737"/>
      <w:bookmarkEnd w:id="738"/>
      <w:bookmarkEnd w:id="739"/>
      <w:bookmarkEnd w:id="740"/>
    </w:p>
    <w:p w14:paraId="3DE7AEC5">
      <w:pPr>
        <w:rPr>
          <w:rFonts w:hint="default" w:asciiTheme="minorEastAsia" w:hAnsiTheme="minorEastAsia" w:eastAsiaTheme="minorEastAsia" w:cstheme="minorEastAsia"/>
          <w:color w:val="auto"/>
          <w:highlight w:val="none"/>
        </w:rPr>
      </w:pPr>
    </w:p>
    <w:p w14:paraId="319745D8">
      <w:pPr>
        <w:pStyle w:val="6"/>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741" w:name="_Toc10193"/>
      <w:bookmarkStart w:id="742" w:name="_Toc18667"/>
      <w:bookmarkStart w:id="743" w:name="_Toc29713"/>
      <w:bookmarkStart w:id="744" w:name="_Toc20232"/>
      <w:bookmarkStart w:id="745" w:name="_Toc10603"/>
      <w:bookmarkStart w:id="746" w:name="_Toc5845"/>
      <w:bookmarkStart w:id="747" w:name="_Toc16029"/>
      <w:bookmarkStart w:id="748" w:name="_Toc30503"/>
      <w:bookmarkStart w:id="749" w:name="_Toc5870"/>
      <w:bookmarkStart w:id="750" w:name="_Toc2994"/>
      <w:bookmarkStart w:id="751" w:name="_Toc32046"/>
      <w:r>
        <w:rPr>
          <w:rFonts w:hint="eastAsia" w:asciiTheme="minorEastAsia" w:hAnsiTheme="minorEastAsia" w:eastAsiaTheme="minorEastAsia" w:cstheme="minorEastAsia"/>
          <w:bCs/>
          <w:color w:val="auto"/>
          <w:sz w:val="32"/>
          <w:szCs w:val="32"/>
          <w:highlight w:val="none"/>
        </w:rPr>
        <w:t>廉政合同</w:t>
      </w:r>
      <w:bookmarkEnd w:id="741"/>
      <w:bookmarkEnd w:id="742"/>
      <w:bookmarkEnd w:id="743"/>
      <w:bookmarkEnd w:id="744"/>
      <w:bookmarkEnd w:id="745"/>
      <w:bookmarkEnd w:id="746"/>
      <w:bookmarkEnd w:id="747"/>
      <w:bookmarkEnd w:id="748"/>
      <w:bookmarkEnd w:id="749"/>
      <w:bookmarkEnd w:id="750"/>
      <w:bookmarkEnd w:id="751"/>
    </w:p>
    <w:p w14:paraId="3A3B0CBC">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招标人：（全称）</w:t>
      </w:r>
      <w:r>
        <w:rPr>
          <w:rFonts w:asciiTheme="minorEastAsia" w:hAnsiTheme="minorEastAsia" w:eastAsiaTheme="minorEastAsia" w:cstheme="minorEastAsia"/>
          <w:color w:val="auto"/>
          <w:kern w:val="0"/>
          <w:highlight w:val="none"/>
          <w:u w:val="single"/>
        </w:rPr>
        <w:tab/>
      </w:r>
    </w:p>
    <w:p w14:paraId="30C62E53">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中标人：（全称）</w:t>
      </w:r>
      <w:r>
        <w:rPr>
          <w:rFonts w:asciiTheme="minorEastAsia" w:hAnsiTheme="minorEastAsia" w:eastAsiaTheme="minorEastAsia" w:cstheme="minorEastAsia"/>
          <w:color w:val="auto"/>
          <w:kern w:val="0"/>
          <w:highlight w:val="none"/>
          <w:u w:val="single"/>
        </w:rPr>
        <w:tab/>
      </w:r>
    </w:p>
    <w:p w14:paraId="65E085AC">
      <w:pPr>
        <w:autoSpaceDE w:val="0"/>
        <w:autoSpaceDN w:val="0"/>
        <w:adjustRightInd w:val="0"/>
        <w:spacing w:before="6" w:line="150" w:lineRule="exact"/>
        <w:jc w:val="left"/>
        <w:rPr>
          <w:rFonts w:hint="default" w:asciiTheme="minorEastAsia" w:hAnsiTheme="minorEastAsia" w:eastAsiaTheme="minorEastAsia" w:cstheme="minorEastAsia"/>
          <w:color w:val="auto"/>
          <w:kern w:val="0"/>
          <w:szCs w:val="15"/>
          <w:highlight w:val="none"/>
        </w:rPr>
      </w:pPr>
    </w:p>
    <w:p w14:paraId="2C5C4745">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65C9047B">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66D46D5C">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position w:val="-3"/>
          <w:highlight w:val="none"/>
        </w:rPr>
        <w:t>根据国家、省有关廉政建设的规定，为做好合同工程的廉政建设，保证工程质量与施工安</w:t>
      </w:r>
      <w:r>
        <w:rPr>
          <w:rFonts w:asciiTheme="minorEastAsia" w:hAnsiTheme="minorEastAsia" w:eastAsiaTheme="minorEastAsia" w:cstheme="minorEastAsia"/>
          <w:color w:val="auto"/>
          <w:kern w:val="0"/>
          <w:highlight w:val="none"/>
        </w:rPr>
        <w:t>全，提高建设资金的有效使用和投资效益，合同双方当事人就加强合同工程的廉政建设，订立本合同。</w:t>
      </w:r>
    </w:p>
    <w:p w14:paraId="44CDF844">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1</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双方权利和义务</w:t>
      </w:r>
    </w:p>
    <w:p w14:paraId="1E43A2CD">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严格遵守国家、省有关法律法规的规定。</w:t>
      </w:r>
    </w:p>
    <w:p w14:paraId="63A74D3D">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严格执行合同工程一切合同文件，自觉按合同办事。</w:t>
      </w:r>
    </w:p>
    <w:p w14:paraId="7D415EF4">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1.3</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合同双方当事人的业务活动应坚持公平</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公开</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公正和诚信的原</w:t>
      </w:r>
      <w:r>
        <w:rPr>
          <w:rFonts w:asciiTheme="minorEastAsia" w:hAnsiTheme="minorEastAsia" w:eastAsiaTheme="minorEastAsia" w:cstheme="minorEastAsia"/>
          <w:color w:val="auto"/>
          <w:spacing w:val="-12"/>
          <w:kern w:val="0"/>
          <w:highlight w:val="none"/>
        </w:rPr>
        <w:t>则</w:t>
      </w:r>
      <w:r>
        <w:rPr>
          <w:rFonts w:asciiTheme="minorEastAsia" w:hAnsiTheme="minorEastAsia" w:eastAsiaTheme="minorEastAsia" w:cstheme="minorEastAsia"/>
          <w:color w:val="auto"/>
          <w:kern w:val="0"/>
          <w:highlight w:val="none"/>
        </w:rPr>
        <w:t>（法律认定的商业 秘密和合同文件另有规定除外</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，不得损害国家和集体利益，不得违反工程建设管理规章制度。</w:t>
      </w:r>
    </w:p>
    <w:p w14:paraId="6F001539">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1.4</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建立健全廉政制度</w:t>
      </w:r>
      <w:r>
        <w:rPr>
          <w:rFonts w:asciiTheme="minorEastAsia" w:hAnsiTheme="minorEastAsia" w:eastAsiaTheme="minorEastAsia" w:cstheme="minorEastAsia"/>
          <w:color w:val="auto"/>
          <w:spacing w:val="-10"/>
          <w:kern w:val="0"/>
          <w:highlight w:val="none"/>
        </w:rPr>
        <w:t>，</w:t>
      </w:r>
      <w:r>
        <w:rPr>
          <w:rFonts w:asciiTheme="minorEastAsia" w:hAnsiTheme="minorEastAsia" w:eastAsiaTheme="minorEastAsia" w:cstheme="minorEastAsia"/>
          <w:color w:val="auto"/>
          <w:kern w:val="0"/>
          <w:highlight w:val="none"/>
        </w:rPr>
        <w:t>开展廉政教育</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设立廉政告示牌</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公布举报电话</w:t>
      </w:r>
      <w:r>
        <w:rPr>
          <w:rFonts w:asciiTheme="minorEastAsia" w:hAnsiTheme="minorEastAsia" w:eastAsiaTheme="minorEastAsia" w:cstheme="minorEastAsia"/>
          <w:color w:val="auto"/>
          <w:spacing w:val="-8"/>
          <w:kern w:val="0"/>
          <w:highlight w:val="none"/>
        </w:rPr>
        <w:t>，</w:t>
      </w:r>
      <w:r>
        <w:rPr>
          <w:rFonts w:asciiTheme="minorEastAsia" w:hAnsiTheme="minorEastAsia" w:eastAsiaTheme="minorEastAsia" w:cstheme="minorEastAsia"/>
          <w:color w:val="auto"/>
          <w:kern w:val="0"/>
          <w:highlight w:val="none"/>
        </w:rPr>
        <w:t>监督并认真查 处违法违纪行为。</w:t>
      </w:r>
    </w:p>
    <w:p w14:paraId="23D5A20F">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发现对方在业务活动中有违反廉政建设规定的行为，应及时给予提醒和纠正。</w:t>
      </w:r>
    </w:p>
    <w:p w14:paraId="603F514E">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1.6</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发现对方严重违反合同的行为</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有向其上级部门举报</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建议给予处理并要求告知处理 结果的权利。没有上级部门的，可按本合同第二部分《通用条款》第87 条规定处理。</w:t>
      </w:r>
    </w:p>
    <w:p w14:paraId="328E234C">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2</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招标人义务</w:t>
      </w:r>
    </w:p>
    <w:p w14:paraId="250551C6">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招标人及其工作人员不得索取或接受中标人的礼金</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有价证券和贵重物品</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不得在承 包人报销任何应由招标人或其工作人员个人支付的费用。</w:t>
      </w:r>
    </w:p>
    <w:p w14:paraId="11A51B4F">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招标人及其工作人员不得参加中标人安排的宴</w:t>
      </w:r>
      <w:r>
        <w:rPr>
          <w:rFonts w:asciiTheme="minorEastAsia" w:hAnsiTheme="minorEastAsia" w:eastAsiaTheme="minorEastAsia" w:cstheme="minorEastAsia"/>
          <w:color w:val="auto"/>
          <w:spacing w:val="-12"/>
          <w:kern w:val="0"/>
          <w:highlight w:val="none"/>
        </w:rPr>
        <w:t>请</w:t>
      </w:r>
      <w:r>
        <w:rPr>
          <w:rFonts w:asciiTheme="minorEastAsia" w:hAnsiTheme="minorEastAsia" w:eastAsiaTheme="minorEastAsia" w:cstheme="minorEastAsia"/>
          <w:color w:val="auto"/>
          <w:kern w:val="0"/>
          <w:highlight w:val="none"/>
        </w:rPr>
        <w:t>（工作餐除外</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和娱乐活动</w:t>
      </w:r>
      <w:r>
        <w:rPr>
          <w:rFonts w:asciiTheme="minorEastAsia" w:hAnsiTheme="minorEastAsia" w:eastAsiaTheme="minorEastAsia" w:cstheme="minorEastAsia"/>
          <w:color w:val="auto"/>
          <w:spacing w:val="-12"/>
          <w:kern w:val="0"/>
          <w:highlight w:val="none"/>
        </w:rPr>
        <w:t>，</w:t>
      </w:r>
      <w:r>
        <w:rPr>
          <w:rFonts w:asciiTheme="minorEastAsia" w:hAnsiTheme="minorEastAsia" w:eastAsiaTheme="minorEastAsia" w:cstheme="minorEastAsia"/>
          <w:color w:val="auto"/>
          <w:kern w:val="0"/>
          <w:highlight w:val="none"/>
        </w:rPr>
        <w:t>不得接受中标人提供的通讯、交通工具和高档办公用品等物品。</w:t>
      </w:r>
    </w:p>
    <w:p w14:paraId="19613D62">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position w:val="-2"/>
          <w:highlight w:val="none"/>
        </w:rPr>
        <w:t>2.3</w:t>
      </w:r>
      <w:r>
        <w:rPr>
          <w:rFonts w:asciiTheme="minorEastAsia" w:hAnsiTheme="minorEastAsia" w:eastAsiaTheme="minorEastAsia" w:cstheme="minorEastAsia"/>
          <w:color w:val="auto"/>
          <w:kern w:val="0"/>
          <w:position w:val="-2"/>
          <w:highlight w:val="none"/>
        </w:rPr>
        <w:tab/>
      </w:r>
      <w:r>
        <w:rPr>
          <w:rFonts w:asciiTheme="minorEastAsia" w:hAnsiTheme="minorEastAsia" w:eastAsiaTheme="minorEastAsia" w:cstheme="minorEastAsia"/>
          <w:color w:val="auto"/>
          <w:kern w:val="0"/>
          <w:position w:val="-2"/>
          <w:highlight w:val="none"/>
        </w:rPr>
        <w:t>招标人及其工作人员不得要求或者接受中标人为其住房装修</w:t>
      </w:r>
      <w:r>
        <w:rPr>
          <w:rFonts w:asciiTheme="minorEastAsia" w:hAnsiTheme="minorEastAsia" w:eastAsiaTheme="minorEastAsia" w:cstheme="minorEastAsia"/>
          <w:color w:val="auto"/>
          <w:spacing w:val="-18"/>
          <w:kern w:val="0"/>
          <w:position w:val="-2"/>
          <w:highlight w:val="none"/>
        </w:rPr>
        <w:t>、</w:t>
      </w:r>
      <w:r>
        <w:rPr>
          <w:rFonts w:asciiTheme="minorEastAsia" w:hAnsiTheme="minorEastAsia" w:eastAsiaTheme="minorEastAsia" w:cstheme="minorEastAsia"/>
          <w:color w:val="auto"/>
          <w:kern w:val="0"/>
          <w:position w:val="-2"/>
          <w:highlight w:val="none"/>
        </w:rPr>
        <w:t>婚丧嫁娶活动</w:t>
      </w:r>
      <w:r>
        <w:rPr>
          <w:rFonts w:asciiTheme="minorEastAsia" w:hAnsiTheme="minorEastAsia" w:eastAsiaTheme="minorEastAsia" w:cstheme="minorEastAsia"/>
          <w:color w:val="auto"/>
          <w:spacing w:val="-18"/>
          <w:kern w:val="0"/>
          <w:position w:val="-2"/>
          <w:highlight w:val="none"/>
        </w:rPr>
        <w:t>、</w:t>
      </w:r>
      <w:r>
        <w:rPr>
          <w:rFonts w:asciiTheme="minorEastAsia" w:hAnsiTheme="minorEastAsia" w:eastAsiaTheme="minorEastAsia" w:cstheme="minorEastAsia"/>
          <w:color w:val="auto"/>
          <w:kern w:val="0"/>
          <w:position w:val="-2"/>
          <w:highlight w:val="none"/>
        </w:rPr>
        <w:t>配偶子</w:t>
      </w:r>
      <w:r>
        <w:rPr>
          <w:rFonts w:asciiTheme="minorEastAsia" w:hAnsiTheme="minorEastAsia" w:eastAsiaTheme="minorEastAsia" w:cstheme="minorEastAsia"/>
          <w:color w:val="auto"/>
          <w:kern w:val="0"/>
          <w:highlight w:val="none"/>
        </w:rPr>
        <w:t>女工作安排以及出国出境、旅游等提供方便。</w:t>
      </w:r>
    </w:p>
    <w:p w14:paraId="2F3CC392">
      <w:pPr>
        <w:autoSpaceDE w:val="0"/>
        <w:autoSpaceDN w:val="0"/>
        <w:adjustRightInd w:val="0"/>
        <w:spacing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2.4 </w:t>
      </w:r>
      <w:r>
        <w:rPr>
          <w:rFonts w:asciiTheme="minorEastAsia" w:hAnsiTheme="minorEastAsia" w:eastAsiaTheme="minorEastAsia" w:cstheme="minorEastAsia"/>
          <w:color w:val="auto"/>
          <w:spacing w:val="2"/>
          <w:kern w:val="0"/>
          <w:highlight w:val="none"/>
        </w:rPr>
        <w:t>招标人及其工作人员不得以任何理由向中标人推荐</w:t>
      </w:r>
      <w:r>
        <w:rPr>
          <w:rFonts w:asciiTheme="minorEastAsia" w:hAnsiTheme="minorEastAsia" w:eastAsiaTheme="minorEastAsia" w:cstheme="minorEastAsia"/>
          <w:color w:val="auto"/>
          <w:spacing w:val="1"/>
          <w:kern w:val="0"/>
          <w:highlight w:val="none"/>
        </w:rPr>
        <w:t>分</w:t>
      </w:r>
      <w:r>
        <w:rPr>
          <w:rFonts w:asciiTheme="minorEastAsia" w:hAnsiTheme="minorEastAsia" w:eastAsiaTheme="minorEastAsia" w:cstheme="minorEastAsia"/>
          <w:color w:val="auto"/>
          <w:spacing w:val="2"/>
          <w:kern w:val="0"/>
          <w:highlight w:val="none"/>
        </w:rPr>
        <w:t xml:space="preserve">包人、推销材料和工程设备，不 </w:t>
      </w:r>
      <w:r>
        <w:rPr>
          <w:rFonts w:asciiTheme="minorEastAsia" w:hAnsiTheme="minorEastAsia" w:eastAsiaTheme="minorEastAsia" w:cstheme="minorEastAsia"/>
          <w:color w:val="auto"/>
          <w:kern w:val="0"/>
          <w:highlight w:val="none"/>
        </w:rPr>
        <w:t>得要求中标人购买合同以外的材料和工程设备。</w:t>
      </w:r>
    </w:p>
    <w:p w14:paraId="3B33AE9C">
      <w:pPr>
        <w:autoSpaceDE w:val="0"/>
        <w:autoSpaceDN w:val="0"/>
        <w:adjustRightInd w:val="0"/>
        <w:spacing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2.5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招标人及其工作人员要秉公办事</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不准营私舞弊</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不准利用职权私自为合同工程安排 施工队伍，也不得从事与合同工程有关的各种有偿中介活动。</w:t>
      </w:r>
    </w:p>
    <w:p w14:paraId="2BA88840">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2.6 </w:t>
      </w:r>
      <w:r>
        <w:rPr>
          <w:rFonts w:asciiTheme="minorEastAsia" w:hAnsiTheme="minorEastAsia" w:eastAsiaTheme="minorEastAsia" w:cstheme="minorEastAsia"/>
          <w:color w:val="auto"/>
          <w:spacing w:val="2"/>
          <w:kern w:val="0"/>
          <w:highlight w:val="none"/>
        </w:rPr>
        <w:t>招标人及其工作人员（含其配偶、子女）不得从事</w:t>
      </w:r>
      <w:r>
        <w:rPr>
          <w:rFonts w:asciiTheme="minorEastAsia" w:hAnsiTheme="minorEastAsia" w:eastAsiaTheme="minorEastAsia" w:cstheme="minorEastAsia"/>
          <w:color w:val="auto"/>
          <w:spacing w:val="1"/>
          <w:kern w:val="0"/>
          <w:highlight w:val="none"/>
        </w:rPr>
        <w:t>与</w:t>
      </w:r>
      <w:r>
        <w:rPr>
          <w:rFonts w:asciiTheme="minorEastAsia" w:hAnsiTheme="minorEastAsia" w:eastAsiaTheme="minorEastAsia" w:cstheme="minorEastAsia"/>
          <w:color w:val="auto"/>
          <w:spacing w:val="2"/>
          <w:kern w:val="0"/>
          <w:highlight w:val="none"/>
        </w:rPr>
        <w:t xml:space="preserve">合同工程有关的材料和工程设备 </w:t>
      </w:r>
      <w:r>
        <w:rPr>
          <w:rFonts w:asciiTheme="minorEastAsia" w:hAnsiTheme="minorEastAsia" w:eastAsiaTheme="minorEastAsia" w:cstheme="minorEastAsia"/>
          <w:color w:val="auto"/>
          <w:kern w:val="0"/>
          <w:highlight w:val="none"/>
        </w:rPr>
        <w:t>供应、工程分包、劳务等经济活动。</w:t>
      </w:r>
    </w:p>
    <w:p w14:paraId="644D4116">
      <w:pPr>
        <w:autoSpaceDE w:val="0"/>
        <w:autoSpaceDN w:val="0"/>
        <w:adjustRightInd w:val="0"/>
        <w:spacing w:before="72" w:line="360" w:lineRule="auto"/>
        <w:ind w:right="185"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3</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中标人义务</w:t>
      </w:r>
    </w:p>
    <w:p w14:paraId="7A6EB623">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中标人不得以任何理由向招标人及其工作人员行贿或馈赠礼金</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有价证券</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贵重礼品。</w:t>
      </w:r>
    </w:p>
    <w:p w14:paraId="6887B4B3">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spacing w:val="5"/>
          <w:kern w:val="0"/>
          <w:highlight w:val="none"/>
        </w:rPr>
        <w:t>中标人不得以任何名义为招标人及其</w:t>
      </w:r>
      <w:r>
        <w:rPr>
          <w:rFonts w:asciiTheme="minorEastAsia" w:hAnsiTheme="minorEastAsia" w:eastAsiaTheme="minorEastAsia" w:cstheme="minorEastAsia"/>
          <w:color w:val="auto"/>
          <w:spacing w:val="4"/>
          <w:kern w:val="0"/>
          <w:highlight w:val="none"/>
        </w:rPr>
        <w:t>工</w:t>
      </w:r>
      <w:r>
        <w:rPr>
          <w:rFonts w:asciiTheme="minorEastAsia" w:hAnsiTheme="minorEastAsia" w:eastAsiaTheme="minorEastAsia" w:cstheme="minorEastAsia"/>
          <w:color w:val="auto"/>
          <w:spacing w:val="6"/>
          <w:kern w:val="0"/>
          <w:highlight w:val="none"/>
        </w:rPr>
        <w:t xml:space="preserve">作人员报销应由招标人或其工作人员个人支 </w:t>
      </w:r>
      <w:r>
        <w:rPr>
          <w:rFonts w:asciiTheme="minorEastAsia" w:hAnsiTheme="minorEastAsia" w:eastAsiaTheme="minorEastAsia" w:cstheme="minorEastAsia"/>
          <w:color w:val="auto"/>
          <w:kern w:val="0"/>
          <w:highlight w:val="none"/>
        </w:rPr>
        <w:t>付的任何费用。</w:t>
      </w:r>
    </w:p>
    <w:p w14:paraId="0333C9DE">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3.3</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中标人不得以任何理由安排招标人及其工作人员参加宴</w:t>
      </w:r>
      <w:r>
        <w:rPr>
          <w:rFonts w:asciiTheme="minorEastAsia" w:hAnsiTheme="minorEastAsia" w:eastAsiaTheme="minorEastAsia" w:cstheme="minorEastAsia"/>
          <w:color w:val="auto"/>
          <w:spacing w:val="-78"/>
          <w:kern w:val="0"/>
          <w:highlight w:val="none"/>
        </w:rPr>
        <w:t>请</w:t>
      </w:r>
      <w:r>
        <w:rPr>
          <w:rFonts w:asciiTheme="minorEastAsia" w:hAnsiTheme="minorEastAsia" w:eastAsiaTheme="minorEastAsia" w:cstheme="minorEastAsia"/>
          <w:color w:val="auto"/>
          <w:kern w:val="0"/>
          <w:highlight w:val="none"/>
        </w:rPr>
        <w:t>（工作餐除外</w:t>
      </w:r>
      <w:r>
        <w:rPr>
          <w:rFonts w:asciiTheme="minorEastAsia" w:hAnsiTheme="minorEastAsia" w:eastAsiaTheme="minorEastAsia" w:cstheme="minorEastAsia"/>
          <w:color w:val="auto"/>
          <w:spacing w:val="-78"/>
          <w:kern w:val="0"/>
          <w:highlight w:val="none"/>
        </w:rPr>
        <w:t>）</w:t>
      </w:r>
      <w:r>
        <w:rPr>
          <w:rFonts w:asciiTheme="minorEastAsia" w:hAnsiTheme="minorEastAsia" w:eastAsiaTheme="minorEastAsia" w:cstheme="minorEastAsia"/>
          <w:color w:val="auto"/>
          <w:kern w:val="0"/>
          <w:highlight w:val="none"/>
        </w:rPr>
        <w:t>及娱乐活动。</w:t>
      </w:r>
    </w:p>
    <w:p w14:paraId="5A69C85F">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3.4</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中标人不得为招标人和个人购置或提供通讯、交通工具和高档办公用品等物品。</w:t>
      </w:r>
    </w:p>
    <w:p w14:paraId="6FB56F3E">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3.5</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中标人不得为招标人及其工作人员的住房装修</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婚丧嫁娶活动</w:t>
      </w:r>
      <w:r>
        <w:rPr>
          <w:rFonts w:asciiTheme="minorEastAsia" w:hAnsiTheme="minorEastAsia" w:eastAsiaTheme="minorEastAsia" w:cstheme="minorEastAsia"/>
          <w:color w:val="auto"/>
          <w:spacing w:val="-18"/>
          <w:kern w:val="0"/>
          <w:highlight w:val="none"/>
        </w:rPr>
        <w:t>、</w:t>
      </w:r>
      <w:r>
        <w:rPr>
          <w:rFonts w:asciiTheme="minorEastAsia" w:hAnsiTheme="minorEastAsia" w:eastAsiaTheme="minorEastAsia" w:cstheme="minorEastAsia"/>
          <w:color w:val="auto"/>
          <w:kern w:val="0"/>
          <w:highlight w:val="none"/>
        </w:rPr>
        <w:t>配偶子女工作安排以 及出国出境、旅游等提供方便。</w:t>
      </w:r>
    </w:p>
    <w:p w14:paraId="3DE2B396">
      <w:pPr>
        <w:autoSpaceDE w:val="0"/>
        <w:autoSpaceDN w:val="0"/>
        <w:adjustRightInd w:val="0"/>
        <w:spacing w:before="72" w:line="360" w:lineRule="auto"/>
        <w:ind w:right="185"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4</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违约责任</w:t>
      </w:r>
    </w:p>
    <w:p w14:paraId="28306A2D">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4.1</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招标人及其工作人员违反本合同第1 条和第2 条规定</w:t>
      </w:r>
      <w:r>
        <w:rPr>
          <w:rFonts w:asciiTheme="minorEastAsia" w:hAnsiTheme="minorEastAsia" w:eastAsiaTheme="minorEastAsia" w:cstheme="minorEastAsia"/>
          <w:color w:val="auto"/>
          <w:spacing w:val="-36"/>
          <w:kern w:val="0"/>
          <w:highlight w:val="none"/>
        </w:rPr>
        <w:t>，</w:t>
      </w:r>
      <w:r>
        <w:rPr>
          <w:rFonts w:asciiTheme="minorEastAsia" w:hAnsiTheme="minorEastAsia" w:eastAsiaTheme="minorEastAsia" w:cstheme="minorEastAsia"/>
          <w:color w:val="auto"/>
          <w:kern w:val="0"/>
          <w:highlight w:val="none"/>
        </w:rPr>
        <w:t>应按照廉政建设的有关规定给 予处分；涉嫌犯罪的，移交司法机关追究刑事责任；给中标人造成损失的，应予赔偿。</w:t>
      </w:r>
    </w:p>
    <w:p w14:paraId="6ABAF9BD">
      <w:pPr>
        <w:autoSpaceDE w:val="0"/>
        <w:autoSpaceDN w:val="0"/>
        <w:adjustRightInd w:val="0"/>
        <w:spacing w:before="72" w:line="360" w:lineRule="auto"/>
        <w:ind w:right="185"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4.2</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中标人及其工作人员违反本合同第1 条和第3 条规定</w:t>
      </w:r>
      <w:r>
        <w:rPr>
          <w:rFonts w:asciiTheme="minorEastAsia" w:hAnsiTheme="minorEastAsia" w:eastAsiaTheme="minorEastAsia" w:cstheme="minorEastAsia"/>
          <w:color w:val="auto"/>
          <w:spacing w:val="-36"/>
          <w:kern w:val="0"/>
          <w:highlight w:val="none"/>
        </w:rPr>
        <w:t>，</w:t>
      </w:r>
      <w:r>
        <w:rPr>
          <w:rFonts w:asciiTheme="minorEastAsia" w:hAnsiTheme="minorEastAsia" w:eastAsiaTheme="minorEastAsia" w:cstheme="minorEastAsia"/>
          <w:color w:val="auto"/>
          <w:kern w:val="0"/>
          <w:highlight w:val="none"/>
        </w:rPr>
        <w:t>应按照廉政建设的有关规定给 予处分</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情节严重的</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给予中标人1～3 年内不得进入工程建设市场的处罚</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涉嫌犯罪的</w:t>
      </w:r>
      <w:r>
        <w:rPr>
          <w:rFonts w:asciiTheme="minorEastAsia" w:hAnsiTheme="minorEastAsia" w:eastAsiaTheme="minorEastAsia" w:cstheme="minorEastAsia"/>
          <w:color w:val="auto"/>
          <w:spacing w:val="-24"/>
          <w:kern w:val="0"/>
          <w:highlight w:val="none"/>
        </w:rPr>
        <w:t>，</w:t>
      </w:r>
      <w:r>
        <w:rPr>
          <w:rFonts w:asciiTheme="minorEastAsia" w:hAnsiTheme="minorEastAsia" w:eastAsiaTheme="minorEastAsia" w:cstheme="minorEastAsia"/>
          <w:color w:val="auto"/>
          <w:kern w:val="0"/>
          <w:highlight w:val="none"/>
        </w:rPr>
        <w:t>移交 司法机关追究刑事责任；给招标人造成损失的，应予赔偿；</w:t>
      </w:r>
    </w:p>
    <w:p w14:paraId="7A61A487">
      <w:pPr>
        <w:autoSpaceDE w:val="0"/>
        <w:autoSpaceDN w:val="0"/>
        <w:adjustRightInd w:val="0"/>
        <w:spacing w:before="16" w:line="360" w:lineRule="auto"/>
        <w:jc w:val="left"/>
        <w:rPr>
          <w:rFonts w:hint="default" w:asciiTheme="minorEastAsia" w:hAnsiTheme="minorEastAsia" w:eastAsiaTheme="minorEastAsia" w:cstheme="minorEastAsia"/>
          <w:color w:val="auto"/>
          <w:kern w:val="0"/>
          <w:szCs w:val="28"/>
          <w:highlight w:val="none"/>
        </w:rPr>
      </w:pPr>
      <w:r>
        <w:rPr>
          <w:rFonts w:asciiTheme="minorEastAsia" w:hAnsiTheme="minorEastAsia" w:eastAsiaTheme="minorEastAsia" w:cstheme="minorEastAsia"/>
          <w:b/>
          <w:bCs/>
          <w:color w:val="auto"/>
          <w:kern w:val="0"/>
          <w:szCs w:val="28"/>
          <w:highlight w:val="none"/>
        </w:rPr>
        <w:t xml:space="preserve">    5</w:t>
      </w:r>
      <w:r>
        <w:rPr>
          <w:rFonts w:asciiTheme="minorEastAsia" w:hAnsiTheme="minorEastAsia" w:eastAsiaTheme="minorEastAsia" w:cstheme="minorEastAsia"/>
          <w:b/>
          <w:bCs/>
          <w:color w:val="auto"/>
          <w:spacing w:val="1"/>
          <w:kern w:val="0"/>
          <w:szCs w:val="28"/>
          <w:highlight w:val="none"/>
        </w:rPr>
        <w:t>双方约定</w:t>
      </w:r>
    </w:p>
    <w:p w14:paraId="2975C0BF">
      <w:pPr>
        <w:autoSpaceDE w:val="0"/>
        <w:autoSpaceDN w:val="0"/>
        <w:adjustRightInd w:val="0"/>
        <w:spacing w:line="360" w:lineRule="auto"/>
        <w:ind w:right="184" w:firstLine="484"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spacing w:val="1"/>
          <w:kern w:val="0"/>
          <w:highlight w:val="none"/>
        </w:rPr>
        <w:t>本合同由合同双方当事人或其上</w:t>
      </w:r>
      <w:r>
        <w:rPr>
          <w:rFonts w:asciiTheme="minorEastAsia" w:hAnsiTheme="minorEastAsia" w:eastAsiaTheme="minorEastAsia" w:cstheme="minorEastAsia"/>
          <w:color w:val="auto"/>
          <w:kern w:val="0"/>
          <w:highlight w:val="none"/>
        </w:rPr>
        <w:t>级</w:t>
      </w:r>
      <w:r>
        <w:rPr>
          <w:rFonts w:asciiTheme="minorEastAsia" w:hAnsiTheme="minorEastAsia" w:eastAsiaTheme="minorEastAsia" w:cstheme="minorEastAsia"/>
          <w:color w:val="auto"/>
          <w:spacing w:val="1"/>
          <w:kern w:val="0"/>
          <w:highlight w:val="none"/>
        </w:rPr>
        <w:t>部门负责监督执行，并由合</w:t>
      </w:r>
      <w:r>
        <w:rPr>
          <w:rFonts w:asciiTheme="minorEastAsia" w:hAnsiTheme="minorEastAsia" w:eastAsiaTheme="minorEastAsia" w:cstheme="minorEastAsia"/>
          <w:color w:val="auto"/>
          <w:kern w:val="0"/>
          <w:highlight w:val="none"/>
        </w:rPr>
        <w:t>同</w:t>
      </w:r>
      <w:r>
        <w:rPr>
          <w:rFonts w:asciiTheme="minorEastAsia" w:hAnsiTheme="minorEastAsia" w:eastAsiaTheme="minorEastAsia" w:cstheme="minorEastAsia"/>
          <w:color w:val="auto"/>
          <w:spacing w:val="1"/>
          <w:kern w:val="0"/>
          <w:highlight w:val="none"/>
        </w:rPr>
        <w:t xml:space="preserve">双方当事人或其上级部门 </w:t>
      </w:r>
      <w:r>
        <w:rPr>
          <w:rFonts w:asciiTheme="minorEastAsia" w:hAnsiTheme="minorEastAsia" w:eastAsiaTheme="minorEastAsia" w:cstheme="minorEastAsia"/>
          <w:color w:val="auto"/>
          <w:kern w:val="0"/>
          <w:highlight w:val="none"/>
        </w:rPr>
        <w:t>相互约请对本合同执行情况进行检查。</w:t>
      </w:r>
    </w:p>
    <w:p w14:paraId="66D33D38">
      <w:pPr>
        <w:autoSpaceDE w:val="0"/>
        <w:autoSpaceDN w:val="0"/>
        <w:adjustRightInd w:val="0"/>
        <w:spacing w:line="360" w:lineRule="auto"/>
        <w:ind w:right="184" w:firstLine="482" w:firstLineChars="200"/>
        <w:jc w:val="left"/>
        <w:rPr>
          <w:rFonts w:hint="default" w:asciiTheme="minorEastAsia" w:hAnsiTheme="minorEastAsia" w:eastAsiaTheme="minorEastAsia" w:cstheme="minorEastAsia"/>
          <w:b/>
          <w:bCs/>
          <w:color w:val="auto"/>
          <w:kern w:val="0"/>
          <w:szCs w:val="28"/>
          <w:highlight w:val="none"/>
        </w:rPr>
      </w:pPr>
      <w:r>
        <w:rPr>
          <w:rFonts w:asciiTheme="minorEastAsia" w:hAnsiTheme="minorEastAsia" w:eastAsiaTheme="minorEastAsia" w:cstheme="minorEastAsia"/>
          <w:b/>
          <w:bCs/>
          <w:color w:val="auto"/>
          <w:kern w:val="0"/>
          <w:szCs w:val="28"/>
          <w:highlight w:val="none"/>
        </w:rPr>
        <w:t>6</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kern w:val="0"/>
          <w:szCs w:val="28"/>
          <w:highlight w:val="none"/>
        </w:rPr>
        <w:t xml:space="preserve"> 合同法律效力</w:t>
      </w:r>
    </w:p>
    <w:p w14:paraId="79A634C1">
      <w:pPr>
        <w:autoSpaceDE w:val="0"/>
        <w:autoSpaceDN w:val="0"/>
        <w:adjustRightInd w:val="0"/>
        <w:spacing w:line="360" w:lineRule="auto"/>
        <w:ind w:right="184"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本合同作为（工程名称） 工程施工合同的附件，与施工合同具有同等的法律效力。</w:t>
      </w:r>
    </w:p>
    <w:p w14:paraId="4D10343B">
      <w:pPr>
        <w:autoSpaceDE w:val="0"/>
        <w:autoSpaceDN w:val="0"/>
        <w:adjustRightInd w:val="0"/>
        <w:spacing w:line="360" w:lineRule="auto"/>
        <w:ind w:right="184" w:firstLine="482" w:firstLineChars="200"/>
        <w:jc w:val="left"/>
        <w:rPr>
          <w:rFonts w:hint="default" w:asciiTheme="minorEastAsia" w:hAnsiTheme="minorEastAsia" w:eastAsiaTheme="minorEastAsia" w:cstheme="minorEastAsia"/>
          <w:color w:val="auto"/>
          <w:kern w:val="0"/>
          <w:szCs w:val="28"/>
          <w:highlight w:val="none"/>
        </w:rPr>
      </w:pPr>
      <w:r>
        <w:rPr>
          <w:rFonts w:asciiTheme="minorEastAsia" w:hAnsiTheme="minorEastAsia" w:eastAsiaTheme="minorEastAsia" w:cstheme="minorEastAsia"/>
          <w:b/>
          <w:bCs/>
          <w:color w:val="auto"/>
          <w:kern w:val="0"/>
          <w:szCs w:val="28"/>
          <w:highlight w:val="none"/>
        </w:rPr>
        <w:t>7</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合同生效</w:t>
      </w:r>
    </w:p>
    <w:p w14:paraId="27BB93D5">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本合同自合同双方当事人签署之日起生效，至合同工程竣工验收合格之日后失效。</w:t>
      </w:r>
    </w:p>
    <w:p w14:paraId="4D2F5CAA">
      <w:pPr>
        <w:autoSpaceDE w:val="0"/>
        <w:autoSpaceDN w:val="0"/>
        <w:adjustRightInd w:val="0"/>
        <w:spacing w:line="360" w:lineRule="auto"/>
        <w:ind w:firstLine="482" w:firstLineChars="200"/>
        <w:jc w:val="left"/>
        <w:rPr>
          <w:rFonts w:hint="default" w:asciiTheme="minorEastAsia" w:hAnsiTheme="minorEastAsia" w:eastAsiaTheme="minorEastAsia" w:cstheme="minorEastAsia"/>
          <w:b/>
          <w:bCs/>
          <w:color w:val="auto"/>
          <w:spacing w:val="1"/>
          <w:kern w:val="0"/>
          <w:szCs w:val="28"/>
          <w:highlight w:val="none"/>
        </w:rPr>
      </w:pPr>
      <w:r>
        <w:rPr>
          <w:rFonts w:asciiTheme="minorEastAsia" w:hAnsiTheme="minorEastAsia" w:eastAsiaTheme="minorEastAsia" w:cstheme="minorEastAsia"/>
          <w:b/>
          <w:bCs/>
          <w:color w:val="auto"/>
          <w:kern w:val="0"/>
          <w:szCs w:val="28"/>
          <w:highlight w:val="none"/>
        </w:rPr>
        <w:t>8</w:t>
      </w:r>
      <w:r>
        <w:rPr>
          <w:rFonts w:asciiTheme="minorEastAsia" w:hAnsiTheme="minorEastAsia" w:eastAsiaTheme="minorEastAsia" w:cstheme="minorEastAsia"/>
          <w:b/>
          <w:bCs/>
          <w:color w:val="auto"/>
          <w:kern w:val="0"/>
          <w:szCs w:val="28"/>
          <w:highlight w:val="none"/>
        </w:rPr>
        <w:tab/>
      </w:r>
      <w:r>
        <w:rPr>
          <w:rFonts w:asciiTheme="minorEastAsia" w:hAnsiTheme="minorEastAsia" w:eastAsiaTheme="minorEastAsia" w:cstheme="minorEastAsia"/>
          <w:b/>
          <w:bCs/>
          <w:color w:val="auto"/>
          <w:spacing w:val="1"/>
          <w:kern w:val="0"/>
          <w:szCs w:val="28"/>
          <w:highlight w:val="none"/>
        </w:rPr>
        <w:t>合同份数</w:t>
      </w:r>
    </w:p>
    <w:p w14:paraId="51E30ED1">
      <w:pPr>
        <w:autoSpaceDE w:val="0"/>
        <w:autoSpaceDN w:val="0"/>
        <w:adjustRightInd w:val="0"/>
        <w:spacing w:line="360" w:lineRule="auto"/>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本合同一</w:t>
      </w:r>
      <w:r>
        <w:rPr>
          <w:rFonts w:asciiTheme="minorEastAsia" w:hAnsiTheme="minorEastAsia" w:eastAsiaTheme="minorEastAsia" w:cstheme="minorEastAsia"/>
          <w:color w:val="auto"/>
          <w:spacing w:val="1"/>
          <w:kern w:val="0"/>
          <w:highlight w:val="none"/>
        </w:rPr>
        <w:t>式</w:t>
      </w:r>
      <w:r>
        <w:rPr>
          <w:rFonts w:asciiTheme="minorEastAsia" w:hAnsiTheme="minorEastAsia" w:eastAsiaTheme="minorEastAsia" w:cstheme="minorEastAsia"/>
          <w:color w:val="auto"/>
          <w:kern w:val="0"/>
          <w:highlight w:val="none"/>
        </w:rPr>
        <w:t>份，合同双方当事人各</w:t>
      </w:r>
      <w:r>
        <w:rPr>
          <w:rFonts w:asciiTheme="minorEastAsia" w:hAnsiTheme="minorEastAsia" w:eastAsiaTheme="minorEastAsia" w:cstheme="minorEastAsia"/>
          <w:color w:val="auto"/>
          <w:spacing w:val="2"/>
          <w:kern w:val="0"/>
          <w:highlight w:val="none"/>
        </w:rPr>
        <w:t>执</w:t>
      </w:r>
      <w:r>
        <w:rPr>
          <w:rFonts w:asciiTheme="minorEastAsia" w:hAnsiTheme="minorEastAsia" w:eastAsiaTheme="minorEastAsia" w:cstheme="minorEastAsia"/>
          <w:color w:val="auto"/>
          <w:spacing w:val="1"/>
          <w:kern w:val="0"/>
          <w:highlight w:val="none"/>
        </w:rPr>
        <w:t>份。有上级部门的，合同双方当事人应各送</w:t>
      </w:r>
      <w:r>
        <w:rPr>
          <w:rFonts w:asciiTheme="minorEastAsia" w:hAnsiTheme="minorEastAsia" w:eastAsiaTheme="minorEastAsia" w:cstheme="minorEastAsia"/>
          <w:color w:val="auto"/>
          <w:kern w:val="0"/>
          <w:highlight w:val="none"/>
        </w:rPr>
        <w:t>交其上级部门一份。</w:t>
      </w:r>
    </w:p>
    <w:p w14:paraId="1D80C8E8">
      <w:pPr>
        <w:autoSpaceDE w:val="0"/>
        <w:autoSpaceDN w:val="0"/>
        <w:adjustRightInd w:val="0"/>
        <w:spacing w:before="3" w:line="130" w:lineRule="exact"/>
        <w:jc w:val="left"/>
        <w:rPr>
          <w:rFonts w:hint="default" w:asciiTheme="minorEastAsia" w:hAnsiTheme="minorEastAsia" w:eastAsiaTheme="minorEastAsia" w:cstheme="minorEastAsia"/>
          <w:color w:val="auto"/>
          <w:kern w:val="0"/>
          <w:szCs w:val="13"/>
          <w:highlight w:val="none"/>
        </w:rPr>
      </w:pPr>
    </w:p>
    <w:p w14:paraId="6EC1A731">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174631CC">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2B91298A">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75D9ED83">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49705FAE">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0810577F">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7D8E978F">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1DA9DB25">
      <w:pPr>
        <w:autoSpaceDE w:val="0"/>
        <w:autoSpaceDN w:val="0"/>
        <w:adjustRightInd w:val="0"/>
        <w:spacing w:line="200" w:lineRule="exact"/>
        <w:jc w:val="left"/>
        <w:rPr>
          <w:rFonts w:hint="default" w:asciiTheme="minorEastAsia" w:hAnsiTheme="minorEastAsia" w:eastAsiaTheme="minorEastAsia" w:cstheme="minorEastAsia"/>
          <w:color w:val="auto"/>
          <w:kern w:val="0"/>
          <w:highlight w:val="none"/>
        </w:rPr>
      </w:pPr>
    </w:p>
    <w:p w14:paraId="1DA82084">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发 包 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（公章）</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 xml:space="preserve">                    承 包 人 </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 xml:space="preserve">（公章） </w:t>
      </w:r>
    </w:p>
    <w:p w14:paraId="6E328CD5">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法定代表人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（签字）</w:t>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ab/>
      </w:r>
      <w:r>
        <w:rPr>
          <w:rFonts w:asciiTheme="minorEastAsia" w:hAnsiTheme="minorEastAsia" w:eastAsiaTheme="minorEastAsia" w:cstheme="minorEastAsia"/>
          <w:color w:val="auto"/>
          <w:kern w:val="0"/>
          <w:highlight w:val="none"/>
        </w:rPr>
        <w:t xml:space="preserve">                 法定代表人</w:t>
      </w:r>
      <w:r>
        <w:rPr>
          <w:rFonts w:asciiTheme="minorEastAsia" w:hAnsiTheme="minorEastAsia" w:eastAsiaTheme="minorEastAsia" w:cstheme="minorEastAsia"/>
          <w:color w:val="auto"/>
          <w:spacing w:val="-120"/>
          <w:kern w:val="0"/>
          <w:highlight w:val="none"/>
        </w:rPr>
        <w:t>：</w:t>
      </w:r>
      <w:r>
        <w:rPr>
          <w:rFonts w:asciiTheme="minorEastAsia" w:hAnsiTheme="minorEastAsia" w:eastAsiaTheme="minorEastAsia" w:cstheme="minorEastAsia"/>
          <w:color w:val="auto"/>
          <w:kern w:val="0"/>
          <w:highlight w:val="none"/>
        </w:rPr>
        <w:t xml:space="preserve">（签字） </w:t>
      </w:r>
    </w:p>
    <w:p w14:paraId="3FCDB492">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u w:val="single"/>
        </w:rPr>
      </w:pPr>
      <w:r>
        <w:rPr>
          <w:rFonts w:asciiTheme="minorEastAsia" w:hAnsiTheme="minorEastAsia" w:eastAsiaTheme="minorEastAsia" w:cstheme="minorEastAsia"/>
          <w:color w:val="auto"/>
          <w:kern w:val="0"/>
          <w:highlight w:val="none"/>
        </w:rPr>
        <w:t xml:space="preserve">     联系电话：</w:t>
      </w:r>
      <w:r>
        <w:rPr>
          <w:rFonts w:asciiTheme="minorEastAsia" w:hAnsiTheme="minorEastAsia" w:eastAsiaTheme="minorEastAsia" w:cstheme="minorEastAsia"/>
          <w:color w:val="auto"/>
          <w:kern w:val="0"/>
          <w:highlight w:val="none"/>
          <w:u w:val="single"/>
        </w:rPr>
        <w:tab/>
      </w:r>
      <w:r>
        <w:rPr>
          <w:rFonts w:asciiTheme="minorEastAsia" w:hAnsiTheme="minorEastAsia" w:eastAsiaTheme="minorEastAsia" w:cstheme="minorEastAsia"/>
          <w:color w:val="auto"/>
          <w:kern w:val="0"/>
          <w:highlight w:val="none"/>
          <w:u w:val="single"/>
        </w:rPr>
        <w:tab/>
      </w:r>
      <w:r>
        <w:rPr>
          <w:rFonts w:asciiTheme="minorEastAsia" w:hAnsiTheme="minorEastAsia" w:eastAsiaTheme="minorEastAsia" w:cstheme="minorEastAsia"/>
          <w:color w:val="auto"/>
          <w:kern w:val="0"/>
          <w:highlight w:val="none"/>
        </w:rPr>
        <w:t xml:space="preserve">                     联系电话：</w:t>
      </w:r>
    </w:p>
    <w:p w14:paraId="4692570E">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上级部门：（公章）                     上级部门：（公章）</w:t>
      </w:r>
    </w:p>
    <w:p w14:paraId="2FC49453">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p>
    <w:p w14:paraId="253BC344">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p>
    <w:p w14:paraId="5359370D">
      <w:pPr>
        <w:autoSpaceDE w:val="0"/>
        <w:autoSpaceDN w:val="0"/>
        <w:adjustRightInd w:val="0"/>
        <w:spacing w:line="400" w:lineRule="exact"/>
        <w:ind w:firstLine="480" w:firstLineChars="200"/>
        <w:jc w:val="left"/>
        <w:rPr>
          <w:rFonts w:hint="default" w:asciiTheme="minorEastAsia" w:hAnsiTheme="minorEastAsia" w:eastAsiaTheme="minorEastAsia" w:cstheme="minorEastAsia"/>
          <w:color w:val="auto"/>
          <w:kern w:val="0"/>
          <w:highlight w:val="none"/>
        </w:rPr>
      </w:pPr>
      <w:r>
        <w:rPr>
          <w:rFonts w:asciiTheme="minorEastAsia" w:hAnsiTheme="minorEastAsia" w:eastAsiaTheme="minorEastAsia" w:cstheme="minorEastAsia"/>
          <w:color w:val="auto"/>
          <w:kern w:val="0"/>
          <w:highlight w:val="none"/>
        </w:rPr>
        <w:t xml:space="preserve">          年   月    日                                年   月   日</w:t>
      </w:r>
    </w:p>
    <w:p w14:paraId="1A12A654">
      <w:pPr>
        <w:spacing w:line="360" w:lineRule="auto"/>
        <w:rPr>
          <w:rFonts w:hint="default" w:asciiTheme="minorEastAsia" w:hAnsiTheme="minorEastAsia" w:eastAsiaTheme="minorEastAsia" w:cstheme="minorEastAsia"/>
          <w:b/>
          <w:bCs/>
          <w:color w:val="auto"/>
          <w:sz w:val="32"/>
          <w:szCs w:val="32"/>
          <w:highlight w:val="none"/>
        </w:rPr>
      </w:pPr>
    </w:p>
    <w:p w14:paraId="53DF243F">
      <w:pPr>
        <w:pStyle w:val="6"/>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752" w:name="_Toc24859"/>
      <w:bookmarkStart w:id="753" w:name="_Toc6897"/>
      <w:bookmarkStart w:id="754" w:name="_Toc11559"/>
      <w:bookmarkStart w:id="755" w:name="_Toc126"/>
      <w:bookmarkStart w:id="756" w:name="_Toc20715"/>
      <w:bookmarkStart w:id="757" w:name="_Toc29017"/>
      <w:bookmarkStart w:id="758" w:name="_Toc18530"/>
      <w:bookmarkStart w:id="759" w:name="_Toc28513"/>
      <w:r>
        <w:rPr>
          <w:rFonts w:hint="eastAsia" w:asciiTheme="minorEastAsia" w:hAnsiTheme="minorEastAsia" w:eastAsiaTheme="minorEastAsia" w:cstheme="minorEastAsia"/>
          <w:bCs/>
          <w:color w:val="auto"/>
          <w:sz w:val="32"/>
          <w:szCs w:val="32"/>
          <w:highlight w:val="none"/>
        </w:rPr>
        <w:br w:type="page"/>
      </w:r>
      <w:bookmarkStart w:id="760" w:name="_Toc10245"/>
      <w:bookmarkStart w:id="761" w:name="_Toc30796"/>
      <w:bookmarkStart w:id="762" w:name="_Toc10540"/>
      <w:r>
        <w:rPr>
          <w:rFonts w:hint="eastAsia" w:asciiTheme="minorEastAsia" w:hAnsiTheme="minorEastAsia" w:eastAsiaTheme="minorEastAsia" w:cstheme="minorEastAsia"/>
          <w:bCs/>
          <w:color w:val="auto"/>
          <w:sz w:val="32"/>
          <w:szCs w:val="32"/>
          <w:highlight w:val="none"/>
        </w:rPr>
        <w:t>履约保函</w:t>
      </w:r>
      <w:bookmarkEnd w:id="752"/>
      <w:bookmarkEnd w:id="753"/>
      <w:bookmarkEnd w:id="754"/>
      <w:bookmarkEnd w:id="755"/>
      <w:bookmarkEnd w:id="756"/>
      <w:bookmarkEnd w:id="757"/>
      <w:bookmarkEnd w:id="758"/>
      <w:bookmarkEnd w:id="759"/>
      <w:bookmarkEnd w:id="760"/>
      <w:bookmarkEnd w:id="761"/>
      <w:bookmarkEnd w:id="762"/>
    </w:p>
    <w:p w14:paraId="40E524DB">
      <w:pPr>
        <w:spacing w:line="360" w:lineRule="auto"/>
        <w:jc w:val="center"/>
        <w:rPr>
          <w:rFonts w:hint="default" w:asciiTheme="minorEastAsia" w:hAnsiTheme="minorEastAsia" w:eastAsiaTheme="minorEastAsia" w:cstheme="minorEastAsia"/>
          <w:b/>
          <w:bCs/>
          <w:color w:val="auto"/>
          <w:sz w:val="32"/>
          <w:szCs w:val="32"/>
          <w:highlight w:val="none"/>
        </w:rPr>
      </w:pPr>
    </w:p>
    <w:p w14:paraId="50EBC837">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00283410">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67EA44ED">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6EB76ADD">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017DF9F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50EA9EA0">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102434C2">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3C5B6580">
      <w:pPr>
        <w:spacing w:line="360" w:lineRule="auto"/>
        <w:rPr>
          <w:rFonts w:hint="default" w:asciiTheme="minorEastAsia" w:hAnsiTheme="minorEastAsia" w:eastAsiaTheme="minorEastAsia" w:cstheme="minorEastAsia"/>
          <w:color w:val="auto"/>
          <w:szCs w:val="24"/>
          <w:highlight w:val="none"/>
        </w:rPr>
      </w:pPr>
    </w:p>
    <w:p w14:paraId="0CD1AC32">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（受益人名称）： </w:t>
      </w:r>
    </w:p>
    <w:p w14:paraId="378DEF2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1F8A567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w:t>
      </w:r>
      <w:r>
        <w:rPr>
          <w:rFonts w:hint="eastAsia" w:asciiTheme="minorEastAsia" w:hAnsiTheme="minorEastAsia" w:eastAsiaTheme="minorEastAsia" w:cstheme="minorEastAsia"/>
          <w:color w:val="auto"/>
          <w:szCs w:val="24"/>
          <w:highlight w:val="none"/>
          <w:lang w:eastAsia="zh-CN"/>
        </w:rPr>
        <w:t>申请人</w:t>
      </w:r>
      <w:r>
        <w:rPr>
          <w:rFonts w:asciiTheme="minorEastAsia" w:hAnsiTheme="minorEastAsia" w:eastAsiaTheme="minorEastAsia" w:cstheme="minorEastAsia"/>
          <w:color w:val="auto"/>
          <w:szCs w:val="24"/>
          <w:highlight w:val="none"/>
        </w:rPr>
        <w:t>未按照基础合同的约定履行义务，应当向贵方承担的违约责任和赔偿因此造成的损失、利息、律师费、诉讼费用等实现债权的费用。</w:t>
      </w:r>
    </w:p>
    <w:p w14:paraId="65352C5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09017F6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三、本保函有效期自开立之日起至基础合同约定的缺陷责任期后日止，最迟不超过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 xml:space="preserve">。 </w:t>
      </w:r>
    </w:p>
    <w:p w14:paraId="0BFDF77F">
      <w:pPr>
        <w:spacing w:line="360" w:lineRule="auto"/>
        <w:ind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54A6FA8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6C8067F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7E55B118">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00101CA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04D9392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7490DEC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043F589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2DC93E1E">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745171F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7C9A69CE">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03193949">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6C78556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4FC88ED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21C7EF6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359E7A5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71808BF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01107AEA">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13F53A22">
      <w:pPr>
        <w:spacing w:line="360" w:lineRule="auto"/>
        <w:ind w:firstLine="480" w:firstLineChars="200"/>
        <w:rPr>
          <w:rFonts w:hint="default" w:asciiTheme="minorEastAsia" w:hAnsiTheme="minorEastAsia" w:eastAsiaTheme="minorEastAsia" w:cstheme="minorEastAsia"/>
          <w:color w:val="auto"/>
          <w:highlight w:val="none"/>
        </w:rPr>
      </w:pPr>
      <w:r>
        <w:rPr>
          <w:rFonts w:asciiTheme="minorEastAsia" w:hAnsiTheme="minorEastAsia" w:eastAsiaTheme="minorEastAsia" w:cstheme="minorEastAsia"/>
          <w:color w:val="auto"/>
          <w:szCs w:val="24"/>
          <w:highlight w:val="none"/>
        </w:rPr>
        <w:t xml:space="preserve">开立时间：      年      月    </w:t>
      </w:r>
    </w:p>
    <w:p w14:paraId="17C9EC5C">
      <w:pPr>
        <w:spacing w:line="374" w:lineRule="auto"/>
        <w:ind w:left="698" w:right="524"/>
        <w:jc w:val="left"/>
        <w:rPr>
          <w:rFonts w:hint="default" w:asciiTheme="minorEastAsia" w:hAnsiTheme="minorEastAsia" w:eastAsiaTheme="minorEastAsia" w:cstheme="minorEastAsia"/>
          <w:strike/>
          <w:color w:val="auto"/>
          <w:szCs w:val="24"/>
          <w:highlight w:val="none"/>
        </w:rPr>
        <w:sectPr>
          <w:headerReference r:id="rId8" w:type="default"/>
          <w:footerReference r:id="rId9" w:type="default"/>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158C1DA9">
      <w:pPr>
        <w:pStyle w:val="63"/>
        <w:spacing w:line="440" w:lineRule="exact"/>
        <w:ind w:firstLine="0" w:firstLineChars="0"/>
        <w:rPr>
          <w:rFonts w:asciiTheme="minorEastAsia" w:hAnsiTheme="minorEastAsia" w:eastAsiaTheme="minorEastAsia" w:cstheme="minorEastAsia"/>
          <w:dstrike/>
          <w:color w:val="auto"/>
          <w:kern w:val="0"/>
          <w:highlight w:val="none"/>
        </w:rPr>
      </w:pPr>
    </w:p>
    <w:p w14:paraId="1807935B">
      <w:pPr>
        <w:pStyle w:val="6"/>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763" w:name="_Toc15298"/>
      <w:bookmarkStart w:id="764" w:name="_Toc23616"/>
      <w:bookmarkStart w:id="765" w:name="_Toc4768"/>
      <w:bookmarkStart w:id="766" w:name="_Toc26369"/>
      <w:bookmarkStart w:id="767" w:name="_Toc24975"/>
      <w:bookmarkStart w:id="768" w:name="_Toc3541"/>
      <w:bookmarkStart w:id="769" w:name="_Toc31569"/>
      <w:bookmarkStart w:id="770" w:name="_Toc3712"/>
      <w:bookmarkStart w:id="771" w:name="_Toc2375"/>
      <w:bookmarkStart w:id="772" w:name="_Toc19146"/>
      <w:bookmarkStart w:id="773" w:name="_Toc20309"/>
      <w:r>
        <w:rPr>
          <w:rFonts w:hint="eastAsia" w:asciiTheme="minorEastAsia" w:hAnsiTheme="minorEastAsia" w:eastAsiaTheme="minorEastAsia" w:cstheme="minorEastAsia"/>
          <w:bCs/>
          <w:color w:val="auto"/>
          <w:sz w:val="32"/>
          <w:szCs w:val="32"/>
          <w:highlight w:val="none"/>
        </w:rPr>
        <w:t>预付款保函</w:t>
      </w:r>
      <w:bookmarkEnd w:id="763"/>
      <w:bookmarkEnd w:id="764"/>
      <w:bookmarkEnd w:id="765"/>
      <w:bookmarkEnd w:id="766"/>
      <w:bookmarkEnd w:id="767"/>
      <w:bookmarkEnd w:id="768"/>
      <w:bookmarkEnd w:id="769"/>
      <w:bookmarkEnd w:id="770"/>
      <w:bookmarkEnd w:id="771"/>
      <w:bookmarkEnd w:id="772"/>
      <w:bookmarkEnd w:id="773"/>
    </w:p>
    <w:p w14:paraId="7218ED22">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556DCA0F">
      <w:pPr>
        <w:spacing w:line="360" w:lineRule="auto"/>
        <w:rPr>
          <w:rFonts w:hint="default" w:asciiTheme="minorEastAsia" w:hAnsiTheme="minorEastAsia" w:eastAsiaTheme="minorEastAsia" w:cstheme="minorEastAsia"/>
          <w:color w:val="auto"/>
          <w:szCs w:val="24"/>
          <w:highlight w:val="none"/>
        </w:rPr>
      </w:pPr>
    </w:p>
    <w:p w14:paraId="7685995F">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0F3FB318">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0A471235">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42F86EC8">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07E110D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18BEBBC9">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2441B0AA">
      <w:pPr>
        <w:spacing w:line="360" w:lineRule="auto"/>
        <w:rPr>
          <w:rFonts w:hint="default" w:asciiTheme="minorEastAsia" w:hAnsiTheme="minorEastAsia" w:eastAsiaTheme="minorEastAsia" w:cstheme="minorEastAsia"/>
          <w:color w:val="auto"/>
          <w:szCs w:val="24"/>
          <w:highlight w:val="none"/>
        </w:rPr>
      </w:pPr>
    </w:p>
    <w:p w14:paraId="4640EF66">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（受益人名称）： </w:t>
      </w:r>
    </w:p>
    <w:p w14:paraId="521F504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主合同了解到申请人为主合同项下之中标人，受益人为主合同项下之招标人，基于申请人的请求，我方同意就申请人按照合同约定正确和合理地为合同目的使用预付款，向贵方提供不可撤销、不可转让的见索即付独立保函（以下简称“本保函”）。 </w:t>
      </w:r>
    </w:p>
    <w:p w14:paraId="370CC27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2E16471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02781B4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三、本保函有效期自开立之日起至招标人全额扣回预付款后日止，最迟不超过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w:t>
      </w:r>
    </w:p>
    <w:p w14:paraId="62BE637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4DD73D1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2B38A0B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103395D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3C70369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7A7073A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37352D8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673C1A5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5DE83B7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5C71B086">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495C1B48">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4AE7872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九、本保函自我方法定代表人或授权代表签字并加盖公章之日起生效。 </w:t>
      </w:r>
    </w:p>
    <w:p w14:paraId="67D2F3BD">
      <w:pPr>
        <w:spacing w:line="360" w:lineRule="auto"/>
        <w:ind w:firstLine="480" w:firstLineChars="200"/>
        <w:rPr>
          <w:rFonts w:hint="default" w:asciiTheme="minorEastAsia" w:hAnsiTheme="minorEastAsia" w:eastAsiaTheme="minorEastAsia" w:cstheme="minorEastAsia"/>
          <w:color w:val="auto"/>
          <w:szCs w:val="24"/>
          <w:highlight w:val="none"/>
        </w:rPr>
      </w:pPr>
    </w:p>
    <w:p w14:paraId="4B9E99E2">
      <w:pPr>
        <w:spacing w:line="360" w:lineRule="auto"/>
        <w:ind w:firstLine="480" w:firstLineChars="200"/>
        <w:rPr>
          <w:rFonts w:hint="default" w:asciiTheme="minorEastAsia" w:hAnsiTheme="minorEastAsia" w:eastAsiaTheme="minorEastAsia" w:cstheme="minorEastAsia"/>
          <w:color w:val="auto"/>
          <w:szCs w:val="24"/>
          <w:highlight w:val="none"/>
        </w:rPr>
      </w:pPr>
    </w:p>
    <w:p w14:paraId="471A2CF8">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5862012E">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6F97410C">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3E69DA1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46B159E3">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4F49FD8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5EB8BEAB">
      <w:pPr>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开立时间：      年      月        日</w:t>
      </w:r>
    </w:p>
    <w:p w14:paraId="1BF16C99">
      <w:pPr>
        <w:ind w:firstLine="480" w:firstLineChars="200"/>
        <w:rPr>
          <w:rFonts w:hint="default" w:asciiTheme="minorEastAsia" w:hAnsiTheme="minorEastAsia" w:eastAsiaTheme="minorEastAsia" w:cstheme="minorEastAsia"/>
          <w:color w:val="auto"/>
          <w:szCs w:val="24"/>
          <w:highlight w:val="none"/>
        </w:rPr>
      </w:pPr>
    </w:p>
    <w:p w14:paraId="699DA345">
      <w:pPr>
        <w:rPr>
          <w:rFonts w:hint="default" w:asciiTheme="minorEastAsia" w:hAnsiTheme="minorEastAsia" w:eastAsiaTheme="minorEastAsia" w:cstheme="minorEastAsia"/>
          <w:color w:val="auto"/>
          <w:highlight w:val="none"/>
        </w:rPr>
      </w:pPr>
    </w:p>
    <w:p w14:paraId="083C2385">
      <w:pPr>
        <w:rPr>
          <w:rFonts w:hint="default" w:asciiTheme="minorEastAsia" w:hAnsiTheme="minorEastAsia" w:eastAsiaTheme="minorEastAsia" w:cstheme="minorEastAsia"/>
          <w:color w:val="auto"/>
          <w:highlight w:val="none"/>
        </w:rPr>
      </w:pPr>
    </w:p>
    <w:p w14:paraId="06F4607B">
      <w:pPr>
        <w:rPr>
          <w:rFonts w:hint="default" w:asciiTheme="minorEastAsia" w:hAnsiTheme="minorEastAsia" w:eastAsiaTheme="minorEastAsia" w:cstheme="minorEastAsia"/>
          <w:color w:val="auto"/>
          <w:highlight w:val="none"/>
        </w:rPr>
      </w:pPr>
      <w:bookmarkStart w:id="774" w:name="_Toc6524"/>
    </w:p>
    <w:p w14:paraId="706EBECA">
      <w:pPr>
        <w:rPr>
          <w:rFonts w:hint="default" w:asciiTheme="minorEastAsia" w:hAnsiTheme="minorEastAsia" w:eastAsiaTheme="minorEastAsia" w:cstheme="minorEastAsia"/>
          <w:color w:val="auto"/>
          <w:highlight w:val="none"/>
        </w:rPr>
      </w:pPr>
    </w:p>
    <w:p w14:paraId="19DC91DC">
      <w:pPr>
        <w:pStyle w:val="6"/>
        <w:ind w:left="3488" w:leftChars="174" w:hanging="3070" w:hangingChars="1274"/>
        <w:jc w:val="center"/>
        <w:rPr>
          <w:rFonts w:asciiTheme="minorEastAsia" w:hAnsiTheme="minorEastAsia" w:eastAsiaTheme="minorEastAsia" w:cstheme="minorEastAsia"/>
          <w:bCs/>
          <w:color w:val="auto"/>
          <w:szCs w:val="32"/>
          <w:highlight w:val="none"/>
        </w:rPr>
      </w:pPr>
      <w:bookmarkStart w:id="775" w:name="_Toc7920"/>
      <w:bookmarkStart w:id="776" w:name="_Toc25691"/>
      <w:bookmarkStart w:id="777" w:name="_Toc27131"/>
      <w:bookmarkStart w:id="778" w:name="_Toc18000"/>
      <w:bookmarkStart w:id="779" w:name="_Toc12376"/>
      <w:bookmarkStart w:id="780" w:name="_Toc3493"/>
      <w:bookmarkStart w:id="781" w:name="_Toc1401"/>
      <w:bookmarkStart w:id="782" w:name="_Toc1606"/>
      <w:r>
        <w:rPr>
          <w:rFonts w:hint="eastAsia" w:asciiTheme="minorEastAsia" w:hAnsiTheme="minorEastAsia" w:eastAsiaTheme="minorEastAsia" w:cstheme="minorEastAsia"/>
          <w:color w:val="auto"/>
          <w:highlight w:val="none"/>
        </w:rPr>
        <w:br w:type="page"/>
      </w:r>
      <w:bookmarkStart w:id="783" w:name="_Toc8108"/>
      <w:bookmarkStart w:id="784" w:name="_Toc9772"/>
      <w:bookmarkStart w:id="785" w:name="_Toc14563"/>
      <w:r>
        <w:rPr>
          <w:rFonts w:hint="eastAsia" w:asciiTheme="minorEastAsia" w:hAnsiTheme="minorEastAsia" w:eastAsiaTheme="minorEastAsia" w:cstheme="minorEastAsia"/>
          <w:bCs/>
          <w:color w:val="auto"/>
          <w:sz w:val="32"/>
          <w:szCs w:val="32"/>
          <w:highlight w:val="none"/>
        </w:rPr>
        <w:t>支付保函</w:t>
      </w:r>
      <w:bookmarkEnd w:id="774"/>
      <w:bookmarkEnd w:id="775"/>
      <w:bookmarkEnd w:id="776"/>
      <w:bookmarkEnd w:id="777"/>
      <w:bookmarkEnd w:id="778"/>
      <w:bookmarkEnd w:id="779"/>
      <w:bookmarkEnd w:id="780"/>
      <w:bookmarkEnd w:id="781"/>
      <w:bookmarkEnd w:id="782"/>
      <w:bookmarkEnd w:id="783"/>
      <w:bookmarkEnd w:id="784"/>
      <w:bookmarkEnd w:id="785"/>
    </w:p>
    <w:p w14:paraId="2D2D6D8E">
      <w:pPr>
        <w:wordWrap w:val="0"/>
        <w:spacing w:line="360" w:lineRule="auto"/>
        <w:jc w:val="right"/>
        <w:rPr>
          <w:rFonts w:hint="default" w:asciiTheme="minorEastAsia" w:hAnsiTheme="minorEastAsia" w:eastAsiaTheme="minorEastAsia" w:cstheme="minorEastAsia"/>
          <w:color w:val="auto"/>
          <w:szCs w:val="21"/>
          <w:highlight w:val="none"/>
        </w:rPr>
      </w:pPr>
      <w:r>
        <w:rPr>
          <w:rFonts w:asciiTheme="minorEastAsia" w:hAnsiTheme="minorEastAsia" w:eastAsiaTheme="minorEastAsia" w:cstheme="minorEastAsia"/>
          <w:color w:val="auto"/>
          <w:szCs w:val="21"/>
          <w:highlight w:val="none"/>
        </w:rPr>
        <w:t xml:space="preserve">编号：           </w:t>
      </w:r>
    </w:p>
    <w:p w14:paraId="0F7A1F2F">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申请人：</w:t>
      </w:r>
    </w:p>
    <w:p w14:paraId="3F203303">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4E9D5D97">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w:t>
      </w:r>
    </w:p>
    <w:p w14:paraId="6A719465">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3A94DEA0">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开立人：</w:t>
      </w:r>
    </w:p>
    <w:p w14:paraId="5BA4E2D4">
      <w:pPr>
        <w:spacing w:line="360" w:lineRule="auto"/>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地址：</w:t>
      </w:r>
    </w:p>
    <w:p w14:paraId="02137F9F">
      <w:pPr>
        <w:spacing w:line="360" w:lineRule="auto"/>
        <w:rPr>
          <w:rFonts w:hint="default" w:asciiTheme="minorEastAsia" w:hAnsiTheme="minorEastAsia" w:eastAsiaTheme="minorEastAsia" w:cstheme="minorEastAsia"/>
          <w:color w:val="auto"/>
          <w:szCs w:val="24"/>
          <w:highlight w:val="none"/>
        </w:rPr>
      </w:pPr>
    </w:p>
    <w:p w14:paraId="00FD0865">
      <w:pPr>
        <w:spacing w:line="360" w:lineRule="auto"/>
        <w:rPr>
          <w:rFonts w:hint="default" w:asciiTheme="minorEastAsia" w:hAnsiTheme="minorEastAsia" w:eastAsiaTheme="minorEastAsia" w:cstheme="minorEastAsia"/>
          <w:color w:val="auto"/>
          <w:szCs w:val="24"/>
          <w:highlight w:val="none"/>
        </w:rPr>
      </w:pPr>
      <w:bookmarkStart w:id="786" w:name="_Hlk40355074"/>
      <w:r>
        <w:rPr>
          <w:rFonts w:asciiTheme="minorEastAsia" w:hAnsiTheme="minorEastAsia" w:eastAsiaTheme="minorEastAsia" w:cstheme="minorEastAsia"/>
          <w:color w:val="auto"/>
          <w:szCs w:val="24"/>
          <w:highlight w:val="none"/>
        </w:rPr>
        <w:t xml:space="preserve">（受益人名称）： </w:t>
      </w:r>
    </w:p>
    <w:bookmarkEnd w:id="786"/>
    <w:p w14:paraId="19D7891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鉴于（以下简称“受益人”）与（以下简称“申请人”）于</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就工程（以下简称“本工程”）施工和有关事项协商一致共同签订</w:t>
      </w:r>
      <w:r>
        <w:rPr>
          <w:rFonts w:asciiTheme="minorEastAsia" w:hAnsiTheme="minorEastAsia" w:eastAsiaTheme="minorEastAsia" w:cstheme="minorEastAsia"/>
          <w:color w:val="auto"/>
          <w:szCs w:val="24"/>
          <w:highlight w:val="none"/>
          <w:u w:val="single"/>
        </w:rPr>
        <w:t>《        》</w:t>
      </w:r>
      <w:r>
        <w:rPr>
          <w:rFonts w:asciiTheme="minorEastAsia" w:hAnsiTheme="minorEastAsia" w:eastAsiaTheme="minorEastAsia" w:cstheme="minorEastAsia"/>
          <w:color w:val="auto"/>
          <w:szCs w:val="24"/>
          <w:highlight w:val="none"/>
        </w:rPr>
        <w:t xml:space="preserve">（以下简称“基础合同”），我方（即“开立人”）根据基础合同了解到申请人为基础合同项下之招标人，受益人为基础合同项下之中标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73C4441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一、本保函担保范围：申请人未履行基础合同约定的工程款支付义务，应当向贵方承担的违约责任和赔偿因此造成的损失、利息、律师费、诉讼费用等实现债权的费用。</w:t>
      </w:r>
    </w:p>
    <w:p w14:paraId="621F2E48">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二、本保函担保金额最高不超过人民币（大写）元（¥）。 </w:t>
      </w:r>
    </w:p>
    <w:p w14:paraId="4EED126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三、本保函有效期自开立之日起至基础合同约定的除工程质量保修金以外的全部工程结算款项支付之日后日止，最迟不超过</w:t>
      </w:r>
      <w:r>
        <w:rPr>
          <w:rFonts w:hint="eastAsia" w:asciiTheme="minorEastAsia" w:hAnsiTheme="minorEastAsia" w:eastAsiaTheme="minorEastAsia" w:cstheme="minorEastAsia"/>
          <w:color w:val="auto"/>
          <w:szCs w:val="24"/>
          <w:highlight w:val="none"/>
          <w:lang w:eastAsia="zh-CN"/>
        </w:rPr>
        <w:t xml:space="preserve"> 年   月  日</w:t>
      </w:r>
      <w:r>
        <w:rPr>
          <w:rFonts w:asciiTheme="minorEastAsia" w:hAnsiTheme="minorEastAsia" w:eastAsiaTheme="minorEastAsia" w:cstheme="minorEastAsia"/>
          <w:color w:val="auto"/>
          <w:szCs w:val="24"/>
          <w:highlight w:val="none"/>
        </w:rPr>
        <w:t xml:space="preserve">。 </w:t>
      </w:r>
    </w:p>
    <w:p w14:paraId="488D3D9C">
      <w:pPr>
        <w:spacing w:line="360" w:lineRule="auto"/>
        <w:ind w:firstLine="48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四、我方承诺，在收到受益人发来的书面付款通知后的日内无条件支付，前述书面付款通知即为付款要求之单据，且应满足以下要求：</w:t>
      </w:r>
    </w:p>
    <w:p w14:paraId="2B2E10F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（1）付款通知到达的日期在本保函的有效期内；</w:t>
      </w:r>
    </w:p>
    <w:p w14:paraId="16047FD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（2）载明要求支付的金额；</w:t>
      </w:r>
    </w:p>
    <w:p w14:paraId="770151B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（3）载明申请人违反合同义务的条款和内容；</w:t>
      </w:r>
    </w:p>
    <w:p w14:paraId="35D629D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（4）声明不存在合同文件约定或我国法律规定免除申请人或开立人支付责任的情形；</w:t>
      </w:r>
    </w:p>
    <w:p w14:paraId="272E288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（5）付款通知应在本保函有效期内到达的地址是：。</w:t>
      </w:r>
    </w:p>
    <w:p w14:paraId="5BD0BFD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受益人发出的书面付款通知应由其为鉴明受益人法定代表人（负责人）或授权代理人签字并加盖公章。</w:t>
      </w:r>
    </w:p>
    <w:p w14:paraId="1606B231">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五、本保函项下的权利不得转让，不得设定担保。贵方未经我方书面同意转 让本保函或其项下任何权利，对我方不发生法律效力。 </w:t>
      </w:r>
    </w:p>
    <w:p w14:paraId="1705E80F">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六、与本保函有关的基础合同不成立、不生效、无效、被撤销、被解除，不影响本保函的独立有效。 </w:t>
      </w:r>
    </w:p>
    <w:p w14:paraId="4A95065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07E48714">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八、本保函适用的法律为中华人民共和国法律，争议裁判管辖地为中华人民共和国。 </w:t>
      </w:r>
    </w:p>
    <w:p w14:paraId="5DD81099">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九、本保函自我方法定代表人</w:t>
      </w:r>
      <w:bookmarkStart w:id="787" w:name="_Hlk58487855"/>
      <w:r>
        <w:rPr>
          <w:rFonts w:asciiTheme="minorEastAsia" w:hAnsiTheme="minorEastAsia" w:eastAsiaTheme="minorEastAsia" w:cstheme="minorEastAsia"/>
          <w:color w:val="auto"/>
          <w:szCs w:val="24"/>
          <w:highlight w:val="none"/>
        </w:rPr>
        <w:t>或授权代表</w:t>
      </w:r>
      <w:bookmarkEnd w:id="787"/>
      <w:r>
        <w:rPr>
          <w:rFonts w:asciiTheme="minorEastAsia" w:hAnsiTheme="minorEastAsia" w:eastAsiaTheme="minorEastAsia" w:cstheme="minorEastAsia"/>
          <w:color w:val="auto"/>
          <w:szCs w:val="24"/>
          <w:highlight w:val="none"/>
        </w:rPr>
        <w:t xml:space="preserve">签字并加盖公章之日起生效。 </w:t>
      </w:r>
    </w:p>
    <w:p w14:paraId="0E0AA43F">
      <w:pPr>
        <w:spacing w:line="360" w:lineRule="auto"/>
        <w:ind w:firstLine="480" w:firstLineChars="200"/>
        <w:rPr>
          <w:rFonts w:hint="default" w:asciiTheme="minorEastAsia" w:hAnsiTheme="minorEastAsia" w:eastAsiaTheme="minorEastAsia" w:cstheme="minorEastAsia"/>
          <w:color w:val="auto"/>
          <w:szCs w:val="24"/>
          <w:highlight w:val="none"/>
        </w:rPr>
      </w:pPr>
    </w:p>
    <w:p w14:paraId="0223CFEA">
      <w:pPr>
        <w:spacing w:line="360" w:lineRule="auto"/>
        <w:ind w:firstLine="480" w:firstLineChars="200"/>
        <w:rPr>
          <w:rFonts w:hint="default" w:asciiTheme="minorEastAsia" w:hAnsiTheme="minorEastAsia" w:eastAsiaTheme="minorEastAsia" w:cstheme="minorEastAsia"/>
          <w:color w:val="auto"/>
          <w:szCs w:val="24"/>
          <w:highlight w:val="none"/>
        </w:rPr>
      </w:pPr>
    </w:p>
    <w:p w14:paraId="6962E93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开 立 人：                              （公章） </w:t>
      </w:r>
    </w:p>
    <w:p w14:paraId="20483A4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法定代表人（或授权代表）：               （签字） </w:t>
      </w:r>
    </w:p>
    <w:p w14:paraId="1E993D02">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地    址：                                       </w:t>
      </w:r>
    </w:p>
    <w:p w14:paraId="6B87C780">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邮政编码：                 </w:t>
      </w:r>
    </w:p>
    <w:p w14:paraId="2DB9A2E7">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电    话：                 </w:t>
      </w:r>
    </w:p>
    <w:p w14:paraId="5DF2F745">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传    真：                 </w:t>
      </w:r>
    </w:p>
    <w:p w14:paraId="3D3385B9">
      <w:pPr>
        <w:spacing w:line="360" w:lineRule="auto"/>
        <w:ind w:firstLine="480" w:firstLineChars="200"/>
        <w:rPr>
          <w:rFonts w:hint="default" w:asciiTheme="minorEastAsia" w:hAnsiTheme="minorEastAsia" w:eastAsiaTheme="minorEastAsia" w:cstheme="minorEastAsia"/>
          <w:color w:val="auto"/>
          <w:highlight w:val="none"/>
        </w:rPr>
      </w:pPr>
      <w:r>
        <w:rPr>
          <w:rFonts w:asciiTheme="minorEastAsia" w:hAnsiTheme="minorEastAsia" w:eastAsiaTheme="minorEastAsia" w:cstheme="minorEastAsia"/>
          <w:color w:val="auto"/>
          <w:szCs w:val="24"/>
          <w:highlight w:val="none"/>
        </w:rPr>
        <w:t>开立时间：      年      月        日</w:t>
      </w:r>
    </w:p>
    <w:p w14:paraId="60141EB7">
      <w:pPr>
        <w:spacing w:line="374" w:lineRule="auto"/>
        <w:ind w:left="698" w:right="524"/>
        <w:jc w:val="left"/>
        <w:rPr>
          <w:rFonts w:hint="default" w:asciiTheme="minorEastAsia" w:hAnsiTheme="minorEastAsia" w:eastAsiaTheme="minorEastAsia" w:cstheme="minorEastAsia"/>
          <w:color w:val="auto"/>
          <w:szCs w:val="24"/>
          <w:highlight w:val="none"/>
        </w:rPr>
      </w:pPr>
    </w:p>
    <w:p w14:paraId="754241BE">
      <w:pPr>
        <w:pStyle w:val="2"/>
        <w:rPr>
          <w:rFonts w:asciiTheme="minorEastAsia" w:hAnsiTheme="minorEastAsia" w:eastAsiaTheme="minorEastAsia" w:cstheme="minorEastAsia"/>
          <w:color w:val="auto"/>
          <w:sz w:val="24"/>
          <w:highlight w:val="none"/>
        </w:rPr>
      </w:pPr>
    </w:p>
    <w:p w14:paraId="2CE96ED6">
      <w:pPr>
        <w:rPr>
          <w:rFonts w:hint="default" w:asciiTheme="minorEastAsia" w:hAnsiTheme="minorEastAsia" w:eastAsiaTheme="minorEastAsia" w:cstheme="minorEastAsia"/>
          <w:color w:val="auto"/>
          <w:highlight w:val="none"/>
        </w:rPr>
      </w:pPr>
    </w:p>
    <w:p w14:paraId="26B7C0AB">
      <w:pPr>
        <w:pStyle w:val="2"/>
        <w:rPr>
          <w:rFonts w:asciiTheme="minorEastAsia" w:hAnsiTheme="minorEastAsia" w:eastAsiaTheme="minorEastAsia" w:cstheme="minorEastAsia"/>
          <w:color w:val="auto"/>
          <w:sz w:val="24"/>
          <w:highlight w:val="none"/>
        </w:rPr>
      </w:pPr>
    </w:p>
    <w:p w14:paraId="5B73C9E8">
      <w:pPr>
        <w:spacing w:line="374" w:lineRule="auto"/>
        <w:ind w:left="698" w:right="524"/>
        <w:jc w:val="left"/>
        <w:rPr>
          <w:rFonts w:hint="default" w:asciiTheme="minorEastAsia" w:hAnsiTheme="minorEastAsia" w:eastAsiaTheme="minorEastAsia" w:cstheme="minorEastAsia"/>
          <w:strike/>
          <w:color w:val="auto"/>
          <w:szCs w:val="24"/>
          <w:highlight w:val="none"/>
        </w:rPr>
      </w:pPr>
    </w:p>
    <w:p w14:paraId="33D4B1DB">
      <w:pPr>
        <w:rPr>
          <w:rFonts w:hint="default" w:asciiTheme="minorEastAsia" w:hAnsiTheme="minorEastAsia" w:eastAsiaTheme="minorEastAsia" w:cstheme="minorEastAsia"/>
          <w:color w:val="auto"/>
          <w:highlight w:val="none"/>
        </w:rPr>
        <w:sect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0" w:charSpace="0"/>
        </w:sectPr>
      </w:pPr>
    </w:p>
    <w:p w14:paraId="4AB7A783">
      <w:pPr>
        <w:pStyle w:val="63"/>
        <w:spacing w:line="440" w:lineRule="exact"/>
        <w:ind w:firstLine="0" w:firstLineChars="0"/>
        <w:rPr>
          <w:rFonts w:asciiTheme="minorEastAsia" w:hAnsiTheme="minorEastAsia" w:eastAsiaTheme="minorEastAsia" w:cstheme="minorEastAsia"/>
          <w:color w:val="auto"/>
          <w:szCs w:val="32"/>
          <w:highlight w:val="none"/>
        </w:rPr>
      </w:pPr>
    </w:p>
    <w:p w14:paraId="00891B8A">
      <w:pPr>
        <w:pStyle w:val="4"/>
        <w:jc w:val="center"/>
        <w:rPr>
          <w:rFonts w:hint="default" w:asciiTheme="minorEastAsia" w:hAnsiTheme="minorEastAsia" w:eastAsiaTheme="minorEastAsia" w:cstheme="minorEastAsia"/>
          <w:b/>
          <w:color w:val="auto"/>
          <w:kern w:val="44"/>
          <w:sz w:val="36"/>
          <w:szCs w:val="36"/>
          <w:highlight w:val="none"/>
        </w:rPr>
      </w:pPr>
      <w:bookmarkStart w:id="788" w:name="_Toc466640622"/>
      <w:bookmarkStart w:id="789" w:name="_Toc13641"/>
      <w:bookmarkStart w:id="790" w:name="_Toc19434"/>
      <w:bookmarkStart w:id="791" w:name="_Toc3894"/>
      <w:bookmarkStart w:id="792" w:name="_Toc3242"/>
      <w:bookmarkStart w:id="793" w:name="_Toc9802"/>
      <w:bookmarkStart w:id="794" w:name="_Toc26594"/>
      <w:bookmarkStart w:id="795" w:name="_Toc1879"/>
      <w:bookmarkStart w:id="796" w:name="_Toc420"/>
      <w:bookmarkStart w:id="797" w:name="_Toc30432"/>
      <w:r>
        <w:rPr>
          <w:rFonts w:asciiTheme="minorEastAsia" w:hAnsiTheme="minorEastAsia" w:eastAsiaTheme="minorEastAsia" w:cstheme="minorEastAsia"/>
          <w:b/>
          <w:color w:val="auto"/>
          <w:kern w:val="44"/>
          <w:sz w:val="36"/>
          <w:szCs w:val="36"/>
          <w:highlight w:val="none"/>
        </w:rPr>
        <w:t xml:space="preserve">第九章  </w:t>
      </w:r>
      <w:bookmarkEnd w:id="636"/>
      <w:bookmarkEnd w:id="637"/>
      <w:bookmarkEnd w:id="638"/>
      <w:bookmarkEnd w:id="639"/>
      <w:bookmarkEnd w:id="788"/>
      <w:r>
        <w:rPr>
          <w:rFonts w:asciiTheme="minorEastAsia" w:hAnsiTheme="minorEastAsia" w:eastAsiaTheme="minorEastAsia" w:cstheme="minorEastAsia"/>
          <w:b/>
          <w:color w:val="auto"/>
          <w:kern w:val="44"/>
          <w:sz w:val="36"/>
          <w:szCs w:val="36"/>
          <w:highlight w:val="none"/>
        </w:rPr>
        <w:t>建设工程合同</w:t>
      </w:r>
      <w:bookmarkEnd w:id="789"/>
      <w:bookmarkEnd w:id="790"/>
      <w:bookmarkEnd w:id="791"/>
      <w:bookmarkEnd w:id="792"/>
      <w:bookmarkEnd w:id="793"/>
      <w:bookmarkEnd w:id="794"/>
      <w:bookmarkEnd w:id="795"/>
      <w:bookmarkEnd w:id="796"/>
      <w:bookmarkEnd w:id="797"/>
    </w:p>
    <w:p w14:paraId="5A9C84E4">
      <w:pPr>
        <w:rPr>
          <w:rFonts w:hint="default" w:asciiTheme="minorEastAsia" w:hAnsiTheme="minorEastAsia" w:eastAsiaTheme="minorEastAsia" w:cstheme="minorEastAsia"/>
          <w:color w:val="auto"/>
          <w:highlight w:val="none"/>
        </w:rPr>
      </w:pPr>
    </w:p>
    <w:bookmarkEnd w:id="640"/>
    <w:bookmarkEnd w:id="641"/>
    <w:p w14:paraId="7B627DC8">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 略。总承包合同参照住房城乡建设部、国家工商行政管理总局制定的《建设项目工程总承包合同（示范文本）》GF-2020-0216。</w:t>
      </w:r>
    </w:p>
    <w:p w14:paraId="66F57FDB">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施工合同按广东省建设厅《广东省建设工程标准施工合同》范本（2009）执行。</w:t>
      </w:r>
    </w:p>
    <w:p w14:paraId="32F15C1D">
      <w:pPr>
        <w:spacing w:line="360" w:lineRule="auto"/>
        <w:ind w:firstLine="480" w:firstLineChars="200"/>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color w:val="auto"/>
          <w:szCs w:val="24"/>
          <w:highlight w:val="none"/>
        </w:rPr>
        <w:t xml:space="preserve">设计合同按住房城乡建设部、国家工商行政管理总局制定《建设工程设计合同示范文本（市政公用工程）》（GF-2015-0209）、《建设工程设计合同示范文本（专业建设工程）》（GF-2015-0210）执行。 </w:t>
      </w:r>
    </w:p>
    <w:p w14:paraId="0E86197E">
      <w:pPr>
        <w:spacing w:line="420" w:lineRule="atLeast"/>
        <w:ind w:firstLine="480" w:firstLineChars="200"/>
        <w:rPr>
          <w:rFonts w:hint="default" w:asciiTheme="minorEastAsia" w:hAnsiTheme="minorEastAsia" w:eastAsiaTheme="minorEastAsia" w:cstheme="minorEastAsia"/>
          <w:color w:val="auto"/>
          <w:highlight w:val="none"/>
        </w:rPr>
      </w:pPr>
    </w:p>
    <w:p w14:paraId="32F8E22B">
      <w:pPr>
        <w:spacing w:line="420" w:lineRule="atLeast"/>
        <w:ind w:firstLine="480" w:firstLineChars="200"/>
        <w:rPr>
          <w:rFonts w:hint="default" w:asciiTheme="minorEastAsia" w:hAnsiTheme="minorEastAsia" w:eastAsiaTheme="minorEastAsia" w:cstheme="minorEastAsia"/>
          <w:color w:val="auto"/>
          <w:highlight w:val="none"/>
        </w:rPr>
      </w:pPr>
    </w:p>
    <w:p w14:paraId="60D3E087">
      <w:pPr>
        <w:rPr>
          <w:rFonts w:hint="default" w:asciiTheme="minorEastAsia" w:hAnsiTheme="minorEastAsia" w:eastAsiaTheme="minorEastAsia" w:cstheme="minorEastAsia"/>
          <w:color w:val="auto"/>
          <w:highlight w:val="none"/>
        </w:rPr>
      </w:pPr>
    </w:p>
    <w:sectPr>
      <w:endnotePr>
        <w:numFmt w:val="decimal"/>
      </w:endnotePr>
      <w:pgSz w:w="11905" w:h="16838"/>
      <w:pgMar w:top="1134" w:right="1134" w:bottom="1134" w:left="1417" w:header="850" w:footer="992" w:gutter="0"/>
      <w:pgBorders>
        <w:top w:val="none" w:sz="0" w:space="0"/>
        <w:left w:val="none" w:sz="0" w:space="0"/>
        <w:bottom w:val="none" w:sz="0" w:space="0"/>
        <w:right w:val="none" w:sz="0" w:space="0"/>
      </w:pgBorders>
      <w:pgNumType w:fmt="decimal"/>
      <w:cols w:space="0" w:num="1"/>
      <w:rtlGutter w:val="0"/>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odoni MT">
    <w:altName w:val="Segoe Print"/>
    <w:panose1 w:val="02070603080606020203"/>
    <w:charset w:val="00"/>
    <w:family w:val="roman"/>
    <w:pitch w:val="default"/>
    <w:sig w:usb0="00000000" w:usb1="00000000" w:usb2="00000000" w:usb3="00000000" w:csb0="20000001" w:csb1="00000000"/>
  </w:font>
  <w:font w:name="Bodoni MT Poster Compressed">
    <w:altName w:val="Segoe Print"/>
    <w:panose1 w:val="02070706080601050204"/>
    <w:charset w:val="00"/>
    <w:family w:val="auto"/>
    <w:pitch w:val="default"/>
    <w:sig w:usb0="00000000" w:usb1="00000000" w:usb2="00000000" w:usb3="00000000" w:csb0="2000001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9788B">
    <w:pPr>
      <w:pStyle w:val="72"/>
      <w:tabs>
        <w:tab w:val="left" w:pos="4803"/>
        <w:tab w:val="clear" w:pos="4153"/>
      </w:tabs>
    </w:pPr>
    <w:r>
      <w:rPr>
        <w:rFonts w:hint="eastAsia"/>
      </w:rPr>
      <w:tab/>
    </w:r>
  </w:p>
  <w:p w14:paraId="2AE8D0B4">
    <w:pPr>
      <w:pStyle w:val="7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305C8">
    <w:pPr>
      <w:pStyle w:val="72"/>
      <w:tabs>
        <w:tab w:val="left" w:pos="4803"/>
        <w:tab w:val="clear" w:pos="4153"/>
      </w:tabs>
    </w:pPr>
    <w:r>
      <w:rPr>
        <w:rFonts w:hint="eastAsia"/>
      </w:rPr>
      <w:tab/>
    </w:r>
  </w:p>
  <w:p w14:paraId="40A89207">
    <w:pPr>
      <w:pStyle w:val="7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B1A52">
    <w:pPr>
      <w:pStyle w:val="72"/>
      <w:tabs>
        <w:tab w:val="left" w:pos="4803"/>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D87A4">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07D87A4">
                    <w:pPr>
                      <w:pStyle w:val="17"/>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ab/>
    </w:r>
  </w:p>
  <w:p w14:paraId="35463033">
    <w:pPr>
      <w:pStyle w:val="7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AABEC">
    <w:pPr>
      <w:pStyle w:val="72"/>
      <w:tabs>
        <w:tab w:val="left" w:pos="480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BED29A3">
                          <w:pPr>
                            <w:pStyle w:val="17"/>
                            <w:rPr>
                              <w:rFonts w:hint="default"/>
                            </w:rPr>
                          </w:pPr>
                          <w:r>
                            <w:fldChar w:fldCharType="begin"/>
                          </w:r>
                          <w:r>
                            <w:instrText xml:space="preserve"> PAGE  \* MERGEFORMAT </w:instrText>
                          </w:r>
                          <w:r>
                            <w:fldChar w:fldCharType="separate"/>
                          </w:r>
                          <w:r>
                            <w:rPr>
                              <w:rFonts w:hint="default"/>
                            </w:rPr>
                            <w:t>107</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lvxs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xlvxs0BAACnAwAADgAAAAAAAAABACAAAAAeAQAAZHJzL2Uy&#10;b0RvYy54bWxQSwUGAAAAAAYABgBZAQAAXQUAAAAA&#10;">
              <v:fill on="f" focussize="0,0"/>
              <v:stroke on="f"/>
              <v:imagedata o:title=""/>
              <o:lock v:ext="edit" aspectratio="f"/>
              <v:textbox inset="0mm,0mm,0mm,0mm" style="mso-fit-shape-to-text:t;">
                <w:txbxContent>
                  <w:p w14:paraId="2BED29A3">
                    <w:pPr>
                      <w:pStyle w:val="17"/>
                      <w:rPr>
                        <w:rFonts w:hint="default"/>
                      </w:rPr>
                    </w:pPr>
                    <w:r>
                      <w:fldChar w:fldCharType="begin"/>
                    </w:r>
                    <w:r>
                      <w:instrText xml:space="preserve"> PAGE  \* MERGEFORMAT </w:instrText>
                    </w:r>
                    <w:r>
                      <w:fldChar w:fldCharType="separate"/>
                    </w:r>
                    <w:r>
                      <w:rPr>
                        <w:rFonts w:hint="default"/>
                      </w:rPr>
                      <w:t>107</w:t>
                    </w:r>
                    <w:r>
                      <w:fldChar w:fldCharType="end"/>
                    </w:r>
                  </w:p>
                </w:txbxContent>
              </v:textbox>
            </v:shape>
          </w:pict>
        </mc:Fallback>
      </mc:AlternateContent>
    </w:r>
    <w:r>
      <w:rPr>
        <w:rFonts w:hint="eastAsia"/>
      </w:rPr>
      <w:tab/>
    </w:r>
  </w:p>
  <w:p w14:paraId="4D03B2F9">
    <w:pPr>
      <w:pStyle w:val="7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4BF2A">
    <w:pPr>
      <w:pStyle w:val="17"/>
      <w:jc w:val="center"/>
      <w:rPr>
        <w:rFonts w:hint="default"/>
        <w:szCs w:val="24"/>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49138C">
                          <w:pPr>
                            <w:pStyle w:val="17"/>
                            <w:rPr>
                              <w:rFonts w:hint="default"/>
                            </w:rPr>
                          </w:pPr>
                          <w:r>
                            <w:fldChar w:fldCharType="begin"/>
                          </w:r>
                          <w:r>
                            <w:instrText xml:space="preserve"> PAGE  \* MERGEFORMAT </w:instrText>
                          </w:r>
                          <w:r>
                            <w:fldChar w:fldCharType="separate"/>
                          </w:r>
                          <w:r>
                            <w:rPr>
                              <w:rFonts w:hint="default"/>
                            </w:rPr>
                            <w:t>120</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qioc0BAACnAwAADgAAAGRycy9lMm9Eb2MueG1srVNLbtswEN0X6B0I&#10;7mspRhE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jqioc0BAACnAwAADgAAAAAAAAABACAAAAAeAQAAZHJzL2Uy&#10;b0RvYy54bWxQSwUGAAAAAAYABgBZAQAAXQUAAAAA&#10;">
              <v:fill on="f" focussize="0,0"/>
              <v:stroke on="f"/>
              <v:imagedata o:title=""/>
              <o:lock v:ext="edit" aspectratio="f"/>
              <v:textbox inset="0mm,0mm,0mm,0mm" style="mso-fit-shape-to-text:t;">
                <w:txbxContent>
                  <w:p w14:paraId="6C49138C">
                    <w:pPr>
                      <w:pStyle w:val="17"/>
                      <w:rPr>
                        <w:rFonts w:hint="default"/>
                      </w:rPr>
                    </w:pPr>
                    <w:r>
                      <w:fldChar w:fldCharType="begin"/>
                    </w:r>
                    <w:r>
                      <w:instrText xml:space="preserve"> PAGE  \* MERGEFORMAT </w:instrText>
                    </w:r>
                    <w:r>
                      <w:fldChar w:fldCharType="separate"/>
                    </w:r>
                    <w:r>
                      <w:rPr>
                        <w:rFonts w:hint="default"/>
                      </w:rPr>
                      <w:t>120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4A56E">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55736">
    <w:pPr>
      <w:pStyle w:val="18"/>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EFD45"/>
    <w:multiLevelType w:val="singleLevel"/>
    <w:tmpl w:val="808EFD45"/>
    <w:lvl w:ilvl="0" w:tentative="0">
      <w:start w:val="1"/>
      <w:numFmt w:val="decimal"/>
      <w:lvlText w:val="%1."/>
      <w:lvlJc w:val="left"/>
      <w:pPr>
        <w:ind w:left="425" w:hanging="425"/>
      </w:pPr>
      <w:rPr>
        <w:rFonts w:hint="default"/>
      </w:rPr>
    </w:lvl>
  </w:abstractNum>
  <w:abstractNum w:abstractNumId="1">
    <w:nsid w:val="8152DEF9"/>
    <w:multiLevelType w:val="singleLevel"/>
    <w:tmpl w:val="8152DEF9"/>
    <w:lvl w:ilvl="0" w:tentative="0">
      <w:start w:val="1"/>
      <w:numFmt w:val="decimal"/>
      <w:suff w:val="nothing"/>
      <w:lvlText w:val="（%1）"/>
      <w:lvlJc w:val="left"/>
    </w:lvl>
  </w:abstractNum>
  <w:abstractNum w:abstractNumId="2">
    <w:nsid w:val="9A22DE3C"/>
    <w:multiLevelType w:val="singleLevel"/>
    <w:tmpl w:val="9A22DE3C"/>
    <w:lvl w:ilvl="0" w:tentative="0">
      <w:start w:val="5"/>
      <w:numFmt w:val="decimal"/>
      <w:suff w:val="space"/>
      <w:lvlText w:val="%1."/>
      <w:lvlJc w:val="left"/>
    </w:lvl>
  </w:abstractNum>
  <w:abstractNum w:abstractNumId="3">
    <w:nsid w:val="C099E3A4"/>
    <w:multiLevelType w:val="singleLevel"/>
    <w:tmpl w:val="C099E3A4"/>
    <w:lvl w:ilvl="0" w:tentative="0">
      <w:start w:val="1"/>
      <w:numFmt w:val="chineseCounting"/>
      <w:suff w:val="nothing"/>
      <w:lvlText w:val="第%1、"/>
      <w:lvlJc w:val="left"/>
      <w:rPr>
        <w:rFonts w:hint="eastAsia"/>
      </w:rPr>
    </w:lvl>
  </w:abstractNum>
  <w:abstractNum w:abstractNumId="4">
    <w:nsid w:val="CFABDD9F"/>
    <w:multiLevelType w:val="singleLevel"/>
    <w:tmpl w:val="CFABDD9F"/>
    <w:lvl w:ilvl="0" w:tentative="0">
      <w:start w:val="1"/>
      <w:numFmt w:val="decimal"/>
      <w:suff w:val="nothing"/>
      <w:lvlText w:val="（%1）"/>
      <w:lvlJc w:val="left"/>
    </w:lvl>
  </w:abstractNum>
  <w:abstractNum w:abstractNumId="5">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1"/>
  <w:bordersDoNotSurroundFooter w:val="1"/>
  <w:hideSpellingErrors/>
  <w:documentProtection w:enforcement="0"/>
  <w:defaultTabStop w:val="420"/>
  <w:drawingGridHorizontalSpacing w:val="240"/>
  <w:drawingGridVerticalSpacing w:val="99999990"/>
  <w:displayHorizontalDrawingGridEvery w:val="0"/>
  <w:displayVerticalDrawingGridEvery w:val="2"/>
  <w:characterSpacingControl w:val="compressPunctuation"/>
  <w:endnotePr>
    <w:numFmt w:val="decimal"/>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NjRiNzAwMTFkNDRmYWQ0NmE2MjVkNTc0ZDM0MDIifQ=="/>
    <w:docVar w:name="KSO_WPS_MARK_KEY" w:val="2b56eff9-4bef-4219-8874-9567fb1cde91"/>
  </w:docVars>
  <w:rsids>
    <w:rsidRoot w:val="00172A27"/>
    <w:rsid w:val="00003C49"/>
    <w:rsid w:val="00022818"/>
    <w:rsid w:val="000C0D1D"/>
    <w:rsid w:val="000C38BA"/>
    <w:rsid w:val="000F7646"/>
    <w:rsid w:val="001008C1"/>
    <w:rsid w:val="0011760F"/>
    <w:rsid w:val="00175E5D"/>
    <w:rsid w:val="00194A10"/>
    <w:rsid w:val="001B4801"/>
    <w:rsid w:val="001E0850"/>
    <w:rsid w:val="001E1E64"/>
    <w:rsid w:val="001F6585"/>
    <w:rsid w:val="00215745"/>
    <w:rsid w:val="002505B0"/>
    <w:rsid w:val="00262B3A"/>
    <w:rsid w:val="00281ECB"/>
    <w:rsid w:val="002B7D1A"/>
    <w:rsid w:val="002D2906"/>
    <w:rsid w:val="002F176F"/>
    <w:rsid w:val="00306A4B"/>
    <w:rsid w:val="00322DE0"/>
    <w:rsid w:val="00337586"/>
    <w:rsid w:val="003A1942"/>
    <w:rsid w:val="003B643A"/>
    <w:rsid w:val="003E2709"/>
    <w:rsid w:val="00425EE6"/>
    <w:rsid w:val="004D53C6"/>
    <w:rsid w:val="004F075A"/>
    <w:rsid w:val="00503BCB"/>
    <w:rsid w:val="00537603"/>
    <w:rsid w:val="0055689E"/>
    <w:rsid w:val="00580C82"/>
    <w:rsid w:val="005C0EDC"/>
    <w:rsid w:val="005E6BB8"/>
    <w:rsid w:val="005E7B06"/>
    <w:rsid w:val="005F7992"/>
    <w:rsid w:val="0060707D"/>
    <w:rsid w:val="006162D1"/>
    <w:rsid w:val="00622D53"/>
    <w:rsid w:val="0064163D"/>
    <w:rsid w:val="00663233"/>
    <w:rsid w:val="007336AC"/>
    <w:rsid w:val="00745AB4"/>
    <w:rsid w:val="007466CD"/>
    <w:rsid w:val="00752BE8"/>
    <w:rsid w:val="00763374"/>
    <w:rsid w:val="007C3F91"/>
    <w:rsid w:val="00801789"/>
    <w:rsid w:val="008129A4"/>
    <w:rsid w:val="00886E26"/>
    <w:rsid w:val="008955C6"/>
    <w:rsid w:val="008C4168"/>
    <w:rsid w:val="008F2F7D"/>
    <w:rsid w:val="00901845"/>
    <w:rsid w:val="009224FE"/>
    <w:rsid w:val="00936991"/>
    <w:rsid w:val="00943625"/>
    <w:rsid w:val="00954357"/>
    <w:rsid w:val="00954A54"/>
    <w:rsid w:val="00997423"/>
    <w:rsid w:val="009A1AC2"/>
    <w:rsid w:val="00A11C47"/>
    <w:rsid w:val="00A237A0"/>
    <w:rsid w:val="00A322B9"/>
    <w:rsid w:val="00A37A30"/>
    <w:rsid w:val="00A53D3F"/>
    <w:rsid w:val="00A80EA7"/>
    <w:rsid w:val="00A9197B"/>
    <w:rsid w:val="00AB6E5B"/>
    <w:rsid w:val="00AD3E3A"/>
    <w:rsid w:val="00AF685C"/>
    <w:rsid w:val="00B16179"/>
    <w:rsid w:val="00B37196"/>
    <w:rsid w:val="00B52023"/>
    <w:rsid w:val="00C02536"/>
    <w:rsid w:val="00C0461F"/>
    <w:rsid w:val="00C04E0C"/>
    <w:rsid w:val="00C47C8E"/>
    <w:rsid w:val="00C52321"/>
    <w:rsid w:val="00C9767A"/>
    <w:rsid w:val="00CA38AE"/>
    <w:rsid w:val="00CA5EB5"/>
    <w:rsid w:val="00CB07F4"/>
    <w:rsid w:val="00CB3C41"/>
    <w:rsid w:val="00CD4D5B"/>
    <w:rsid w:val="00D01470"/>
    <w:rsid w:val="00D248DF"/>
    <w:rsid w:val="00D561CD"/>
    <w:rsid w:val="00D806A2"/>
    <w:rsid w:val="00DA5A23"/>
    <w:rsid w:val="00DE5743"/>
    <w:rsid w:val="00E52F76"/>
    <w:rsid w:val="00E76514"/>
    <w:rsid w:val="00ED4B12"/>
    <w:rsid w:val="00F11703"/>
    <w:rsid w:val="00F40B69"/>
    <w:rsid w:val="00F45A7F"/>
    <w:rsid w:val="00F704EB"/>
    <w:rsid w:val="00F804EB"/>
    <w:rsid w:val="00F92842"/>
    <w:rsid w:val="00F95669"/>
    <w:rsid w:val="00FA60FB"/>
    <w:rsid w:val="01066A48"/>
    <w:rsid w:val="010A6538"/>
    <w:rsid w:val="011A52DC"/>
    <w:rsid w:val="01284AF4"/>
    <w:rsid w:val="012C10F1"/>
    <w:rsid w:val="01605077"/>
    <w:rsid w:val="016A5229"/>
    <w:rsid w:val="0183433B"/>
    <w:rsid w:val="018450A2"/>
    <w:rsid w:val="01A93FA3"/>
    <w:rsid w:val="01AA050E"/>
    <w:rsid w:val="01E704A0"/>
    <w:rsid w:val="021E306D"/>
    <w:rsid w:val="022A2346"/>
    <w:rsid w:val="0259781F"/>
    <w:rsid w:val="02665093"/>
    <w:rsid w:val="02702D13"/>
    <w:rsid w:val="028060ED"/>
    <w:rsid w:val="02941414"/>
    <w:rsid w:val="02951626"/>
    <w:rsid w:val="029933CC"/>
    <w:rsid w:val="02A62291"/>
    <w:rsid w:val="02CB7802"/>
    <w:rsid w:val="02D84414"/>
    <w:rsid w:val="02E90804"/>
    <w:rsid w:val="03231B33"/>
    <w:rsid w:val="033337C7"/>
    <w:rsid w:val="033923C2"/>
    <w:rsid w:val="0348159A"/>
    <w:rsid w:val="03724869"/>
    <w:rsid w:val="038149E8"/>
    <w:rsid w:val="0385459C"/>
    <w:rsid w:val="03B42718"/>
    <w:rsid w:val="03C50E3C"/>
    <w:rsid w:val="03F46BE4"/>
    <w:rsid w:val="040C7782"/>
    <w:rsid w:val="041A1188"/>
    <w:rsid w:val="042048E6"/>
    <w:rsid w:val="042E69E2"/>
    <w:rsid w:val="04360B53"/>
    <w:rsid w:val="049727D9"/>
    <w:rsid w:val="04AC4FFA"/>
    <w:rsid w:val="04C12326"/>
    <w:rsid w:val="04EA57F9"/>
    <w:rsid w:val="05123C0E"/>
    <w:rsid w:val="051C3166"/>
    <w:rsid w:val="058F3D3C"/>
    <w:rsid w:val="05C47058"/>
    <w:rsid w:val="0603162A"/>
    <w:rsid w:val="060F2738"/>
    <w:rsid w:val="067830B0"/>
    <w:rsid w:val="067A5F0E"/>
    <w:rsid w:val="0694486B"/>
    <w:rsid w:val="06DD024B"/>
    <w:rsid w:val="06F37A6F"/>
    <w:rsid w:val="06F4459D"/>
    <w:rsid w:val="06FF1426"/>
    <w:rsid w:val="07877964"/>
    <w:rsid w:val="078D1A2A"/>
    <w:rsid w:val="07B324E6"/>
    <w:rsid w:val="07C0670C"/>
    <w:rsid w:val="07CC47A6"/>
    <w:rsid w:val="07D478A0"/>
    <w:rsid w:val="07F730C0"/>
    <w:rsid w:val="07FD7F0F"/>
    <w:rsid w:val="0816679A"/>
    <w:rsid w:val="08181B59"/>
    <w:rsid w:val="08244266"/>
    <w:rsid w:val="08275C22"/>
    <w:rsid w:val="083E11BD"/>
    <w:rsid w:val="088A4403"/>
    <w:rsid w:val="088A61B1"/>
    <w:rsid w:val="08915791"/>
    <w:rsid w:val="089860B2"/>
    <w:rsid w:val="08A90D2D"/>
    <w:rsid w:val="08BC0A60"/>
    <w:rsid w:val="08C47915"/>
    <w:rsid w:val="08EE04EE"/>
    <w:rsid w:val="090017E6"/>
    <w:rsid w:val="092752BD"/>
    <w:rsid w:val="092C7268"/>
    <w:rsid w:val="0944459E"/>
    <w:rsid w:val="097C255B"/>
    <w:rsid w:val="09A908B8"/>
    <w:rsid w:val="09AB63DF"/>
    <w:rsid w:val="09B554AF"/>
    <w:rsid w:val="09C86F91"/>
    <w:rsid w:val="09D75426"/>
    <w:rsid w:val="09E162A4"/>
    <w:rsid w:val="0A3B464D"/>
    <w:rsid w:val="0A560A40"/>
    <w:rsid w:val="0A873975"/>
    <w:rsid w:val="0A95686D"/>
    <w:rsid w:val="0AD7112E"/>
    <w:rsid w:val="0AE53B72"/>
    <w:rsid w:val="0B106E41"/>
    <w:rsid w:val="0B2E3AA0"/>
    <w:rsid w:val="0B365195"/>
    <w:rsid w:val="0B37623F"/>
    <w:rsid w:val="0B633415"/>
    <w:rsid w:val="0B772A1C"/>
    <w:rsid w:val="0B7D1FFD"/>
    <w:rsid w:val="0B8B628E"/>
    <w:rsid w:val="0B9A1E6F"/>
    <w:rsid w:val="0BB734DE"/>
    <w:rsid w:val="0BD53BE7"/>
    <w:rsid w:val="0BDA37C7"/>
    <w:rsid w:val="0BEC46B7"/>
    <w:rsid w:val="0C183A6C"/>
    <w:rsid w:val="0C183B2E"/>
    <w:rsid w:val="0C197F77"/>
    <w:rsid w:val="0C3C08C2"/>
    <w:rsid w:val="0C5C7E64"/>
    <w:rsid w:val="0C7358DA"/>
    <w:rsid w:val="0C873133"/>
    <w:rsid w:val="0C8A3D1F"/>
    <w:rsid w:val="0C8D3000"/>
    <w:rsid w:val="0CBC40CB"/>
    <w:rsid w:val="0CC05206"/>
    <w:rsid w:val="0CC53C5B"/>
    <w:rsid w:val="0CDD0FA5"/>
    <w:rsid w:val="0D053FA6"/>
    <w:rsid w:val="0D1B387B"/>
    <w:rsid w:val="0D2B56E9"/>
    <w:rsid w:val="0D3630F8"/>
    <w:rsid w:val="0D374B59"/>
    <w:rsid w:val="0D5374B9"/>
    <w:rsid w:val="0D724D63"/>
    <w:rsid w:val="0D7962D5"/>
    <w:rsid w:val="0D886840"/>
    <w:rsid w:val="0D9D66DD"/>
    <w:rsid w:val="0DA63A8D"/>
    <w:rsid w:val="0DAB7287"/>
    <w:rsid w:val="0DB937C0"/>
    <w:rsid w:val="0DC53787"/>
    <w:rsid w:val="0DDA28D6"/>
    <w:rsid w:val="0DDA54E4"/>
    <w:rsid w:val="0DDC2091"/>
    <w:rsid w:val="0DE23E50"/>
    <w:rsid w:val="0DE25174"/>
    <w:rsid w:val="0DE6650F"/>
    <w:rsid w:val="0DEB76F2"/>
    <w:rsid w:val="0DF73507"/>
    <w:rsid w:val="0DFA207C"/>
    <w:rsid w:val="0E4B63E2"/>
    <w:rsid w:val="0E764A19"/>
    <w:rsid w:val="0E8F2ABE"/>
    <w:rsid w:val="0EB946E1"/>
    <w:rsid w:val="0ED131E0"/>
    <w:rsid w:val="0EFE58FA"/>
    <w:rsid w:val="0F0A0D37"/>
    <w:rsid w:val="0F4E10F7"/>
    <w:rsid w:val="0F8F02AC"/>
    <w:rsid w:val="0F930041"/>
    <w:rsid w:val="0F9D4F17"/>
    <w:rsid w:val="0FB24E29"/>
    <w:rsid w:val="0FB77F50"/>
    <w:rsid w:val="0FE90846"/>
    <w:rsid w:val="10155238"/>
    <w:rsid w:val="1016437B"/>
    <w:rsid w:val="101C0036"/>
    <w:rsid w:val="10264A11"/>
    <w:rsid w:val="10280789"/>
    <w:rsid w:val="104F3F68"/>
    <w:rsid w:val="10725EA8"/>
    <w:rsid w:val="107514F4"/>
    <w:rsid w:val="108755CF"/>
    <w:rsid w:val="108C26AB"/>
    <w:rsid w:val="10A27458"/>
    <w:rsid w:val="10AC5111"/>
    <w:rsid w:val="10BD6F35"/>
    <w:rsid w:val="10CD6B01"/>
    <w:rsid w:val="11651A69"/>
    <w:rsid w:val="11845E93"/>
    <w:rsid w:val="11A2456B"/>
    <w:rsid w:val="11E044D7"/>
    <w:rsid w:val="120A2393"/>
    <w:rsid w:val="121F3E0E"/>
    <w:rsid w:val="12366404"/>
    <w:rsid w:val="123E21E9"/>
    <w:rsid w:val="125C296C"/>
    <w:rsid w:val="1271465E"/>
    <w:rsid w:val="1273743C"/>
    <w:rsid w:val="127F4449"/>
    <w:rsid w:val="12911EF4"/>
    <w:rsid w:val="129737F6"/>
    <w:rsid w:val="12BC1935"/>
    <w:rsid w:val="12DB7D35"/>
    <w:rsid w:val="12F00BEE"/>
    <w:rsid w:val="12F06EB1"/>
    <w:rsid w:val="130762C7"/>
    <w:rsid w:val="13156E63"/>
    <w:rsid w:val="131F5532"/>
    <w:rsid w:val="132E1D32"/>
    <w:rsid w:val="13426006"/>
    <w:rsid w:val="137D6C30"/>
    <w:rsid w:val="13871EE7"/>
    <w:rsid w:val="138751F1"/>
    <w:rsid w:val="139D148E"/>
    <w:rsid w:val="13ED66B2"/>
    <w:rsid w:val="13FE2D40"/>
    <w:rsid w:val="14147BD0"/>
    <w:rsid w:val="1422508F"/>
    <w:rsid w:val="142E6F50"/>
    <w:rsid w:val="143C0CA7"/>
    <w:rsid w:val="14CE17D1"/>
    <w:rsid w:val="14E1675A"/>
    <w:rsid w:val="15086DDB"/>
    <w:rsid w:val="1525173B"/>
    <w:rsid w:val="152F43D2"/>
    <w:rsid w:val="15C92586"/>
    <w:rsid w:val="16005D04"/>
    <w:rsid w:val="161F586A"/>
    <w:rsid w:val="16201F02"/>
    <w:rsid w:val="164E4741"/>
    <w:rsid w:val="166D15EC"/>
    <w:rsid w:val="166D405D"/>
    <w:rsid w:val="168E4713"/>
    <w:rsid w:val="16E178E4"/>
    <w:rsid w:val="16F92E7F"/>
    <w:rsid w:val="17564822"/>
    <w:rsid w:val="175E7186"/>
    <w:rsid w:val="17982173"/>
    <w:rsid w:val="17AF3CDA"/>
    <w:rsid w:val="17B73663"/>
    <w:rsid w:val="17F076AA"/>
    <w:rsid w:val="17FF3E14"/>
    <w:rsid w:val="18135A10"/>
    <w:rsid w:val="18223929"/>
    <w:rsid w:val="185760AF"/>
    <w:rsid w:val="18755723"/>
    <w:rsid w:val="18770500"/>
    <w:rsid w:val="187A5C0C"/>
    <w:rsid w:val="18AA490B"/>
    <w:rsid w:val="18AE7C99"/>
    <w:rsid w:val="18B54B84"/>
    <w:rsid w:val="18D53FE5"/>
    <w:rsid w:val="18DD40DB"/>
    <w:rsid w:val="19212219"/>
    <w:rsid w:val="19496DDE"/>
    <w:rsid w:val="197113F3"/>
    <w:rsid w:val="198527A8"/>
    <w:rsid w:val="19946E7F"/>
    <w:rsid w:val="19B600B0"/>
    <w:rsid w:val="19D0599B"/>
    <w:rsid w:val="19D21766"/>
    <w:rsid w:val="1A04743A"/>
    <w:rsid w:val="1A05780F"/>
    <w:rsid w:val="1A113513"/>
    <w:rsid w:val="1A241393"/>
    <w:rsid w:val="1A2D17F9"/>
    <w:rsid w:val="1A2F3146"/>
    <w:rsid w:val="1A3B37AF"/>
    <w:rsid w:val="1A495ECC"/>
    <w:rsid w:val="1A7563FC"/>
    <w:rsid w:val="1A840CB2"/>
    <w:rsid w:val="1A937147"/>
    <w:rsid w:val="1AA650CC"/>
    <w:rsid w:val="1AA94F5A"/>
    <w:rsid w:val="1ABA4215"/>
    <w:rsid w:val="1AC63078"/>
    <w:rsid w:val="1ACA2D58"/>
    <w:rsid w:val="1ACF42A1"/>
    <w:rsid w:val="1B1742F2"/>
    <w:rsid w:val="1B23272A"/>
    <w:rsid w:val="1B356B88"/>
    <w:rsid w:val="1B690B70"/>
    <w:rsid w:val="1B6A046D"/>
    <w:rsid w:val="1B754A9E"/>
    <w:rsid w:val="1B8076CB"/>
    <w:rsid w:val="1B8E367B"/>
    <w:rsid w:val="1BA3785E"/>
    <w:rsid w:val="1BC03F6C"/>
    <w:rsid w:val="1BC05D1A"/>
    <w:rsid w:val="1BC11A92"/>
    <w:rsid w:val="1BC62A56"/>
    <w:rsid w:val="1BE91714"/>
    <w:rsid w:val="1BF14125"/>
    <w:rsid w:val="1BF80445"/>
    <w:rsid w:val="1BF95068"/>
    <w:rsid w:val="1C3404B6"/>
    <w:rsid w:val="1C4135AC"/>
    <w:rsid w:val="1C424981"/>
    <w:rsid w:val="1C4C1CA3"/>
    <w:rsid w:val="1C6061C5"/>
    <w:rsid w:val="1C72369C"/>
    <w:rsid w:val="1C8C7193"/>
    <w:rsid w:val="1C8F1025"/>
    <w:rsid w:val="1CC0358F"/>
    <w:rsid w:val="1CD468AB"/>
    <w:rsid w:val="1CDD25B2"/>
    <w:rsid w:val="1CDD28FB"/>
    <w:rsid w:val="1CDE71ED"/>
    <w:rsid w:val="1CFA7117"/>
    <w:rsid w:val="1D346863"/>
    <w:rsid w:val="1D4F1A4B"/>
    <w:rsid w:val="1D750002"/>
    <w:rsid w:val="1D8D7ACF"/>
    <w:rsid w:val="1DA973A4"/>
    <w:rsid w:val="1DB7314C"/>
    <w:rsid w:val="1DC85359"/>
    <w:rsid w:val="1DEB51E9"/>
    <w:rsid w:val="1DED4DC0"/>
    <w:rsid w:val="1E247477"/>
    <w:rsid w:val="1E3E73CA"/>
    <w:rsid w:val="1E480248"/>
    <w:rsid w:val="1E5310C7"/>
    <w:rsid w:val="1E787E3F"/>
    <w:rsid w:val="1E896032"/>
    <w:rsid w:val="1E8F524A"/>
    <w:rsid w:val="1E937238"/>
    <w:rsid w:val="1EBE7B7F"/>
    <w:rsid w:val="1ECC2C27"/>
    <w:rsid w:val="1ED02718"/>
    <w:rsid w:val="1ED33FB6"/>
    <w:rsid w:val="1ED51267"/>
    <w:rsid w:val="1EEB0306"/>
    <w:rsid w:val="1EFD0E66"/>
    <w:rsid w:val="1F150595"/>
    <w:rsid w:val="1F505606"/>
    <w:rsid w:val="1F6A67AC"/>
    <w:rsid w:val="1F7F413E"/>
    <w:rsid w:val="1F8032DA"/>
    <w:rsid w:val="1F8A2A58"/>
    <w:rsid w:val="1F925C1F"/>
    <w:rsid w:val="1F9951FF"/>
    <w:rsid w:val="1FAB6527"/>
    <w:rsid w:val="1FBD45F2"/>
    <w:rsid w:val="1FC55873"/>
    <w:rsid w:val="1FD11AE6"/>
    <w:rsid w:val="20012DA5"/>
    <w:rsid w:val="20315438"/>
    <w:rsid w:val="204A7A77"/>
    <w:rsid w:val="204F4EE5"/>
    <w:rsid w:val="20670E5A"/>
    <w:rsid w:val="206C46C2"/>
    <w:rsid w:val="207A4117"/>
    <w:rsid w:val="20941E5C"/>
    <w:rsid w:val="20A72EBC"/>
    <w:rsid w:val="20B144DF"/>
    <w:rsid w:val="20B47E17"/>
    <w:rsid w:val="20B821F8"/>
    <w:rsid w:val="20EF49EE"/>
    <w:rsid w:val="2103358A"/>
    <w:rsid w:val="21195704"/>
    <w:rsid w:val="211D59BC"/>
    <w:rsid w:val="213E514E"/>
    <w:rsid w:val="21436EF8"/>
    <w:rsid w:val="214C3EA4"/>
    <w:rsid w:val="217A696B"/>
    <w:rsid w:val="219263AA"/>
    <w:rsid w:val="21933ED0"/>
    <w:rsid w:val="21D544E9"/>
    <w:rsid w:val="21FC3824"/>
    <w:rsid w:val="225278E7"/>
    <w:rsid w:val="225A40A6"/>
    <w:rsid w:val="226D64CF"/>
    <w:rsid w:val="22A26860"/>
    <w:rsid w:val="22CA3922"/>
    <w:rsid w:val="22E42C35"/>
    <w:rsid w:val="230C5CE8"/>
    <w:rsid w:val="230F1395"/>
    <w:rsid w:val="233D62F4"/>
    <w:rsid w:val="234F5C63"/>
    <w:rsid w:val="235F6EB5"/>
    <w:rsid w:val="23667B69"/>
    <w:rsid w:val="238355CB"/>
    <w:rsid w:val="23BE3486"/>
    <w:rsid w:val="23C6233B"/>
    <w:rsid w:val="23D507D0"/>
    <w:rsid w:val="23E65DAB"/>
    <w:rsid w:val="23E93817"/>
    <w:rsid w:val="23EE42A9"/>
    <w:rsid w:val="23F339A9"/>
    <w:rsid w:val="23FF4F24"/>
    <w:rsid w:val="242F6132"/>
    <w:rsid w:val="243B2964"/>
    <w:rsid w:val="24491954"/>
    <w:rsid w:val="24704055"/>
    <w:rsid w:val="24801F86"/>
    <w:rsid w:val="24806158"/>
    <w:rsid w:val="249064A5"/>
    <w:rsid w:val="24C1224D"/>
    <w:rsid w:val="24C50C37"/>
    <w:rsid w:val="24EC7B7F"/>
    <w:rsid w:val="24EE1B49"/>
    <w:rsid w:val="25153BB3"/>
    <w:rsid w:val="2524556B"/>
    <w:rsid w:val="253B5A69"/>
    <w:rsid w:val="254A2D6F"/>
    <w:rsid w:val="254B54F3"/>
    <w:rsid w:val="2578303A"/>
    <w:rsid w:val="257D5076"/>
    <w:rsid w:val="25972C96"/>
    <w:rsid w:val="25B72559"/>
    <w:rsid w:val="25BF256F"/>
    <w:rsid w:val="25C1100C"/>
    <w:rsid w:val="25D36F91"/>
    <w:rsid w:val="25DD396C"/>
    <w:rsid w:val="25E14501"/>
    <w:rsid w:val="25E450F5"/>
    <w:rsid w:val="25E8104B"/>
    <w:rsid w:val="25F533AB"/>
    <w:rsid w:val="2624159B"/>
    <w:rsid w:val="26303E31"/>
    <w:rsid w:val="26471BA9"/>
    <w:rsid w:val="266F2816"/>
    <w:rsid w:val="268C701A"/>
    <w:rsid w:val="268F110A"/>
    <w:rsid w:val="26914E82"/>
    <w:rsid w:val="26F45411"/>
    <w:rsid w:val="2700280A"/>
    <w:rsid w:val="271D6716"/>
    <w:rsid w:val="272F01F7"/>
    <w:rsid w:val="27312B5D"/>
    <w:rsid w:val="273539E1"/>
    <w:rsid w:val="27462BA9"/>
    <w:rsid w:val="27613711"/>
    <w:rsid w:val="27962024"/>
    <w:rsid w:val="27A74232"/>
    <w:rsid w:val="27AC35F6"/>
    <w:rsid w:val="27C76682"/>
    <w:rsid w:val="27DC212D"/>
    <w:rsid w:val="27EB411E"/>
    <w:rsid w:val="28335AC5"/>
    <w:rsid w:val="28425618"/>
    <w:rsid w:val="28461C9C"/>
    <w:rsid w:val="28464EE4"/>
    <w:rsid w:val="285A74F6"/>
    <w:rsid w:val="285E6FE6"/>
    <w:rsid w:val="286C7640"/>
    <w:rsid w:val="28893937"/>
    <w:rsid w:val="28C800BC"/>
    <w:rsid w:val="28F47B14"/>
    <w:rsid w:val="28FB03C0"/>
    <w:rsid w:val="28FD4CC9"/>
    <w:rsid w:val="291E49C7"/>
    <w:rsid w:val="292A6093"/>
    <w:rsid w:val="2939449B"/>
    <w:rsid w:val="294C235F"/>
    <w:rsid w:val="296E14AB"/>
    <w:rsid w:val="297D16EE"/>
    <w:rsid w:val="29A603B6"/>
    <w:rsid w:val="29B50E88"/>
    <w:rsid w:val="29B844D4"/>
    <w:rsid w:val="29FC4D87"/>
    <w:rsid w:val="2A475858"/>
    <w:rsid w:val="2A793900"/>
    <w:rsid w:val="2A7F1496"/>
    <w:rsid w:val="2A855226"/>
    <w:rsid w:val="2A8D5FDF"/>
    <w:rsid w:val="2A994305"/>
    <w:rsid w:val="2AA85E3B"/>
    <w:rsid w:val="2AAA4765"/>
    <w:rsid w:val="2AB70C30"/>
    <w:rsid w:val="2AB90504"/>
    <w:rsid w:val="2AEA0C1E"/>
    <w:rsid w:val="2AEA4B61"/>
    <w:rsid w:val="2B433BF5"/>
    <w:rsid w:val="2B5841C1"/>
    <w:rsid w:val="2B770762"/>
    <w:rsid w:val="2BA456FE"/>
    <w:rsid w:val="2BB84C5F"/>
    <w:rsid w:val="2BEF49DC"/>
    <w:rsid w:val="2BF42D9B"/>
    <w:rsid w:val="2BFA6B68"/>
    <w:rsid w:val="2C0B44D1"/>
    <w:rsid w:val="2C1B0D4A"/>
    <w:rsid w:val="2C302A48"/>
    <w:rsid w:val="2C470AB3"/>
    <w:rsid w:val="2C5D5807"/>
    <w:rsid w:val="2C733DC5"/>
    <w:rsid w:val="2C861EB2"/>
    <w:rsid w:val="2C9F5E1F"/>
    <w:rsid w:val="2CA64AB8"/>
    <w:rsid w:val="2CAB3EFE"/>
    <w:rsid w:val="2CAF6062"/>
    <w:rsid w:val="2CD57184"/>
    <w:rsid w:val="2CDB1327"/>
    <w:rsid w:val="2CE65139"/>
    <w:rsid w:val="2D145EC5"/>
    <w:rsid w:val="2D3A5307"/>
    <w:rsid w:val="2D6A1F89"/>
    <w:rsid w:val="2D761817"/>
    <w:rsid w:val="2D8A6187"/>
    <w:rsid w:val="2DAC4350"/>
    <w:rsid w:val="2DAD0C24"/>
    <w:rsid w:val="2DCF4FEF"/>
    <w:rsid w:val="2DE1603E"/>
    <w:rsid w:val="2DE81A65"/>
    <w:rsid w:val="2E086552"/>
    <w:rsid w:val="2E0A6052"/>
    <w:rsid w:val="2E0D2AFB"/>
    <w:rsid w:val="2E0F14C6"/>
    <w:rsid w:val="2E184AB2"/>
    <w:rsid w:val="2E222864"/>
    <w:rsid w:val="2E4D76FE"/>
    <w:rsid w:val="2E4E7CF8"/>
    <w:rsid w:val="2E5A3DAC"/>
    <w:rsid w:val="2E642E7C"/>
    <w:rsid w:val="2E810638"/>
    <w:rsid w:val="2E8325DC"/>
    <w:rsid w:val="2F301BC3"/>
    <w:rsid w:val="2F34284F"/>
    <w:rsid w:val="2F620D36"/>
    <w:rsid w:val="2F7E7F6E"/>
    <w:rsid w:val="2F7F0633"/>
    <w:rsid w:val="2F8530AA"/>
    <w:rsid w:val="2F9528EB"/>
    <w:rsid w:val="2FA120B2"/>
    <w:rsid w:val="2FB903F7"/>
    <w:rsid w:val="2FC35981"/>
    <w:rsid w:val="30313679"/>
    <w:rsid w:val="30707DAF"/>
    <w:rsid w:val="30890978"/>
    <w:rsid w:val="3095731D"/>
    <w:rsid w:val="30C3115B"/>
    <w:rsid w:val="30E85A52"/>
    <w:rsid w:val="30E958BB"/>
    <w:rsid w:val="30ED4D1A"/>
    <w:rsid w:val="31007F2D"/>
    <w:rsid w:val="3115506D"/>
    <w:rsid w:val="31217011"/>
    <w:rsid w:val="313A7EC4"/>
    <w:rsid w:val="315947EF"/>
    <w:rsid w:val="31BFA431"/>
    <w:rsid w:val="31C91C1F"/>
    <w:rsid w:val="31FB42D0"/>
    <w:rsid w:val="31FF02D4"/>
    <w:rsid w:val="320A3D3B"/>
    <w:rsid w:val="32147DF4"/>
    <w:rsid w:val="32176B57"/>
    <w:rsid w:val="324E7E72"/>
    <w:rsid w:val="3253371C"/>
    <w:rsid w:val="32696CB3"/>
    <w:rsid w:val="326B4698"/>
    <w:rsid w:val="326B7E18"/>
    <w:rsid w:val="3278199E"/>
    <w:rsid w:val="32830F54"/>
    <w:rsid w:val="3286265A"/>
    <w:rsid w:val="32982DFF"/>
    <w:rsid w:val="329A44C1"/>
    <w:rsid w:val="32B1069F"/>
    <w:rsid w:val="32C739DA"/>
    <w:rsid w:val="32DD144F"/>
    <w:rsid w:val="33095DA0"/>
    <w:rsid w:val="330D3AE3"/>
    <w:rsid w:val="331A7FAD"/>
    <w:rsid w:val="33784CD4"/>
    <w:rsid w:val="338405F7"/>
    <w:rsid w:val="338639E3"/>
    <w:rsid w:val="33946A1F"/>
    <w:rsid w:val="339A0BD1"/>
    <w:rsid w:val="339D60DA"/>
    <w:rsid w:val="33B71CA0"/>
    <w:rsid w:val="33CD3272"/>
    <w:rsid w:val="33D740F0"/>
    <w:rsid w:val="33E800AC"/>
    <w:rsid w:val="33F87B2A"/>
    <w:rsid w:val="33FB1B8D"/>
    <w:rsid w:val="340B57E2"/>
    <w:rsid w:val="341D4B3C"/>
    <w:rsid w:val="347831DE"/>
    <w:rsid w:val="348222AE"/>
    <w:rsid w:val="34A55F9D"/>
    <w:rsid w:val="34A5706F"/>
    <w:rsid w:val="34AB28E5"/>
    <w:rsid w:val="34E75DD1"/>
    <w:rsid w:val="34FA62E8"/>
    <w:rsid w:val="3509652C"/>
    <w:rsid w:val="351204F3"/>
    <w:rsid w:val="35325511"/>
    <w:rsid w:val="360F7B72"/>
    <w:rsid w:val="36372C24"/>
    <w:rsid w:val="365437D6"/>
    <w:rsid w:val="3670318E"/>
    <w:rsid w:val="36B424C7"/>
    <w:rsid w:val="36D13957"/>
    <w:rsid w:val="36D466C5"/>
    <w:rsid w:val="36D6068F"/>
    <w:rsid w:val="36F11025"/>
    <w:rsid w:val="372E04CB"/>
    <w:rsid w:val="37691503"/>
    <w:rsid w:val="377C4D93"/>
    <w:rsid w:val="37801CA0"/>
    <w:rsid w:val="37865774"/>
    <w:rsid w:val="37AF33BA"/>
    <w:rsid w:val="37B207B5"/>
    <w:rsid w:val="37D70CAE"/>
    <w:rsid w:val="37EA2644"/>
    <w:rsid w:val="37ED2BA2"/>
    <w:rsid w:val="37F47942"/>
    <w:rsid w:val="37F54C3A"/>
    <w:rsid w:val="37FC5ED4"/>
    <w:rsid w:val="3806194F"/>
    <w:rsid w:val="384358B1"/>
    <w:rsid w:val="38614B9E"/>
    <w:rsid w:val="38840A0D"/>
    <w:rsid w:val="388B378B"/>
    <w:rsid w:val="38B44A00"/>
    <w:rsid w:val="390E5CB1"/>
    <w:rsid w:val="39162FC5"/>
    <w:rsid w:val="3922196A"/>
    <w:rsid w:val="392D0F5C"/>
    <w:rsid w:val="39657AA9"/>
    <w:rsid w:val="397321C6"/>
    <w:rsid w:val="39860B3F"/>
    <w:rsid w:val="39873EC3"/>
    <w:rsid w:val="39AB195F"/>
    <w:rsid w:val="39D57A07"/>
    <w:rsid w:val="39E93D92"/>
    <w:rsid w:val="39F605CA"/>
    <w:rsid w:val="39F8091D"/>
    <w:rsid w:val="3A0A0D7C"/>
    <w:rsid w:val="3A163157"/>
    <w:rsid w:val="3A21319F"/>
    <w:rsid w:val="3A345DF9"/>
    <w:rsid w:val="3A4B2127"/>
    <w:rsid w:val="3A584A7F"/>
    <w:rsid w:val="3A8723CC"/>
    <w:rsid w:val="3A8C48E1"/>
    <w:rsid w:val="3AAF722D"/>
    <w:rsid w:val="3AD778B0"/>
    <w:rsid w:val="3AD873E5"/>
    <w:rsid w:val="3AD959D6"/>
    <w:rsid w:val="3AF427E0"/>
    <w:rsid w:val="3B027CA5"/>
    <w:rsid w:val="3B1B7DBE"/>
    <w:rsid w:val="3B2154F6"/>
    <w:rsid w:val="3B243B50"/>
    <w:rsid w:val="3B286FE0"/>
    <w:rsid w:val="3B3E2DB3"/>
    <w:rsid w:val="3B552D48"/>
    <w:rsid w:val="3B681FEC"/>
    <w:rsid w:val="3B6A5D88"/>
    <w:rsid w:val="3B6E6023"/>
    <w:rsid w:val="3B973F85"/>
    <w:rsid w:val="3BD258C9"/>
    <w:rsid w:val="3C101F4E"/>
    <w:rsid w:val="3C2E6878"/>
    <w:rsid w:val="3C3001B4"/>
    <w:rsid w:val="3C5843B5"/>
    <w:rsid w:val="3C622294"/>
    <w:rsid w:val="3C6B4CC5"/>
    <w:rsid w:val="3CA52FDE"/>
    <w:rsid w:val="3CAB4D29"/>
    <w:rsid w:val="3CC22946"/>
    <w:rsid w:val="3CCE037B"/>
    <w:rsid w:val="3CD01F3B"/>
    <w:rsid w:val="3CD236A7"/>
    <w:rsid w:val="3CE753A4"/>
    <w:rsid w:val="3CF96E86"/>
    <w:rsid w:val="3D204801"/>
    <w:rsid w:val="3D2739F3"/>
    <w:rsid w:val="3D361E88"/>
    <w:rsid w:val="3D453E79"/>
    <w:rsid w:val="3D651864"/>
    <w:rsid w:val="3D697A37"/>
    <w:rsid w:val="3D6E1622"/>
    <w:rsid w:val="3D770CF0"/>
    <w:rsid w:val="3D9646D4"/>
    <w:rsid w:val="3DB35595"/>
    <w:rsid w:val="3DB8289D"/>
    <w:rsid w:val="3DC95243"/>
    <w:rsid w:val="3DDA2813"/>
    <w:rsid w:val="3DE07FF0"/>
    <w:rsid w:val="3E06185A"/>
    <w:rsid w:val="3E0D42F0"/>
    <w:rsid w:val="3E1E34BB"/>
    <w:rsid w:val="3E3363C7"/>
    <w:rsid w:val="3E3F0508"/>
    <w:rsid w:val="3E6B7662"/>
    <w:rsid w:val="3E6E73FF"/>
    <w:rsid w:val="3E886713"/>
    <w:rsid w:val="3E976956"/>
    <w:rsid w:val="3EB767DA"/>
    <w:rsid w:val="3EC05EAD"/>
    <w:rsid w:val="3ECB4852"/>
    <w:rsid w:val="3F073ADC"/>
    <w:rsid w:val="3F505E3C"/>
    <w:rsid w:val="3F690816"/>
    <w:rsid w:val="3F97402D"/>
    <w:rsid w:val="3FB35A12"/>
    <w:rsid w:val="3FB672B0"/>
    <w:rsid w:val="3FEA0D08"/>
    <w:rsid w:val="3FEB51AC"/>
    <w:rsid w:val="3FEC7211"/>
    <w:rsid w:val="40003E3A"/>
    <w:rsid w:val="400242A3"/>
    <w:rsid w:val="40043EC3"/>
    <w:rsid w:val="401D2D2A"/>
    <w:rsid w:val="402045AD"/>
    <w:rsid w:val="40371ECC"/>
    <w:rsid w:val="40582115"/>
    <w:rsid w:val="405D597D"/>
    <w:rsid w:val="407A02DD"/>
    <w:rsid w:val="40B01F51"/>
    <w:rsid w:val="40BE466E"/>
    <w:rsid w:val="410127AD"/>
    <w:rsid w:val="410B1343"/>
    <w:rsid w:val="412451C6"/>
    <w:rsid w:val="412A5860"/>
    <w:rsid w:val="414A628B"/>
    <w:rsid w:val="41626E05"/>
    <w:rsid w:val="41783900"/>
    <w:rsid w:val="41A76EB0"/>
    <w:rsid w:val="41DD28D2"/>
    <w:rsid w:val="42114C71"/>
    <w:rsid w:val="421C10AE"/>
    <w:rsid w:val="423E77D1"/>
    <w:rsid w:val="425D3A13"/>
    <w:rsid w:val="4282466B"/>
    <w:rsid w:val="42B31885"/>
    <w:rsid w:val="42B44D10"/>
    <w:rsid w:val="42BA41B0"/>
    <w:rsid w:val="42C13FA2"/>
    <w:rsid w:val="42ED630C"/>
    <w:rsid w:val="42F11657"/>
    <w:rsid w:val="42F17338"/>
    <w:rsid w:val="43030A5E"/>
    <w:rsid w:val="430C15CB"/>
    <w:rsid w:val="430C699F"/>
    <w:rsid w:val="430D19FD"/>
    <w:rsid w:val="43322DCB"/>
    <w:rsid w:val="43653E23"/>
    <w:rsid w:val="437943F5"/>
    <w:rsid w:val="437A604C"/>
    <w:rsid w:val="439E2535"/>
    <w:rsid w:val="43A80694"/>
    <w:rsid w:val="43B6162D"/>
    <w:rsid w:val="43C852DB"/>
    <w:rsid w:val="43DF5FA7"/>
    <w:rsid w:val="43F403A7"/>
    <w:rsid w:val="440F47A3"/>
    <w:rsid w:val="441B5EDE"/>
    <w:rsid w:val="44220A07"/>
    <w:rsid w:val="442C7B41"/>
    <w:rsid w:val="445F5FF9"/>
    <w:rsid w:val="446C43E1"/>
    <w:rsid w:val="446D66E7"/>
    <w:rsid w:val="44A578BE"/>
    <w:rsid w:val="44BA339E"/>
    <w:rsid w:val="44C06715"/>
    <w:rsid w:val="44C6104E"/>
    <w:rsid w:val="44D559FA"/>
    <w:rsid w:val="44FA782A"/>
    <w:rsid w:val="45280308"/>
    <w:rsid w:val="452D591E"/>
    <w:rsid w:val="456C5297"/>
    <w:rsid w:val="45967968"/>
    <w:rsid w:val="45AD242D"/>
    <w:rsid w:val="45B147A1"/>
    <w:rsid w:val="45D1241A"/>
    <w:rsid w:val="45D812A7"/>
    <w:rsid w:val="45E46310"/>
    <w:rsid w:val="45F4643C"/>
    <w:rsid w:val="46144D30"/>
    <w:rsid w:val="461F5BAF"/>
    <w:rsid w:val="463E6815"/>
    <w:rsid w:val="46470C62"/>
    <w:rsid w:val="464E4571"/>
    <w:rsid w:val="467F0616"/>
    <w:rsid w:val="46893028"/>
    <w:rsid w:val="46935181"/>
    <w:rsid w:val="46A02C50"/>
    <w:rsid w:val="46C40504"/>
    <w:rsid w:val="46CC363B"/>
    <w:rsid w:val="46E77832"/>
    <w:rsid w:val="46F31E5A"/>
    <w:rsid w:val="47215E9C"/>
    <w:rsid w:val="47294EAA"/>
    <w:rsid w:val="473E7900"/>
    <w:rsid w:val="47551BAE"/>
    <w:rsid w:val="47617388"/>
    <w:rsid w:val="47941C85"/>
    <w:rsid w:val="47A619B8"/>
    <w:rsid w:val="47B50951"/>
    <w:rsid w:val="47B91015"/>
    <w:rsid w:val="47BD6A22"/>
    <w:rsid w:val="47C7287E"/>
    <w:rsid w:val="482642B5"/>
    <w:rsid w:val="484418FD"/>
    <w:rsid w:val="48480CC1"/>
    <w:rsid w:val="48541414"/>
    <w:rsid w:val="485B3BC7"/>
    <w:rsid w:val="487429ED"/>
    <w:rsid w:val="48771168"/>
    <w:rsid w:val="48931F3C"/>
    <w:rsid w:val="489B5295"/>
    <w:rsid w:val="48C37705"/>
    <w:rsid w:val="48D6451F"/>
    <w:rsid w:val="48FA020D"/>
    <w:rsid w:val="491D6226"/>
    <w:rsid w:val="493E5947"/>
    <w:rsid w:val="494843FE"/>
    <w:rsid w:val="49557B3A"/>
    <w:rsid w:val="497004D0"/>
    <w:rsid w:val="49755AE6"/>
    <w:rsid w:val="49A53A73"/>
    <w:rsid w:val="49BA59AE"/>
    <w:rsid w:val="49BC7216"/>
    <w:rsid w:val="4A080708"/>
    <w:rsid w:val="4A17094B"/>
    <w:rsid w:val="4A1F4C27"/>
    <w:rsid w:val="4A2D4613"/>
    <w:rsid w:val="4A4C6847"/>
    <w:rsid w:val="4A5676C5"/>
    <w:rsid w:val="4A6D2653"/>
    <w:rsid w:val="4AED5E1F"/>
    <w:rsid w:val="4B014375"/>
    <w:rsid w:val="4B4600CE"/>
    <w:rsid w:val="4B524331"/>
    <w:rsid w:val="4B6C5605"/>
    <w:rsid w:val="4B7A3887"/>
    <w:rsid w:val="4B7C2965"/>
    <w:rsid w:val="4BBD560D"/>
    <w:rsid w:val="4C123498"/>
    <w:rsid w:val="4C123ECB"/>
    <w:rsid w:val="4C1E4213"/>
    <w:rsid w:val="4C2630C7"/>
    <w:rsid w:val="4C39104D"/>
    <w:rsid w:val="4C404189"/>
    <w:rsid w:val="4C417F01"/>
    <w:rsid w:val="4C58104F"/>
    <w:rsid w:val="4C5944B1"/>
    <w:rsid w:val="4C602A7D"/>
    <w:rsid w:val="4C6F3A23"/>
    <w:rsid w:val="4C8F5C62"/>
    <w:rsid w:val="4CB607C5"/>
    <w:rsid w:val="4D003831"/>
    <w:rsid w:val="4D0168EA"/>
    <w:rsid w:val="4D355CB8"/>
    <w:rsid w:val="4D3D4B6D"/>
    <w:rsid w:val="4D4001B9"/>
    <w:rsid w:val="4D4B557E"/>
    <w:rsid w:val="4D6E28E2"/>
    <w:rsid w:val="4D77007F"/>
    <w:rsid w:val="4DA02770"/>
    <w:rsid w:val="4DB320D6"/>
    <w:rsid w:val="4DD23573"/>
    <w:rsid w:val="4DEB3918"/>
    <w:rsid w:val="4E0F3662"/>
    <w:rsid w:val="4E12786B"/>
    <w:rsid w:val="4E267A1C"/>
    <w:rsid w:val="4E3E5763"/>
    <w:rsid w:val="4E4E209C"/>
    <w:rsid w:val="4E74636C"/>
    <w:rsid w:val="4E9F1360"/>
    <w:rsid w:val="4EA9414C"/>
    <w:rsid w:val="4EB643B1"/>
    <w:rsid w:val="4ED20C83"/>
    <w:rsid w:val="4EEF1E97"/>
    <w:rsid w:val="4F0F60FF"/>
    <w:rsid w:val="4F244236"/>
    <w:rsid w:val="4F697E9B"/>
    <w:rsid w:val="4F802EB1"/>
    <w:rsid w:val="4F8545A9"/>
    <w:rsid w:val="4FA559F6"/>
    <w:rsid w:val="4FAE58AE"/>
    <w:rsid w:val="4FB530E0"/>
    <w:rsid w:val="4FD35314"/>
    <w:rsid w:val="4FD6191A"/>
    <w:rsid w:val="4FF63749"/>
    <w:rsid w:val="5007527E"/>
    <w:rsid w:val="500C70AC"/>
    <w:rsid w:val="501C7D9B"/>
    <w:rsid w:val="501E2A33"/>
    <w:rsid w:val="502B33A2"/>
    <w:rsid w:val="50644D4D"/>
    <w:rsid w:val="507408A5"/>
    <w:rsid w:val="508A67B9"/>
    <w:rsid w:val="50E146D5"/>
    <w:rsid w:val="50F60EA0"/>
    <w:rsid w:val="50FA0EA6"/>
    <w:rsid w:val="51071719"/>
    <w:rsid w:val="51360251"/>
    <w:rsid w:val="51667224"/>
    <w:rsid w:val="516F13BA"/>
    <w:rsid w:val="519228EA"/>
    <w:rsid w:val="51BD0761"/>
    <w:rsid w:val="51DA4028"/>
    <w:rsid w:val="51E073BF"/>
    <w:rsid w:val="52036385"/>
    <w:rsid w:val="52086F2B"/>
    <w:rsid w:val="52181704"/>
    <w:rsid w:val="5237602E"/>
    <w:rsid w:val="52522E68"/>
    <w:rsid w:val="52602DF5"/>
    <w:rsid w:val="52741030"/>
    <w:rsid w:val="528B4B76"/>
    <w:rsid w:val="52923265"/>
    <w:rsid w:val="52B551A5"/>
    <w:rsid w:val="52BD3685"/>
    <w:rsid w:val="52E141EC"/>
    <w:rsid w:val="52ED43B9"/>
    <w:rsid w:val="52F013E4"/>
    <w:rsid w:val="53084363"/>
    <w:rsid w:val="530C74BB"/>
    <w:rsid w:val="531243A6"/>
    <w:rsid w:val="532644A8"/>
    <w:rsid w:val="53870547"/>
    <w:rsid w:val="53915C12"/>
    <w:rsid w:val="5393413D"/>
    <w:rsid w:val="53A96AB8"/>
    <w:rsid w:val="53AE2320"/>
    <w:rsid w:val="53BA2E6A"/>
    <w:rsid w:val="53BF452D"/>
    <w:rsid w:val="53F8359B"/>
    <w:rsid w:val="541D0431"/>
    <w:rsid w:val="543A0058"/>
    <w:rsid w:val="544811D2"/>
    <w:rsid w:val="5458228C"/>
    <w:rsid w:val="5459158A"/>
    <w:rsid w:val="545A24A8"/>
    <w:rsid w:val="547B6CDE"/>
    <w:rsid w:val="548E06EB"/>
    <w:rsid w:val="549A6737"/>
    <w:rsid w:val="54A454D1"/>
    <w:rsid w:val="54B652F1"/>
    <w:rsid w:val="54C00001"/>
    <w:rsid w:val="54DE6C35"/>
    <w:rsid w:val="55065409"/>
    <w:rsid w:val="551F0AB7"/>
    <w:rsid w:val="55450A62"/>
    <w:rsid w:val="554724E4"/>
    <w:rsid w:val="555A35CD"/>
    <w:rsid w:val="555B0286"/>
    <w:rsid w:val="55833339"/>
    <w:rsid w:val="558772CD"/>
    <w:rsid w:val="55985036"/>
    <w:rsid w:val="55AE1CE2"/>
    <w:rsid w:val="55F07786"/>
    <w:rsid w:val="55FB01EF"/>
    <w:rsid w:val="55FE3948"/>
    <w:rsid w:val="56127F5F"/>
    <w:rsid w:val="561F5757"/>
    <w:rsid w:val="56290384"/>
    <w:rsid w:val="562C1C22"/>
    <w:rsid w:val="56742F79"/>
    <w:rsid w:val="56B20706"/>
    <w:rsid w:val="56BF62D6"/>
    <w:rsid w:val="56F73FDE"/>
    <w:rsid w:val="570F1328"/>
    <w:rsid w:val="574A6804"/>
    <w:rsid w:val="577C3646"/>
    <w:rsid w:val="579730CB"/>
    <w:rsid w:val="57B974E6"/>
    <w:rsid w:val="57D91936"/>
    <w:rsid w:val="57F138AA"/>
    <w:rsid w:val="580D5382"/>
    <w:rsid w:val="58117322"/>
    <w:rsid w:val="583F6BD0"/>
    <w:rsid w:val="585A4825"/>
    <w:rsid w:val="5866141B"/>
    <w:rsid w:val="58726012"/>
    <w:rsid w:val="58B70478"/>
    <w:rsid w:val="58D04CC8"/>
    <w:rsid w:val="58D77C23"/>
    <w:rsid w:val="58EF1411"/>
    <w:rsid w:val="590B1FC3"/>
    <w:rsid w:val="594F4A95"/>
    <w:rsid w:val="59725B9E"/>
    <w:rsid w:val="598E529C"/>
    <w:rsid w:val="59B166C6"/>
    <w:rsid w:val="59CF7CC7"/>
    <w:rsid w:val="59DD570D"/>
    <w:rsid w:val="59E3512D"/>
    <w:rsid w:val="59FD4457"/>
    <w:rsid w:val="5A3410A5"/>
    <w:rsid w:val="5A5C10DF"/>
    <w:rsid w:val="5A7C4F26"/>
    <w:rsid w:val="5A830928"/>
    <w:rsid w:val="5AA5260E"/>
    <w:rsid w:val="5AB0697E"/>
    <w:rsid w:val="5ADB1ACF"/>
    <w:rsid w:val="5AE34FA5"/>
    <w:rsid w:val="5AE66844"/>
    <w:rsid w:val="5AEB7C2D"/>
    <w:rsid w:val="5B0E72B6"/>
    <w:rsid w:val="5B1D63D9"/>
    <w:rsid w:val="5B2E3D47"/>
    <w:rsid w:val="5B4638CB"/>
    <w:rsid w:val="5B4B48F9"/>
    <w:rsid w:val="5B6B70DD"/>
    <w:rsid w:val="5B9B201D"/>
    <w:rsid w:val="5BA1276A"/>
    <w:rsid w:val="5BA32F4B"/>
    <w:rsid w:val="5BC22E0D"/>
    <w:rsid w:val="5BD40D92"/>
    <w:rsid w:val="5C0C052C"/>
    <w:rsid w:val="5C0E3D80"/>
    <w:rsid w:val="5C6A0DAE"/>
    <w:rsid w:val="5C87100C"/>
    <w:rsid w:val="5C8A1451"/>
    <w:rsid w:val="5CE943C9"/>
    <w:rsid w:val="5CFF1C77"/>
    <w:rsid w:val="5D3D689E"/>
    <w:rsid w:val="5D6F2B20"/>
    <w:rsid w:val="5D922D68"/>
    <w:rsid w:val="5D9C143B"/>
    <w:rsid w:val="5DAB5B22"/>
    <w:rsid w:val="5DC436B8"/>
    <w:rsid w:val="5DCF1811"/>
    <w:rsid w:val="5DE828D3"/>
    <w:rsid w:val="5DEA21A7"/>
    <w:rsid w:val="5E032570"/>
    <w:rsid w:val="5E062D59"/>
    <w:rsid w:val="5E0A466D"/>
    <w:rsid w:val="5E111581"/>
    <w:rsid w:val="5E1B6457"/>
    <w:rsid w:val="5E330CCB"/>
    <w:rsid w:val="5E5719CA"/>
    <w:rsid w:val="5E5A37D0"/>
    <w:rsid w:val="5E677C9B"/>
    <w:rsid w:val="5E8C3F36"/>
    <w:rsid w:val="5E942E4E"/>
    <w:rsid w:val="5EB659F0"/>
    <w:rsid w:val="5EB87A15"/>
    <w:rsid w:val="5ECE7D1A"/>
    <w:rsid w:val="5ED66574"/>
    <w:rsid w:val="5EEB6FAE"/>
    <w:rsid w:val="5F217E4A"/>
    <w:rsid w:val="5F331803"/>
    <w:rsid w:val="5F6655AA"/>
    <w:rsid w:val="5F675708"/>
    <w:rsid w:val="5F962C10"/>
    <w:rsid w:val="5FB510A5"/>
    <w:rsid w:val="5FC133DB"/>
    <w:rsid w:val="5FC627A0"/>
    <w:rsid w:val="5FDF68F3"/>
    <w:rsid w:val="5FFFB29B"/>
    <w:rsid w:val="605B55DE"/>
    <w:rsid w:val="60885E2E"/>
    <w:rsid w:val="60933C0D"/>
    <w:rsid w:val="60996106"/>
    <w:rsid w:val="60B0726A"/>
    <w:rsid w:val="60BB42CE"/>
    <w:rsid w:val="60FD32E1"/>
    <w:rsid w:val="611D2BBC"/>
    <w:rsid w:val="613B0F6B"/>
    <w:rsid w:val="61492983"/>
    <w:rsid w:val="61611679"/>
    <w:rsid w:val="619E73D8"/>
    <w:rsid w:val="61B72CE8"/>
    <w:rsid w:val="61FE26C5"/>
    <w:rsid w:val="621D5135"/>
    <w:rsid w:val="623D4A98"/>
    <w:rsid w:val="6256605D"/>
    <w:rsid w:val="626C652F"/>
    <w:rsid w:val="62774225"/>
    <w:rsid w:val="627C5292"/>
    <w:rsid w:val="628C5F22"/>
    <w:rsid w:val="62AA2731"/>
    <w:rsid w:val="62AD76C0"/>
    <w:rsid w:val="62C507C9"/>
    <w:rsid w:val="62D11B87"/>
    <w:rsid w:val="63272A98"/>
    <w:rsid w:val="63422A85"/>
    <w:rsid w:val="634405AB"/>
    <w:rsid w:val="6356208C"/>
    <w:rsid w:val="636E73D6"/>
    <w:rsid w:val="6390559E"/>
    <w:rsid w:val="63913B26"/>
    <w:rsid w:val="63984389"/>
    <w:rsid w:val="63B30F2E"/>
    <w:rsid w:val="63B53257"/>
    <w:rsid w:val="63B8479E"/>
    <w:rsid w:val="63BF66AF"/>
    <w:rsid w:val="63C35974"/>
    <w:rsid w:val="63C41057"/>
    <w:rsid w:val="63CC234F"/>
    <w:rsid w:val="63DF443D"/>
    <w:rsid w:val="63F342B4"/>
    <w:rsid w:val="64032214"/>
    <w:rsid w:val="640C1C55"/>
    <w:rsid w:val="642944E4"/>
    <w:rsid w:val="644D16E1"/>
    <w:rsid w:val="64557053"/>
    <w:rsid w:val="64573D39"/>
    <w:rsid w:val="645A3AB6"/>
    <w:rsid w:val="646507D9"/>
    <w:rsid w:val="646D1D84"/>
    <w:rsid w:val="647E0D38"/>
    <w:rsid w:val="64A60857"/>
    <w:rsid w:val="64C10CA7"/>
    <w:rsid w:val="65041398"/>
    <w:rsid w:val="650A75D2"/>
    <w:rsid w:val="65CD0D2C"/>
    <w:rsid w:val="65D5198E"/>
    <w:rsid w:val="65D96B11"/>
    <w:rsid w:val="65E13C9A"/>
    <w:rsid w:val="65F43F54"/>
    <w:rsid w:val="66083B12"/>
    <w:rsid w:val="666D7E19"/>
    <w:rsid w:val="66D07E35"/>
    <w:rsid w:val="66E77BCB"/>
    <w:rsid w:val="66FD5EEC"/>
    <w:rsid w:val="670F317A"/>
    <w:rsid w:val="674E6C15"/>
    <w:rsid w:val="675114E9"/>
    <w:rsid w:val="675F243B"/>
    <w:rsid w:val="677F7E04"/>
    <w:rsid w:val="67867202"/>
    <w:rsid w:val="67A96C2F"/>
    <w:rsid w:val="67AE2497"/>
    <w:rsid w:val="67AF7FBD"/>
    <w:rsid w:val="67B77706"/>
    <w:rsid w:val="67C41CBB"/>
    <w:rsid w:val="67C63C85"/>
    <w:rsid w:val="67E450CE"/>
    <w:rsid w:val="680F708F"/>
    <w:rsid w:val="68135471"/>
    <w:rsid w:val="68595A9C"/>
    <w:rsid w:val="688A4CB2"/>
    <w:rsid w:val="68CB7079"/>
    <w:rsid w:val="68DB6590"/>
    <w:rsid w:val="68DE4FFE"/>
    <w:rsid w:val="68E32614"/>
    <w:rsid w:val="68F13666"/>
    <w:rsid w:val="68F24AF6"/>
    <w:rsid w:val="69083E29"/>
    <w:rsid w:val="693410C2"/>
    <w:rsid w:val="693B7312"/>
    <w:rsid w:val="6949691B"/>
    <w:rsid w:val="69531548"/>
    <w:rsid w:val="697274F4"/>
    <w:rsid w:val="69787200"/>
    <w:rsid w:val="697F233D"/>
    <w:rsid w:val="69AC3411"/>
    <w:rsid w:val="69B2159C"/>
    <w:rsid w:val="69B352C1"/>
    <w:rsid w:val="69C33C13"/>
    <w:rsid w:val="69DA25A5"/>
    <w:rsid w:val="69DD7064"/>
    <w:rsid w:val="6A004944"/>
    <w:rsid w:val="6A060AF0"/>
    <w:rsid w:val="6A253BE6"/>
    <w:rsid w:val="6A441F9D"/>
    <w:rsid w:val="6A542DAB"/>
    <w:rsid w:val="6A553A32"/>
    <w:rsid w:val="6A9D53FB"/>
    <w:rsid w:val="6AA638F9"/>
    <w:rsid w:val="6ABE0C43"/>
    <w:rsid w:val="6AC01764"/>
    <w:rsid w:val="6ACB746E"/>
    <w:rsid w:val="6B286A04"/>
    <w:rsid w:val="6B3158B9"/>
    <w:rsid w:val="6B3474AC"/>
    <w:rsid w:val="6B3E1D84"/>
    <w:rsid w:val="6B601CFA"/>
    <w:rsid w:val="6B625A72"/>
    <w:rsid w:val="6B973D04"/>
    <w:rsid w:val="6BAA11C7"/>
    <w:rsid w:val="6BB43B72"/>
    <w:rsid w:val="6C2E1DF8"/>
    <w:rsid w:val="6C3F4006"/>
    <w:rsid w:val="6C4B7641"/>
    <w:rsid w:val="6C4F72C1"/>
    <w:rsid w:val="6C507CBE"/>
    <w:rsid w:val="6C7D5C73"/>
    <w:rsid w:val="6C946959"/>
    <w:rsid w:val="6CA51E3D"/>
    <w:rsid w:val="6CB36530"/>
    <w:rsid w:val="6CB9494B"/>
    <w:rsid w:val="6CD305A2"/>
    <w:rsid w:val="6CD85B06"/>
    <w:rsid w:val="6CEB1A97"/>
    <w:rsid w:val="6CEF5734"/>
    <w:rsid w:val="6CF46B9E"/>
    <w:rsid w:val="6CF84455"/>
    <w:rsid w:val="6D036DE1"/>
    <w:rsid w:val="6D0D7C60"/>
    <w:rsid w:val="6D1B2CD1"/>
    <w:rsid w:val="6D2D0302"/>
    <w:rsid w:val="6D3056B9"/>
    <w:rsid w:val="6D390A55"/>
    <w:rsid w:val="6D4849C0"/>
    <w:rsid w:val="6D4A2C62"/>
    <w:rsid w:val="6D5F60C2"/>
    <w:rsid w:val="6D667370"/>
    <w:rsid w:val="6D6B0F56"/>
    <w:rsid w:val="6D8379A1"/>
    <w:rsid w:val="6D8766CA"/>
    <w:rsid w:val="6D9E2FAE"/>
    <w:rsid w:val="6DAB6E3F"/>
    <w:rsid w:val="6DFD5F26"/>
    <w:rsid w:val="6E105C5A"/>
    <w:rsid w:val="6E162B44"/>
    <w:rsid w:val="6E16433E"/>
    <w:rsid w:val="6E26547D"/>
    <w:rsid w:val="6E290AC9"/>
    <w:rsid w:val="6E4006B2"/>
    <w:rsid w:val="6E427DDD"/>
    <w:rsid w:val="6E62222D"/>
    <w:rsid w:val="6E7506EB"/>
    <w:rsid w:val="6E873A42"/>
    <w:rsid w:val="6EB17FBD"/>
    <w:rsid w:val="6EC3415C"/>
    <w:rsid w:val="6EC6456A"/>
    <w:rsid w:val="6EC86F4F"/>
    <w:rsid w:val="6EE13152"/>
    <w:rsid w:val="6F1060F6"/>
    <w:rsid w:val="6F1E6154"/>
    <w:rsid w:val="6F377216"/>
    <w:rsid w:val="6F541B76"/>
    <w:rsid w:val="6F6D0E8A"/>
    <w:rsid w:val="6F7E1B58"/>
    <w:rsid w:val="6F8B7B20"/>
    <w:rsid w:val="6F9401C4"/>
    <w:rsid w:val="6FBCF277"/>
    <w:rsid w:val="6FE0165C"/>
    <w:rsid w:val="6FE74798"/>
    <w:rsid w:val="70311913"/>
    <w:rsid w:val="704D0028"/>
    <w:rsid w:val="70633D9B"/>
    <w:rsid w:val="70B76860"/>
    <w:rsid w:val="70CE7706"/>
    <w:rsid w:val="70D26124"/>
    <w:rsid w:val="70D61155"/>
    <w:rsid w:val="70FA04FB"/>
    <w:rsid w:val="710870BC"/>
    <w:rsid w:val="710E3FA6"/>
    <w:rsid w:val="71332BBF"/>
    <w:rsid w:val="716E190C"/>
    <w:rsid w:val="71765B16"/>
    <w:rsid w:val="71A234B0"/>
    <w:rsid w:val="71B66B18"/>
    <w:rsid w:val="71CD251A"/>
    <w:rsid w:val="7205184D"/>
    <w:rsid w:val="725325B9"/>
    <w:rsid w:val="725351DA"/>
    <w:rsid w:val="725D7F2A"/>
    <w:rsid w:val="7281536C"/>
    <w:rsid w:val="728D3E8F"/>
    <w:rsid w:val="72987FCC"/>
    <w:rsid w:val="72B56DCF"/>
    <w:rsid w:val="72D54D7C"/>
    <w:rsid w:val="72E41463"/>
    <w:rsid w:val="72EA7879"/>
    <w:rsid w:val="73100899"/>
    <w:rsid w:val="73225B94"/>
    <w:rsid w:val="733C2C1D"/>
    <w:rsid w:val="733E45E2"/>
    <w:rsid w:val="734032E5"/>
    <w:rsid w:val="7343262D"/>
    <w:rsid w:val="739F35DC"/>
    <w:rsid w:val="73B9469D"/>
    <w:rsid w:val="73C848E1"/>
    <w:rsid w:val="73CC71D9"/>
    <w:rsid w:val="73CD0149"/>
    <w:rsid w:val="73DD1399"/>
    <w:rsid w:val="73E50155"/>
    <w:rsid w:val="740F108B"/>
    <w:rsid w:val="742E48A2"/>
    <w:rsid w:val="74356371"/>
    <w:rsid w:val="74485A21"/>
    <w:rsid w:val="7453712C"/>
    <w:rsid w:val="74614F7E"/>
    <w:rsid w:val="748527D2"/>
    <w:rsid w:val="74885923"/>
    <w:rsid w:val="74BE7A92"/>
    <w:rsid w:val="752244C4"/>
    <w:rsid w:val="753C303D"/>
    <w:rsid w:val="753C676E"/>
    <w:rsid w:val="75623F7A"/>
    <w:rsid w:val="75661B24"/>
    <w:rsid w:val="75693EA1"/>
    <w:rsid w:val="75862CA5"/>
    <w:rsid w:val="758F1B5A"/>
    <w:rsid w:val="75901DEC"/>
    <w:rsid w:val="75F070A2"/>
    <w:rsid w:val="75F220E9"/>
    <w:rsid w:val="760112C4"/>
    <w:rsid w:val="76226050"/>
    <w:rsid w:val="76257DC8"/>
    <w:rsid w:val="765B5EE0"/>
    <w:rsid w:val="765C2956"/>
    <w:rsid w:val="76830F93"/>
    <w:rsid w:val="768A40CF"/>
    <w:rsid w:val="76EA0007"/>
    <w:rsid w:val="77130569"/>
    <w:rsid w:val="771A5453"/>
    <w:rsid w:val="77451EE3"/>
    <w:rsid w:val="775A4C01"/>
    <w:rsid w:val="775F28C4"/>
    <w:rsid w:val="77784870"/>
    <w:rsid w:val="77925931"/>
    <w:rsid w:val="77AC08AF"/>
    <w:rsid w:val="77B1707B"/>
    <w:rsid w:val="77B358A8"/>
    <w:rsid w:val="77B41E61"/>
    <w:rsid w:val="77B94B74"/>
    <w:rsid w:val="77C83101"/>
    <w:rsid w:val="77FC724F"/>
    <w:rsid w:val="78041B5D"/>
    <w:rsid w:val="782F3180"/>
    <w:rsid w:val="78704A1B"/>
    <w:rsid w:val="787D038F"/>
    <w:rsid w:val="78841FA2"/>
    <w:rsid w:val="78BF0CEF"/>
    <w:rsid w:val="78D43D28"/>
    <w:rsid w:val="78E357B6"/>
    <w:rsid w:val="78FE2050"/>
    <w:rsid w:val="79197617"/>
    <w:rsid w:val="79314CD6"/>
    <w:rsid w:val="79664F44"/>
    <w:rsid w:val="79B10C2A"/>
    <w:rsid w:val="79E86C4B"/>
    <w:rsid w:val="79FA5A10"/>
    <w:rsid w:val="7A067F11"/>
    <w:rsid w:val="7A1E7F83"/>
    <w:rsid w:val="7A2465E9"/>
    <w:rsid w:val="7A2544C3"/>
    <w:rsid w:val="7A2B0EC7"/>
    <w:rsid w:val="7A2C78CF"/>
    <w:rsid w:val="7A37631C"/>
    <w:rsid w:val="7A401675"/>
    <w:rsid w:val="7A513882"/>
    <w:rsid w:val="7A5F39FD"/>
    <w:rsid w:val="7A603412"/>
    <w:rsid w:val="7A60795F"/>
    <w:rsid w:val="7A6D7F90"/>
    <w:rsid w:val="7A6E28DC"/>
    <w:rsid w:val="7A77746B"/>
    <w:rsid w:val="7A955AA3"/>
    <w:rsid w:val="7A9C6A29"/>
    <w:rsid w:val="7AB17498"/>
    <w:rsid w:val="7AB20E73"/>
    <w:rsid w:val="7AC36A5F"/>
    <w:rsid w:val="7AD85D51"/>
    <w:rsid w:val="7AEB57A3"/>
    <w:rsid w:val="7AFD1AC8"/>
    <w:rsid w:val="7B162A55"/>
    <w:rsid w:val="7B2A1259"/>
    <w:rsid w:val="7B4231CA"/>
    <w:rsid w:val="7B62481E"/>
    <w:rsid w:val="7B786BEC"/>
    <w:rsid w:val="7B850C69"/>
    <w:rsid w:val="7B8B33BC"/>
    <w:rsid w:val="7B991D4F"/>
    <w:rsid w:val="7B9C10D8"/>
    <w:rsid w:val="7BB63A0E"/>
    <w:rsid w:val="7BDF2C39"/>
    <w:rsid w:val="7C137C33"/>
    <w:rsid w:val="7C5E5EE7"/>
    <w:rsid w:val="7C7C270C"/>
    <w:rsid w:val="7C7C7476"/>
    <w:rsid w:val="7C857813"/>
    <w:rsid w:val="7C907F65"/>
    <w:rsid w:val="7CB579CC"/>
    <w:rsid w:val="7CBE4AD3"/>
    <w:rsid w:val="7CC9189C"/>
    <w:rsid w:val="7CDC13FD"/>
    <w:rsid w:val="7CDC31AB"/>
    <w:rsid w:val="7CF60710"/>
    <w:rsid w:val="7D00333D"/>
    <w:rsid w:val="7D1E3461"/>
    <w:rsid w:val="7D7F551F"/>
    <w:rsid w:val="7D9B4867"/>
    <w:rsid w:val="7DE02B9F"/>
    <w:rsid w:val="7DEA50D6"/>
    <w:rsid w:val="7DF65765"/>
    <w:rsid w:val="7E0C5521"/>
    <w:rsid w:val="7E0D4106"/>
    <w:rsid w:val="7E292138"/>
    <w:rsid w:val="7E2F3AA9"/>
    <w:rsid w:val="7E491248"/>
    <w:rsid w:val="7E53749D"/>
    <w:rsid w:val="7E6713D7"/>
    <w:rsid w:val="7E68119A"/>
    <w:rsid w:val="7E7A0ECD"/>
    <w:rsid w:val="7E902D53"/>
    <w:rsid w:val="7E9B156F"/>
    <w:rsid w:val="7EDC3936"/>
    <w:rsid w:val="7EDE145C"/>
    <w:rsid w:val="7EEA1BAF"/>
    <w:rsid w:val="7EF1152A"/>
    <w:rsid w:val="7EFBD012"/>
    <w:rsid w:val="7F1A6794"/>
    <w:rsid w:val="7F231565"/>
    <w:rsid w:val="7F42696A"/>
    <w:rsid w:val="7F4905AB"/>
    <w:rsid w:val="7F631961"/>
    <w:rsid w:val="7F741DC0"/>
    <w:rsid w:val="7F8F09A8"/>
    <w:rsid w:val="7F9E2999"/>
    <w:rsid w:val="7FA501CC"/>
    <w:rsid w:val="7FBD72C3"/>
    <w:rsid w:val="7FCA5830"/>
    <w:rsid w:val="7FD8234F"/>
    <w:rsid w:val="7FE42AA2"/>
    <w:rsid w:val="7FE8697E"/>
    <w:rsid w:val="7FF2742E"/>
    <w:rsid w:val="BFDF8ECF"/>
    <w:rsid w:val="DDAB9D69"/>
    <w:rsid w:val="F4FB89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宋体" w:hAnsi="等线" w:eastAsia="等线" w:cs="Times New Roman"/>
      <w:kern w:val="2"/>
      <w:sz w:val="24"/>
      <w:lang w:val="en-US" w:eastAsia="zh-CN" w:bidi="ar-SA"/>
    </w:rPr>
  </w:style>
  <w:style w:type="paragraph" w:styleId="4">
    <w:name w:val="heading 1"/>
    <w:basedOn w:val="1"/>
    <w:next w:val="1"/>
    <w:qFormat/>
    <w:uiPriority w:val="0"/>
    <w:pPr>
      <w:autoSpaceDE w:val="0"/>
      <w:autoSpaceDN w:val="0"/>
      <w:adjustRightInd w:val="0"/>
      <w:jc w:val="left"/>
      <w:outlineLvl w:val="0"/>
    </w:pPr>
    <w:rPr>
      <w:kern w:val="0"/>
      <w:sz w:val="30"/>
    </w:rPr>
  </w:style>
  <w:style w:type="paragraph" w:styleId="5">
    <w:name w:val="heading 2"/>
    <w:basedOn w:val="1"/>
    <w:next w:val="1"/>
    <w:qFormat/>
    <w:uiPriority w:val="0"/>
    <w:pPr>
      <w:autoSpaceDE w:val="0"/>
      <w:autoSpaceDN w:val="0"/>
      <w:adjustRightInd w:val="0"/>
      <w:jc w:val="left"/>
      <w:outlineLvl w:val="1"/>
    </w:pPr>
    <w:rPr>
      <w:kern w:val="0"/>
    </w:rPr>
  </w:style>
  <w:style w:type="paragraph" w:styleId="6">
    <w:name w:val="heading 3"/>
    <w:basedOn w:val="1"/>
    <w:next w:val="1"/>
    <w:link w:val="52"/>
    <w:qFormat/>
    <w:uiPriority w:val="0"/>
    <w:pPr>
      <w:keepNext/>
      <w:keepLines/>
      <w:outlineLvl w:val="2"/>
    </w:pPr>
    <w:rPr>
      <w:rFonts w:hint="default" w:ascii="Times New Roman" w:hAnsi="Times New Roman" w:eastAsia="宋体"/>
      <w:b/>
    </w:rPr>
  </w:style>
  <w:style w:type="paragraph" w:styleId="7">
    <w:name w:val="heading 4"/>
    <w:basedOn w:val="1"/>
    <w:next w:val="1"/>
    <w:qFormat/>
    <w:uiPriority w:val="0"/>
    <w:pPr>
      <w:keepNext/>
      <w:keepLines/>
      <w:spacing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样式 宋体 行距: 1.5 倍行距"/>
    <w:basedOn w:val="3"/>
    <w:next w:val="1"/>
    <w:qFormat/>
    <w:uiPriority w:val="0"/>
    <w:pPr>
      <w:jc w:val="center"/>
    </w:pPr>
    <w:rPr>
      <w:rFonts w:ascii="Times New Roman" w:hAnsi="Times New Roman" w:cs="Times New Roman"/>
      <w:b/>
    </w:r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
    <w:qFormat/>
    <w:uiPriority w:val="0"/>
    <w:pPr>
      <w:widowControl w:val="0"/>
      <w:jc w:val="both"/>
    </w:pPr>
    <w:rPr>
      <w:rFonts w:ascii="Calibri" w:hAnsi="Calibri" w:eastAsia="宋体" w:cs="黑体"/>
      <w:kern w:val="2"/>
      <w:sz w:val="21"/>
      <w:szCs w:val="24"/>
      <w:lang w:val="en-US" w:eastAsia="zh-CN" w:bidi="ar-SA"/>
    </w:rPr>
  </w:style>
  <w:style w:type="paragraph" w:styleId="8">
    <w:name w:val="Normal Indent"/>
    <w:basedOn w:val="1"/>
    <w:qFormat/>
    <w:uiPriority w:val="0"/>
    <w:pPr>
      <w:widowControl/>
      <w:ind w:firstLine="420"/>
      <w:jc w:val="left"/>
    </w:pPr>
    <w:rPr>
      <w:kern w:val="0"/>
      <w:sz w:val="20"/>
    </w:rPr>
  </w:style>
  <w:style w:type="paragraph" w:styleId="9">
    <w:name w:val="annotation text"/>
    <w:basedOn w:val="1"/>
    <w:qFormat/>
    <w:uiPriority w:val="0"/>
    <w:pPr>
      <w:jc w:val="left"/>
    </w:pPr>
    <w:rPr>
      <w:rFonts w:hint="default" w:ascii="Times New Roman" w:hAnsi="Times New Roman" w:eastAsia="宋体"/>
      <w:sz w:val="21"/>
    </w:rPr>
  </w:style>
  <w:style w:type="paragraph" w:styleId="10">
    <w:name w:val="Body Text"/>
    <w:basedOn w:val="1"/>
    <w:next w:val="11"/>
    <w:qFormat/>
    <w:uiPriority w:val="0"/>
  </w:style>
  <w:style w:type="paragraph" w:styleId="11">
    <w:name w:val="Body Text 2"/>
    <w:basedOn w:val="1"/>
    <w:next w:val="10"/>
    <w:qFormat/>
    <w:uiPriority w:val="0"/>
    <w:pPr>
      <w:spacing w:line="500" w:lineRule="exact"/>
    </w:pPr>
  </w:style>
  <w:style w:type="paragraph" w:styleId="12">
    <w:name w:val="Body Text Indent"/>
    <w:basedOn w:val="1"/>
    <w:qFormat/>
    <w:uiPriority w:val="0"/>
    <w:pPr>
      <w:ind w:firstLine="560" w:firstLineChars="200"/>
    </w:pPr>
  </w:style>
  <w:style w:type="paragraph" w:styleId="13">
    <w:name w:val="toc 3"/>
    <w:basedOn w:val="1"/>
    <w:next w:val="1"/>
    <w:qFormat/>
    <w:uiPriority w:val="39"/>
    <w:pPr>
      <w:ind w:left="840" w:leftChars="400"/>
    </w:pPr>
  </w:style>
  <w:style w:type="paragraph" w:styleId="14">
    <w:name w:val="Plain Text"/>
    <w:basedOn w:val="1"/>
    <w:qFormat/>
    <w:uiPriority w:val="0"/>
    <w:rPr>
      <w:rFonts w:hAnsi="Courier New" w:eastAsia="楷体_GB2312"/>
      <w:kern w:val="0"/>
      <w:sz w:val="20"/>
      <w:szCs w:val="24"/>
    </w:rPr>
  </w:style>
  <w:style w:type="paragraph" w:styleId="15">
    <w:name w:val="Body Text Indent 2"/>
    <w:basedOn w:val="1"/>
    <w:qFormat/>
    <w:uiPriority w:val="0"/>
    <w:pPr>
      <w:spacing w:line="480" w:lineRule="auto"/>
      <w:ind w:firstLine="561"/>
    </w:pPr>
  </w:style>
  <w:style w:type="paragraph" w:styleId="16">
    <w:name w:val="Balloon Text"/>
    <w:basedOn w:val="1"/>
    <w:link w:val="73"/>
    <w:qFormat/>
    <w:uiPriority w:val="0"/>
    <w:rPr>
      <w:sz w:val="18"/>
      <w:szCs w:val="18"/>
    </w:rPr>
  </w:style>
  <w:style w:type="paragraph" w:styleId="17">
    <w:name w:val="footer"/>
    <w:basedOn w:val="1"/>
    <w:next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9">
    <w:name w:val="toc 1"/>
    <w:basedOn w:val="20"/>
    <w:next w:val="1"/>
    <w:qFormat/>
    <w:uiPriority w:val="39"/>
  </w:style>
  <w:style w:type="paragraph" w:styleId="20">
    <w:name w:val="index 1"/>
    <w:basedOn w:val="1"/>
    <w:next w:val="1"/>
    <w:unhideWhenUsed/>
    <w:qFormat/>
    <w:uiPriority w:val="0"/>
  </w:style>
  <w:style w:type="paragraph" w:styleId="21">
    <w:name w:val="toc 2"/>
    <w:basedOn w:val="1"/>
    <w:next w:val="1"/>
    <w:qFormat/>
    <w:uiPriority w:val="39"/>
    <w:pPr>
      <w:ind w:left="420" w:leftChars="200"/>
    </w:pPr>
  </w:style>
  <w:style w:type="paragraph" w:styleId="22">
    <w:name w:val="Normal (Web)"/>
    <w:basedOn w:val="1"/>
    <w:qFormat/>
    <w:uiPriority w:val="0"/>
    <w:pPr>
      <w:widowControl/>
      <w:spacing w:beforeAutospacing="1" w:afterAutospacing="1"/>
      <w:jc w:val="left"/>
    </w:pPr>
    <w:rPr>
      <w:rFonts w:hAnsi="宋体" w:cs="宋体"/>
      <w:color w:val="000000"/>
      <w:kern w:val="0"/>
      <w:szCs w:val="24"/>
    </w:rPr>
  </w:style>
  <w:style w:type="paragraph" w:styleId="23">
    <w:name w:val="Body Text First Indent"/>
    <w:basedOn w:val="10"/>
    <w:qFormat/>
    <w:uiPriority w:val="0"/>
    <w:pPr>
      <w:ind w:firstLine="42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FollowedHyperlink"/>
    <w:basedOn w:val="26"/>
    <w:qFormat/>
    <w:uiPriority w:val="0"/>
    <w:rPr>
      <w:color w:val="333333"/>
      <w:u w:val="none"/>
    </w:rPr>
  </w:style>
  <w:style w:type="character" w:styleId="29">
    <w:name w:val="Emphasis"/>
    <w:basedOn w:val="26"/>
    <w:qFormat/>
    <w:uiPriority w:val="0"/>
    <w:rPr>
      <w:i/>
    </w:rPr>
  </w:style>
  <w:style w:type="character" w:styleId="30">
    <w:name w:val="HTML Variable"/>
    <w:basedOn w:val="26"/>
    <w:qFormat/>
    <w:uiPriority w:val="0"/>
    <w:rPr>
      <w:i/>
    </w:rPr>
  </w:style>
  <w:style w:type="character" w:styleId="31">
    <w:name w:val="Hyperlink"/>
    <w:basedOn w:val="26"/>
    <w:qFormat/>
    <w:uiPriority w:val="0"/>
    <w:rPr>
      <w:color w:val="333333"/>
      <w:u w:val="none"/>
    </w:rPr>
  </w:style>
  <w:style w:type="character" w:styleId="32">
    <w:name w:val="HTML Code"/>
    <w:basedOn w:val="26"/>
    <w:qFormat/>
    <w:uiPriority w:val="0"/>
    <w:rPr>
      <w:rFonts w:ascii="Courier New" w:hAnsi="Courier New"/>
      <w:sz w:val="20"/>
    </w:rPr>
  </w:style>
  <w:style w:type="character" w:styleId="33">
    <w:name w:val="HTML Cite"/>
    <w:basedOn w:val="26"/>
    <w:qFormat/>
    <w:uiPriority w:val="0"/>
    <w:rPr>
      <w:i/>
    </w:rPr>
  </w:style>
  <w:style w:type="paragraph" w:customStyle="1" w:styleId="3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3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7">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38">
    <w:name w:val="标题 1 New"/>
    <w:basedOn w:val="37"/>
    <w:next w:val="37"/>
    <w:qFormat/>
    <w:uiPriority w:val="0"/>
    <w:pPr>
      <w:autoSpaceDE w:val="0"/>
      <w:autoSpaceDN w:val="0"/>
      <w:adjustRightInd w:val="0"/>
      <w:jc w:val="left"/>
      <w:outlineLvl w:val="0"/>
    </w:pPr>
    <w:rPr>
      <w:kern w:val="0"/>
      <w:sz w:val="30"/>
    </w:rPr>
  </w:style>
  <w:style w:type="paragraph" w:customStyle="1" w:styleId="39">
    <w:name w:val="标题 2 New New"/>
    <w:basedOn w:val="37"/>
    <w:next w:val="37"/>
    <w:qFormat/>
    <w:uiPriority w:val="0"/>
    <w:pPr>
      <w:autoSpaceDE w:val="0"/>
      <w:autoSpaceDN w:val="0"/>
      <w:adjustRightInd w:val="0"/>
      <w:jc w:val="left"/>
      <w:outlineLvl w:val="1"/>
    </w:pPr>
    <w:rPr>
      <w:kern w:val="0"/>
    </w:rPr>
  </w:style>
  <w:style w:type="paragraph" w:customStyle="1" w:styleId="4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Normal Indent1"/>
    <w:basedOn w:val="1"/>
    <w:qFormat/>
    <w:uiPriority w:val="0"/>
    <w:pPr>
      <w:widowControl/>
      <w:spacing w:line="360" w:lineRule="auto"/>
      <w:ind w:firstLine="420"/>
      <w:jc w:val="left"/>
    </w:pPr>
    <w:rPr>
      <w:rFonts w:hAnsi="Times New Roman"/>
      <w:kern w:val="0"/>
      <w:sz w:val="20"/>
    </w:rPr>
  </w:style>
  <w:style w:type="paragraph" w:customStyle="1" w:styleId="42">
    <w:name w:val="正文缩进1"/>
    <w:basedOn w:val="1"/>
    <w:qFormat/>
    <w:uiPriority w:val="0"/>
    <w:pPr>
      <w:widowControl/>
      <w:spacing w:line="360" w:lineRule="auto"/>
      <w:ind w:firstLine="420"/>
      <w:jc w:val="left"/>
    </w:pPr>
    <w:rPr>
      <w:rFonts w:hAnsi="Times New Roman"/>
      <w:kern w:val="0"/>
      <w:sz w:val="20"/>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New New New New New New New New Ne2"/>
    <w:next w:val="2"/>
    <w:qFormat/>
    <w:uiPriority w:val="0"/>
    <w:pPr>
      <w:widowControl w:val="0"/>
      <w:jc w:val="both"/>
    </w:pPr>
    <w:rPr>
      <w:rFonts w:ascii="Calibri" w:hAnsi="Calibri" w:eastAsia="宋体" w:cs="黑体"/>
      <w:kern w:val="2"/>
      <w:sz w:val="21"/>
      <w:szCs w:val="24"/>
      <w:lang w:val="en-US" w:eastAsia="zh-CN" w:bidi="ar-SA"/>
    </w:rPr>
  </w:style>
  <w:style w:type="paragraph" w:customStyle="1" w:styleId="45">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46">
    <w:name w:val="正文文本缩进 New New"/>
    <w:basedOn w:val="37"/>
    <w:qFormat/>
    <w:uiPriority w:val="0"/>
    <w:pPr>
      <w:ind w:firstLine="560" w:firstLineChars="200"/>
    </w:pPr>
  </w:style>
  <w:style w:type="paragraph" w:customStyle="1" w:styleId="47">
    <w:name w:val="正文文本缩进 3 New"/>
    <w:basedOn w:val="37"/>
    <w:qFormat/>
    <w:uiPriority w:val="0"/>
    <w:pPr>
      <w:ind w:firstLine="560"/>
    </w:pPr>
    <w:rPr>
      <w:color w:val="FF0000"/>
    </w:rPr>
  </w:style>
  <w:style w:type="paragraph" w:customStyle="1" w:styleId="48">
    <w:name w:val="标题 3 New New New"/>
    <w:basedOn w:val="49"/>
    <w:next w:val="49"/>
    <w:qFormat/>
    <w:uiPriority w:val="0"/>
    <w:pPr>
      <w:keepNext/>
      <w:keepLines/>
      <w:jc w:val="center"/>
      <w:outlineLvl w:val="2"/>
    </w:pPr>
    <w:rPr>
      <w:sz w:val="24"/>
    </w:rPr>
  </w:style>
  <w:style w:type="paragraph" w:customStyle="1" w:styleId="49">
    <w:name w:val="正文缩进 New"/>
    <w:basedOn w:val="50"/>
    <w:qFormat/>
    <w:uiPriority w:val="0"/>
    <w:pPr>
      <w:widowControl/>
      <w:ind w:firstLine="420"/>
      <w:jc w:val="left"/>
    </w:pPr>
    <w:rPr>
      <w:kern w:val="0"/>
      <w:sz w:val="20"/>
    </w:rPr>
  </w:style>
  <w:style w:type="paragraph" w:customStyle="1" w:styleId="50">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1">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2">
    <w:name w:val="标题 3 Char"/>
    <w:link w:val="6"/>
    <w:qFormat/>
    <w:uiPriority w:val="0"/>
    <w:rPr>
      <w:rFonts w:hint="default" w:ascii="Times New Roman" w:hAnsi="Times New Roman" w:eastAsia="宋体"/>
      <w:b/>
    </w:rPr>
  </w:style>
  <w:style w:type="character" w:customStyle="1" w:styleId="53">
    <w:name w:val="NormalCharacter"/>
    <w:semiHidden/>
    <w:qFormat/>
    <w:uiPriority w:val="0"/>
    <w:rPr>
      <w:rFonts w:ascii="宋体"/>
      <w:kern w:val="2"/>
      <w:sz w:val="24"/>
      <w:lang w:val="en-US" w:eastAsia="zh-CN" w:bidi="ar-SA"/>
    </w:rPr>
  </w:style>
  <w:style w:type="paragraph" w:customStyle="1" w:styleId="54">
    <w:name w:val="标题 2 New New New"/>
    <w:basedOn w:val="55"/>
    <w:next w:val="55"/>
    <w:qFormat/>
    <w:uiPriority w:val="0"/>
    <w:pPr>
      <w:autoSpaceDE w:val="0"/>
      <w:autoSpaceDN w:val="0"/>
      <w:adjustRightInd w:val="0"/>
      <w:jc w:val="left"/>
      <w:outlineLvl w:val="1"/>
    </w:pPr>
  </w:style>
  <w:style w:type="paragraph" w:customStyle="1" w:styleId="55">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6">
    <w:name w:val="普通(网站) New"/>
    <w:basedOn w:val="57"/>
    <w:qFormat/>
    <w:uiPriority w:val="0"/>
    <w:rPr>
      <w:sz w:val="24"/>
    </w:rPr>
  </w:style>
  <w:style w:type="paragraph" w:customStyle="1" w:styleId="57">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8">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59">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1">
    <w:name w:val="YJ22 Char"/>
    <w:link w:val="62"/>
    <w:qFormat/>
    <w:uiPriority w:val="0"/>
    <w:rPr>
      <w:rFonts w:ascii="Times New Roman" w:hAnsi="宋体"/>
      <w:b/>
      <w:kern w:val="0"/>
      <w:sz w:val="20"/>
    </w:rPr>
  </w:style>
  <w:style w:type="paragraph" w:customStyle="1" w:styleId="62">
    <w:name w:val="YJ22"/>
    <w:basedOn w:val="37"/>
    <w:next w:val="37"/>
    <w:link w:val="61"/>
    <w:qFormat/>
    <w:uiPriority w:val="0"/>
    <w:pPr>
      <w:autoSpaceDE w:val="0"/>
      <w:autoSpaceDN w:val="0"/>
      <w:adjustRightInd w:val="0"/>
      <w:jc w:val="left"/>
      <w:outlineLvl w:val="1"/>
    </w:pPr>
    <w:rPr>
      <w:rFonts w:ascii="Times New Roman" w:hAnsi="宋体"/>
      <w:b/>
      <w:kern w:val="0"/>
      <w:sz w:val="20"/>
    </w:rPr>
  </w:style>
  <w:style w:type="paragraph" w:customStyle="1" w:styleId="63">
    <w:name w:val="正文文本缩进 New"/>
    <w:basedOn w:val="64"/>
    <w:qFormat/>
    <w:uiPriority w:val="0"/>
    <w:pPr>
      <w:ind w:firstLine="560" w:firstLineChars="200"/>
    </w:pPr>
  </w:style>
  <w:style w:type="paragraph" w:customStyle="1" w:styleId="64">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正文文本缩进 New New New New"/>
    <w:basedOn w:val="66"/>
    <w:qFormat/>
    <w:uiPriority w:val="0"/>
    <w:pPr>
      <w:ind w:firstLine="560" w:firstLineChars="200"/>
    </w:pPr>
    <w:rPr>
      <w:szCs w:val="28"/>
    </w:rPr>
  </w:style>
  <w:style w:type="paragraph" w:customStyle="1" w:styleId="66">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7">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正文文本缩进 New New New New New New New"/>
    <w:basedOn w:val="67"/>
    <w:qFormat/>
    <w:uiPriority w:val="0"/>
    <w:pPr>
      <w:ind w:left="420" w:leftChars="200"/>
    </w:pPr>
    <w:rPr>
      <w:szCs w:val="24"/>
    </w:rPr>
  </w:style>
  <w:style w:type="paragraph" w:customStyle="1" w:styleId="69">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0">
    <w:name w:val="正文文本缩进 New New New New New New New New"/>
    <w:basedOn w:val="69"/>
    <w:qFormat/>
    <w:uiPriority w:val="0"/>
    <w:pPr>
      <w:ind w:left="420" w:leftChars="200"/>
    </w:pPr>
    <w:rPr>
      <w:szCs w:val="24"/>
    </w:rPr>
  </w:style>
  <w:style w:type="paragraph" w:customStyle="1" w:styleId="71">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2">
    <w:name w:val="页脚 New"/>
    <w:basedOn w:val="37"/>
    <w:qFormat/>
    <w:uiPriority w:val="0"/>
    <w:pPr>
      <w:widowControl/>
      <w:tabs>
        <w:tab w:val="center" w:pos="4153"/>
        <w:tab w:val="right" w:pos="8306"/>
      </w:tabs>
      <w:snapToGrid w:val="0"/>
      <w:jc w:val="left"/>
    </w:pPr>
    <w:rPr>
      <w:kern w:val="0"/>
      <w:sz w:val="18"/>
    </w:rPr>
  </w:style>
  <w:style w:type="character" w:customStyle="1" w:styleId="73">
    <w:name w:val="批注框文本 Char"/>
    <w:basedOn w:val="26"/>
    <w:link w:val="16"/>
    <w:qFormat/>
    <w:uiPriority w:val="0"/>
    <w:rPr>
      <w:rFonts w:ascii="宋体" w:hAnsi="等线" w:eastAsia="等线" w:cs="Times New Roman"/>
      <w:kern w:val="2"/>
      <w:sz w:val="18"/>
      <w:szCs w:val="18"/>
    </w:rPr>
  </w:style>
  <w:style w:type="character" w:customStyle="1" w:styleId="74">
    <w:name w:val="hover21"/>
    <w:basedOn w:val="26"/>
    <w:qFormat/>
    <w:uiPriority w:val="0"/>
    <w:rPr>
      <w:color w:val="5FB878"/>
    </w:rPr>
  </w:style>
  <w:style w:type="character" w:customStyle="1" w:styleId="75">
    <w:name w:val="hover22"/>
    <w:basedOn w:val="26"/>
    <w:qFormat/>
    <w:uiPriority w:val="0"/>
    <w:rPr>
      <w:color w:val="5FB878"/>
    </w:rPr>
  </w:style>
  <w:style w:type="character" w:customStyle="1" w:styleId="76">
    <w:name w:val="hover23"/>
    <w:basedOn w:val="26"/>
    <w:qFormat/>
    <w:uiPriority w:val="0"/>
    <w:rPr>
      <w:color w:val="FFFFFF"/>
    </w:rPr>
  </w:style>
  <w:style w:type="paragraph" w:customStyle="1" w:styleId="77">
    <w:name w:val="正文文本 New"/>
    <w:basedOn w:val="37"/>
    <w:qFormat/>
    <w:uiPriority w:val="0"/>
    <w:pPr>
      <w:spacing w:after="120" w:afterLines="0" w:afterAutospacing="0"/>
    </w:pPr>
  </w:style>
  <w:style w:type="paragraph" w:customStyle="1" w:styleId="78">
    <w:name w:val="正文 New New New New New New New New New New New New New New New New New New New New New New New New New New New New New New New New New New New New New New New New New New New New New New New New New New New New New New New New New New New New"/>
    <w:next w:val="2"/>
    <w:unhideWhenUsed/>
    <w:qFormat/>
    <w:uiPriority w:val="0"/>
    <w:pPr>
      <w:widowControl w:val="0"/>
      <w:spacing w:beforeLines="0" w:afterLines="0"/>
      <w:jc w:val="both"/>
    </w:pPr>
    <w:rPr>
      <w:rFonts w:hint="default" w:ascii="Calibri" w:hAnsi="Calibri" w:eastAsia="宋体" w:cs="黑体"/>
      <w:kern w:val="2"/>
      <w:sz w:val="21"/>
      <w:szCs w:val="24"/>
      <w:lang w:val="en-US" w:eastAsia="zh-CN" w:bidi="ar-SA"/>
    </w:rPr>
  </w:style>
  <w:style w:type="paragraph" w:customStyle="1" w:styleId="79">
    <w:name w:val="标题 21"/>
    <w:basedOn w:val="1"/>
    <w:qFormat/>
    <w:uiPriority w:val="0"/>
    <w:pPr>
      <w:autoSpaceDE w:val="0"/>
      <w:autoSpaceDN w:val="0"/>
      <w:jc w:val="left"/>
      <w:outlineLvl w:val="1"/>
    </w:pPr>
    <w:rPr>
      <w:kern w:val="0"/>
      <w:sz w:val="24"/>
    </w:rPr>
  </w:style>
  <w:style w:type="paragraph" w:styleId="80">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124</Pages>
  <Words>5554</Words>
  <Characters>5963</Characters>
  <Lines>1</Lines>
  <Paragraphs>1</Paragraphs>
  <TotalTime>5</TotalTime>
  <ScaleCrop>false</ScaleCrop>
  <LinksUpToDate>false</LinksUpToDate>
  <CharactersWithSpaces>6117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2023-11-12T02:36:00Z</dcterms:created>
  <dc:creator>Chen~小璇</dc:creator>
  <cp:lastModifiedBy>Macho</cp:lastModifiedBy>
  <cp:lastPrinted>2025-05-15T06:51:00Z</cp:lastPrinted>
  <dcterms:modified xsi:type="dcterms:W3CDTF">2026-09-24T04:37:20Z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F39744D6DFF348CEA0AEF9578C952AF7_13</vt:lpwstr>
  </property>
  <property fmtid="{D5CDD505-2E9C-101B-9397-08002B2CF9AE}" pid="4" name="KSOTemplateDocerSaveRecord">
    <vt:lpwstr>eyJoZGlkIjoiNjQ5NDVjMDgxNThlZmFmMGYzMDNkMjJmYjkzNmU2ZDYiLCJ1c2VySWQiOiIyMDY3NjIxMDMifQ==</vt:lpwstr>
  </property>
</Properties>
</file>