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E8D0E">
      <w:pPr>
        <w:rPr>
          <w:rFonts w:hint="eastAsia" w:ascii="宋体" w:hAnsi="宋体" w:eastAsia="宋体" w:cs="宋体"/>
          <w:color w:val="auto"/>
          <w:lang w:eastAsia="zh-CN"/>
        </w:rPr>
      </w:pPr>
      <w:r>
        <w:rPr>
          <w:rFonts w:hint="eastAsia" w:ascii="宋体" w:hAnsi="宋体" w:eastAsia="宋体" w:cs="宋体"/>
          <w:color w:val="auto"/>
          <w:lang w:eastAsia="zh-CN"/>
        </w:rPr>
        <w:drawing>
          <wp:inline distT="0" distB="0" distL="114300" distR="114300">
            <wp:extent cx="6104890" cy="8641080"/>
            <wp:effectExtent l="0" t="0" r="10160" b="7620"/>
            <wp:docPr id="3" name="图片 3" descr="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封面_01"/>
                    <pic:cNvPicPr>
                      <a:picLocks noChangeAspect="1"/>
                    </pic:cNvPicPr>
                  </pic:nvPicPr>
                  <pic:blipFill>
                    <a:blip r:embed="rId7"/>
                    <a:stretch>
                      <a:fillRect/>
                    </a:stretch>
                  </pic:blipFill>
                  <pic:spPr>
                    <a:xfrm>
                      <a:off x="0" y="0"/>
                      <a:ext cx="6104890" cy="8641080"/>
                    </a:xfrm>
                    <a:prstGeom prst="rect">
                      <a:avLst/>
                    </a:prstGeom>
                  </pic:spPr>
                </pic:pic>
              </a:graphicData>
            </a:graphic>
          </wp:inline>
        </w:drawing>
      </w:r>
    </w:p>
    <w:p w14:paraId="06E9E63E">
      <w:pPr>
        <w:rPr>
          <w:rFonts w:hint="eastAsia" w:ascii="宋体" w:hAnsi="宋体" w:eastAsia="宋体" w:cs="宋体"/>
          <w:color w:val="auto"/>
        </w:rPr>
      </w:pPr>
    </w:p>
    <w:p w14:paraId="4259AAF1">
      <w:pPr>
        <w:tabs>
          <w:tab w:val="left" w:pos="4935"/>
        </w:tabs>
        <w:snapToGrid w:val="0"/>
        <w:spacing w:line="440" w:lineRule="exact"/>
        <w:jc w:val="center"/>
        <w:rPr>
          <w:rStyle w:val="26"/>
          <w:rFonts w:hint="eastAsia" w:ascii="宋体" w:hAnsi="宋体" w:eastAsia="宋体" w:cs="宋体"/>
          <w:b/>
          <w:bCs/>
          <w:color w:val="auto"/>
          <w:kern w:val="0"/>
          <w:sz w:val="36"/>
          <w:szCs w:val="36"/>
          <w:highlight w:val="none"/>
        </w:rPr>
      </w:pPr>
      <w:bookmarkStart w:id="500" w:name="_GoBack"/>
      <w:bookmarkEnd w:id="500"/>
      <w:r>
        <w:rPr>
          <w:rStyle w:val="26"/>
          <w:rFonts w:hint="eastAsia" w:ascii="宋体" w:hAnsi="宋体" w:eastAsia="宋体" w:cs="宋体"/>
          <w:b/>
          <w:bCs/>
          <w:color w:val="auto"/>
          <w:kern w:val="0"/>
          <w:sz w:val="28"/>
          <w:szCs w:val="28"/>
          <w:highlight w:val="none"/>
        </w:rPr>
        <w:t>目   录</w:t>
      </w:r>
    </w:p>
    <w:p w14:paraId="230661BC">
      <w:pPr>
        <w:pStyle w:val="15"/>
        <w:tabs>
          <w:tab w:val="right" w:leader="dot" w:pos="9638"/>
        </w:tabs>
        <w:rPr>
          <w:rFonts w:hint="eastAsia" w:ascii="宋体" w:hAnsi="宋体" w:eastAsia="宋体" w:cs="宋体"/>
          <w:color w:val="auto"/>
        </w:rPr>
      </w:pPr>
      <w:r>
        <w:rPr>
          <w:rStyle w:val="26"/>
          <w:rFonts w:hint="eastAsia" w:ascii="宋体" w:hAnsi="宋体" w:eastAsia="宋体" w:cs="宋体"/>
          <w:color w:val="auto"/>
          <w:sz w:val="21"/>
          <w:szCs w:val="21"/>
          <w:highlight w:val="none"/>
        </w:rPr>
        <w:fldChar w:fldCharType="begin"/>
      </w:r>
      <w:r>
        <w:rPr>
          <w:rStyle w:val="26"/>
          <w:rFonts w:hint="eastAsia" w:ascii="宋体" w:hAnsi="宋体" w:eastAsia="宋体" w:cs="宋体"/>
          <w:color w:val="auto"/>
          <w:sz w:val="21"/>
          <w:szCs w:val="21"/>
          <w:highlight w:val="none"/>
        </w:rPr>
        <w:instrText xml:space="preserve">TOC \o "1-2" \h \u </w:instrText>
      </w:r>
      <w:r>
        <w:rPr>
          <w:rStyle w:val="26"/>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_Toc25649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第一章</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投标人须知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_Toc25649 \h </w:instrText>
      </w:r>
      <w:r>
        <w:rPr>
          <w:rFonts w:hint="eastAsia" w:ascii="宋体" w:hAnsi="宋体" w:eastAsia="宋体" w:cs="宋体"/>
          <w:color w:val="auto"/>
        </w:rPr>
        <w:fldChar w:fldCharType="separate"/>
      </w:r>
      <w:r>
        <w:rPr>
          <w:rFonts w:hint="eastAsia" w:ascii="宋体" w:hAnsi="宋体" w:eastAsia="宋体" w:cs="宋体"/>
          <w:color w:val="auto"/>
        </w:rPr>
        <w:t>3</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01875322">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_Toc12153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第一节   投标人须知前附表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_Toc12153 \h </w:instrText>
      </w:r>
      <w:r>
        <w:rPr>
          <w:rFonts w:hint="eastAsia" w:ascii="宋体" w:hAnsi="宋体" w:eastAsia="宋体" w:cs="宋体"/>
          <w:color w:val="auto"/>
        </w:rPr>
        <w:fldChar w:fldCharType="separate"/>
      </w:r>
      <w:r>
        <w:rPr>
          <w:rFonts w:hint="eastAsia" w:ascii="宋体" w:hAnsi="宋体" w:eastAsia="宋体" w:cs="宋体"/>
          <w:color w:val="auto"/>
        </w:rPr>
        <w:t>3</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4EDD387E">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_Toc24650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第二节   重要事项时间地点一览表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_Toc24650 \h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DD2FBF8">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_Toc12489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第三节   投标人须知正文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_Toc12489 \h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150A278">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_Toc1447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第四节   否决投标条件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_Toc1447 \h </w:instrText>
      </w:r>
      <w:r>
        <w:rPr>
          <w:rFonts w:hint="eastAsia" w:ascii="宋体" w:hAnsi="宋体" w:eastAsia="宋体" w:cs="宋体"/>
          <w:color w:val="auto"/>
        </w:rPr>
        <w:fldChar w:fldCharType="separate"/>
      </w:r>
      <w:r>
        <w:rPr>
          <w:rFonts w:hint="eastAsia" w:ascii="宋体" w:hAnsi="宋体" w:eastAsia="宋体" w:cs="宋体"/>
          <w:color w:val="auto"/>
        </w:rPr>
        <w:t>40</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71FB0E9">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_Toc9840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第五节   定标规定及细则（本项目采用票决数量法定标）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_Toc9840 \h </w:instrText>
      </w:r>
      <w:r>
        <w:rPr>
          <w:rFonts w:hint="eastAsia" w:ascii="宋体" w:hAnsi="宋体" w:eastAsia="宋体" w:cs="宋体"/>
          <w:color w:val="auto"/>
        </w:rPr>
        <w:fldChar w:fldCharType="separate"/>
      </w:r>
      <w:r>
        <w:rPr>
          <w:rFonts w:hint="eastAsia" w:ascii="宋体" w:hAnsi="宋体" w:eastAsia="宋体" w:cs="宋体"/>
          <w:color w:val="auto"/>
        </w:rPr>
        <w:t>43</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3B7B5052">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_Toc20125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第六节   中标确认</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_Toc20125 \h </w:instrText>
      </w:r>
      <w:r>
        <w:rPr>
          <w:rFonts w:hint="eastAsia" w:ascii="宋体" w:hAnsi="宋体" w:eastAsia="宋体" w:cs="宋体"/>
          <w:color w:val="auto"/>
        </w:rPr>
        <w:fldChar w:fldCharType="separate"/>
      </w:r>
      <w:r>
        <w:rPr>
          <w:rFonts w:hint="eastAsia" w:ascii="宋体" w:hAnsi="宋体" w:eastAsia="宋体" w:cs="宋体"/>
          <w:color w:val="auto"/>
        </w:rPr>
        <w:t>46</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00FFC141">
      <w:pPr>
        <w:pStyle w:val="15"/>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_Toc15467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第二章</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中标人须知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_Toc15467 \h </w:instrText>
      </w:r>
      <w:r>
        <w:rPr>
          <w:rFonts w:hint="eastAsia" w:ascii="宋体" w:hAnsi="宋体" w:eastAsia="宋体" w:cs="宋体"/>
          <w:color w:val="auto"/>
        </w:rPr>
        <w:fldChar w:fldCharType="separate"/>
      </w:r>
      <w:r>
        <w:rPr>
          <w:rFonts w:hint="eastAsia" w:ascii="宋体" w:hAnsi="宋体" w:eastAsia="宋体" w:cs="宋体"/>
          <w:color w:val="auto"/>
        </w:rPr>
        <w:t>48</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040AF66E">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_Toc28207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1．中标通知书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_Toc28207 \h </w:instrText>
      </w:r>
      <w:r>
        <w:rPr>
          <w:rFonts w:hint="eastAsia" w:ascii="宋体" w:hAnsi="宋体" w:eastAsia="宋体" w:cs="宋体"/>
          <w:color w:val="auto"/>
        </w:rPr>
        <w:fldChar w:fldCharType="separate"/>
      </w:r>
      <w:r>
        <w:rPr>
          <w:rFonts w:hint="eastAsia" w:ascii="宋体" w:hAnsi="宋体" w:eastAsia="宋体" w:cs="宋体"/>
          <w:color w:val="auto"/>
        </w:rPr>
        <w:t>48</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EADEA80">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_Toc7369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2．中标结果公示</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_Toc7369 \h </w:instrText>
      </w:r>
      <w:r>
        <w:rPr>
          <w:rFonts w:hint="eastAsia" w:ascii="宋体" w:hAnsi="宋体" w:eastAsia="宋体" w:cs="宋体"/>
          <w:color w:val="auto"/>
        </w:rPr>
        <w:fldChar w:fldCharType="separate"/>
      </w:r>
      <w:r>
        <w:rPr>
          <w:rFonts w:hint="eastAsia" w:ascii="宋体" w:hAnsi="宋体" w:eastAsia="宋体" w:cs="宋体"/>
          <w:color w:val="auto"/>
        </w:rPr>
        <w:t>48</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2A00B8BC">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_Toc25855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3．履约保证</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_Toc25855 \h </w:instrText>
      </w:r>
      <w:r>
        <w:rPr>
          <w:rFonts w:hint="eastAsia" w:ascii="宋体" w:hAnsi="宋体" w:eastAsia="宋体" w:cs="宋体"/>
          <w:color w:val="auto"/>
        </w:rPr>
        <w:fldChar w:fldCharType="separate"/>
      </w:r>
      <w:r>
        <w:rPr>
          <w:rFonts w:hint="eastAsia" w:ascii="宋体" w:hAnsi="宋体" w:eastAsia="宋体" w:cs="宋体"/>
          <w:color w:val="auto"/>
        </w:rPr>
        <w:t>48</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1C0EF3F">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_Toc28994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4．合同订立</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_Toc28994 \h </w:instrText>
      </w:r>
      <w:r>
        <w:rPr>
          <w:rFonts w:hint="eastAsia" w:ascii="宋体" w:hAnsi="宋体" w:eastAsia="宋体" w:cs="宋体"/>
          <w:color w:val="auto"/>
        </w:rPr>
        <w:fldChar w:fldCharType="separate"/>
      </w:r>
      <w:r>
        <w:rPr>
          <w:rFonts w:hint="eastAsia" w:ascii="宋体" w:hAnsi="宋体" w:eastAsia="宋体" w:cs="宋体"/>
          <w:color w:val="auto"/>
        </w:rPr>
        <w:t>48</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6EA0C25">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_Toc15095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5．放弃中标的处理</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_Toc15095 \h </w:instrText>
      </w:r>
      <w:r>
        <w:rPr>
          <w:rFonts w:hint="eastAsia" w:ascii="宋体" w:hAnsi="宋体" w:eastAsia="宋体" w:cs="宋体"/>
          <w:color w:val="auto"/>
        </w:rPr>
        <w:fldChar w:fldCharType="separate"/>
      </w:r>
      <w:r>
        <w:rPr>
          <w:rFonts w:hint="eastAsia" w:ascii="宋体" w:hAnsi="宋体" w:eastAsia="宋体" w:cs="宋体"/>
          <w:color w:val="auto"/>
        </w:rPr>
        <w:t>49</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07FA47AE">
      <w:pPr>
        <w:pStyle w:val="15"/>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_Toc27435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第三章</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拟签订合同的主要条款</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_Toc27435 \h </w:instrText>
      </w:r>
      <w:r>
        <w:rPr>
          <w:rFonts w:hint="eastAsia" w:ascii="宋体" w:hAnsi="宋体" w:eastAsia="宋体" w:cs="宋体"/>
          <w:color w:val="auto"/>
        </w:rPr>
        <w:fldChar w:fldCharType="separate"/>
      </w:r>
      <w:r>
        <w:rPr>
          <w:rFonts w:hint="eastAsia" w:ascii="宋体" w:hAnsi="宋体" w:eastAsia="宋体" w:cs="宋体"/>
          <w:color w:val="auto"/>
        </w:rPr>
        <w:t>51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552EADB0">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_Toc13931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1．工程承包方式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_Toc13931 \h </w:instrText>
      </w:r>
      <w:r>
        <w:rPr>
          <w:rFonts w:hint="eastAsia" w:ascii="宋体" w:hAnsi="宋体" w:eastAsia="宋体" w:cs="宋体"/>
          <w:color w:val="auto"/>
        </w:rPr>
        <w:fldChar w:fldCharType="separate"/>
      </w:r>
      <w:r>
        <w:rPr>
          <w:rFonts w:hint="eastAsia" w:ascii="宋体" w:hAnsi="宋体" w:eastAsia="宋体" w:cs="宋体"/>
          <w:color w:val="auto"/>
        </w:rPr>
        <w:t>51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3C86E805">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_Toc15285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2．工程结算原则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_Toc15285 \h </w:instrText>
      </w:r>
      <w:r>
        <w:rPr>
          <w:rFonts w:hint="eastAsia" w:ascii="宋体" w:hAnsi="宋体" w:eastAsia="宋体" w:cs="宋体"/>
          <w:color w:val="auto"/>
        </w:rPr>
        <w:fldChar w:fldCharType="separate"/>
      </w:r>
      <w:r>
        <w:rPr>
          <w:rFonts w:hint="eastAsia" w:ascii="宋体" w:hAnsi="宋体" w:eastAsia="宋体" w:cs="宋体"/>
          <w:color w:val="auto"/>
        </w:rPr>
        <w:t>51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6DE04E58">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_Toc547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3．工程付款办法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_Toc547 \h </w:instrText>
      </w:r>
      <w:r>
        <w:rPr>
          <w:rFonts w:hint="eastAsia" w:ascii="宋体" w:hAnsi="宋体" w:eastAsia="宋体" w:cs="宋体"/>
          <w:color w:val="auto"/>
        </w:rPr>
        <w:fldChar w:fldCharType="separate"/>
      </w:r>
      <w:r>
        <w:rPr>
          <w:rFonts w:hint="eastAsia" w:ascii="宋体" w:hAnsi="宋体" w:eastAsia="宋体" w:cs="宋体"/>
          <w:color w:val="auto"/>
        </w:rPr>
        <w:t>56</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43377407">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_Toc18854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eastAsia="zh-CN"/>
        </w:rPr>
        <w:t>4．专用合同条款</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_Toc18854 \h </w:instrText>
      </w:r>
      <w:r>
        <w:rPr>
          <w:rFonts w:hint="eastAsia" w:ascii="宋体" w:hAnsi="宋体" w:eastAsia="宋体" w:cs="宋体"/>
          <w:color w:val="auto"/>
        </w:rPr>
        <w:fldChar w:fldCharType="separate"/>
      </w:r>
      <w:r>
        <w:rPr>
          <w:rFonts w:hint="eastAsia" w:ascii="宋体" w:hAnsi="宋体" w:eastAsia="宋体" w:cs="宋体"/>
          <w:color w:val="auto"/>
        </w:rPr>
        <w:t>58</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48F4C277">
      <w:pPr>
        <w:pStyle w:val="15"/>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_Toc2470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第四章</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技术要求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_Toc2470 \h </w:instrText>
      </w:r>
      <w:r>
        <w:rPr>
          <w:rFonts w:hint="eastAsia" w:ascii="宋体" w:hAnsi="宋体" w:eastAsia="宋体" w:cs="宋体"/>
          <w:color w:val="auto"/>
        </w:rPr>
        <w:fldChar w:fldCharType="separate"/>
      </w:r>
      <w:r>
        <w:rPr>
          <w:rFonts w:hint="eastAsia" w:ascii="宋体" w:hAnsi="宋体" w:eastAsia="宋体" w:cs="宋体"/>
          <w:color w:val="auto"/>
        </w:rPr>
        <w:t>69</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559B5753">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_Toc4412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1．房屋建筑工程建设项目</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_Toc4412 \h </w:instrText>
      </w:r>
      <w:r>
        <w:rPr>
          <w:rFonts w:hint="eastAsia" w:ascii="宋体" w:hAnsi="宋体" w:eastAsia="宋体" w:cs="宋体"/>
          <w:color w:val="auto"/>
        </w:rPr>
        <w:fldChar w:fldCharType="separate"/>
      </w:r>
      <w:r>
        <w:rPr>
          <w:rFonts w:hint="eastAsia" w:ascii="宋体" w:hAnsi="宋体" w:eastAsia="宋体" w:cs="宋体"/>
          <w:color w:val="auto"/>
        </w:rPr>
        <w:t>69</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34ECA434">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_Toc16940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2．市政基础设施工程建设项目</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_Toc16940 \h </w:instrText>
      </w:r>
      <w:r>
        <w:rPr>
          <w:rFonts w:hint="eastAsia" w:ascii="宋体" w:hAnsi="宋体" w:eastAsia="宋体" w:cs="宋体"/>
          <w:color w:val="auto"/>
        </w:rPr>
        <w:fldChar w:fldCharType="separate"/>
      </w:r>
      <w:r>
        <w:rPr>
          <w:rFonts w:hint="eastAsia" w:ascii="宋体" w:hAnsi="宋体" w:eastAsia="宋体" w:cs="宋体"/>
          <w:color w:val="auto"/>
        </w:rPr>
        <w:t>69</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5530C07E">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_Toc15606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3．备查要求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_Toc15606 \h </w:instrText>
      </w:r>
      <w:r>
        <w:rPr>
          <w:rFonts w:hint="eastAsia" w:ascii="宋体" w:hAnsi="宋体" w:eastAsia="宋体" w:cs="宋体"/>
          <w:color w:val="auto"/>
        </w:rPr>
        <w:fldChar w:fldCharType="separate"/>
      </w:r>
      <w:r>
        <w:rPr>
          <w:rFonts w:hint="eastAsia" w:ascii="宋体" w:hAnsi="宋体" w:eastAsia="宋体" w:cs="宋体"/>
          <w:color w:val="auto"/>
        </w:rPr>
        <w:t>70</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589BB104">
      <w:pPr>
        <w:pStyle w:val="15"/>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_Toc13751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第五章</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图纸和招标工程量清单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_Toc13751 \h </w:instrText>
      </w:r>
      <w:r>
        <w:rPr>
          <w:rFonts w:hint="eastAsia" w:ascii="宋体" w:hAnsi="宋体" w:eastAsia="宋体" w:cs="宋体"/>
          <w:color w:val="auto"/>
        </w:rPr>
        <w:fldChar w:fldCharType="separate"/>
      </w:r>
      <w:r>
        <w:rPr>
          <w:rFonts w:hint="eastAsia" w:ascii="宋体" w:hAnsi="宋体" w:eastAsia="宋体" w:cs="宋体"/>
          <w:color w:val="auto"/>
        </w:rPr>
        <w:t>71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523A4F27">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_Toc6732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1．图纸</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_Toc6732 \h </w:instrText>
      </w:r>
      <w:r>
        <w:rPr>
          <w:rFonts w:hint="eastAsia" w:ascii="宋体" w:hAnsi="宋体" w:eastAsia="宋体" w:cs="宋体"/>
          <w:color w:val="auto"/>
        </w:rPr>
        <w:fldChar w:fldCharType="separate"/>
      </w:r>
      <w:r>
        <w:rPr>
          <w:rFonts w:hint="eastAsia" w:ascii="宋体" w:hAnsi="宋体" w:eastAsia="宋体" w:cs="宋体"/>
          <w:color w:val="auto"/>
        </w:rPr>
        <w:t>71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A84343B">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_Toc8559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2．招标工程量清单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_Toc8559 \h </w:instrText>
      </w:r>
      <w:r>
        <w:rPr>
          <w:rFonts w:hint="eastAsia" w:ascii="宋体" w:hAnsi="宋体" w:eastAsia="宋体" w:cs="宋体"/>
          <w:color w:val="auto"/>
        </w:rPr>
        <w:fldChar w:fldCharType="separate"/>
      </w:r>
      <w:r>
        <w:rPr>
          <w:rFonts w:hint="eastAsia" w:ascii="宋体" w:hAnsi="宋体" w:eastAsia="宋体" w:cs="宋体"/>
          <w:color w:val="auto"/>
        </w:rPr>
        <w:t>71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62A2755A">
      <w:pPr>
        <w:pStyle w:val="15"/>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_Toc18703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第六章</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投标文件格式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_Toc18703 \h </w:instrText>
      </w:r>
      <w:r>
        <w:rPr>
          <w:rFonts w:hint="eastAsia" w:ascii="宋体" w:hAnsi="宋体" w:eastAsia="宋体" w:cs="宋体"/>
          <w:color w:val="auto"/>
        </w:rPr>
        <w:fldChar w:fldCharType="separate"/>
      </w:r>
      <w:r>
        <w:rPr>
          <w:rFonts w:hint="eastAsia" w:ascii="宋体" w:hAnsi="宋体" w:eastAsia="宋体" w:cs="宋体"/>
          <w:color w:val="auto"/>
        </w:rPr>
        <w:t>72</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C75E4A3">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_Toc18444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格式一   封面</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_Toc18444 \h </w:instrText>
      </w:r>
      <w:r>
        <w:rPr>
          <w:rFonts w:hint="eastAsia" w:ascii="宋体" w:hAnsi="宋体" w:eastAsia="宋体" w:cs="宋体"/>
          <w:color w:val="auto"/>
        </w:rPr>
        <w:fldChar w:fldCharType="separate"/>
      </w:r>
      <w:r>
        <w:rPr>
          <w:rFonts w:hint="eastAsia" w:ascii="宋体" w:hAnsi="宋体" w:eastAsia="宋体" w:cs="宋体"/>
          <w:color w:val="auto"/>
        </w:rPr>
        <w:t>72</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35E916B8">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_Toc8879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格式二   投标函</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_Toc8879 \h </w:instrText>
      </w:r>
      <w:r>
        <w:rPr>
          <w:rFonts w:hint="eastAsia" w:ascii="宋体" w:hAnsi="宋体" w:eastAsia="宋体" w:cs="宋体"/>
          <w:color w:val="auto"/>
        </w:rPr>
        <w:fldChar w:fldCharType="separate"/>
      </w:r>
      <w:r>
        <w:rPr>
          <w:rFonts w:hint="eastAsia" w:ascii="宋体" w:hAnsi="宋体" w:eastAsia="宋体" w:cs="宋体"/>
          <w:color w:val="auto"/>
        </w:rPr>
        <w:t>73</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43E6B122">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_Toc8294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格式三   各项承诺一览表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_Toc8294 \h </w:instrText>
      </w:r>
      <w:r>
        <w:rPr>
          <w:rFonts w:hint="eastAsia" w:ascii="宋体" w:hAnsi="宋体" w:eastAsia="宋体" w:cs="宋体"/>
          <w:color w:val="auto"/>
        </w:rPr>
        <w:fldChar w:fldCharType="separate"/>
      </w:r>
      <w:r>
        <w:rPr>
          <w:rFonts w:hint="eastAsia" w:ascii="宋体" w:hAnsi="宋体" w:eastAsia="宋体" w:cs="宋体"/>
          <w:color w:val="auto"/>
        </w:rPr>
        <w:t>74</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415181F7">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_Toc270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格式四   授权委托书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_Toc270 \h </w:instrText>
      </w:r>
      <w:r>
        <w:rPr>
          <w:rFonts w:hint="eastAsia" w:ascii="宋体" w:hAnsi="宋体" w:eastAsia="宋体" w:cs="宋体"/>
          <w:color w:val="auto"/>
        </w:rPr>
        <w:fldChar w:fldCharType="separate"/>
      </w:r>
      <w:r>
        <w:rPr>
          <w:rFonts w:hint="eastAsia" w:ascii="宋体" w:hAnsi="宋体" w:eastAsia="宋体" w:cs="宋体"/>
          <w:color w:val="auto"/>
        </w:rPr>
        <w:t>76</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F4A6006">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_Toc2463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格式五   法定代表人身份证明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_Toc2463 \h </w:instrText>
      </w:r>
      <w:r>
        <w:rPr>
          <w:rFonts w:hint="eastAsia" w:ascii="宋体" w:hAnsi="宋体" w:eastAsia="宋体" w:cs="宋体"/>
          <w:color w:val="auto"/>
        </w:rPr>
        <w:fldChar w:fldCharType="separate"/>
      </w:r>
      <w:r>
        <w:rPr>
          <w:rFonts w:hint="eastAsia" w:ascii="宋体" w:hAnsi="宋体" w:eastAsia="宋体" w:cs="宋体"/>
          <w:color w:val="auto"/>
        </w:rPr>
        <w:t>77</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63DC52CD">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_Toc2177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格式六   联合体协议书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_Toc2177 \h </w:instrText>
      </w:r>
      <w:r>
        <w:rPr>
          <w:rFonts w:hint="eastAsia" w:ascii="宋体" w:hAnsi="宋体" w:eastAsia="宋体" w:cs="宋体"/>
          <w:color w:val="auto"/>
        </w:rPr>
        <w:fldChar w:fldCharType="separate"/>
      </w:r>
      <w:r>
        <w:rPr>
          <w:rFonts w:hint="eastAsia" w:ascii="宋体" w:hAnsi="宋体" w:eastAsia="宋体" w:cs="宋体"/>
          <w:color w:val="auto"/>
        </w:rPr>
        <w:t>78</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373448E0">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_Toc14726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格式七   投标人基本情况表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_Toc14726 \h </w:instrText>
      </w:r>
      <w:r>
        <w:rPr>
          <w:rFonts w:hint="eastAsia" w:ascii="宋体" w:hAnsi="宋体" w:eastAsia="宋体" w:cs="宋体"/>
          <w:color w:val="auto"/>
        </w:rPr>
        <w:fldChar w:fldCharType="separate"/>
      </w:r>
      <w:r>
        <w:rPr>
          <w:rFonts w:hint="eastAsia" w:ascii="宋体" w:hAnsi="宋体" w:eastAsia="宋体" w:cs="宋体"/>
          <w:color w:val="auto"/>
        </w:rPr>
        <w:t>80</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107BD1C8">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_Toc30505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格式八   项目经理简历表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_Toc30505 \h </w:instrText>
      </w:r>
      <w:r>
        <w:rPr>
          <w:rFonts w:hint="eastAsia" w:ascii="宋体" w:hAnsi="宋体" w:eastAsia="宋体" w:cs="宋体"/>
          <w:color w:val="auto"/>
        </w:rPr>
        <w:fldChar w:fldCharType="separate"/>
      </w:r>
      <w:r>
        <w:rPr>
          <w:rFonts w:hint="eastAsia" w:ascii="宋体" w:hAnsi="宋体" w:eastAsia="宋体" w:cs="宋体"/>
          <w:color w:val="auto"/>
        </w:rPr>
        <w:t>81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1AAEA501">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_Toc32542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格式九   项目经理任职声明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_Toc32542 \h </w:instrText>
      </w:r>
      <w:r>
        <w:rPr>
          <w:rFonts w:hint="eastAsia" w:ascii="宋体" w:hAnsi="宋体" w:eastAsia="宋体" w:cs="宋体"/>
          <w:color w:val="auto"/>
        </w:rPr>
        <w:fldChar w:fldCharType="separate"/>
      </w:r>
      <w:r>
        <w:rPr>
          <w:rFonts w:hint="eastAsia" w:ascii="宋体" w:hAnsi="宋体" w:eastAsia="宋体" w:cs="宋体"/>
          <w:color w:val="auto"/>
        </w:rPr>
        <w:t>82</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1F67D573">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_Toc19408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   项目技术负责人简历表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_Toc19408 \h </w:instrText>
      </w:r>
      <w:r>
        <w:rPr>
          <w:rFonts w:hint="eastAsia" w:ascii="宋体" w:hAnsi="宋体" w:eastAsia="宋体" w:cs="宋体"/>
          <w:color w:val="auto"/>
        </w:rPr>
        <w:fldChar w:fldCharType="separate"/>
      </w:r>
      <w:r>
        <w:rPr>
          <w:rFonts w:hint="eastAsia" w:ascii="宋体" w:hAnsi="宋体" w:eastAsia="宋体" w:cs="宋体"/>
          <w:color w:val="auto"/>
        </w:rPr>
        <w:t>83</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13F7F4BA">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_Toc636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格式十一   项目管理机构组成</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_Toc636 \h </w:instrText>
      </w:r>
      <w:r>
        <w:rPr>
          <w:rFonts w:hint="eastAsia" w:ascii="宋体" w:hAnsi="宋体" w:eastAsia="宋体" w:cs="宋体"/>
          <w:color w:val="auto"/>
        </w:rPr>
        <w:fldChar w:fldCharType="separate"/>
      </w:r>
      <w:r>
        <w:rPr>
          <w:rFonts w:hint="eastAsia" w:ascii="宋体" w:hAnsi="宋体" w:eastAsia="宋体" w:cs="宋体"/>
          <w:color w:val="auto"/>
        </w:rPr>
        <w:t>84</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6F7F0D5">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_Toc26854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格式十二   建造师查询页（有效期+建造师签字）</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_Toc26854 \h </w:instrText>
      </w:r>
      <w:r>
        <w:rPr>
          <w:rFonts w:hint="eastAsia" w:ascii="宋体" w:hAnsi="宋体" w:eastAsia="宋体" w:cs="宋体"/>
          <w:color w:val="auto"/>
        </w:rPr>
        <w:fldChar w:fldCharType="separate"/>
      </w:r>
      <w:r>
        <w:rPr>
          <w:rFonts w:hint="eastAsia" w:ascii="宋体" w:hAnsi="宋体" w:eastAsia="宋体" w:cs="宋体"/>
          <w:color w:val="auto"/>
        </w:rPr>
        <w:t>85</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25AF0E9D">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_Toc13386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格式十三   危险性较大的分部分项工程清单及超过一定规模的危险性较大的分部分项工程清单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_Toc13386 \h </w:instrText>
      </w:r>
      <w:r>
        <w:rPr>
          <w:rFonts w:hint="eastAsia" w:ascii="宋体" w:hAnsi="宋体" w:eastAsia="宋体" w:cs="宋体"/>
          <w:color w:val="auto"/>
        </w:rPr>
        <w:fldChar w:fldCharType="separate"/>
      </w:r>
      <w:r>
        <w:rPr>
          <w:rFonts w:hint="eastAsia" w:ascii="宋体" w:hAnsi="宋体" w:eastAsia="宋体" w:cs="宋体"/>
          <w:color w:val="auto"/>
        </w:rPr>
        <w:t>86</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1D082B15">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_Toc15461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格式十四   投标保证金信用承诺函</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_Toc15461 \h </w:instrText>
      </w:r>
      <w:r>
        <w:rPr>
          <w:rFonts w:hint="eastAsia" w:ascii="宋体" w:hAnsi="宋体" w:eastAsia="宋体" w:cs="宋体"/>
          <w:color w:val="auto"/>
        </w:rPr>
        <w:fldChar w:fldCharType="separate"/>
      </w:r>
      <w:r>
        <w:rPr>
          <w:rFonts w:hint="eastAsia" w:ascii="宋体" w:hAnsi="宋体" w:eastAsia="宋体" w:cs="宋体"/>
          <w:color w:val="auto"/>
        </w:rPr>
        <w:t>90</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79F9CD61">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_Toc29366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格式十五   共管账户承诺书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_Toc29366 \h </w:instrText>
      </w:r>
      <w:r>
        <w:rPr>
          <w:rFonts w:hint="eastAsia" w:ascii="宋体" w:hAnsi="宋体" w:eastAsia="宋体" w:cs="宋体"/>
          <w:color w:val="auto"/>
        </w:rPr>
        <w:fldChar w:fldCharType="separate"/>
      </w:r>
      <w:r>
        <w:rPr>
          <w:rFonts w:hint="eastAsia" w:ascii="宋体" w:hAnsi="宋体" w:eastAsia="宋体" w:cs="宋体"/>
          <w:color w:val="auto"/>
        </w:rPr>
        <w:t>91</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621D8C66">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_Toc31628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格式十六   定标因素评审资料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_Toc31628 \h </w:instrText>
      </w:r>
      <w:r>
        <w:rPr>
          <w:rFonts w:hint="eastAsia" w:ascii="宋体" w:hAnsi="宋体" w:eastAsia="宋体" w:cs="宋体"/>
          <w:color w:val="auto"/>
        </w:rPr>
        <w:fldChar w:fldCharType="separate"/>
      </w:r>
      <w:r>
        <w:rPr>
          <w:rFonts w:hint="eastAsia" w:ascii="宋体" w:hAnsi="宋体" w:eastAsia="宋体" w:cs="宋体"/>
          <w:color w:val="auto"/>
        </w:rPr>
        <w:t>92</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46D58FCB">
      <w:pPr>
        <w:pStyle w:val="16"/>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_Toc22173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kern w:val="2"/>
          <w:szCs w:val="24"/>
          <w:lang w:val="en-US" w:eastAsia="zh-CN"/>
        </w:rPr>
        <w:t>格式十七   原件一览表（如有）</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_Toc22173 \h </w:instrText>
      </w:r>
      <w:r>
        <w:rPr>
          <w:rFonts w:hint="eastAsia" w:ascii="宋体" w:hAnsi="宋体" w:eastAsia="宋体" w:cs="宋体"/>
          <w:color w:val="auto"/>
        </w:rPr>
        <w:fldChar w:fldCharType="separate"/>
      </w:r>
      <w:r>
        <w:rPr>
          <w:rFonts w:hint="eastAsia" w:ascii="宋体" w:hAnsi="宋体" w:eastAsia="宋体" w:cs="宋体"/>
          <w:color w:val="auto"/>
        </w:rPr>
        <w:t>93</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428D85A6">
      <w:pPr>
        <w:pStyle w:val="15"/>
        <w:tabs>
          <w:tab w:val="right" w:leader="dot" w:pos="9638"/>
        </w:tabs>
        <w:rPr>
          <w:rFonts w:hint="eastAsia" w:ascii="宋体" w:hAnsi="宋体" w:eastAsia="宋体" w:cs="宋体"/>
          <w:color w:val="auto"/>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_Toc14816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32"/>
          <w:highlight w:val="none"/>
        </w:rPr>
        <w:t>第七章</w:t>
      </w:r>
      <w:r>
        <w:rPr>
          <w:rFonts w:hint="eastAsia" w:ascii="宋体" w:hAnsi="宋体" w:eastAsia="宋体" w:cs="宋体"/>
          <w:color w:val="auto"/>
          <w:szCs w:val="32"/>
          <w:highlight w:val="none"/>
          <w:lang w:val="en-US" w:eastAsia="zh-CN"/>
        </w:rPr>
        <w:t xml:space="preserve">   </w:t>
      </w:r>
      <w:r>
        <w:rPr>
          <w:rFonts w:hint="eastAsia" w:ascii="宋体" w:hAnsi="宋体" w:eastAsia="宋体" w:cs="宋体"/>
          <w:color w:val="auto"/>
          <w:szCs w:val="32"/>
          <w:highlight w:val="none"/>
        </w:rPr>
        <w:t>建设工程施工合同</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_Toc14816 \h </w:instrText>
      </w:r>
      <w:r>
        <w:rPr>
          <w:rFonts w:hint="eastAsia" w:ascii="宋体" w:hAnsi="宋体" w:eastAsia="宋体" w:cs="宋体"/>
          <w:color w:val="auto"/>
        </w:rPr>
        <w:fldChar w:fldCharType="separate"/>
      </w:r>
      <w:r>
        <w:rPr>
          <w:rFonts w:hint="eastAsia" w:ascii="宋体" w:hAnsi="宋体" w:eastAsia="宋体" w:cs="宋体"/>
          <w:color w:val="auto"/>
        </w:rPr>
        <w:t>94</w:t>
      </w:r>
      <w:r>
        <w:rPr>
          <w:rFonts w:hint="eastAsia" w:ascii="宋体" w:hAnsi="宋体" w:eastAsia="宋体" w:cs="宋体"/>
          <w:color w:val="auto"/>
        </w:rPr>
        <w:fldChar w:fldCharType="end"/>
      </w:r>
      <w:r>
        <w:rPr>
          <w:rFonts w:hint="eastAsia" w:ascii="宋体" w:hAnsi="宋体" w:eastAsia="宋体" w:cs="宋体"/>
          <w:color w:val="auto"/>
          <w:szCs w:val="21"/>
          <w:highlight w:val="none"/>
        </w:rPr>
        <w:fldChar w:fldCharType="end"/>
      </w:r>
    </w:p>
    <w:p w14:paraId="52D7155F">
      <w:pPr>
        <w:rPr>
          <w:rFonts w:hint="eastAsia" w:ascii="宋体" w:hAnsi="宋体" w:eastAsia="宋体" w:cs="宋体"/>
          <w:color w:val="auto"/>
        </w:rPr>
      </w:pPr>
      <w:r>
        <w:rPr>
          <w:rFonts w:hint="eastAsia" w:ascii="宋体" w:hAnsi="宋体" w:eastAsia="宋体" w:cs="宋体"/>
          <w:color w:val="auto"/>
          <w:szCs w:val="21"/>
          <w:highlight w:val="none"/>
        </w:rPr>
        <w:fldChar w:fldCharType="end"/>
      </w:r>
    </w:p>
    <w:p w14:paraId="4C98C9BF">
      <w:pPr>
        <w:rPr>
          <w:rFonts w:hint="eastAsia" w:ascii="宋体" w:hAnsi="宋体" w:eastAsia="宋体" w:cs="宋体"/>
          <w:color w:val="auto"/>
        </w:rPr>
      </w:pPr>
    </w:p>
    <w:p w14:paraId="1D2239CC">
      <w:pPr>
        <w:rPr>
          <w:rFonts w:hint="eastAsia" w:ascii="宋体" w:hAnsi="宋体" w:eastAsia="宋体" w:cs="宋体"/>
          <w:color w:val="auto"/>
        </w:rPr>
      </w:pPr>
    </w:p>
    <w:p w14:paraId="0360958E">
      <w:pPr>
        <w:rPr>
          <w:rFonts w:hint="eastAsia" w:ascii="宋体" w:hAnsi="宋体" w:eastAsia="宋体" w:cs="宋体"/>
          <w:color w:val="auto"/>
        </w:rPr>
      </w:pPr>
    </w:p>
    <w:p w14:paraId="663DD3D4">
      <w:pPr>
        <w:rPr>
          <w:rFonts w:hint="eastAsia" w:ascii="宋体" w:hAnsi="宋体" w:eastAsia="宋体" w:cs="宋体"/>
          <w:color w:val="auto"/>
        </w:rPr>
      </w:pPr>
    </w:p>
    <w:p w14:paraId="41C1BB5D">
      <w:pPr>
        <w:rPr>
          <w:rFonts w:hint="eastAsia" w:ascii="宋体" w:hAnsi="宋体" w:eastAsia="宋体" w:cs="宋体"/>
          <w:color w:val="auto"/>
        </w:rPr>
      </w:pPr>
    </w:p>
    <w:p w14:paraId="23E1D3AB">
      <w:pPr>
        <w:rPr>
          <w:rFonts w:hint="eastAsia" w:ascii="宋体" w:hAnsi="宋体" w:eastAsia="宋体" w:cs="宋体"/>
          <w:color w:val="auto"/>
        </w:rPr>
      </w:pPr>
    </w:p>
    <w:p w14:paraId="34726C3E">
      <w:pPr>
        <w:rPr>
          <w:rFonts w:hint="eastAsia" w:ascii="宋体" w:hAnsi="宋体" w:eastAsia="宋体" w:cs="宋体"/>
          <w:color w:val="auto"/>
        </w:rPr>
      </w:pPr>
    </w:p>
    <w:p w14:paraId="7543FF5A">
      <w:pPr>
        <w:rPr>
          <w:rFonts w:hint="eastAsia" w:ascii="宋体" w:hAnsi="宋体" w:eastAsia="宋体" w:cs="宋体"/>
          <w:color w:val="auto"/>
        </w:rPr>
      </w:pPr>
    </w:p>
    <w:p w14:paraId="4CE82C26">
      <w:pPr>
        <w:rPr>
          <w:rFonts w:hint="eastAsia" w:ascii="宋体" w:hAnsi="宋体" w:eastAsia="宋体" w:cs="宋体"/>
          <w:color w:val="auto"/>
        </w:rPr>
      </w:pPr>
    </w:p>
    <w:p w14:paraId="5438B8A8">
      <w:pPr>
        <w:rPr>
          <w:rFonts w:hint="eastAsia" w:ascii="宋体" w:hAnsi="宋体" w:eastAsia="宋体" w:cs="宋体"/>
          <w:color w:val="auto"/>
        </w:rPr>
      </w:pPr>
    </w:p>
    <w:p w14:paraId="0165DF91">
      <w:pPr>
        <w:rPr>
          <w:rFonts w:hint="eastAsia" w:ascii="宋体" w:hAnsi="宋体" w:eastAsia="宋体" w:cs="宋体"/>
          <w:color w:val="auto"/>
        </w:rPr>
      </w:pPr>
    </w:p>
    <w:p w14:paraId="78CDE5E8">
      <w:pPr>
        <w:rPr>
          <w:rFonts w:hint="eastAsia" w:ascii="宋体" w:hAnsi="宋体" w:eastAsia="宋体" w:cs="宋体"/>
          <w:color w:val="auto"/>
        </w:rPr>
      </w:pPr>
    </w:p>
    <w:p w14:paraId="57F4C45D">
      <w:pPr>
        <w:rPr>
          <w:rFonts w:hint="eastAsia" w:ascii="宋体" w:hAnsi="宋体" w:eastAsia="宋体" w:cs="宋体"/>
          <w:color w:val="auto"/>
        </w:rPr>
      </w:pPr>
    </w:p>
    <w:p w14:paraId="078BE974">
      <w:pPr>
        <w:pStyle w:val="3"/>
        <w:keepLines w:val="0"/>
        <w:pageBreakBefore w:val="0"/>
        <w:widowControl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color w:val="auto"/>
          <w:sz w:val="32"/>
          <w:szCs w:val="32"/>
          <w:highlight w:val="none"/>
        </w:rPr>
      </w:pPr>
      <w:bookmarkStart w:id="0" w:name="_Toc23635"/>
      <w:bookmarkStart w:id="1" w:name="_Toc25649"/>
      <w:bookmarkStart w:id="2" w:name="_Toc4493"/>
      <w:bookmarkStart w:id="3" w:name="_Toc10328"/>
      <w:bookmarkStart w:id="4" w:name="_Toc30953"/>
      <w:bookmarkStart w:id="5" w:name="_Toc16198"/>
      <w:bookmarkStart w:id="6" w:name="_Toc15825"/>
      <w:bookmarkStart w:id="7" w:name="_Toc4903"/>
      <w:bookmarkStart w:id="8" w:name="_Toc53"/>
      <w:bookmarkStart w:id="9" w:name="_Toc7086"/>
      <w:bookmarkStart w:id="10" w:name="_Toc5078"/>
      <w:bookmarkStart w:id="11" w:name="_Toc25664"/>
      <w:r>
        <w:rPr>
          <w:rFonts w:hint="eastAsia" w:ascii="宋体" w:hAnsi="宋体" w:eastAsia="宋体" w:cs="宋体"/>
          <w:color w:val="auto"/>
          <w:sz w:val="32"/>
          <w:szCs w:val="32"/>
          <w:highlight w:val="none"/>
        </w:rPr>
        <w:t>第一章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投标人须知</w:t>
      </w:r>
      <w:bookmarkEnd w:id="0"/>
      <w:bookmarkEnd w:id="1"/>
      <w:bookmarkEnd w:id="2"/>
      <w:bookmarkEnd w:id="3"/>
      <w:bookmarkEnd w:id="4"/>
      <w:bookmarkEnd w:id="5"/>
      <w:bookmarkEnd w:id="6"/>
      <w:bookmarkEnd w:id="7"/>
      <w:bookmarkEnd w:id="8"/>
      <w:bookmarkEnd w:id="9"/>
      <w:bookmarkEnd w:id="10"/>
      <w:bookmarkEnd w:id="11"/>
    </w:p>
    <w:p w14:paraId="7BB5D41F">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12" w:name="_Toc21473"/>
      <w:bookmarkStart w:id="13" w:name="_Toc11684"/>
      <w:bookmarkStart w:id="14" w:name="_Toc14083"/>
      <w:bookmarkStart w:id="15" w:name="_Toc29223"/>
      <w:bookmarkStart w:id="16" w:name="_Toc25211"/>
      <w:bookmarkStart w:id="17" w:name="_Toc21683"/>
      <w:bookmarkStart w:id="18" w:name="_Toc27751"/>
      <w:bookmarkStart w:id="19" w:name="_Toc928"/>
      <w:bookmarkStart w:id="20" w:name="_Toc29644"/>
      <w:bookmarkStart w:id="21" w:name="_Toc17236"/>
      <w:bookmarkStart w:id="22" w:name="_Toc12153"/>
      <w:bookmarkStart w:id="23" w:name="_Toc12302"/>
      <w:r>
        <w:rPr>
          <w:rFonts w:hint="eastAsia" w:ascii="宋体" w:hAnsi="宋体" w:eastAsia="宋体" w:cs="宋体"/>
          <w:color w:val="auto"/>
          <w:kern w:val="2"/>
          <w:sz w:val="28"/>
          <w:szCs w:val="24"/>
          <w:lang w:val="en-US" w:eastAsia="zh-CN"/>
        </w:rPr>
        <w:t>第一节   投标人须知前附表</w:t>
      </w:r>
      <w:bookmarkEnd w:id="12"/>
      <w:bookmarkEnd w:id="13"/>
      <w:bookmarkEnd w:id="14"/>
      <w:bookmarkEnd w:id="15"/>
      <w:bookmarkEnd w:id="16"/>
      <w:bookmarkEnd w:id="17"/>
      <w:bookmarkEnd w:id="18"/>
      <w:bookmarkEnd w:id="19"/>
      <w:bookmarkEnd w:id="20"/>
      <w:bookmarkEnd w:id="21"/>
      <w:bookmarkEnd w:id="22"/>
      <w:bookmarkEnd w:id="23"/>
    </w:p>
    <w:tbl>
      <w:tblPr>
        <w:tblStyle w:val="21"/>
        <w:tblW w:w="985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74"/>
        <w:gridCol w:w="1733"/>
        <w:gridCol w:w="7444"/>
      </w:tblGrid>
      <w:tr w14:paraId="2A090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3B20F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序号</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1D8B06E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内容</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336E8788">
            <w:pPr>
              <w:keepNext w:val="0"/>
              <w:keepLines w:val="0"/>
              <w:pageBreakBefore w:val="0"/>
              <w:widowControl w:val="0"/>
              <w:suppressLineNumbers w:val="0"/>
              <w:tabs>
                <w:tab w:val="left" w:pos="1180"/>
              </w:tabs>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说明与要求</w:t>
            </w:r>
          </w:p>
        </w:tc>
      </w:tr>
      <w:tr w14:paraId="2AF46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D1571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7C859B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4005E76C">
            <w:pPr>
              <w:keepNext w:val="0"/>
              <w:keepLines w:val="0"/>
              <w:pageBreakBefore w:val="0"/>
              <w:widowControl w:val="0"/>
              <w:suppressLineNumbers w:val="0"/>
              <w:tabs>
                <w:tab w:val="left" w:pos="1180"/>
              </w:tabs>
              <w:kinsoku/>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广东省韶关市韶关高新技术产业开发区园区配套基础设施建设项目莞韶产业园甘棠片区GT0402A-02-02地块三通一平及地块西侧道路建设工程（B地块）施工</w:t>
            </w:r>
          </w:p>
        </w:tc>
      </w:tr>
      <w:tr w14:paraId="7D6686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7AC847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158E0D7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2339C8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Cs w:val="24"/>
                <w:highlight w:val="none"/>
                <w:lang w:eastAsia="zh-CN"/>
              </w:rPr>
              <w:t>韶关高新技术产业开发区创业服务中心</w:t>
            </w:r>
          </w:p>
        </w:tc>
      </w:tr>
      <w:tr w14:paraId="36675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37FC06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CBF5E1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r>
              <w:rPr>
                <w:rFonts w:hint="eastAsia" w:ascii="宋体" w:hAnsi="宋体" w:eastAsia="宋体" w:cs="宋体"/>
                <w:snapToGrid w:val="0"/>
                <w:color w:val="auto"/>
                <w:kern w:val="0"/>
                <w:sz w:val="24"/>
                <w:szCs w:val="24"/>
                <w:highlight w:val="none"/>
                <w:lang w:val="en-US" w:eastAsia="zh-CN"/>
              </w:rPr>
              <w:t>及项目批准文号</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B13BDD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Cs w:val="24"/>
                <w:highlight w:val="none"/>
                <w:lang w:val="en-US" w:eastAsia="zh-CN"/>
              </w:rPr>
              <w:t>韶关高新技术产业开发区管理委员会、韶高新批字〔2022〕10号</w:t>
            </w:r>
          </w:p>
        </w:tc>
      </w:tr>
      <w:tr w14:paraId="68F8F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2A8184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E1945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建设地点</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04D2C2C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Cs/>
                <w:snapToGrid w:val="0"/>
                <w:color w:val="auto"/>
                <w:kern w:val="0"/>
                <w:szCs w:val="24"/>
                <w:highlight w:val="none"/>
                <w:lang w:val="en-US" w:eastAsia="zh-CN"/>
              </w:rPr>
            </w:pPr>
            <w:r>
              <w:rPr>
                <w:rFonts w:hint="eastAsia" w:ascii="宋体" w:hAnsi="宋体" w:eastAsia="宋体" w:cs="宋体"/>
                <w:bCs/>
                <w:snapToGrid w:val="0"/>
                <w:color w:val="auto"/>
                <w:kern w:val="0"/>
                <w:szCs w:val="24"/>
                <w:highlight w:val="none"/>
                <w:lang w:val="en-US" w:eastAsia="zh-CN"/>
              </w:rPr>
              <w:t>广东省韶关市高新技术产业开发区园区莞韶产业园甘棠片区</w:t>
            </w:r>
          </w:p>
        </w:tc>
      </w:tr>
      <w:tr w14:paraId="6D965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8E3E2D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6DFCD0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69D0E599">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Cs/>
                <w:snapToGrid w:val="0"/>
                <w:color w:val="auto"/>
                <w:kern w:val="0"/>
                <w:szCs w:val="24"/>
                <w:highlight w:val="none"/>
                <w:lang w:val="en-US" w:eastAsia="zh-CN"/>
              </w:rPr>
            </w:pPr>
            <w:r>
              <w:rPr>
                <w:rFonts w:hint="eastAsia" w:ascii="宋体" w:hAnsi="宋体" w:eastAsia="宋体" w:cs="宋体"/>
                <w:bCs/>
                <w:snapToGrid w:val="0"/>
                <w:color w:val="auto"/>
                <w:kern w:val="0"/>
                <w:szCs w:val="24"/>
                <w:highlight w:val="none"/>
                <w:lang w:val="en-US" w:eastAsia="zh-CN"/>
              </w:rPr>
              <w:t>2209-440200-04-01-487589</w:t>
            </w:r>
          </w:p>
        </w:tc>
      </w:tr>
      <w:tr w14:paraId="6774D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9A993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C1E62D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1C68CB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落实情况</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1C1B396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Cs w:val="24"/>
                <w:highlight w:val="none"/>
                <w:lang w:val="en-US" w:eastAsia="zh-CN"/>
              </w:rPr>
              <w:t>财政性资金、申请地方政府专项债券予以解决；100%。</w:t>
            </w:r>
          </w:p>
        </w:tc>
      </w:tr>
      <w:tr w14:paraId="6DB96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8AF5F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135A6CB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0CC6431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韶关工业园投资建设有限公司</w:t>
            </w:r>
          </w:p>
        </w:tc>
      </w:tr>
      <w:tr w14:paraId="25A81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5FE644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72982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9B7D9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广东明正项目管理有限公司</w:t>
            </w:r>
          </w:p>
        </w:tc>
      </w:tr>
      <w:tr w14:paraId="55C2FC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CA654D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491A6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勘察设计单位</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4270F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深圳建昌工程设计有限公司</w:t>
            </w:r>
          </w:p>
        </w:tc>
      </w:tr>
      <w:tr w14:paraId="67E3B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E232F2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1952A31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造价咨询单位</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4C5FA0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□非全过程造价咨询   ☑全过程造价咨询</w:t>
            </w:r>
          </w:p>
        </w:tc>
      </w:tr>
      <w:tr w14:paraId="760E49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C142A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11</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91D213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监理单位</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6B3FF91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□已确定监理单位     ☑未确定监理单位</w:t>
            </w:r>
          </w:p>
        </w:tc>
      </w:tr>
      <w:tr w14:paraId="1357D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4B765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6D2977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建设内容和规模</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1A682C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项目位于广东省韶关市高新技术产业开发区莞韶产业园甘棠片区，项目用地红线面积为39790.74平方米，工程设计内容主要包含场地土石方平整、挡土墙支护、B地块场地土方回填压实和周边山体排水工程等。</w:t>
            </w:r>
          </w:p>
        </w:tc>
      </w:tr>
      <w:tr w14:paraId="1A374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30677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8448EC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项目总投资</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2F726C6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工程概算总投资为828.84万元，其中，建安工程费679.77万元，工程建设其他费用124.93万元，预备费24.14万元。</w:t>
            </w:r>
          </w:p>
        </w:tc>
      </w:tr>
      <w:tr w14:paraId="708DF2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B80B4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A8894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招标范围</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509716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eastAsia="zh-CN"/>
              </w:rPr>
              <w:t>按审查合格的施工图纸及工程量清单内容施工</w:t>
            </w:r>
            <w:r>
              <w:rPr>
                <w:rFonts w:hint="eastAsia" w:ascii="宋体" w:hAnsi="宋体" w:eastAsia="宋体" w:cs="宋体"/>
                <w:b w:val="0"/>
                <w:bCs w:val="0"/>
                <w:snapToGrid w:val="0"/>
                <w:color w:val="auto"/>
                <w:kern w:val="0"/>
                <w:sz w:val="24"/>
                <w:szCs w:val="24"/>
                <w:highlight w:val="none"/>
              </w:rPr>
              <w:t>。</w:t>
            </w:r>
          </w:p>
        </w:tc>
      </w:tr>
      <w:tr w14:paraId="3D953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58183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D2E112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标段划分</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6A33D31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本招标项目不划分标段。</w:t>
            </w:r>
          </w:p>
        </w:tc>
      </w:tr>
      <w:tr w14:paraId="2247F4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9172E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5D44A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工期</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0B146E7D">
            <w:pPr>
              <w:pStyle w:val="3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本招标项目招标工期为</w:t>
            </w:r>
            <w:r>
              <w:rPr>
                <w:rFonts w:hint="eastAsia" w:ascii="宋体" w:hAnsi="宋体" w:eastAsia="宋体" w:cs="宋体"/>
                <w:b w:val="0"/>
                <w:bCs w:val="0"/>
                <w:snapToGrid w:val="0"/>
                <w:color w:val="auto"/>
                <w:kern w:val="0"/>
                <w:sz w:val="24"/>
                <w:szCs w:val="24"/>
                <w:highlight w:val="none"/>
                <w:u w:val="single"/>
                <w:lang w:val="en-US" w:eastAsia="zh-CN"/>
              </w:rPr>
              <w:t xml:space="preserve"> 120 </w:t>
            </w:r>
            <w:r>
              <w:rPr>
                <w:rFonts w:hint="eastAsia" w:ascii="宋体" w:hAnsi="宋体" w:eastAsia="宋体" w:cs="宋体"/>
                <w:b w:val="0"/>
                <w:bCs w:val="0"/>
                <w:snapToGrid w:val="0"/>
                <w:color w:val="auto"/>
                <w:kern w:val="0"/>
                <w:sz w:val="24"/>
                <w:szCs w:val="24"/>
                <w:highlight w:val="none"/>
                <w:lang w:val="en-US" w:eastAsia="zh-CN"/>
              </w:rPr>
              <w:t>个日历天。具体如下：</w:t>
            </w:r>
          </w:p>
          <w:p w14:paraId="68CFA5F4">
            <w:pPr>
              <w:pStyle w:val="3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☑总工期：</w:t>
            </w:r>
            <w:r>
              <w:rPr>
                <w:rFonts w:hint="eastAsia" w:ascii="宋体" w:hAnsi="宋体" w:eastAsia="宋体" w:cs="宋体"/>
                <w:b w:val="0"/>
                <w:bCs w:val="0"/>
                <w:snapToGrid w:val="0"/>
                <w:color w:val="auto"/>
                <w:kern w:val="0"/>
                <w:sz w:val="24"/>
                <w:szCs w:val="24"/>
                <w:highlight w:val="none"/>
                <w:u w:val="single"/>
                <w:lang w:val="en-US" w:eastAsia="zh-CN"/>
              </w:rPr>
              <w:t xml:space="preserve">120 </w:t>
            </w:r>
            <w:r>
              <w:rPr>
                <w:rFonts w:hint="eastAsia" w:ascii="宋体" w:hAnsi="宋体" w:eastAsia="宋体" w:cs="宋体"/>
                <w:b w:val="0"/>
                <w:bCs w:val="0"/>
                <w:snapToGrid w:val="0"/>
                <w:color w:val="auto"/>
                <w:kern w:val="0"/>
                <w:sz w:val="24"/>
                <w:szCs w:val="24"/>
                <w:highlight w:val="none"/>
                <w:lang w:val="en-US" w:eastAsia="zh-CN"/>
              </w:rPr>
              <w:t xml:space="preserve"> 天（日历天）。</w:t>
            </w:r>
          </w:p>
          <w:p w14:paraId="7DDC6063">
            <w:pPr>
              <w:pStyle w:val="3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w:t>
            </w:r>
            <w:r>
              <w:rPr>
                <w:rFonts w:hint="eastAsia" w:ascii="宋体" w:hAnsi="宋体" w:eastAsia="宋体" w:cs="宋体"/>
                <w:b w:val="0"/>
                <w:bCs w:val="0"/>
                <w:snapToGrid w:val="0"/>
                <w:color w:val="auto"/>
                <w:kern w:val="0"/>
                <w:sz w:val="24"/>
                <w:szCs w:val="24"/>
                <w:highlight w:val="none"/>
                <w:u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zh-CN"/>
              </w:rPr>
              <w:t xml:space="preserve">计划开工日期： </w:t>
            </w:r>
            <w:r>
              <w:rPr>
                <w:rFonts w:hint="eastAsia" w:ascii="宋体" w:hAnsi="宋体" w:eastAsia="宋体" w:cs="宋体"/>
                <w:b w:val="0"/>
                <w:bCs w:val="0"/>
                <w:snapToGrid w:val="0"/>
                <w:color w:val="auto"/>
                <w:kern w:val="0"/>
                <w:sz w:val="24"/>
                <w:szCs w:val="24"/>
                <w:highlight w:val="none"/>
                <w:u w:val="single"/>
                <w:lang w:val="en-US" w:eastAsia="zh-CN"/>
              </w:rPr>
              <w:t xml:space="preserve">  / </w:t>
            </w:r>
            <w:r>
              <w:rPr>
                <w:rFonts w:hint="eastAsia" w:ascii="宋体" w:hAnsi="宋体" w:eastAsia="宋体" w:cs="宋体"/>
                <w:b w:val="0"/>
                <w:bCs w:val="0"/>
                <w:snapToGrid w:val="0"/>
                <w:color w:val="auto"/>
                <w:kern w:val="0"/>
                <w:sz w:val="24"/>
                <w:szCs w:val="24"/>
                <w:highlight w:val="none"/>
                <w:lang w:val="en-US" w:eastAsia="zh-CN"/>
              </w:rPr>
              <w:t xml:space="preserve"> 年</w:t>
            </w:r>
            <w:r>
              <w:rPr>
                <w:rFonts w:hint="eastAsia" w:ascii="宋体" w:hAnsi="宋体" w:eastAsia="宋体" w:cs="宋体"/>
                <w:b w:val="0"/>
                <w:bCs w:val="0"/>
                <w:snapToGrid w:val="0"/>
                <w:color w:val="auto"/>
                <w:kern w:val="0"/>
                <w:sz w:val="24"/>
                <w:szCs w:val="24"/>
                <w:highlight w:val="none"/>
                <w:u w:val="single"/>
                <w:lang w:val="en-US" w:eastAsia="zh-CN"/>
              </w:rPr>
              <w:t xml:space="preserve">  /  </w:t>
            </w:r>
            <w:r>
              <w:rPr>
                <w:rFonts w:hint="eastAsia" w:ascii="宋体" w:hAnsi="宋体" w:eastAsia="宋体" w:cs="宋体"/>
                <w:b w:val="0"/>
                <w:bCs w:val="0"/>
                <w:snapToGrid w:val="0"/>
                <w:color w:val="auto"/>
                <w:kern w:val="0"/>
                <w:sz w:val="24"/>
                <w:szCs w:val="24"/>
                <w:highlight w:val="none"/>
                <w:lang w:val="en-US" w:eastAsia="zh-CN"/>
              </w:rPr>
              <w:t xml:space="preserve">  月</w:t>
            </w:r>
            <w:r>
              <w:rPr>
                <w:rFonts w:hint="eastAsia" w:ascii="宋体" w:hAnsi="宋体" w:eastAsia="宋体" w:cs="宋体"/>
                <w:b w:val="0"/>
                <w:bCs w:val="0"/>
                <w:snapToGrid w:val="0"/>
                <w:color w:val="auto"/>
                <w:kern w:val="0"/>
                <w:sz w:val="24"/>
                <w:szCs w:val="24"/>
                <w:highlight w:val="none"/>
                <w:u w:val="single"/>
                <w:lang w:val="en-US" w:eastAsia="zh-CN"/>
              </w:rPr>
              <w:t xml:space="preserve">  /  </w:t>
            </w:r>
            <w:r>
              <w:rPr>
                <w:rFonts w:hint="eastAsia" w:ascii="宋体" w:hAnsi="宋体" w:eastAsia="宋体" w:cs="宋体"/>
                <w:b w:val="0"/>
                <w:bCs w:val="0"/>
                <w:snapToGrid w:val="0"/>
                <w:color w:val="auto"/>
                <w:kern w:val="0"/>
                <w:sz w:val="24"/>
                <w:szCs w:val="24"/>
                <w:highlight w:val="none"/>
                <w:lang w:val="en-US" w:eastAsia="zh-CN"/>
              </w:rPr>
              <w:t xml:space="preserve">  日（具体开工日期以合同为准）</w:t>
            </w:r>
          </w:p>
          <w:p w14:paraId="29AC9E8D">
            <w:pPr>
              <w:pStyle w:val="3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w:t>
            </w:r>
            <w:r>
              <w:rPr>
                <w:rFonts w:hint="eastAsia" w:ascii="宋体" w:hAnsi="宋体" w:eastAsia="宋体" w:cs="宋体"/>
                <w:b w:val="0"/>
                <w:bCs w:val="0"/>
                <w:snapToGrid w:val="0"/>
                <w:color w:val="auto"/>
                <w:kern w:val="0"/>
                <w:sz w:val="24"/>
                <w:szCs w:val="24"/>
                <w:highlight w:val="none"/>
                <w:u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zh-CN"/>
              </w:rPr>
              <w:t xml:space="preserve">计划竣工日期： </w:t>
            </w:r>
            <w:r>
              <w:rPr>
                <w:rFonts w:hint="eastAsia" w:ascii="宋体" w:hAnsi="宋体" w:eastAsia="宋体" w:cs="宋体"/>
                <w:b w:val="0"/>
                <w:bCs w:val="0"/>
                <w:snapToGrid w:val="0"/>
                <w:color w:val="auto"/>
                <w:kern w:val="0"/>
                <w:sz w:val="24"/>
                <w:szCs w:val="24"/>
                <w:highlight w:val="none"/>
                <w:u w:val="single"/>
                <w:lang w:val="en-US" w:eastAsia="zh-CN"/>
              </w:rPr>
              <w:t xml:space="preserve">  / </w:t>
            </w:r>
            <w:r>
              <w:rPr>
                <w:rFonts w:hint="eastAsia" w:ascii="宋体" w:hAnsi="宋体" w:eastAsia="宋体" w:cs="宋体"/>
                <w:b w:val="0"/>
                <w:bCs w:val="0"/>
                <w:snapToGrid w:val="0"/>
                <w:color w:val="auto"/>
                <w:kern w:val="0"/>
                <w:sz w:val="24"/>
                <w:szCs w:val="24"/>
                <w:highlight w:val="none"/>
                <w:lang w:val="en-US" w:eastAsia="zh-CN"/>
              </w:rPr>
              <w:t xml:space="preserve"> 年 </w:t>
            </w:r>
            <w:r>
              <w:rPr>
                <w:rFonts w:hint="eastAsia" w:ascii="宋体" w:hAnsi="宋体" w:eastAsia="宋体" w:cs="宋体"/>
                <w:b w:val="0"/>
                <w:bCs w:val="0"/>
                <w:snapToGrid w:val="0"/>
                <w:color w:val="auto"/>
                <w:kern w:val="0"/>
                <w:sz w:val="24"/>
                <w:szCs w:val="24"/>
                <w:highlight w:val="none"/>
                <w:u w:val="single"/>
                <w:lang w:val="en-US" w:eastAsia="zh-CN"/>
              </w:rPr>
              <w:t xml:space="preserve">  /  </w:t>
            </w:r>
            <w:r>
              <w:rPr>
                <w:rFonts w:hint="eastAsia" w:ascii="宋体" w:hAnsi="宋体" w:eastAsia="宋体" w:cs="宋体"/>
                <w:b w:val="0"/>
                <w:bCs w:val="0"/>
                <w:snapToGrid w:val="0"/>
                <w:color w:val="auto"/>
                <w:kern w:val="0"/>
                <w:sz w:val="24"/>
                <w:szCs w:val="24"/>
                <w:highlight w:val="none"/>
                <w:lang w:val="en-US" w:eastAsia="zh-CN"/>
              </w:rPr>
              <w:t xml:space="preserve"> 月</w:t>
            </w:r>
            <w:r>
              <w:rPr>
                <w:rFonts w:hint="eastAsia" w:ascii="宋体" w:hAnsi="宋体" w:eastAsia="宋体" w:cs="宋体"/>
                <w:b w:val="0"/>
                <w:bCs w:val="0"/>
                <w:snapToGrid w:val="0"/>
                <w:color w:val="auto"/>
                <w:kern w:val="0"/>
                <w:sz w:val="24"/>
                <w:szCs w:val="24"/>
                <w:highlight w:val="none"/>
                <w:u w:val="single"/>
                <w:lang w:val="en-US" w:eastAsia="zh-CN"/>
              </w:rPr>
              <w:t xml:space="preserve"> / </w:t>
            </w:r>
            <w:r>
              <w:rPr>
                <w:rFonts w:hint="eastAsia" w:ascii="宋体" w:hAnsi="宋体" w:eastAsia="宋体" w:cs="宋体"/>
                <w:b w:val="0"/>
                <w:bCs w:val="0"/>
                <w:snapToGrid w:val="0"/>
                <w:color w:val="auto"/>
                <w:kern w:val="0"/>
                <w:sz w:val="24"/>
                <w:szCs w:val="24"/>
                <w:highlight w:val="none"/>
                <w:lang w:val="en-US" w:eastAsia="zh-CN"/>
              </w:rPr>
              <w:t xml:space="preserve"> 日 </w:t>
            </w:r>
          </w:p>
          <w:p w14:paraId="0F24B4A3">
            <w:pPr>
              <w:pStyle w:val="3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b w:val="0"/>
                <w:bCs w:val="0"/>
                <w:snapToGrid w:val="0"/>
                <w:color w:val="auto"/>
                <w:kern w:val="0"/>
                <w:sz w:val="24"/>
                <w:szCs w:val="24"/>
                <w:highlight w:val="none"/>
                <w:lang w:val="en-US"/>
              </w:rPr>
            </w:pPr>
            <w:r>
              <w:rPr>
                <w:rFonts w:hint="eastAsia" w:ascii="宋体" w:hAnsi="宋体" w:eastAsia="宋体" w:cs="宋体"/>
                <w:bCs/>
                <w:snapToGrid w:val="0"/>
                <w:color w:val="auto"/>
                <w:kern w:val="0"/>
                <w:sz w:val="24"/>
                <w:szCs w:val="24"/>
                <w:highlight w:val="none"/>
                <w:lang w:val="en-US" w:eastAsia="zh-CN"/>
              </w:rPr>
              <w:t>□</w:t>
            </w:r>
            <w:r>
              <w:rPr>
                <w:rFonts w:hint="eastAsia" w:ascii="宋体" w:hAnsi="宋体" w:eastAsia="宋体" w:cs="宋体"/>
                <w:b w:val="0"/>
                <w:bCs w:val="0"/>
                <w:snapToGrid w:val="0"/>
                <w:color w:val="auto"/>
                <w:kern w:val="0"/>
                <w:sz w:val="24"/>
                <w:szCs w:val="24"/>
                <w:highlight w:val="none"/>
                <w:u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zh-CN"/>
              </w:rPr>
              <w:t xml:space="preserve">除上述总工期外，发包人还要求以下阶段工期： </w:t>
            </w:r>
            <w:r>
              <w:rPr>
                <w:rFonts w:hint="eastAsia" w:ascii="宋体" w:hAnsi="宋体" w:eastAsia="宋体" w:cs="宋体"/>
                <w:b w:val="0"/>
                <w:bCs w:val="0"/>
                <w:snapToGrid w:val="0"/>
                <w:color w:val="auto"/>
                <w:kern w:val="0"/>
                <w:sz w:val="24"/>
                <w:szCs w:val="24"/>
                <w:highlight w:val="none"/>
                <w:u w:val="single"/>
                <w:lang w:val="en-US" w:eastAsia="zh-CN"/>
              </w:rPr>
              <w:t xml:space="preserve"> /    </w:t>
            </w:r>
            <w:r>
              <w:rPr>
                <w:rFonts w:hint="eastAsia" w:ascii="宋体" w:hAnsi="宋体" w:eastAsia="宋体" w:cs="宋体"/>
                <w:b w:val="0"/>
                <w:bCs w:val="0"/>
                <w:snapToGrid w:val="0"/>
                <w:color w:val="auto"/>
                <w:kern w:val="0"/>
                <w:sz w:val="24"/>
                <w:szCs w:val="24"/>
                <w:highlight w:val="none"/>
                <w:lang w:val="en-US" w:eastAsia="zh-CN"/>
              </w:rPr>
              <w:t xml:space="preserve"> </w:t>
            </w:r>
          </w:p>
        </w:tc>
      </w:tr>
      <w:tr w14:paraId="20A62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34D0B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7</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67F014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质量标准</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57185F2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snapToGrid w:val="0"/>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质量目标：合格</w:t>
            </w:r>
          </w:p>
          <w:p w14:paraId="243EC44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☑质量标准：符合现行国家有关工程施工质量验收规范和标准的要求。</w:t>
            </w:r>
          </w:p>
          <w:p w14:paraId="0F4C91B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Cs/>
                <w:snapToGrid w:val="0"/>
                <w:color w:val="auto"/>
                <w:kern w:val="0"/>
                <w:sz w:val="24"/>
                <w:szCs w:val="24"/>
                <w:highlight w:val="none"/>
                <w:lang w:val="en-US" w:eastAsia="zh-CN"/>
              </w:rPr>
              <w:t>□</w:t>
            </w:r>
            <w:r>
              <w:rPr>
                <w:rFonts w:hint="eastAsia" w:ascii="宋体" w:hAnsi="宋体" w:eastAsia="宋体" w:cs="宋体"/>
                <w:b w:val="0"/>
                <w:bCs w:val="0"/>
                <w:snapToGrid w:val="0"/>
                <w:color w:val="auto"/>
                <w:kern w:val="0"/>
                <w:sz w:val="24"/>
                <w:szCs w:val="24"/>
                <w:highlight w:val="none"/>
                <w:u w:val="none"/>
                <w:lang w:val="en-US" w:eastAsia="zh-CN"/>
              </w:rPr>
              <w:t xml:space="preserve"> </w:t>
            </w:r>
            <w:r>
              <w:rPr>
                <w:rFonts w:hint="eastAsia" w:ascii="宋体" w:hAnsi="宋体" w:eastAsia="宋体" w:cs="宋体"/>
                <w:color w:val="auto"/>
                <w:kern w:val="0"/>
                <w:sz w:val="24"/>
                <w:szCs w:val="24"/>
                <w:highlight w:val="none"/>
                <w:lang w:val="en-US" w:eastAsia="zh-CN" w:bidi="ar"/>
              </w:rPr>
              <w:t>优质工程要求：</w:t>
            </w:r>
            <w:r>
              <w:rPr>
                <w:rFonts w:hint="eastAsia" w:ascii="宋体" w:hAnsi="宋体" w:eastAsia="宋体" w:cs="宋体"/>
                <w:color w:val="auto"/>
                <w:kern w:val="0"/>
                <w:sz w:val="24"/>
                <w:szCs w:val="24"/>
                <w:highlight w:val="none"/>
                <w:u w:val="single"/>
                <w:lang w:val="en-US" w:eastAsia="zh-CN" w:bidi="ar"/>
              </w:rPr>
              <w:t>无</w:t>
            </w:r>
          </w:p>
          <w:p w14:paraId="256A8C8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 xml:space="preserve">工程优质费：☑无     </w:t>
            </w:r>
            <w:r>
              <w:rPr>
                <w:rFonts w:hint="eastAsia" w:ascii="宋体" w:hAnsi="宋体" w:eastAsia="宋体" w:cs="宋体"/>
                <w:bCs/>
                <w:snapToGrid w:val="0"/>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有：</w:t>
            </w:r>
          </w:p>
        </w:tc>
      </w:tr>
      <w:tr w14:paraId="5DA2F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restart"/>
            <w:tcBorders>
              <w:top w:val="single" w:color="auto" w:sz="4" w:space="0"/>
              <w:left w:val="single" w:color="auto" w:sz="4" w:space="0"/>
              <w:right w:val="single" w:color="auto" w:sz="4" w:space="0"/>
            </w:tcBorders>
            <w:noWrap w:val="0"/>
            <w:vAlign w:val="center"/>
          </w:tcPr>
          <w:p w14:paraId="18D1DB4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8</w:t>
            </w:r>
          </w:p>
        </w:tc>
        <w:tc>
          <w:tcPr>
            <w:tcW w:w="1733" w:type="dxa"/>
            <w:vMerge w:val="restart"/>
            <w:tcBorders>
              <w:top w:val="single" w:color="auto" w:sz="4" w:space="0"/>
              <w:left w:val="single" w:color="auto" w:sz="4" w:space="0"/>
              <w:right w:val="single" w:color="auto" w:sz="4" w:space="0"/>
            </w:tcBorders>
            <w:noWrap w:val="0"/>
            <w:vAlign w:val="center"/>
          </w:tcPr>
          <w:p w14:paraId="458576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合同类型</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F093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sz w:val="24"/>
                <w:szCs w:val="24"/>
                <w:highlight w:val="none"/>
              </w:rPr>
            </w:pPr>
            <w:bookmarkStart w:id="24" w:name="_Hlt106417017"/>
            <w:bookmarkEnd w:id="24"/>
            <w:r>
              <w:rPr>
                <w:rFonts w:hint="eastAsia" w:ascii="宋体" w:hAnsi="宋体" w:eastAsia="宋体" w:cs="宋体"/>
                <w:color w:val="auto"/>
                <w:kern w:val="0"/>
                <w:sz w:val="24"/>
                <w:szCs w:val="24"/>
                <w:highlight w:val="none"/>
                <w:lang w:val="en-US" w:eastAsia="zh-CN" w:bidi="ar"/>
              </w:rPr>
              <w:t>☑单价合同：发承包双方约定以工程量清单及其综合单价进行合同价款计算、调整和确认的建设工程施工合同。</w:t>
            </w:r>
          </w:p>
          <w:p w14:paraId="454139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1BA8D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continue"/>
            <w:tcBorders>
              <w:left w:val="single" w:color="auto" w:sz="4" w:space="0"/>
              <w:bottom w:val="single" w:color="auto" w:sz="4" w:space="0"/>
              <w:right w:val="single" w:color="auto" w:sz="4" w:space="0"/>
            </w:tcBorders>
            <w:noWrap w:val="0"/>
            <w:vAlign w:val="center"/>
          </w:tcPr>
          <w:p w14:paraId="62E640E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p>
        </w:tc>
        <w:tc>
          <w:tcPr>
            <w:tcW w:w="1733" w:type="dxa"/>
            <w:vMerge w:val="continue"/>
            <w:tcBorders>
              <w:left w:val="single" w:color="auto" w:sz="4" w:space="0"/>
              <w:bottom w:val="single" w:color="auto" w:sz="4" w:space="0"/>
              <w:right w:val="single" w:color="auto" w:sz="4" w:space="0"/>
            </w:tcBorders>
            <w:noWrap w:val="0"/>
            <w:vAlign w:val="center"/>
          </w:tcPr>
          <w:p w14:paraId="73C4090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p>
        </w:tc>
        <w:tc>
          <w:tcPr>
            <w:tcW w:w="7444" w:type="dxa"/>
            <w:tcBorders>
              <w:top w:val="single" w:color="auto" w:sz="4" w:space="0"/>
              <w:left w:val="single" w:color="auto" w:sz="4" w:space="0"/>
              <w:bottom w:val="single" w:color="auto" w:sz="4" w:space="0"/>
              <w:right w:val="single" w:color="auto" w:sz="4" w:space="0"/>
            </w:tcBorders>
            <w:noWrap w:val="0"/>
            <w:vAlign w:val="center"/>
          </w:tcPr>
          <w:p w14:paraId="39CF1F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□总价合同：发承包双方约定以施工图及其预算和有关条件进行合同价款计算、调整和确认的建设工程施工合同。</w:t>
            </w:r>
          </w:p>
          <w:p w14:paraId="6E73EA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9ED1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3C97A9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19</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00CAE9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房屋建筑工程</w:t>
            </w:r>
          </w:p>
          <w:p w14:paraId="5C691D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绿色建筑标准</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510D9D6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color w:val="auto"/>
                <w:kern w:val="2"/>
                <w:sz w:val="24"/>
                <w:szCs w:val="24"/>
                <w:highlight w:val="none"/>
              </w:rPr>
              <w:t>本招标项目</w:t>
            </w:r>
            <w:r>
              <w:rPr>
                <w:rFonts w:hint="eastAsia" w:ascii="宋体" w:hAnsi="宋体" w:eastAsia="宋体" w:cs="宋体"/>
                <w:snapToGrid/>
                <w:color w:val="auto"/>
                <w:kern w:val="2"/>
                <w:sz w:val="24"/>
                <w:szCs w:val="24"/>
                <w:highlight w:val="none"/>
                <w:lang w:val="en-US" w:eastAsia="zh-CN"/>
              </w:rPr>
              <w:t>不</w:t>
            </w:r>
            <w:r>
              <w:rPr>
                <w:rFonts w:hint="eastAsia" w:ascii="宋体" w:hAnsi="宋体" w:eastAsia="宋体" w:cs="宋体"/>
                <w:snapToGrid/>
                <w:color w:val="auto"/>
                <w:kern w:val="2"/>
                <w:sz w:val="24"/>
                <w:szCs w:val="24"/>
                <w:highlight w:val="none"/>
              </w:rPr>
              <w:t>纳入绿色建</w:t>
            </w:r>
            <w:r>
              <w:rPr>
                <w:rFonts w:hint="eastAsia" w:ascii="宋体" w:hAnsi="宋体" w:eastAsia="宋体" w:cs="宋体"/>
                <w:snapToGrid/>
                <w:color w:val="auto"/>
                <w:kern w:val="2"/>
                <w:sz w:val="24"/>
                <w:szCs w:val="24"/>
                <w:highlight w:val="none"/>
                <w:lang w:eastAsia="zh-CN"/>
              </w:rPr>
              <w:t>筑</w:t>
            </w:r>
            <w:r>
              <w:rPr>
                <w:rFonts w:hint="eastAsia" w:ascii="宋体" w:hAnsi="宋体" w:eastAsia="宋体" w:cs="宋体"/>
                <w:snapToGrid/>
                <w:color w:val="auto"/>
                <w:kern w:val="2"/>
                <w:sz w:val="24"/>
                <w:szCs w:val="24"/>
                <w:highlight w:val="none"/>
              </w:rPr>
              <w:t>实施范围</w:t>
            </w:r>
            <w:r>
              <w:rPr>
                <w:rFonts w:hint="eastAsia" w:ascii="宋体" w:hAnsi="宋体" w:eastAsia="宋体" w:cs="宋体"/>
                <w:color w:val="auto"/>
                <w:kern w:val="2"/>
                <w:sz w:val="24"/>
                <w:szCs w:val="24"/>
                <w:highlight w:val="none"/>
              </w:rPr>
              <w:t>。</w:t>
            </w:r>
          </w:p>
        </w:tc>
      </w:tr>
      <w:tr w14:paraId="407A3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74E29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19.1</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33B74D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装配式建筑标准</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5A0ED8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本招标项目不纳入装配式建造建设实施范围。</w:t>
            </w:r>
          </w:p>
        </w:tc>
      </w:tr>
      <w:tr w14:paraId="5D64C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24507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20</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CAA22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发包人提供材料 和工程设备</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D376A3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发包人提供材料和工程设备：☑无   </w:t>
            </w:r>
            <w:r>
              <w:rPr>
                <w:rFonts w:hint="eastAsia" w:ascii="宋体" w:hAnsi="宋体" w:eastAsia="宋体" w:cs="宋体"/>
                <w:bCs/>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有：</w:t>
            </w:r>
            <w:r>
              <w:rPr>
                <w:rFonts w:hint="eastAsia" w:ascii="宋体" w:hAnsi="宋体" w:eastAsia="宋体" w:cs="宋体"/>
                <w:snapToGrid w:val="0"/>
                <w:color w:val="auto"/>
                <w:kern w:val="0"/>
                <w:sz w:val="24"/>
                <w:szCs w:val="24"/>
                <w:highlight w:val="none"/>
                <w:u w:val="single"/>
                <w:lang w:val="en-US" w:eastAsia="zh-CN"/>
              </w:rPr>
              <w:t xml:space="preserve">   / </w:t>
            </w:r>
          </w:p>
        </w:tc>
      </w:tr>
      <w:tr w14:paraId="5D448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5888B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21</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3D9C5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承包人提供材料和工程设备</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201DB4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已具有合格证明的材</w:t>
            </w:r>
            <w:r>
              <w:rPr>
                <w:rFonts w:hint="eastAsia" w:ascii="宋体" w:hAnsi="宋体" w:eastAsia="宋体" w:cs="宋体"/>
                <w:color w:val="auto"/>
                <w:spacing w:val="-6"/>
                <w:kern w:val="0"/>
                <w:sz w:val="24"/>
                <w:szCs w:val="24"/>
                <w:highlight w:val="none"/>
                <w:lang w:val="en-US" w:eastAsia="zh-CN" w:bidi="ar"/>
              </w:rPr>
              <w:t xml:space="preserve">料、工程设备，但经检测证明该项材料、工程设备符合合同约定的质量标准的，发包人应承担由此增加的费用和（或）工期延误，并向承包人支付合理利润。 </w:t>
            </w:r>
          </w:p>
          <w:p w14:paraId="5F0B2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□其他说明：鼓励承包人积极采购环保产品进行施工。</w:t>
            </w:r>
          </w:p>
        </w:tc>
      </w:tr>
      <w:tr w14:paraId="4807C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7C652E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22</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6EB745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最高投标限价</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22B952E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120" w:rightChars="5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招标项目最高投标限价、施工图纸、工程量清单在开标前15天另行发布于全国公共资源交易平台（广东省·韶关市）（https://ygp.gdzwfw.gov.cn/ggzy-portal/#/440200/index）、广东省招标投标监管网（http://zbtb.gd.gov.cn）网站。</w:t>
            </w:r>
          </w:p>
        </w:tc>
      </w:tr>
      <w:tr w14:paraId="05EC0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E62707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6F2B2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投标人的投标</w:t>
            </w:r>
          </w:p>
          <w:p w14:paraId="77BAC8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报价</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563A67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投标时响应招标文件要求所报出的对已标价工程量清单汇总后标明的价。投标人在投标报价填写的工程量清单的项目编码、项目名称、项目特征、计量单位、工程数量必须与招标人招标文件中提供的一致，投标价不能低于工程成本、高于最高投标限价。</w:t>
            </w:r>
          </w:p>
          <w:p w14:paraId="347FED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投标报价方式：☑工程量清单报价  □其他： </w:t>
            </w:r>
          </w:p>
          <w:p w14:paraId="64A0AF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最高投标限价：本招标项目最高投标限价、工程量清单在开标前15天另行发布于全国公共资源交易平台（广东省·韶关市）（https://ygp.gdzwfw.gov.cn/ggzy-portal/#/440200/index）、广东省招标投标监管网（http://zbtb.gd.gov.cn）网站。</w:t>
            </w:r>
          </w:p>
          <w:p w14:paraId="4C6D3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
              </w:rPr>
              <w:t>投标报价时，应按《广东省建设工程计价依据（2018）》规定的费率报价，若招标工程量清单明确说明不计算预算包干费或另外确定预算包干费费率的，则按招标工程量清单报价。</w:t>
            </w:r>
          </w:p>
        </w:tc>
      </w:tr>
      <w:tr w14:paraId="466477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045C39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24</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060DB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投标报价风险</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06BB6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☑投标人依据招标文件约定自行考虑风险因素，一旦中标，投标报价（合同价）除合同另有约定外将不因市场变化而调整。</w:t>
            </w:r>
          </w:p>
          <w:p w14:paraId="51E78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☑投标报价中应包括工程量清单项目所发生的人工费、材料费、 机具费、管理费、利润、措施项目费、其他项目费、税金、暂列金额、暂估价以及所有风险、责任等各项费用。 </w:t>
            </w:r>
          </w:p>
          <w:p w14:paraId="3195B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☑人工费、材料费、机具费、管理费、利润、措施项目费投标人漏报或不报，招标人视为有关费用已包括在工程量清单项目的其他单价及合价中不予另外增加。 </w:t>
            </w:r>
          </w:p>
          <w:p w14:paraId="7306C6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☑在施工过程中产生的各项工程检测费用、验收费用、水电报装入户等各项费用均由承包人自行解决，费用考虑在投标报价中。</w:t>
            </w:r>
          </w:p>
          <w:p w14:paraId="5479C2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☑措施项目中的安全生产措施费，必须按国家、省级、市级（即工程所在地）行业建设主管部门的规定计算，不得作为竞争性费用。 </w:t>
            </w:r>
          </w:p>
          <w:p w14:paraId="281C85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☑投标人应按照招标文件提供的工程量清单逐项填写单价和合价，投标人未填写的项目，招标人将视为此项费用已包括在工程量清单项目的其他单价及合价中不予另外增加。 </w:t>
            </w:r>
          </w:p>
          <w:p w14:paraId="43F5E8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 </w:t>
            </w:r>
          </w:p>
          <w:p w14:paraId="524B5F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☑招标人向投标人提供的有关施工现场资料及数据，是招标人现有的能使投标人利用的资料，招标人对投标人据此作出的推论及理解概不负责。 </w:t>
            </w:r>
          </w:p>
          <w:p w14:paraId="0AF232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 </w:t>
            </w:r>
          </w:p>
          <w:p w14:paraId="5A41B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☑错漏项的认定。中标人已标价工程量清单中，任一清单项目未填报价格或价格为零的，招标人将视为此项费用已包括在工程量清单项目的其他单价及合价中不予另外增加。</w:t>
            </w:r>
          </w:p>
        </w:tc>
      </w:tr>
      <w:tr w14:paraId="633CE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5DF4FD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25</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558E79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投标费用</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059D533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投标人自行承担编制与递交投标文件的一切费用。</w:t>
            </w:r>
          </w:p>
        </w:tc>
      </w:tr>
      <w:tr w14:paraId="0D0EB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44FE4F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26</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92EDD4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val="0"/>
                <w:bCs w:val="0"/>
                <w:i w:val="0"/>
                <w:color w:val="auto"/>
                <w:kern w:val="0"/>
                <w:sz w:val="24"/>
                <w:szCs w:val="24"/>
                <w:highlight w:val="none"/>
                <w:u w:val="none"/>
                <w:lang w:val="en-US" w:eastAsia="zh-CN" w:bidi="ar"/>
              </w:rPr>
              <w:t>成本警示价</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2B1E7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投标报价</w:t>
            </w:r>
            <w:r>
              <w:rPr>
                <w:rFonts w:hint="eastAsia" w:ascii="宋体" w:hAnsi="宋体" w:eastAsia="宋体" w:cs="宋体"/>
                <w:color w:val="auto"/>
                <w:kern w:val="0"/>
                <w:sz w:val="24"/>
                <w:szCs w:val="24"/>
                <w:highlight w:val="none"/>
                <w:lang w:val="en-US" w:eastAsia="zh-CN" w:bidi="ar"/>
              </w:rPr>
              <w:t>要求：</w:t>
            </w:r>
          </w:p>
          <w:p w14:paraId="4FB28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1.投标人的投标报价不得高于招标人设置的最高投标限价，否则作无效投标处理；</w:t>
            </w:r>
          </w:p>
          <w:p w14:paraId="090CD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2.投标人的投标报价如低于招标项目的成本警示价的，需提供成本分析资料等报价依</w:t>
            </w:r>
            <w:r>
              <w:rPr>
                <w:rFonts w:hint="eastAsia" w:ascii="宋体" w:hAnsi="宋体" w:eastAsia="宋体" w:cs="宋体"/>
                <w:color w:val="auto"/>
                <w:sz w:val="24"/>
                <w:szCs w:val="24"/>
                <w:highlight w:val="none"/>
                <w:lang w:val="en-US" w:eastAsia="zh-CN"/>
              </w:rPr>
              <w:t>据。（成本警示价＝最高投标限价×85%）</w:t>
            </w:r>
          </w:p>
        </w:tc>
      </w:tr>
      <w:tr w14:paraId="01180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4420B0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27</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27FEBB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4159EE8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本次招标</w:t>
            </w:r>
            <w:r>
              <w:rPr>
                <w:rFonts w:hint="eastAsia" w:ascii="宋体" w:hAnsi="宋体" w:eastAsia="宋体" w:cs="宋体"/>
                <w:b/>
                <w:bCs/>
                <w:color w:val="auto"/>
                <w:sz w:val="24"/>
                <w:szCs w:val="24"/>
                <w:highlight w:val="none"/>
                <w:u w:val="single"/>
              </w:rPr>
              <w:t>接受</w:t>
            </w:r>
            <w:r>
              <w:rPr>
                <w:rFonts w:hint="eastAsia" w:ascii="宋体" w:hAnsi="宋体" w:eastAsia="宋体" w:cs="宋体"/>
                <w:color w:val="auto"/>
                <w:sz w:val="24"/>
                <w:szCs w:val="24"/>
                <w:highlight w:val="none"/>
              </w:rPr>
              <w:t>联合体投标，联合体以一个投标人的身份共同投标。</w:t>
            </w:r>
          </w:p>
          <w:p w14:paraId="13F4585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1.1联合体成员数量不超过</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个。</w:t>
            </w:r>
          </w:p>
          <w:p w14:paraId="6E9A31E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1.2联合体各方应按招标文件提供的格式签订联合体协议书，明确联合体牵头人和各方权利义务，并承诺就中标项目向招标人承担连带责任。《联合体协议书》作为投标文件的组成部分向招标人提交。</w:t>
            </w:r>
          </w:p>
          <w:p w14:paraId="35A1551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联合体成员单位均应具备拟承担的工作内容（以《联合体协议书》的约定为准）所规定的资格条件。若同一工作内容由两个或两个以上单位共同承担，该项工作内容按照资质等级较低的单位确定联合体资质等级。</w:t>
            </w:r>
          </w:p>
          <w:p w14:paraId="1F06296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1.4联合体各方不得再以自己名义单独或参加其他联合体在本招标项目中投标，否则各相关投标均无效。</w:t>
            </w:r>
          </w:p>
          <w:p w14:paraId="1B615F3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资格资质要求</w:t>
            </w:r>
          </w:p>
          <w:p w14:paraId="29FA5119">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投标人须具备独立法人资格，按国家法律经营。</w:t>
            </w:r>
          </w:p>
          <w:p w14:paraId="79FAA5A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投标人须持有建设行政主管部门颁发的企业资质证书及安全生产许可证。</w:t>
            </w:r>
          </w:p>
          <w:p w14:paraId="6DC0FE2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参加投标的投标人可以是单一独立法人或由不超过</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家独立法人组成的联合体【必须注明其中一家为牵头人】，联合体各方不得再以自己的名义单独申请，也不得同时参加两个或两个以上的联合体进行本项目的投标。</w:t>
            </w:r>
          </w:p>
          <w:p w14:paraId="6F2DAAD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right="120" w:rightChars="50"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投标人</w:t>
            </w:r>
            <w:r>
              <w:rPr>
                <w:rFonts w:hint="eastAsia" w:ascii="宋体" w:hAnsi="宋体" w:eastAsia="宋体" w:cs="宋体"/>
                <w:color w:val="auto"/>
                <w:sz w:val="24"/>
                <w:szCs w:val="24"/>
                <w:highlight w:val="none"/>
                <w:lang w:eastAsia="zh-CN"/>
              </w:rPr>
              <w:t>（或组成联合体）</w:t>
            </w:r>
            <w:r>
              <w:rPr>
                <w:rFonts w:hint="eastAsia" w:ascii="宋体" w:hAnsi="宋体" w:eastAsia="宋体" w:cs="宋体"/>
                <w:color w:val="auto"/>
                <w:sz w:val="24"/>
                <w:szCs w:val="24"/>
                <w:highlight w:val="none"/>
              </w:rPr>
              <w:t>须具备以下资质：</w:t>
            </w:r>
            <w:r>
              <w:rPr>
                <w:rFonts w:hint="eastAsia" w:ascii="宋体" w:hAnsi="宋体" w:eastAsia="宋体" w:cs="宋体"/>
                <w:b/>
                <w:bCs/>
                <w:color w:val="auto"/>
                <w:sz w:val="24"/>
                <w:szCs w:val="24"/>
                <w:highlight w:val="none"/>
                <w:u w:val="single"/>
                <w:lang w:eastAsia="zh-CN"/>
              </w:rPr>
              <w:t>市政公用工程施工总承包</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lang w:eastAsia="zh-CN"/>
              </w:rPr>
              <w:t>级以上（含</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lang w:eastAsia="zh-CN"/>
              </w:rPr>
              <w:t>级）资质</w:t>
            </w:r>
            <w:r>
              <w:rPr>
                <w:rFonts w:hint="eastAsia" w:ascii="宋体" w:hAnsi="宋体" w:eastAsia="宋体" w:cs="宋体"/>
                <w:color w:val="auto"/>
                <w:sz w:val="24"/>
                <w:szCs w:val="24"/>
                <w:highlight w:val="none"/>
                <w:u w:val="single"/>
              </w:rPr>
              <w:t>。</w:t>
            </w:r>
          </w:p>
          <w:p w14:paraId="0D17EC5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2"/>
                <w:sz w:val="24"/>
                <w:szCs w:val="24"/>
                <w:highlight w:val="none"/>
                <w:lang w:val="en-US" w:eastAsia="zh-CN" w:bidi="ar-SA"/>
              </w:rPr>
              <w:t>2.5</w:t>
            </w:r>
            <w:r>
              <w:rPr>
                <w:rFonts w:hint="eastAsia" w:ascii="宋体" w:hAnsi="宋体" w:eastAsia="宋体" w:cs="宋体"/>
                <w:snapToGrid w:val="0"/>
                <w:color w:val="auto"/>
                <w:kern w:val="0"/>
                <w:sz w:val="24"/>
                <w:szCs w:val="24"/>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证明在开标日继续有效。</w:t>
            </w:r>
          </w:p>
          <w:p w14:paraId="68DEBF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相关人员要求</w:t>
            </w:r>
          </w:p>
          <w:p w14:paraId="5FBAA86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rPr>
              <w:t xml:space="preserve">3.1 </w:t>
            </w:r>
            <w:r>
              <w:rPr>
                <w:rFonts w:hint="eastAsia" w:ascii="宋体" w:hAnsi="宋体" w:eastAsia="宋体" w:cs="宋体"/>
                <w:snapToGrid w:val="0"/>
                <w:color w:val="auto"/>
                <w:kern w:val="0"/>
                <w:sz w:val="24"/>
                <w:szCs w:val="24"/>
                <w:highlight w:val="none"/>
              </w:rPr>
              <w:t>拟派项目经理为</w:t>
            </w:r>
            <w:r>
              <w:rPr>
                <w:rFonts w:hint="eastAsia" w:ascii="宋体" w:hAnsi="宋体" w:eastAsia="宋体" w:cs="宋体"/>
                <w:b/>
                <w:bCs/>
                <w:snapToGrid w:val="0"/>
                <w:color w:val="auto"/>
                <w:kern w:val="0"/>
                <w:sz w:val="24"/>
                <w:szCs w:val="24"/>
                <w:highlight w:val="none"/>
                <w:u w:val="single"/>
                <w:lang w:eastAsia="zh-CN"/>
              </w:rPr>
              <w:t>市政公用工程</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color w:val="auto"/>
                <w:sz w:val="24"/>
                <w:szCs w:val="24"/>
                <w:highlight w:val="none"/>
              </w:rPr>
              <w:t>一级或二级</w:t>
            </w:r>
            <w:r>
              <w:rPr>
                <w:rFonts w:hint="eastAsia" w:ascii="宋体" w:hAnsi="宋体" w:eastAsia="宋体" w:cs="宋体"/>
                <w:caps w:val="0"/>
                <w:smallCaps w:val="0"/>
                <w:snapToGrid w:val="0"/>
                <w:color w:val="auto"/>
                <w:spacing w:val="0"/>
                <w:kern w:val="0"/>
                <w:sz w:val="24"/>
                <w:szCs w:val="24"/>
                <w:highlight w:val="none"/>
                <w:u w:val="none"/>
                <w:lang w:val="en-US" w:eastAsia="zh-CN" w:bidi="ar-SA"/>
              </w:rPr>
              <w:t>注册建造师</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应持有住建部门印发的在使用有效期内的有效电子注册证书。同时均须具备有效安全生产考核合格证明（B 证），且未担任其他在施（包括已中标未开工、已开工未竣工）建设工程项目的项目经理。</w:t>
            </w:r>
          </w:p>
          <w:p w14:paraId="795CFE9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 </w:t>
            </w:r>
            <w:r>
              <w:rPr>
                <w:rFonts w:hint="eastAsia" w:ascii="宋体" w:hAnsi="宋体" w:eastAsia="宋体" w:cs="宋体"/>
                <w:snapToGrid w:val="0"/>
                <w:color w:val="auto"/>
                <w:kern w:val="0"/>
                <w:sz w:val="24"/>
                <w:szCs w:val="24"/>
                <w:highlight w:val="none"/>
              </w:rPr>
              <w:t>拟派项目技术负责人须具备</w:t>
            </w:r>
            <w:r>
              <w:rPr>
                <w:rFonts w:hint="eastAsia" w:ascii="宋体" w:hAnsi="宋体" w:eastAsia="宋体" w:cs="宋体"/>
                <w:b/>
                <w:bCs/>
                <w:color w:val="auto"/>
                <w:kern w:val="0"/>
                <w:sz w:val="24"/>
                <w:szCs w:val="24"/>
                <w:highlight w:val="none"/>
                <w:u w:val="single"/>
                <w:lang w:eastAsia="zh-CN"/>
              </w:rPr>
              <w:t>市政类</w:t>
            </w:r>
            <w:r>
              <w:rPr>
                <w:rFonts w:hint="eastAsia" w:ascii="宋体" w:hAnsi="宋体" w:eastAsia="宋体" w:cs="宋体"/>
                <w:color w:val="auto"/>
                <w:kern w:val="0"/>
                <w:sz w:val="24"/>
                <w:szCs w:val="24"/>
                <w:highlight w:val="none"/>
                <w:u w:val="none"/>
              </w:rPr>
              <w:t>相关</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b/>
                <w:bCs/>
                <w:snapToGrid w:val="0"/>
                <w:color w:val="auto"/>
                <w:kern w:val="0"/>
                <w:sz w:val="24"/>
                <w:szCs w:val="24"/>
                <w:highlight w:val="none"/>
                <w:u w:val="single"/>
                <w:lang w:eastAsia="zh-CN"/>
              </w:rPr>
              <w:t>中</w:t>
            </w:r>
            <w:r>
              <w:rPr>
                <w:rFonts w:hint="eastAsia" w:ascii="宋体" w:hAnsi="宋体" w:eastAsia="宋体" w:cs="宋体"/>
                <w:snapToGrid w:val="0"/>
                <w:color w:val="auto"/>
                <w:kern w:val="0"/>
                <w:sz w:val="24"/>
                <w:szCs w:val="24"/>
                <w:highlight w:val="none"/>
              </w:rPr>
              <w:t>级或以上技术职称</w:t>
            </w:r>
            <w:r>
              <w:rPr>
                <w:rFonts w:hint="eastAsia" w:ascii="宋体" w:hAnsi="宋体" w:eastAsia="宋体" w:cs="宋体"/>
                <w:color w:val="auto"/>
                <w:sz w:val="24"/>
                <w:szCs w:val="24"/>
                <w:highlight w:val="none"/>
              </w:rPr>
              <w:t>。</w:t>
            </w:r>
          </w:p>
          <w:p w14:paraId="7BD0033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color w:val="auto"/>
                <w:sz w:val="24"/>
                <w:szCs w:val="24"/>
                <w:highlight w:val="none"/>
                <w:u w:val="single"/>
                <w:lang w:val="en-US" w:eastAsia="zh-CN"/>
              </w:rPr>
              <w:t xml:space="preserve"> 1 </w:t>
            </w:r>
            <w:r>
              <w:rPr>
                <w:rFonts w:hint="eastAsia" w:ascii="宋体" w:hAnsi="宋体" w:eastAsia="宋体" w:cs="宋体"/>
                <w:b/>
                <w:bCs/>
                <w:color w:val="auto"/>
                <w:sz w:val="24"/>
                <w:szCs w:val="24"/>
                <w:highlight w:val="none"/>
              </w:rPr>
              <w:t>人</w:t>
            </w:r>
            <w:r>
              <w:rPr>
                <w:rFonts w:hint="eastAsia" w:ascii="宋体" w:hAnsi="宋体" w:eastAsia="宋体" w:cs="宋体"/>
                <w:color w:val="auto"/>
                <w:sz w:val="24"/>
                <w:szCs w:val="24"/>
                <w:highlight w:val="none"/>
              </w:rPr>
              <w:t>。</w:t>
            </w:r>
          </w:p>
          <w:p w14:paraId="6F832D1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5F3F0FE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禁止投标条款：</w:t>
            </w:r>
          </w:p>
          <w:p w14:paraId="3AFD75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投标人不得存在下列情形之一：</w:t>
            </w:r>
          </w:p>
          <w:p w14:paraId="007E783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（1）为招标人不具有独立法人资格的附属机构（单位）；</w:t>
            </w:r>
          </w:p>
          <w:p w14:paraId="0C8891D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（2）为本招标项目前期准备提供设计或咨询服务的；</w:t>
            </w:r>
          </w:p>
          <w:p w14:paraId="18E4523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（3）与本招标项目的其他投标人为同一个单位负责人；</w:t>
            </w:r>
          </w:p>
          <w:p w14:paraId="6C26D67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（4）与本招标项目的其他投标人存在控股、管理关系；</w:t>
            </w:r>
          </w:p>
          <w:p w14:paraId="739F421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（5）为本招标项目的监理人；</w:t>
            </w:r>
          </w:p>
          <w:p w14:paraId="29FC253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（6）为本招标项目的代建人；</w:t>
            </w:r>
          </w:p>
          <w:p w14:paraId="6DF31AC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（7）为本招标项目的招标代理机构；</w:t>
            </w:r>
          </w:p>
          <w:p w14:paraId="05DA803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（8）与本招标项目的监理人或代建人或招标代理机构同为一个法定代表人；</w:t>
            </w:r>
          </w:p>
          <w:p w14:paraId="7C13DA9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（9）与本招标项目的监理人或代建人或招标代理机构存在控股或参股关系；</w:t>
            </w:r>
          </w:p>
          <w:p w14:paraId="73493EE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（10）与本招标项目的监理人或代建人或招标代理机构存在相互任职或工作关系；</w:t>
            </w:r>
          </w:p>
          <w:p w14:paraId="385F94C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（11）被依法暂停或者取消投标资格；</w:t>
            </w:r>
          </w:p>
          <w:p w14:paraId="77AFAB8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（12）被责令停产停业、暂扣或者吊销许可证、暂扣或者吊销执照；</w:t>
            </w:r>
          </w:p>
          <w:p w14:paraId="55010F6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（13）进入清算程序，或被宣告破产，或其他丧失履约能力的情形；</w:t>
            </w:r>
          </w:p>
          <w:p w14:paraId="2CA84F4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（14）在最近三年内发生重大工程质量或安全问题（以相关行业主管部门的行政处罚决定或司法机关出具的有关法律文书为准）；</w:t>
            </w:r>
          </w:p>
          <w:p w14:paraId="7047B0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rPr>
              <w:t>（15）被“信用中国”网站（https</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//www.creditchina.gov.cn）发布的《法人和非法人组织公共信用信息报告》列为严重失信主体名单的。</w:t>
            </w:r>
          </w:p>
          <w:p w14:paraId="2FFA59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招标人拒绝以下名单中的单位参加本次投标：</w:t>
            </w:r>
          </w:p>
          <w:tbl>
            <w:tblPr>
              <w:tblStyle w:val="21"/>
              <w:tblW w:w="7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3578"/>
              <w:gridCol w:w="3077"/>
            </w:tblGrid>
            <w:tr w14:paraId="66DF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hRule="atLeast"/>
                <w:jc w:val="center"/>
              </w:trPr>
              <w:tc>
                <w:tcPr>
                  <w:tcW w:w="523" w:type="dxa"/>
                  <w:tcBorders>
                    <w:top w:val="single" w:color="auto" w:sz="4" w:space="0"/>
                    <w:left w:val="single" w:color="auto" w:sz="4" w:space="0"/>
                    <w:bottom w:val="single" w:color="auto" w:sz="4" w:space="0"/>
                    <w:right w:val="single" w:color="auto" w:sz="4" w:space="0"/>
                  </w:tcBorders>
                  <w:noWrap w:val="0"/>
                  <w:vAlign w:val="center"/>
                </w:tcPr>
                <w:p w14:paraId="4E2A6B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序号</w:t>
                  </w:r>
                </w:p>
              </w:tc>
              <w:tc>
                <w:tcPr>
                  <w:tcW w:w="3578" w:type="dxa"/>
                  <w:tcBorders>
                    <w:top w:val="single" w:color="auto" w:sz="4" w:space="0"/>
                    <w:left w:val="single" w:color="auto" w:sz="4" w:space="0"/>
                    <w:bottom w:val="single" w:color="auto" w:sz="4" w:space="0"/>
                    <w:right w:val="single" w:color="auto" w:sz="4" w:space="0"/>
                  </w:tcBorders>
                  <w:noWrap w:val="0"/>
                  <w:vAlign w:val="center"/>
                </w:tcPr>
                <w:p w14:paraId="5F7D18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单位名称</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2A1CFA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拒绝原因</w:t>
                  </w:r>
                </w:p>
              </w:tc>
            </w:tr>
            <w:tr w14:paraId="33DE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550AFA">
                  <w:pPr>
                    <w:pStyle w:val="3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w:t>
                  </w:r>
                </w:p>
              </w:tc>
              <w:tc>
                <w:tcPr>
                  <w:tcW w:w="35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51D9BE">
                  <w:pPr>
                    <w:pStyle w:val="3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韶关高新技术产业开发区创业服务中心</w:t>
                  </w:r>
                </w:p>
              </w:tc>
              <w:tc>
                <w:tcPr>
                  <w:tcW w:w="30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E3B9E6">
                  <w:pPr>
                    <w:pStyle w:val="3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为本项目的项目业主</w:t>
                  </w:r>
                </w:p>
              </w:tc>
            </w:tr>
            <w:tr w14:paraId="4500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970525">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578" w:type="dxa"/>
                  <w:tcBorders>
                    <w:top w:val="single" w:color="auto" w:sz="4" w:space="0"/>
                    <w:left w:val="single" w:color="auto" w:sz="4" w:space="0"/>
                    <w:bottom w:val="single" w:color="auto" w:sz="4" w:space="0"/>
                    <w:right w:val="single" w:color="auto" w:sz="4" w:space="0"/>
                  </w:tcBorders>
                  <w:noWrap w:val="0"/>
                  <w:vAlign w:val="center"/>
                </w:tcPr>
                <w:p w14:paraId="07A92FB5">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bCs/>
                      <w:snapToGrid w:val="0"/>
                      <w:color w:val="auto"/>
                      <w:kern w:val="0"/>
                      <w:sz w:val="24"/>
                      <w:szCs w:val="24"/>
                      <w:highlight w:val="none"/>
                      <w:lang w:val="en-US" w:eastAsia="zh-CN"/>
                    </w:rPr>
                    <w:t>韶关工业园投资建设有限公司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4EC8C769">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1098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634F79">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3578" w:type="dxa"/>
                  <w:tcBorders>
                    <w:top w:val="single" w:color="auto" w:sz="4" w:space="0"/>
                    <w:left w:val="single" w:color="auto" w:sz="4" w:space="0"/>
                    <w:bottom w:val="single" w:color="auto" w:sz="4" w:space="0"/>
                    <w:right w:val="single" w:color="auto" w:sz="4" w:space="0"/>
                  </w:tcBorders>
                  <w:noWrap w:val="0"/>
                  <w:vAlign w:val="center"/>
                </w:tcPr>
                <w:p w14:paraId="0EFDBD86">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广东明正项目管理有限公司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6245F103">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771A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1091DB">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3578" w:type="dxa"/>
                  <w:tcBorders>
                    <w:top w:val="single" w:color="auto" w:sz="4" w:space="0"/>
                    <w:left w:val="single" w:color="auto" w:sz="4" w:space="0"/>
                    <w:bottom w:val="single" w:color="auto" w:sz="4" w:space="0"/>
                    <w:right w:val="single" w:color="auto" w:sz="4" w:space="0"/>
                  </w:tcBorders>
                  <w:noWrap w:val="0"/>
                  <w:vAlign w:val="center"/>
                </w:tcPr>
                <w:p w14:paraId="5234F6C2">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韶关市新辉项目管理有限公司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56BF5005">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4"/>
                      <w:szCs w:val="24"/>
                      <w:highlight w:val="none"/>
                      <w:lang w:val="en-US" w:eastAsia="zh-CN" w:bidi="ar-SA"/>
                    </w:rPr>
                  </w:pPr>
                  <w:bookmarkStart w:id="25" w:name="OLE_LINK6"/>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全过程</w:t>
                  </w:r>
                  <w:r>
                    <w:rPr>
                      <w:rFonts w:hint="eastAsia" w:ascii="宋体" w:hAnsi="宋体" w:eastAsia="宋体" w:cs="宋体"/>
                      <w:snapToGrid w:val="0"/>
                      <w:color w:val="auto"/>
                      <w:kern w:val="0"/>
                      <w:sz w:val="24"/>
                      <w:szCs w:val="24"/>
                      <w:highlight w:val="none"/>
                    </w:rPr>
                    <w:t>造价咨询单位</w:t>
                  </w:r>
                  <w:bookmarkEnd w:id="25"/>
                </w:p>
              </w:tc>
            </w:tr>
            <w:tr w14:paraId="3A96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33A01E">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5</w:t>
                  </w:r>
                </w:p>
              </w:tc>
              <w:tc>
                <w:tcPr>
                  <w:tcW w:w="35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C92630">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深圳建昌工程设计有限公司</w:t>
                  </w:r>
                </w:p>
              </w:tc>
              <w:tc>
                <w:tcPr>
                  <w:tcW w:w="30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62CEFF">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勘察设计</w:t>
                  </w:r>
                  <w:r>
                    <w:rPr>
                      <w:rFonts w:hint="eastAsia" w:ascii="宋体" w:hAnsi="宋体" w:eastAsia="宋体" w:cs="宋体"/>
                      <w:snapToGrid w:val="0"/>
                      <w:color w:val="auto"/>
                      <w:kern w:val="0"/>
                      <w:sz w:val="24"/>
                      <w:szCs w:val="24"/>
                      <w:highlight w:val="none"/>
                    </w:rPr>
                    <w:t>单位</w:t>
                  </w:r>
                </w:p>
              </w:tc>
            </w:tr>
            <w:tr w14:paraId="1E3B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2032E6">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6</w:t>
                  </w:r>
                </w:p>
              </w:tc>
              <w:tc>
                <w:tcPr>
                  <w:tcW w:w="35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94BC43">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待定</w:t>
                  </w:r>
                </w:p>
              </w:tc>
              <w:tc>
                <w:tcPr>
                  <w:tcW w:w="307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A08DDE">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监理</w:t>
                  </w:r>
                  <w:r>
                    <w:rPr>
                      <w:rFonts w:hint="eastAsia" w:ascii="宋体" w:hAnsi="宋体" w:eastAsia="宋体" w:cs="宋体"/>
                      <w:snapToGrid w:val="0"/>
                      <w:color w:val="auto"/>
                      <w:kern w:val="0"/>
                      <w:sz w:val="24"/>
                      <w:szCs w:val="24"/>
                      <w:highlight w:val="none"/>
                    </w:rPr>
                    <w:t>单位</w:t>
                  </w:r>
                </w:p>
              </w:tc>
            </w:tr>
          </w:tbl>
          <w:p w14:paraId="78D56EB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5.其他要求</w:t>
            </w:r>
          </w:p>
          <w:p w14:paraId="5BD6C9C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省外企业</w:t>
            </w:r>
            <w:r>
              <w:rPr>
                <w:rStyle w:val="26"/>
                <w:rFonts w:hint="eastAsia" w:ascii="宋体" w:hAnsi="宋体" w:eastAsia="宋体" w:cs="宋体"/>
                <w:color w:val="auto"/>
                <w:kern w:val="0"/>
                <w:sz w:val="24"/>
                <w:szCs w:val="24"/>
                <w:highlight w:val="none"/>
                <w:lang w:eastAsia="zh-CN"/>
              </w:rPr>
              <w:t>（</w:t>
            </w:r>
            <w:r>
              <w:rPr>
                <w:rStyle w:val="26"/>
                <w:rFonts w:hint="eastAsia" w:ascii="宋体" w:hAnsi="宋体" w:eastAsia="宋体" w:cs="宋体"/>
                <w:color w:val="auto"/>
                <w:kern w:val="0"/>
                <w:sz w:val="24"/>
                <w:szCs w:val="24"/>
                <w:highlight w:val="none"/>
              </w:rPr>
              <w:t>包括组成联合体的所有成员单位）</w:t>
            </w:r>
            <w:r>
              <w:rPr>
                <w:rFonts w:hint="eastAsia" w:ascii="宋体" w:hAnsi="宋体" w:eastAsia="宋体" w:cs="宋体"/>
                <w:color w:val="auto"/>
                <w:kern w:val="2"/>
                <w:sz w:val="24"/>
                <w:szCs w:val="24"/>
                <w:highlight w:val="none"/>
                <w:lang w:val="en-US" w:eastAsia="zh-CN" w:bidi="ar-SA"/>
              </w:rPr>
              <w:t>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0E62E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14F37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28</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198B5B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投标有效期</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0353A7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本次招标的投标有效期为90个日历天。</w:t>
            </w:r>
          </w:p>
        </w:tc>
      </w:tr>
      <w:tr w14:paraId="613CE5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4FB1A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9</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9D399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投标文件组成</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780E7B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投标文件包括商务标书、经济标书、施工组织设计和定标文件四个分册</w:t>
            </w:r>
          </w:p>
        </w:tc>
      </w:tr>
      <w:tr w14:paraId="6D1E0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E6092F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30</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AC4F04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施工组织设计</w:t>
            </w:r>
          </w:p>
          <w:p w14:paraId="20ED5BC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评审方式</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31BC49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本次招标施工组织设计不采用 “暗标”方式进行评审。</w:t>
            </w:r>
          </w:p>
        </w:tc>
      </w:tr>
      <w:tr w14:paraId="224B06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35F82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1</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180442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评标委员会</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6EE8B8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评标委员会由5人组成，其中招标人代表0人，专家5人。专家从广东省综合评标评审专家库－韶关区域中随机抽取，其中技术类专家 3 人，经济类专家2人。</w:t>
            </w:r>
          </w:p>
        </w:tc>
      </w:tr>
      <w:tr w14:paraId="44D33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279D1F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32</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92FCA1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2E09DB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6E42E3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2A790E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3</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03983D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评标方法</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04C44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 A＋B 值评标法    □经评审的最低投标价法   ☑综合评估法</w:t>
            </w:r>
          </w:p>
        </w:tc>
      </w:tr>
      <w:tr w14:paraId="7FB69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E92066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4</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A0F36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投标文件编制</w:t>
            </w:r>
            <w:r>
              <w:rPr>
                <w:rFonts w:hint="eastAsia" w:ascii="宋体" w:hAnsi="宋体" w:eastAsia="宋体" w:cs="宋体"/>
                <w:snapToGrid w:val="0"/>
                <w:color w:val="auto"/>
                <w:kern w:val="0"/>
                <w:sz w:val="24"/>
                <w:szCs w:val="24"/>
                <w:highlight w:val="none"/>
                <w:lang w:eastAsia="zh-CN"/>
              </w:rPr>
              <w:t>及</w:t>
            </w:r>
            <w:r>
              <w:rPr>
                <w:rFonts w:hint="eastAsia" w:ascii="宋体" w:hAnsi="宋体" w:eastAsia="宋体" w:cs="宋体"/>
                <w:snapToGrid w:val="0"/>
                <w:color w:val="auto"/>
                <w:kern w:val="0"/>
                <w:sz w:val="24"/>
                <w:szCs w:val="24"/>
                <w:highlight w:val="none"/>
              </w:rPr>
              <w:t>份数要求</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4FED5F1A">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投标人须上传（递交）投标文件：</w:t>
            </w:r>
          </w:p>
          <w:p w14:paraId="565E7592">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1.电子投标文件一套：</w:t>
            </w:r>
          </w:p>
          <w:p w14:paraId="17667AF1">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（1）商务标书1份；</w:t>
            </w:r>
          </w:p>
          <w:p w14:paraId="12B21404">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（2）经济标书1份；</w:t>
            </w:r>
          </w:p>
          <w:p w14:paraId="19E19B9A">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（3）施工组织设计1份；</w:t>
            </w:r>
          </w:p>
          <w:p w14:paraId="73EFF777">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（4）定标文件1份；</w:t>
            </w:r>
          </w:p>
          <w:p w14:paraId="3EF2E701">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2.对应评审要求的分项响应文件（如有）。</w:t>
            </w:r>
          </w:p>
          <w:p w14:paraId="109192CE">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08088DD5">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Cs/>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6C9AD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99253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35</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0248B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1119C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19EAEC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6E7397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2FF3BC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59E12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□其他方法：</w:t>
            </w:r>
          </w:p>
        </w:tc>
      </w:tr>
      <w:tr w14:paraId="2D19B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02FB4E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36</w:t>
            </w:r>
          </w:p>
        </w:tc>
        <w:tc>
          <w:tcPr>
            <w:tcW w:w="1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C15CA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招标文件要求提交的用于评审的证书、证件、证明原件</w:t>
            </w:r>
          </w:p>
        </w:tc>
        <w:tc>
          <w:tcPr>
            <w:tcW w:w="74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68D7AF">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提交用于评审的证书、证件、证明原件的，投标人应自行将所需原件密封于文件袋（箱）中，并自行准备两张“原件一览表”（详见格式十七，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0E3EB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4CAACD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37</w:t>
            </w:r>
          </w:p>
        </w:tc>
        <w:tc>
          <w:tcPr>
            <w:tcW w:w="1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9161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4D937D7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4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213B32">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单位名称：韶关工业园投资建设有限公司</w:t>
            </w:r>
          </w:p>
          <w:p w14:paraId="27E9168F">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办公地址：韶关市武江区沐溪大道168莞韶大厦B320室</w:t>
            </w:r>
          </w:p>
          <w:p w14:paraId="4FE5CF36">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联系人（部门）：黄工</w:t>
            </w:r>
          </w:p>
          <w:p w14:paraId="1B8F00D8">
            <w:pPr>
              <w:keepNext w:val="0"/>
              <w:keepLines w:val="0"/>
              <w:widowControl/>
              <w:suppressLineNumbers w:val="0"/>
              <w:wordWrap w:val="0"/>
              <w:snapToGrid w:val="0"/>
              <w:spacing w:before="0" w:beforeAutospacing="0" w:after="0" w:afterAutospacing="0" w:line="400" w:lineRule="exact"/>
              <w:ind w:left="0" w:leftChars="0" w:right="0" w:rightChars="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联系电话：0751-8707060</w:t>
            </w:r>
          </w:p>
        </w:tc>
      </w:tr>
      <w:tr w14:paraId="28DD6D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551F83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38</w:t>
            </w:r>
          </w:p>
        </w:tc>
        <w:tc>
          <w:tcPr>
            <w:tcW w:w="1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60D7BD">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627000A6">
            <w:pPr>
              <w:keepNext w:val="0"/>
              <w:keepLines w:val="0"/>
              <w:widowControl/>
              <w:suppressLineNumbers w:val="0"/>
              <w:wordWrap w:val="0"/>
              <w:adjustRightInd w:val="0"/>
              <w:snapToGrid w:val="0"/>
              <w:spacing w:before="0" w:beforeAutospacing="0" w:after="0" w:afterAutospacing="0" w:line="360" w:lineRule="exact"/>
              <w:ind w:left="0" w:leftChars="0" w:right="0" w:right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4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697D1C">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单位名称：广东明正项目管理有限公司</w:t>
            </w:r>
          </w:p>
          <w:p w14:paraId="44688E2C">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办公地址：韶关市武江区惠民北路428号7楼</w:t>
            </w:r>
          </w:p>
          <w:p w14:paraId="5D77930D">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联系人：杨工、潘工</w:t>
            </w:r>
          </w:p>
          <w:p w14:paraId="67D66D95">
            <w:pPr>
              <w:keepNext w:val="0"/>
              <w:keepLines w:val="0"/>
              <w:widowControl/>
              <w:suppressLineNumbers w:val="0"/>
              <w:wordWrap w:val="0"/>
              <w:snapToGrid w:val="0"/>
              <w:spacing w:before="0" w:beforeAutospacing="0" w:after="0" w:afterAutospacing="0" w:line="400" w:lineRule="exact"/>
              <w:ind w:left="0" w:leftChars="0" w:right="0" w:rightChars="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联系电话：0751-8606998</w:t>
            </w:r>
          </w:p>
        </w:tc>
      </w:tr>
      <w:tr w14:paraId="1D3E5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C908D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39</w:t>
            </w:r>
          </w:p>
        </w:tc>
        <w:tc>
          <w:tcPr>
            <w:tcW w:w="1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23AEA4">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3D4D1347">
            <w:pPr>
              <w:keepNext w:val="0"/>
              <w:keepLines w:val="0"/>
              <w:widowControl/>
              <w:suppressLineNumbers w:val="0"/>
              <w:wordWrap w:val="0"/>
              <w:adjustRightInd w:val="0"/>
              <w:snapToGrid w:val="0"/>
              <w:spacing w:before="0" w:beforeAutospacing="0" w:after="0" w:afterAutospacing="0" w:line="360" w:lineRule="exact"/>
              <w:ind w:left="0" w:leftChars="0" w:right="0" w:right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4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39E935">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单位名称：韶关市公共资源交易中心</w:t>
            </w:r>
          </w:p>
          <w:p w14:paraId="1CDAF274">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办公地址：广东省韶关市武江区西联镇</w:t>
            </w:r>
          </w:p>
          <w:p w14:paraId="594DE14A">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联系人（部门）：工程交易部</w:t>
            </w:r>
          </w:p>
          <w:p w14:paraId="265DD44E">
            <w:pPr>
              <w:keepNext w:val="0"/>
              <w:keepLines w:val="0"/>
              <w:widowControl/>
              <w:suppressLineNumbers w:val="0"/>
              <w:wordWrap w:val="0"/>
              <w:snapToGrid w:val="0"/>
              <w:spacing w:before="0" w:beforeAutospacing="0" w:after="0" w:afterAutospacing="0" w:line="400" w:lineRule="exact"/>
              <w:ind w:left="0" w:leftChars="0" w:right="0" w:rightChars="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联系电话：0751-8633071、0751-8633211</w:t>
            </w:r>
          </w:p>
        </w:tc>
      </w:tr>
      <w:tr w14:paraId="375CD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AB9A0B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40</w:t>
            </w:r>
          </w:p>
        </w:tc>
        <w:tc>
          <w:tcPr>
            <w:tcW w:w="1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1545B5">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34CBEE68">
            <w:pPr>
              <w:keepNext w:val="0"/>
              <w:keepLines w:val="0"/>
              <w:widowControl/>
              <w:suppressLineNumbers w:val="0"/>
              <w:wordWrap w:val="0"/>
              <w:adjustRightInd w:val="0"/>
              <w:snapToGrid w:val="0"/>
              <w:spacing w:before="0" w:beforeAutospacing="0" w:after="0" w:afterAutospacing="0" w:line="360" w:lineRule="exact"/>
              <w:ind w:left="0" w:leftChars="0" w:right="0" w:right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4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999FDD">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单位名称：韶关高新技术产业开发区管理委员会</w:t>
            </w:r>
          </w:p>
          <w:p w14:paraId="4E33D823">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办公地址：韶关市武江区粤港澳大湾区数据应用产业园E栋</w:t>
            </w:r>
          </w:p>
          <w:p w14:paraId="7149C4E2">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联系人（部门）：自然资源和建设局</w:t>
            </w:r>
          </w:p>
          <w:p w14:paraId="23BF3048">
            <w:pPr>
              <w:keepNext w:val="0"/>
              <w:keepLines w:val="0"/>
              <w:widowControl/>
              <w:suppressLineNumbers w:val="0"/>
              <w:wordWrap w:val="0"/>
              <w:snapToGrid w:val="0"/>
              <w:spacing w:before="0" w:beforeAutospacing="0" w:after="0" w:afterAutospacing="0" w:line="400" w:lineRule="exact"/>
              <w:ind w:left="0" w:leftChars="0" w:right="0" w:rightChars="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联系电话：0751-8175926</w:t>
            </w:r>
          </w:p>
        </w:tc>
      </w:tr>
    </w:tbl>
    <w:p w14:paraId="6E3CF094">
      <w:pPr>
        <w:rPr>
          <w:rFonts w:hint="eastAsia" w:ascii="宋体" w:hAnsi="宋体" w:eastAsia="宋体" w:cs="宋体"/>
          <w:color w:val="auto"/>
        </w:rPr>
      </w:pPr>
    </w:p>
    <w:p w14:paraId="3CBD88FC">
      <w:pPr>
        <w:rPr>
          <w:rFonts w:hint="eastAsia" w:ascii="宋体" w:hAnsi="宋体" w:eastAsia="宋体" w:cs="宋体"/>
          <w:color w:val="auto"/>
        </w:rPr>
      </w:pPr>
    </w:p>
    <w:p w14:paraId="6E8BC31A">
      <w:pPr>
        <w:rPr>
          <w:rFonts w:hint="eastAsia" w:ascii="宋体" w:hAnsi="宋体" w:eastAsia="宋体" w:cs="宋体"/>
          <w:color w:val="auto"/>
        </w:rPr>
      </w:pPr>
    </w:p>
    <w:p w14:paraId="44181262">
      <w:pPr>
        <w:rPr>
          <w:rFonts w:hint="eastAsia" w:ascii="宋体" w:hAnsi="宋体" w:eastAsia="宋体" w:cs="宋体"/>
          <w:color w:val="auto"/>
        </w:rPr>
      </w:pPr>
    </w:p>
    <w:p w14:paraId="0BD1738D">
      <w:pPr>
        <w:rPr>
          <w:rFonts w:hint="eastAsia" w:ascii="宋体" w:hAnsi="宋体" w:eastAsia="宋体" w:cs="宋体"/>
          <w:color w:val="auto"/>
        </w:rPr>
      </w:pPr>
    </w:p>
    <w:p w14:paraId="528AE93A">
      <w:pPr>
        <w:rPr>
          <w:rFonts w:hint="eastAsia" w:ascii="宋体" w:hAnsi="宋体" w:eastAsia="宋体" w:cs="宋体"/>
          <w:color w:val="auto"/>
        </w:rPr>
      </w:pPr>
    </w:p>
    <w:p w14:paraId="33D13DD1">
      <w:pPr>
        <w:rPr>
          <w:rFonts w:hint="eastAsia" w:ascii="宋体" w:hAnsi="宋体" w:eastAsia="宋体" w:cs="宋体"/>
          <w:color w:val="auto"/>
        </w:rPr>
      </w:pPr>
    </w:p>
    <w:p w14:paraId="5BA4935C">
      <w:pPr>
        <w:rPr>
          <w:rFonts w:hint="eastAsia" w:ascii="宋体" w:hAnsi="宋体" w:eastAsia="宋体" w:cs="宋体"/>
          <w:color w:val="auto"/>
        </w:rPr>
      </w:pPr>
    </w:p>
    <w:p w14:paraId="58D7B077">
      <w:pPr>
        <w:rPr>
          <w:rFonts w:hint="eastAsia" w:ascii="宋体" w:hAnsi="宋体" w:eastAsia="宋体" w:cs="宋体"/>
          <w:color w:val="auto"/>
        </w:rPr>
      </w:pPr>
    </w:p>
    <w:p w14:paraId="6867A16E">
      <w:pPr>
        <w:rPr>
          <w:rFonts w:hint="eastAsia" w:ascii="宋体" w:hAnsi="宋体" w:eastAsia="宋体" w:cs="宋体"/>
          <w:color w:val="auto"/>
        </w:rPr>
      </w:pPr>
    </w:p>
    <w:p w14:paraId="3801194A">
      <w:pPr>
        <w:rPr>
          <w:rFonts w:hint="eastAsia" w:ascii="宋体" w:hAnsi="宋体" w:eastAsia="宋体" w:cs="宋体"/>
          <w:color w:val="auto"/>
        </w:rPr>
      </w:pPr>
    </w:p>
    <w:p w14:paraId="710A32E9">
      <w:pPr>
        <w:rPr>
          <w:rFonts w:hint="eastAsia" w:ascii="宋体" w:hAnsi="宋体" w:eastAsia="宋体" w:cs="宋体"/>
          <w:color w:val="auto"/>
        </w:rPr>
      </w:pPr>
    </w:p>
    <w:p w14:paraId="503B9A3F">
      <w:pPr>
        <w:rPr>
          <w:rFonts w:hint="eastAsia" w:ascii="宋体" w:hAnsi="宋体" w:eastAsia="宋体" w:cs="宋体"/>
          <w:color w:val="auto"/>
        </w:rPr>
      </w:pPr>
    </w:p>
    <w:p w14:paraId="094E1E93">
      <w:pPr>
        <w:rPr>
          <w:rFonts w:hint="eastAsia" w:ascii="宋体" w:hAnsi="宋体" w:eastAsia="宋体" w:cs="宋体"/>
          <w:color w:val="auto"/>
        </w:rPr>
      </w:pPr>
    </w:p>
    <w:p w14:paraId="7C2C7C14">
      <w:pPr>
        <w:rPr>
          <w:rFonts w:hint="eastAsia" w:ascii="宋体" w:hAnsi="宋体" w:eastAsia="宋体" w:cs="宋体"/>
          <w:color w:val="auto"/>
        </w:rPr>
      </w:pPr>
    </w:p>
    <w:p w14:paraId="138FF6BC">
      <w:pPr>
        <w:rPr>
          <w:rFonts w:hint="eastAsia" w:ascii="宋体" w:hAnsi="宋体" w:eastAsia="宋体" w:cs="宋体"/>
          <w:color w:val="auto"/>
        </w:rPr>
      </w:pPr>
    </w:p>
    <w:p w14:paraId="42BB537C">
      <w:pPr>
        <w:rPr>
          <w:rFonts w:hint="eastAsia" w:ascii="宋体" w:hAnsi="宋体" w:eastAsia="宋体" w:cs="宋体"/>
          <w:color w:val="auto"/>
        </w:rPr>
      </w:pPr>
    </w:p>
    <w:p w14:paraId="2B92EAF0">
      <w:pPr>
        <w:rPr>
          <w:rFonts w:hint="eastAsia" w:ascii="宋体" w:hAnsi="宋体" w:eastAsia="宋体" w:cs="宋体"/>
          <w:color w:val="auto"/>
        </w:rPr>
      </w:pPr>
    </w:p>
    <w:p w14:paraId="27EC80E6">
      <w:pPr>
        <w:rPr>
          <w:rFonts w:hint="eastAsia" w:ascii="宋体" w:hAnsi="宋体" w:eastAsia="宋体" w:cs="宋体"/>
          <w:color w:val="auto"/>
          <w:lang w:val="en-US" w:eastAsia="zh-CN"/>
        </w:rPr>
      </w:pPr>
    </w:p>
    <w:p w14:paraId="38BE05FD">
      <w:pPr>
        <w:rPr>
          <w:rFonts w:hint="eastAsia" w:ascii="宋体" w:hAnsi="宋体" w:eastAsia="宋体" w:cs="宋体"/>
          <w:color w:val="auto"/>
        </w:rPr>
      </w:pPr>
    </w:p>
    <w:p w14:paraId="17E38941">
      <w:pPr>
        <w:rPr>
          <w:rFonts w:hint="eastAsia" w:ascii="宋体" w:hAnsi="宋体" w:eastAsia="宋体" w:cs="宋体"/>
          <w:color w:val="auto"/>
        </w:rPr>
      </w:pPr>
    </w:p>
    <w:p w14:paraId="477FC6CD">
      <w:pPr>
        <w:rPr>
          <w:rFonts w:hint="eastAsia" w:ascii="宋体" w:hAnsi="宋体" w:eastAsia="宋体" w:cs="宋体"/>
          <w:color w:val="auto"/>
        </w:rPr>
      </w:pPr>
    </w:p>
    <w:p w14:paraId="5E3572D8">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26" w:name="_Toc18767"/>
      <w:bookmarkStart w:id="27" w:name="_Toc11396"/>
      <w:bookmarkStart w:id="28" w:name="_Toc30618"/>
      <w:bookmarkStart w:id="29" w:name="_Toc11352"/>
      <w:bookmarkStart w:id="30" w:name="_Toc16802"/>
      <w:bookmarkStart w:id="31" w:name="_Toc11705"/>
      <w:bookmarkStart w:id="32" w:name="_Toc3663"/>
      <w:bookmarkStart w:id="33" w:name="_Toc30806"/>
      <w:bookmarkStart w:id="34" w:name="_Toc30944"/>
      <w:bookmarkStart w:id="35" w:name="_Toc32120"/>
      <w:bookmarkStart w:id="36" w:name="_Toc24650"/>
      <w:bookmarkStart w:id="37" w:name="_Toc12413"/>
      <w:r>
        <w:rPr>
          <w:rFonts w:hint="eastAsia" w:ascii="宋体" w:hAnsi="宋体" w:eastAsia="宋体" w:cs="宋体"/>
          <w:color w:val="auto"/>
          <w:kern w:val="2"/>
          <w:sz w:val="28"/>
          <w:szCs w:val="24"/>
          <w:lang w:val="en-US" w:eastAsia="zh-CN"/>
        </w:rPr>
        <w:t>第二节   重要事项时间地点一览表</w:t>
      </w:r>
      <w:bookmarkEnd w:id="26"/>
      <w:bookmarkEnd w:id="27"/>
      <w:bookmarkEnd w:id="28"/>
      <w:bookmarkEnd w:id="29"/>
      <w:bookmarkEnd w:id="30"/>
      <w:bookmarkEnd w:id="31"/>
      <w:bookmarkEnd w:id="32"/>
      <w:bookmarkEnd w:id="33"/>
      <w:bookmarkEnd w:id="34"/>
      <w:bookmarkEnd w:id="35"/>
      <w:bookmarkEnd w:id="36"/>
      <w:bookmarkEnd w:id="37"/>
    </w:p>
    <w:tbl>
      <w:tblPr>
        <w:tblStyle w:val="21"/>
        <w:tblW w:w="9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660"/>
        <w:gridCol w:w="1470"/>
        <w:gridCol w:w="7466"/>
      </w:tblGrid>
      <w:tr w14:paraId="69CE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1ECD1777">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w:t>
            </w:r>
          </w:p>
        </w:tc>
        <w:tc>
          <w:tcPr>
            <w:tcW w:w="1470" w:type="dxa"/>
            <w:shd w:val="clear" w:color="auto" w:fill="FFFFFF"/>
            <w:noWrap w:val="0"/>
            <w:vAlign w:val="center"/>
          </w:tcPr>
          <w:p w14:paraId="75E600E5">
            <w:pPr>
              <w:pStyle w:val="3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2159B1FB">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发布时间</w:t>
            </w:r>
          </w:p>
        </w:tc>
        <w:tc>
          <w:tcPr>
            <w:tcW w:w="7466" w:type="dxa"/>
            <w:shd w:val="clear" w:color="auto" w:fill="FFFFFF"/>
            <w:noWrap w:val="0"/>
            <w:vAlign w:val="center"/>
          </w:tcPr>
          <w:p w14:paraId="602DC850">
            <w:pPr>
              <w:pStyle w:val="30"/>
              <w:wordWrap w:val="0"/>
              <w:adjustRightInd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06</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26</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17</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00</w:t>
            </w:r>
            <w:r>
              <w:rPr>
                <w:rFonts w:hint="eastAsia" w:ascii="宋体" w:hAnsi="宋体" w:eastAsia="宋体" w:cs="宋体"/>
                <w:snapToGrid w:val="0"/>
                <w:color w:val="auto"/>
                <w:kern w:val="0"/>
                <w:sz w:val="24"/>
                <w:szCs w:val="24"/>
                <w:highlight w:val="none"/>
              </w:rPr>
              <w:t>分</w:t>
            </w:r>
          </w:p>
        </w:tc>
      </w:tr>
      <w:tr w14:paraId="381D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64D294D9">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w:t>
            </w:r>
          </w:p>
        </w:tc>
        <w:tc>
          <w:tcPr>
            <w:tcW w:w="1470" w:type="dxa"/>
            <w:shd w:val="clear" w:color="auto" w:fill="FFFFFF"/>
            <w:noWrap w:val="0"/>
            <w:vAlign w:val="center"/>
          </w:tcPr>
          <w:p w14:paraId="05F0BCC8">
            <w:pPr>
              <w:pStyle w:val="3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获取招标文件</w:t>
            </w:r>
          </w:p>
          <w:p w14:paraId="4C5265B2">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截止时间</w:t>
            </w:r>
          </w:p>
        </w:tc>
        <w:tc>
          <w:tcPr>
            <w:tcW w:w="7466" w:type="dxa"/>
            <w:shd w:val="clear" w:color="auto" w:fill="FFFFFF"/>
            <w:noWrap w:val="0"/>
            <w:vAlign w:val="center"/>
          </w:tcPr>
          <w:p w14:paraId="6F173737">
            <w:pPr>
              <w:pStyle w:val="30"/>
              <w:wordWrap w:val="0"/>
              <w:adjustRightInd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w:t>
            </w:r>
            <w:r>
              <w:rPr>
                <w:rFonts w:hint="eastAsia" w:ascii="宋体" w:hAnsi="宋体" w:cs="宋体"/>
                <w:snapToGrid w:val="0"/>
                <w:color w:val="auto"/>
                <w:kern w:val="0"/>
                <w:sz w:val="24"/>
                <w:szCs w:val="24"/>
                <w:highlight w:val="none"/>
                <w:u w:val="none"/>
                <w:lang w:val="en-US" w:eastAsia="zh-CN"/>
              </w:rPr>
              <w:t>7</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30</w:t>
            </w:r>
            <w:r>
              <w:rPr>
                <w:rFonts w:hint="eastAsia" w:ascii="宋体" w:hAnsi="宋体" w:eastAsia="宋体" w:cs="宋体"/>
                <w:snapToGrid w:val="0"/>
                <w:color w:val="auto"/>
                <w:kern w:val="0"/>
                <w:sz w:val="24"/>
                <w:szCs w:val="24"/>
                <w:highlight w:val="none"/>
              </w:rPr>
              <w:t>分</w:t>
            </w:r>
          </w:p>
        </w:tc>
      </w:tr>
      <w:tr w14:paraId="0CCD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1B1CBC0E">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w:t>
            </w:r>
          </w:p>
        </w:tc>
        <w:tc>
          <w:tcPr>
            <w:tcW w:w="1470" w:type="dxa"/>
            <w:shd w:val="clear" w:color="auto" w:fill="FFFFFF"/>
            <w:noWrap w:val="0"/>
            <w:vAlign w:val="center"/>
          </w:tcPr>
          <w:p w14:paraId="6D42F957">
            <w:pPr>
              <w:pStyle w:val="3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5E030563">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截止时间</w:t>
            </w:r>
          </w:p>
        </w:tc>
        <w:tc>
          <w:tcPr>
            <w:tcW w:w="7466" w:type="dxa"/>
            <w:shd w:val="clear" w:color="auto" w:fill="FFFFFF"/>
            <w:noWrap w:val="0"/>
            <w:vAlign w:val="center"/>
          </w:tcPr>
          <w:p w14:paraId="5558025F">
            <w:pPr>
              <w:rPr>
                <w:rFonts w:hint="eastAsia" w:ascii="宋体" w:hAnsi="宋体" w:eastAsia="宋体" w:cs="宋体"/>
                <w:snapToGrid w:val="0"/>
                <w:color w:val="auto"/>
                <w:kern w:val="0"/>
                <w:sz w:val="24"/>
                <w:szCs w:val="24"/>
                <w:highlight w:val="none"/>
                <w:u w:val="none"/>
                <w:lang w:val="en-US" w:eastAsia="zh-CN" w:bidi="ar"/>
              </w:rPr>
            </w:pP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lang w:val="en-US" w:eastAsia="zh-CN" w:bidi="ar"/>
              </w:rPr>
              <w:t>日16时00分</w:t>
            </w:r>
          </w:p>
        </w:tc>
      </w:tr>
      <w:tr w14:paraId="7835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2136CF13">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4</w:t>
            </w:r>
          </w:p>
        </w:tc>
        <w:tc>
          <w:tcPr>
            <w:tcW w:w="1470" w:type="dxa"/>
            <w:shd w:val="clear" w:color="auto" w:fill="FFFFFF"/>
            <w:noWrap w:val="0"/>
            <w:vAlign w:val="center"/>
          </w:tcPr>
          <w:p w14:paraId="7E595664">
            <w:pPr>
              <w:pStyle w:val="3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93EB79D">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时间</w:t>
            </w:r>
          </w:p>
        </w:tc>
        <w:tc>
          <w:tcPr>
            <w:tcW w:w="7466" w:type="dxa"/>
            <w:shd w:val="clear" w:color="auto" w:fill="FFFFFF"/>
            <w:noWrap w:val="0"/>
            <w:vAlign w:val="center"/>
          </w:tcPr>
          <w:p w14:paraId="0BC510C8">
            <w:pPr>
              <w:rPr>
                <w:rFonts w:hint="eastAsia" w:ascii="宋体" w:hAnsi="宋体" w:eastAsia="宋体" w:cs="宋体"/>
                <w:snapToGrid w:val="0"/>
                <w:color w:val="auto"/>
                <w:kern w:val="0"/>
                <w:sz w:val="24"/>
                <w:szCs w:val="24"/>
                <w:highlight w:val="none"/>
                <w:u w:val="none"/>
                <w:lang w:val="en-US" w:eastAsia="zh-CN" w:bidi="ar"/>
              </w:rPr>
            </w:pP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lang w:val="en-US" w:eastAsia="zh-CN" w:bidi="ar"/>
              </w:rPr>
              <w:t>日16时30分至</w:t>
            </w: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w:t>
            </w:r>
            <w:r>
              <w:rPr>
                <w:rFonts w:hint="eastAsia" w:cs="宋体"/>
                <w:snapToGrid w:val="0"/>
                <w:color w:val="auto"/>
                <w:kern w:val="0"/>
                <w:sz w:val="24"/>
                <w:szCs w:val="24"/>
                <w:highlight w:val="none"/>
                <w:u w:val="none"/>
                <w:lang w:val="en-US" w:eastAsia="zh-CN"/>
              </w:rPr>
              <w:t>0</w:t>
            </w:r>
            <w:r>
              <w:rPr>
                <w:rFonts w:hint="eastAsia" w:ascii="宋体" w:hAnsi="宋体" w:eastAsia="宋体" w:cs="宋体"/>
                <w:snapToGrid w:val="0"/>
                <w:color w:val="auto"/>
                <w:kern w:val="0"/>
                <w:sz w:val="24"/>
                <w:szCs w:val="24"/>
                <w:highlight w:val="none"/>
                <w:u w:val="none"/>
                <w:lang w:val="en-US" w:eastAsia="zh-CN" w:bidi="ar"/>
              </w:rPr>
              <w:t>日16时00分</w:t>
            </w:r>
          </w:p>
        </w:tc>
      </w:tr>
      <w:tr w14:paraId="510C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20" w:hRule="atLeast"/>
          <w:jc w:val="center"/>
        </w:trPr>
        <w:tc>
          <w:tcPr>
            <w:tcW w:w="660" w:type="dxa"/>
            <w:shd w:val="clear" w:color="auto" w:fill="FFFFFF"/>
            <w:noWrap w:val="0"/>
            <w:vAlign w:val="center"/>
          </w:tcPr>
          <w:p w14:paraId="4490816F">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w:t>
            </w:r>
          </w:p>
        </w:tc>
        <w:tc>
          <w:tcPr>
            <w:tcW w:w="1470" w:type="dxa"/>
            <w:shd w:val="clear" w:color="auto" w:fill="FFFFFF"/>
            <w:noWrap w:val="0"/>
            <w:vAlign w:val="center"/>
          </w:tcPr>
          <w:p w14:paraId="6EA8A05A">
            <w:pPr>
              <w:pStyle w:val="3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4A3C97C7">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466" w:type="dxa"/>
            <w:shd w:val="clear" w:color="auto" w:fill="FFFFFF"/>
            <w:noWrap w:val="0"/>
            <w:vAlign w:val="center"/>
          </w:tcPr>
          <w:p w14:paraId="28C80425">
            <w:pPr>
              <w:pStyle w:val="30"/>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投标保证金到账截止时间：</w:t>
            </w: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w:t>
            </w:r>
            <w:r>
              <w:rPr>
                <w:rFonts w:hint="eastAsia" w:ascii="宋体" w:hAnsi="宋体" w:cs="宋体"/>
                <w:snapToGrid w:val="0"/>
                <w:color w:val="auto"/>
                <w:kern w:val="0"/>
                <w:sz w:val="24"/>
                <w:szCs w:val="24"/>
                <w:highlight w:val="none"/>
                <w:u w:val="none"/>
                <w:lang w:val="en-US" w:eastAsia="zh-CN"/>
              </w:rPr>
              <w:t>6</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30</w:t>
            </w:r>
            <w:r>
              <w:rPr>
                <w:rFonts w:hint="eastAsia" w:ascii="宋体" w:hAnsi="宋体" w:eastAsia="宋体" w:cs="宋体"/>
                <w:snapToGrid w:val="0"/>
                <w:color w:val="auto"/>
                <w:kern w:val="0"/>
                <w:sz w:val="24"/>
                <w:szCs w:val="24"/>
                <w:highlight w:val="none"/>
              </w:rPr>
              <w:t>分</w:t>
            </w:r>
          </w:p>
          <w:p w14:paraId="187AA88E">
            <w:pPr>
              <w:pStyle w:val="30"/>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投标保证担保上传截止时间：</w:t>
            </w: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w:t>
            </w:r>
            <w:r>
              <w:rPr>
                <w:rFonts w:hint="eastAsia" w:ascii="宋体" w:hAnsi="宋体" w:cs="宋体"/>
                <w:snapToGrid w:val="0"/>
                <w:color w:val="auto"/>
                <w:kern w:val="0"/>
                <w:sz w:val="24"/>
                <w:szCs w:val="24"/>
                <w:highlight w:val="none"/>
                <w:u w:val="none"/>
                <w:lang w:val="en-US" w:eastAsia="zh-CN"/>
              </w:rPr>
              <w:t>6</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30</w:t>
            </w:r>
            <w:r>
              <w:rPr>
                <w:rFonts w:hint="eastAsia" w:ascii="宋体" w:hAnsi="宋体" w:eastAsia="宋体" w:cs="宋体"/>
                <w:snapToGrid w:val="0"/>
                <w:color w:val="auto"/>
                <w:kern w:val="0"/>
                <w:sz w:val="24"/>
                <w:szCs w:val="24"/>
                <w:highlight w:val="none"/>
              </w:rPr>
              <w:t>分</w:t>
            </w:r>
          </w:p>
          <w:p w14:paraId="49ADAE65">
            <w:pPr>
              <w:pStyle w:val="30"/>
              <w:wordWrap w:val="0"/>
              <w:adjustRightInd w:val="0"/>
              <w:snapToGrid w:val="0"/>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kern w:val="0"/>
                <w:sz w:val="24"/>
                <w:szCs w:val="24"/>
                <w:highlight w:val="none"/>
                <w:u w:val="none"/>
              </w:rPr>
              <w:t>投标保证保险投保截止时间：</w:t>
            </w: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w:t>
            </w:r>
            <w:r>
              <w:rPr>
                <w:rFonts w:hint="eastAsia" w:ascii="宋体" w:hAnsi="宋体" w:cs="宋体"/>
                <w:snapToGrid w:val="0"/>
                <w:color w:val="auto"/>
                <w:kern w:val="0"/>
                <w:sz w:val="24"/>
                <w:szCs w:val="24"/>
                <w:highlight w:val="none"/>
                <w:u w:val="none"/>
                <w:lang w:val="en-US" w:eastAsia="zh-CN"/>
              </w:rPr>
              <w:t>6</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30</w:t>
            </w:r>
            <w:r>
              <w:rPr>
                <w:rFonts w:hint="eastAsia" w:ascii="宋体" w:hAnsi="宋体" w:eastAsia="宋体" w:cs="宋体"/>
                <w:snapToGrid w:val="0"/>
                <w:color w:val="auto"/>
                <w:kern w:val="0"/>
                <w:sz w:val="24"/>
                <w:szCs w:val="24"/>
                <w:highlight w:val="none"/>
              </w:rPr>
              <w:t>分</w:t>
            </w:r>
          </w:p>
        </w:tc>
      </w:tr>
      <w:tr w14:paraId="54CE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50" w:hRule="atLeast"/>
          <w:jc w:val="center"/>
        </w:trPr>
        <w:tc>
          <w:tcPr>
            <w:tcW w:w="660" w:type="dxa"/>
            <w:shd w:val="clear" w:color="auto" w:fill="FFFFFF"/>
            <w:noWrap w:val="0"/>
            <w:vAlign w:val="center"/>
          </w:tcPr>
          <w:p w14:paraId="4430112C">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6</w:t>
            </w:r>
          </w:p>
        </w:tc>
        <w:tc>
          <w:tcPr>
            <w:tcW w:w="1470" w:type="dxa"/>
            <w:shd w:val="clear" w:color="auto" w:fill="FFFFFF"/>
            <w:noWrap w:val="0"/>
            <w:vAlign w:val="center"/>
          </w:tcPr>
          <w:p w14:paraId="5B3C2014">
            <w:pPr>
              <w:pStyle w:val="30"/>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snapToGrid w:val="0"/>
                <w:color w:val="auto"/>
                <w:kern w:val="0"/>
                <w:sz w:val="24"/>
                <w:highlight w:val="none"/>
                <w:lang w:val="en-US" w:eastAsia="zh-CN"/>
              </w:rPr>
              <w:t>电子投标</w:t>
            </w:r>
          </w:p>
          <w:p w14:paraId="57BFA074">
            <w:pPr>
              <w:pStyle w:val="30"/>
              <w:wordWrap w:val="0"/>
              <w:adjustRightInd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lang w:val="en-US" w:eastAsia="zh-CN"/>
              </w:rPr>
              <w:t>截止时间</w:t>
            </w:r>
          </w:p>
        </w:tc>
        <w:tc>
          <w:tcPr>
            <w:tcW w:w="7466" w:type="dxa"/>
            <w:shd w:val="clear" w:color="auto" w:fill="FFFFFF"/>
            <w:noWrap w:val="0"/>
            <w:vAlign w:val="center"/>
          </w:tcPr>
          <w:p w14:paraId="31A4E8C4">
            <w:pPr>
              <w:pStyle w:val="30"/>
              <w:wordWrap w:val="0"/>
              <w:adjustRightInd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17</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30</w:t>
            </w:r>
            <w:r>
              <w:rPr>
                <w:rFonts w:hint="eastAsia" w:ascii="宋体" w:hAnsi="宋体" w:eastAsia="宋体" w:cs="宋体"/>
                <w:snapToGrid w:val="0"/>
                <w:color w:val="auto"/>
                <w:kern w:val="0"/>
                <w:sz w:val="24"/>
                <w:szCs w:val="24"/>
                <w:highlight w:val="none"/>
              </w:rPr>
              <w:t>分</w:t>
            </w:r>
          </w:p>
        </w:tc>
      </w:tr>
      <w:tr w14:paraId="3131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6FDA8AD6">
            <w:pPr>
              <w:pStyle w:val="30"/>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7</w:t>
            </w:r>
          </w:p>
        </w:tc>
        <w:tc>
          <w:tcPr>
            <w:tcW w:w="1470" w:type="dxa"/>
            <w:shd w:val="clear" w:color="auto" w:fill="FFFFFF"/>
            <w:noWrap w:val="0"/>
            <w:vAlign w:val="center"/>
          </w:tcPr>
          <w:p w14:paraId="6AA26F3E">
            <w:pPr>
              <w:pStyle w:val="30"/>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投标相关资料（如有）递交时间</w:t>
            </w:r>
          </w:p>
        </w:tc>
        <w:tc>
          <w:tcPr>
            <w:tcW w:w="7466" w:type="dxa"/>
            <w:shd w:val="clear" w:color="auto" w:fill="FFFFFF"/>
            <w:noWrap w:val="0"/>
            <w:vAlign w:val="center"/>
          </w:tcPr>
          <w:p w14:paraId="4118D5E6">
            <w:pPr>
              <w:pStyle w:val="30"/>
              <w:wordWrap w:val="0"/>
              <w:adjustRightInd w:val="0"/>
              <w:snapToGrid w:val="0"/>
              <w:spacing w:line="360" w:lineRule="auto"/>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17</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cs="宋体"/>
                <w:snapToGrid w:val="0"/>
                <w:color w:val="auto"/>
                <w:kern w:val="0"/>
                <w:sz w:val="24"/>
                <w:szCs w:val="24"/>
                <w:highlight w:val="none"/>
                <w:u w:val="none"/>
                <w:lang w:val="en-US" w:eastAsia="zh-CN"/>
              </w:rPr>
              <w:t>0</w:t>
            </w:r>
            <w:r>
              <w:rPr>
                <w:rFonts w:hint="eastAsia" w:ascii="宋体" w:hAnsi="宋体" w:eastAsia="宋体" w:cs="宋体"/>
                <w:snapToGrid w:val="0"/>
                <w:color w:val="auto"/>
                <w:kern w:val="0"/>
                <w:sz w:val="24"/>
                <w:szCs w:val="24"/>
                <w:highlight w:val="none"/>
                <w:u w:val="none"/>
                <w:lang w:val="en-US" w:eastAsia="zh-CN"/>
              </w:rPr>
              <w:t>0</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u w:val="none"/>
              </w:rPr>
              <w:t>至</w:t>
            </w: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17</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30</w:t>
            </w:r>
            <w:r>
              <w:rPr>
                <w:rFonts w:hint="eastAsia" w:ascii="宋体" w:hAnsi="宋体" w:eastAsia="宋体" w:cs="宋体"/>
                <w:snapToGrid w:val="0"/>
                <w:color w:val="auto"/>
                <w:kern w:val="0"/>
                <w:sz w:val="24"/>
                <w:szCs w:val="24"/>
                <w:highlight w:val="none"/>
              </w:rPr>
              <w:t>分</w:t>
            </w:r>
          </w:p>
        </w:tc>
      </w:tr>
      <w:tr w14:paraId="26D1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0D34D715">
            <w:pPr>
              <w:pStyle w:val="30"/>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8</w:t>
            </w:r>
          </w:p>
        </w:tc>
        <w:tc>
          <w:tcPr>
            <w:tcW w:w="1470" w:type="dxa"/>
            <w:shd w:val="clear" w:color="auto" w:fill="FFFFFF"/>
            <w:noWrap w:val="0"/>
            <w:vAlign w:val="center"/>
          </w:tcPr>
          <w:p w14:paraId="7B09109B">
            <w:pPr>
              <w:pStyle w:val="30"/>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投标相关资料（如有）递交地点</w:t>
            </w:r>
          </w:p>
        </w:tc>
        <w:tc>
          <w:tcPr>
            <w:tcW w:w="7466" w:type="dxa"/>
            <w:shd w:val="clear" w:color="auto" w:fill="FFFFFF"/>
            <w:noWrap w:val="0"/>
            <w:vAlign w:val="center"/>
          </w:tcPr>
          <w:p w14:paraId="291901A9">
            <w:pPr>
              <w:pStyle w:val="17"/>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lang w:eastAsia="zh-CN"/>
              </w:rPr>
            </w:pPr>
            <w:r>
              <w:rPr>
                <w:rFonts w:hint="eastAsia" w:ascii="宋体" w:hAnsi="宋体" w:eastAsia="宋体" w:cs="宋体"/>
                <w:snapToGrid w:val="0"/>
                <w:color w:val="auto"/>
                <w:kern w:val="0"/>
                <w:sz w:val="24"/>
                <w:szCs w:val="24"/>
                <w:highlight w:val="none"/>
                <w:u w:val="none"/>
                <w:lang w:eastAsia="zh-CN"/>
              </w:rPr>
              <w:t>递交</w:t>
            </w:r>
            <w:r>
              <w:rPr>
                <w:rFonts w:hint="eastAsia" w:ascii="宋体" w:hAnsi="宋体" w:eastAsia="宋体" w:cs="宋体"/>
                <w:snapToGrid w:val="0"/>
                <w:color w:val="auto"/>
                <w:kern w:val="0"/>
                <w:sz w:val="24"/>
                <w:szCs w:val="24"/>
                <w:highlight w:val="none"/>
                <w:u w:val="none"/>
              </w:rPr>
              <w:t>场所：</w:t>
            </w:r>
            <w:r>
              <w:rPr>
                <w:rFonts w:hint="eastAsia" w:ascii="宋体" w:hAnsi="宋体" w:eastAsia="宋体" w:cs="宋体"/>
                <w:snapToGrid w:val="0"/>
                <w:color w:val="auto"/>
                <w:kern w:val="0"/>
                <w:sz w:val="24"/>
                <w:szCs w:val="24"/>
                <w:highlight w:val="none"/>
                <w:u w:val="none"/>
                <w:lang w:val="en-US" w:eastAsia="zh-CN"/>
              </w:rPr>
              <w:t>韶关市公共资源交易中心</w:t>
            </w:r>
          </w:p>
          <w:p w14:paraId="6E7F3111">
            <w:pPr>
              <w:pStyle w:val="58"/>
              <w:widowControl w:val="0"/>
              <w:wordWrap w:val="0"/>
              <w:snapToGrid w:val="0"/>
              <w:spacing w:before="0" w:beforeAutospacing="0" w:after="0" w:afterAutospacing="0" w:line="360" w:lineRule="auto"/>
              <w:ind w:firstLine="240" w:firstLineChars="100"/>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u w:val="none"/>
                <w:lang w:val="en-US" w:eastAsia="zh-CN" w:bidi="ar-SA"/>
              </w:rPr>
              <w:t>地址：广东省韶关市武江区西联镇，具体房间号以当日现场通知为准。</w:t>
            </w:r>
          </w:p>
        </w:tc>
      </w:tr>
      <w:tr w14:paraId="7DF7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37" w:hRule="atLeast"/>
          <w:jc w:val="center"/>
        </w:trPr>
        <w:tc>
          <w:tcPr>
            <w:tcW w:w="660" w:type="dxa"/>
            <w:shd w:val="clear" w:color="auto" w:fill="FFFFFF"/>
            <w:noWrap w:val="0"/>
            <w:vAlign w:val="center"/>
          </w:tcPr>
          <w:p w14:paraId="31E3BE7B">
            <w:pPr>
              <w:pStyle w:val="30"/>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rPr>
              <w:t>9</w:t>
            </w:r>
          </w:p>
        </w:tc>
        <w:tc>
          <w:tcPr>
            <w:tcW w:w="1470" w:type="dxa"/>
            <w:shd w:val="clear" w:color="auto" w:fill="FFFFFF"/>
            <w:noWrap w:val="0"/>
            <w:vAlign w:val="center"/>
          </w:tcPr>
          <w:p w14:paraId="6F526C1E">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开标时间</w:t>
            </w:r>
          </w:p>
        </w:tc>
        <w:tc>
          <w:tcPr>
            <w:tcW w:w="7466" w:type="dxa"/>
            <w:shd w:val="clear" w:color="auto" w:fill="FFFFFF"/>
            <w:noWrap w:val="0"/>
            <w:vAlign w:val="center"/>
          </w:tcPr>
          <w:p w14:paraId="220196E9">
            <w:pPr>
              <w:pStyle w:val="30"/>
              <w:wordWrap w:val="0"/>
              <w:adjustRightInd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eastAsia="宋体" w:cs="宋体"/>
                <w:snapToGrid w:val="0"/>
                <w:color w:val="auto"/>
                <w:kern w:val="0"/>
                <w:sz w:val="24"/>
                <w:szCs w:val="24"/>
                <w:highlight w:val="none"/>
                <w:u w:val="none"/>
                <w:lang w:val="en-US" w:eastAsia="zh-CN"/>
              </w:rPr>
              <w:t>07</w:t>
            </w:r>
            <w:r>
              <w:rPr>
                <w:rFonts w:hint="eastAsia" w:ascii="宋体" w:hAnsi="宋体" w:eastAsia="宋体" w:cs="宋体"/>
                <w:snapToGrid w:val="0"/>
                <w:color w:val="auto"/>
                <w:kern w:val="0"/>
                <w:sz w:val="24"/>
                <w:szCs w:val="24"/>
                <w:highlight w:val="none"/>
                <w:u w:val="none"/>
              </w:rPr>
              <w:t>月</w:t>
            </w:r>
            <w:r>
              <w:rPr>
                <w:rFonts w:hint="eastAsia" w:ascii="宋体" w:hAnsi="宋体" w:eastAsia="宋体" w:cs="宋体"/>
                <w:snapToGrid w:val="0"/>
                <w:color w:val="auto"/>
                <w:kern w:val="0"/>
                <w:sz w:val="24"/>
                <w:szCs w:val="24"/>
                <w:highlight w:val="none"/>
                <w:u w:val="none"/>
                <w:lang w:val="en-US" w:eastAsia="zh-CN"/>
              </w:rPr>
              <w:t>17</w:t>
            </w:r>
            <w:r>
              <w:rPr>
                <w:rFonts w:hint="eastAsia" w:ascii="宋体" w:hAnsi="宋体" w:eastAsia="宋体" w:cs="宋体"/>
                <w:snapToGrid w:val="0"/>
                <w:color w:val="auto"/>
                <w:kern w:val="0"/>
                <w:sz w:val="24"/>
                <w:szCs w:val="24"/>
                <w:highlight w:val="none"/>
                <w:u w:val="none"/>
              </w:rPr>
              <w:t>日</w:t>
            </w:r>
            <w:r>
              <w:rPr>
                <w:rFonts w:hint="eastAsia" w:ascii="宋体" w:hAnsi="宋体" w:eastAsia="宋体" w:cs="宋体"/>
                <w:snapToGrid w:val="0"/>
                <w:color w:val="auto"/>
                <w:kern w:val="0"/>
                <w:sz w:val="24"/>
                <w:szCs w:val="24"/>
                <w:highlight w:val="none"/>
                <w:u w:val="none"/>
                <w:lang w:val="en-US" w:eastAsia="zh-CN"/>
              </w:rPr>
              <w:t>09</w:t>
            </w:r>
            <w:r>
              <w:rPr>
                <w:rFonts w:hint="eastAsia" w:ascii="宋体" w:hAnsi="宋体" w:eastAsia="宋体" w:cs="宋体"/>
                <w:snapToGrid w:val="0"/>
                <w:color w:val="auto"/>
                <w:kern w:val="0"/>
                <w:sz w:val="24"/>
                <w:szCs w:val="24"/>
                <w:highlight w:val="none"/>
                <w:u w:val="none"/>
              </w:rPr>
              <w:t>时</w:t>
            </w:r>
            <w:r>
              <w:rPr>
                <w:rFonts w:hint="eastAsia" w:ascii="宋体" w:hAnsi="宋体" w:eastAsia="宋体" w:cs="宋体"/>
                <w:snapToGrid w:val="0"/>
                <w:color w:val="auto"/>
                <w:kern w:val="0"/>
                <w:sz w:val="24"/>
                <w:szCs w:val="24"/>
                <w:highlight w:val="none"/>
                <w:u w:val="none"/>
                <w:lang w:val="en-US" w:eastAsia="zh-CN"/>
              </w:rPr>
              <w:t>30</w:t>
            </w:r>
            <w:r>
              <w:rPr>
                <w:rFonts w:hint="eastAsia" w:ascii="宋体" w:hAnsi="宋体" w:eastAsia="宋体" w:cs="宋体"/>
                <w:snapToGrid w:val="0"/>
                <w:color w:val="auto"/>
                <w:kern w:val="0"/>
                <w:sz w:val="24"/>
                <w:szCs w:val="24"/>
                <w:highlight w:val="none"/>
              </w:rPr>
              <w:t>分</w:t>
            </w:r>
          </w:p>
        </w:tc>
      </w:tr>
      <w:tr w14:paraId="43FD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2A676CE8">
            <w:pPr>
              <w:pStyle w:val="30"/>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10</w:t>
            </w:r>
          </w:p>
        </w:tc>
        <w:tc>
          <w:tcPr>
            <w:tcW w:w="1470" w:type="dxa"/>
            <w:shd w:val="clear" w:color="auto" w:fill="FFFFFF"/>
            <w:noWrap w:val="0"/>
            <w:vAlign w:val="center"/>
          </w:tcPr>
          <w:p w14:paraId="2971D890">
            <w:pPr>
              <w:pStyle w:val="30"/>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开标地点</w:t>
            </w:r>
          </w:p>
        </w:tc>
        <w:tc>
          <w:tcPr>
            <w:tcW w:w="7466" w:type="dxa"/>
            <w:shd w:val="clear" w:color="auto" w:fill="FFFFFF"/>
            <w:noWrap w:val="0"/>
            <w:vAlign w:val="center"/>
          </w:tcPr>
          <w:p w14:paraId="16A1BFFA">
            <w:pPr>
              <w:pStyle w:val="17"/>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开标场所：</w:t>
            </w:r>
            <w:r>
              <w:rPr>
                <w:rFonts w:hint="eastAsia" w:ascii="宋体" w:hAnsi="宋体" w:eastAsia="宋体" w:cs="宋体"/>
                <w:snapToGrid w:val="0"/>
                <w:color w:val="auto"/>
                <w:kern w:val="0"/>
                <w:sz w:val="24"/>
                <w:szCs w:val="24"/>
                <w:highlight w:val="none"/>
                <w:lang w:val="en-US" w:eastAsia="zh-CN"/>
              </w:rPr>
              <w:t>韶关市公共资源交易中心</w:t>
            </w:r>
          </w:p>
          <w:p w14:paraId="2ED5063C">
            <w:pPr>
              <w:pStyle w:val="58"/>
              <w:widowControl w:val="0"/>
              <w:wordWrap w:val="0"/>
              <w:snapToGrid w:val="0"/>
              <w:spacing w:before="0" w:beforeAutospacing="0" w:after="0" w:afterAutospacing="0"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地址：广东省韶关市武江区西联镇</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具体房间号以当日现场通知为准。</w:t>
            </w:r>
          </w:p>
        </w:tc>
      </w:tr>
      <w:tr w14:paraId="1C48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18BEC9A9">
            <w:pPr>
              <w:pStyle w:val="30"/>
              <w:wordWrap w:val="0"/>
              <w:adjustRightInd w:val="0"/>
              <w:snapToGrid w:val="0"/>
              <w:spacing w:line="360" w:lineRule="auto"/>
              <w:jc w:val="center"/>
              <w:rPr>
                <w:rFonts w:hint="eastAsia" w:ascii="宋体" w:hAnsi="宋体" w:eastAsia="宋体" w:cs="宋体"/>
                <w:i w:val="0"/>
                <w:caps w:val="0"/>
                <w:color w:val="auto"/>
                <w:spacing w:val="0"/>
                <w:sz w:val="24"/>
                <w:szCs w:val="24"/>
                <w:highlight w:val="none"/>
                <w:lang w:val="en-US"/>
              </w:rPr>
            </w:pPr>
            <w:r>
              <w:rPr>
                <w:rFonts w:hint="eastAsia" w:ascii="宋体" w:hAnsi="宋体" w:eastAsia="宋体" w:cs="宋体"/>
                <w:snapToGrid w:val="0"/>
                <w:color w:val="auto"/>
                <w:kern w:val="0"/>
                <w:sz w:val="24"/>
                <w:szCs w:val="24"/>
                <w:highlight w:val="none"/>
              </w:rPr>
              <w:t>11</w:t>
            </w:r>
          </w:p>
        </w:tc>
        <w:tc>
          <w:tcPr>
            <w:tcW w:w="1470" w:type="dxa"/>
            <w:shd w:val="clear" w:color="auto" w:fill="FFFFFF"/>
            <w:noWrap w:val="0"/>
            <w:vAlign w:val="center"/>
          </w:tcPr>
          <w:p w14:paraId="4FC398B1">
            <w:pPr>
              <w:pStyle w:val="30"/>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其他</w:t>
            </w:r>
          </w:p>
        </w:tc>
        <w:tc>
          <w:tcPr>
            <w:tcW w:w="7466" w:type="dxa"/>
            <w:shd w:val="clear" w:color="auto" w:fill="FFFFFF"/>
            <w:noWrap w:val="0"/>
            <w:vAlign w:val="center"/>
          </w:tcPr>
          <w:p w14:paraId="43A57DF3">
            <w:pPr>
              <w:pStyle w:val="17"/>
              <w:wordWrap w:val="0"/>
              <w:adjustRightInd w:val="0"/>
              <w:snapToGrid w:val="0"/>
              <w:spacing w:line="360" w:lineRule="auto"/>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420C9E17">
      <w:pPr>
        <w:rPr>
          <w:rFonts w:hint="eastAsia" w:ascii="宋体" w:hAnsi="宋体" w:eastAsia="宋体" w:cs="宋体"/>
          <w:color w:val="auto"/>
          <w:lang w:val="en-US" w:eastAsia="zh-CN"/>
        </w:rPr>
      </w:pPr>
    </w:p>
    <w:p w14:paraId="0EC1E7FF">
      <w:pPr>
        <w:rPr>
          <w:rFonts w:hint="eastAsia" w:ascii="宋体" w:hAnsi="宋体" w:eastAsia="宋体" w:cs="宋体"/>
          <w:color w:val="auto"/>
          <w:lang w:val="en-US" w:eastAsia="zh-CN"/>
        </w:rPr>
      </w:pPr>
    </w:p>
    <w:p w14:paraId="0041AC8A">
      <w:pPr>
        <w:rPr>
          <w:rFonts w:hint="eastAsia" w:ascii="宋体" w:hAnsi="宋体" w:eastAsia="宋体" w:cs="宋体"/>
          <w:color w:val="auto"/>
          <w:lang w:val="en-US" w:eastAsia="zh-CN"/>
        </w:rPr>
      </w:pPr>
    </w:p>
    <w:p w14:paraId="0C86804C">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38" w:name="_Toc7725"/>
      <w:bookmarkStart w:id="39" w:name="_Toc21763"/>
      <w:bookmarkStart w:id="40" w:name="_Toc26764"/>
      <w:bookmarkStart w:id="41" w:name="_Toc5521"/>
      <w:bookmarkStart w:id="42" w:name="_Toc7836"/>
      <w:bookmarkStart w:id="43" w:name="_Toc12489"/>
      <w:bookmarkStart w:id="44" w:name="_Toc16435"/>
      <w:bookmarkStart w:id="45" w:name="_Toc4501"/>
      <w:bookmarkStart w:id="46" w:name="_Toc28559"/>
      <w:bookmarkStart w:id="47" w:name="_Toc26910"/>
      <w:bookmarkStart w:id="48" w:name="_Toc31767"/>
      <w:bookmarkStart w:id="49" w:name="_Toc5177"/>
      <w:r>
        <w:rPr>
          <w:rFonts w:hint="eastAsia" w:ascii="宋体" w:hAnsi="宋体" w:eastAsia="宋体" w:cs="宋体"/>
          <w:color w:val="auto"/>
          <w:kern w:val="2"/>
          <w:sz w:val="28"/>
          <w:szCs w:val="24"/>
          <w:lang w:val="en-US" w:eastAsia="zh-CN"/>
        </w:rPr>
        <w:t>第三节   投标人须知正文</w:t>
      </w:r>
      <w:bookmarkEnd w:id="38"/>
      <w:bookmarkEnd w:id="39"/>
      <w:bookmarkEnd w:id="40"/>
      <w:bookmarkEnd w:id="41"/>
      <w:bookmarkEnd w:id="42"/>
      <w:bookmarkEnd w:id="43"/>
      <w:bookmarkEnd w:id="44"/>
      <w:bookmarkEnd w:id="45"/>
      <w:bookmarkEnd w:id="46"/>
      <w:bookmarkEnd w:id="47"/>
      <w:bookmarkEnd w:id="48"/>
      <w:bookmarkEnd w:id="49"/>
    </w:p>
    <w:p w14:paraId="34B1517B">
      <w:pPr>
        <w:pStyle w:val="7"/>
        <w:keepNext w:val="0"/>
        <w:keepLines w:val="0"/>
        <w:pageBreakBefore w:val="0"/>
        <w:widowControl w:val="0"/>
        <w:kinsoku w:val="0"/>
        <w:overflowPunct w:val="0"/>
        <w:topLinePunct w:val="0"/>
        <w:autoSpaceDE w:val="0"/>
        <w:autoSpaceDN w:val="0"/>
        <w:bidi w:val="0"/>
        <w:adjustRightInd/>
        <w:snapToGrid/>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highlight w:val="none"/>
          <w:u w:val="single"/>
          <w:lang w:val="en-US" w:eastAsia="zh-CN"/>
        </w:rPr>
        <w:t>广东省韶关市韶关高新技术产业开发区园区配套基础设施建设项目</w:t>
      </w:r>
      <w:r>
        <w:rPr>
          <w:rFonts w:hint="eastAsia" w:ascii="宋体" w:hAnsi="宋体" w:eastAsia="宋体" w:cs="宋体"/>
          <w:snapToGrid w:val="0"/>
          <w:color w:val="auto"/>
          <w:kern w:val="0"/>
          <w:highlight w:val="none"/>
        </w:rPr>
        <w:t>经</w:t>
      </w:r>
      <w:r>
        <w:rPr>
          <w:rFonts w:hint="eastAsia" w:ascii="宋体" w:hAnsi="宋体" w:eastAsia="宋体" w:cs="宋体"/>
          <w:snapToGrid w:val="0"/>
          <w:color w:val="auto"/>
          <w:kern w:val="0"/>
          <w:sz w:val="24"/>
          <w:szCs w:val="24"/>
          <w:highlight w:val="none"/>
          <w:u w:val="single"/>
          <w:lang w:eastAsia="zh-CN"/>
        </w:rPr>
        <w:t>韶关高新技术产业开发区管理委员会</w:t>
      </w:r>
      <w:r>
        <w:rPr>
          <w:rFonts w:hint="eastAsia" w:ascii="宋体" w:hAnsi="宋体" w:eastAsia="宋体" w:cs="宋体"/>
          <w:snapToGrid w:val="0"/>
          <w:color w:val="auto"/>
          <w:kern w:val="0"/>
          <w:sz w:val="24"/>
          <w:szCs w:val="24"/>
          <w:highlight w:val="none"/>
        </w:rPr>
        <w:t>以</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eastAsia="zh-CN"/>
        </w:rPr>
        <w:t>关于广东省韶关市韶关高新技术产业开发区园区配套基础设施建设项目可行性研究报告的批复</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eastAsia="zh-CN"/>
        </w:rPr>
        <w:t>韶高</w:t>
      </w:r>
      <w:r>
        <w:rPr>
          <w:rFonts w:hint="eastAsia" w:ascii="宋体" w:hAnsi="宋体" w:eastAsia="宋体" w:cs="宋体"/>
          <w:snapToGrid w:val="0"/>
          <w:color w:val="auto"/>
          <w:kern w:val="0"/>
          <w:sz w:val="24"/>
          <w:szCs w:val="24"/>
          <w:highlight w:val="none"/>
          <w:u w:val="single"/>
          <w:lang w:val="en-US" w:eastAsia="zh-CN"/>
        </w:rPr>
        <w:t>新批字〔2022〕10号</w:t>
      </w:r>
      <w:r>
        <w:rPr>
          <w:rFonts w:hint="eastAsia" w:ascii="宋体" w:hAnsi="宋体" w:eastAsia="宋体" w:cs="宋体"/>
          <w:snapToGrid w:val="0"/>
          <w:color w:val="auto"/>
          <w:kern w:val="0"/>
          <w:sz w:val="24"/>
          <w:szCs w:val="24"/>
          <w:highlight w:val="none"/>
        </w:rPr>
        <w:t>批准建设，项目代码为</w:t>
      </w:r>
      <w:r>
        <w:rPr>
          <w:rFonts w:hint="eastAsia" w:ascii="宋体" w:hAnsi="宋体" w:eastAsia="宋体" w:cs="宋体"/>
          <w:snapToGrid w:val="0"/>
          <w:color w:val="auto"/>
          <w:kern w:val="0"/>
          <w:sz w:val="24"/>
          <w:szCs w:val="24"/>
          <w:highlight w:val="none"/>
          <w:u w:val="single"/>
          <w:lang w:val="en-US" w:eastAsia="zh-CN"/>
        </w:rPr>
        <w:t>2209-440200-04-01-487589</w:t>
      </w:r>
      <w:r>
        <w:rPr>
          <w:rFonts w:hint="eastAsia" w:ascii="宋体" w:hAnsi="宋体" w:eastAsia="宋体" w:cs="宋体"/>
          <w:snapToGrid w:val="0"/>
          <w:color w:val="auto"/>
          <w:kern w:val="0"/>
          <w:highlight w:val="none"/>
        </w:rPr>
        <w:t>。本项目业主为</w:t>
      </w:r>
      <w:r>
        <w:rPr>
          <w:rFonts w:hint="eastAsia" w:ascii="宋体" w:hAnsi="宋体" w:eastAsia="宋体" w:cs="宋体"/>
          <w:snapToGrid w:val="0"/>
          <w:color w:val="auto"/>
          <w:kern w:val="0"/>
          <w:highlight w:val="none"/>
          <w:u w:val="single"/>
          <w:lang w:eastAsia="zh-CN"/>
        </w:rPr>
        <w:t>韶关高新技术产业开发区创业服务中心</w:t>
      </w:r>
      <w:r>
        <w:rPr>
          <w:rFonts w:hint="eastAsia" w:ascii="宋体" w:hAnsi="宋体" w:eastAsia="宋体" w:cs="宋体"/>
          <w:snapToGrid w:val="0"/>
          <w:color w:val="auto"/>
          <w:kern w:val="0"/>
          <w:highlight w:val="none"/>
        </w:rPr>
        <w:t>，建设资金来自</w:t>
      </w:r>
      <w:r>
        <w:rPr>
          <w:rFonts w:hint="eastAsia" w:ascii="宋体" w:hAnsi="宋体" w:eastAsia="宋体" w:cs="宋体"/>
          <w:snapToGrid w:val="0"/>
          <w:color w:val="auto"/>
          <w:kern w:val="0"/>
          <w:highlight w:val="none"/>
          <w:u w:val="single"/>
          <w:lang w:val="en-US" w:eastAsia="zh-CN"/>
        </w:rPr>
        <w:t>财政性资金、申请地方政府专项债券予以解决</w:t>
      </w:r>
      <w:r>
        <w:rPr>
          <w:rFonts w:hint="eastAsia" w:ascii="宋体" w:hAnsi="宋体" w:eastAsia="宋体" w:cs="宋体"/>
          <w:snapToGrid w:val="0"/>
          <w:color w:val="auto"/>
          <w:kern w:val="0"/>
          <w:highlight w:val="none"/>
        </w:rPr>
        <w:t>，出资比例为</w:t>
      </w:r>
      <w:r>
        <w:rPr>
          <w:rFonts w:hint="eastAsia" w:ascii="宋体" w:hAnsi="宋体" w:eastAsia="宋体" w:cs="宋体"/>
          <w:snapToGrid w:val="0"/>
          <w:color w:val="auto"/>
          <w:kern w:val="0"/>
          <w:highlight w:val="none"/>
          <w:u w:val="single"/>
          <w:lang w:val="en-US" w:eastAsia="zh-CN"/>
        </w:rPr>
        <w:t>100%</w:t>
      </w:r>
      <w:r>
        <w:rPr>
          <w:rFonts w:hint="eastAsia" w:ascii="宋体" w:hAnsi="宋体" w:eastAsia="宋体" w:cs="宋体"/>
          <w:snapToGrid w:val="0"/>
          <w:color w:val="auto"/>
          <w:kern w:val="0"/>
          <w:highlight w:val="none"/>
        </w:rPr>
        <w:t>，招标人为</w:t>
      </w:r>
      <w:r>
        <w:rPr>
          <w:rFonts w:hint="eastAsia" w:ascii="宋体" w:hAnsi="宋体" w:eastAsia="宋体" w:cs="宋体"/>
          <w:snapToGrid w:val="0"/>
          <w:color w:val="auto"/>
          <w:kern w:val="0"/>
          <w:highlight w:val="none"/>
          <w:u w:val="single"/>
          <w:lang w:eastAsia="zh-CN"/>
        </w:rPr>
        <w:t>韶关工业园投资建设有限公司</w:t>
      </w:r>
      <w:r>
        <w:rPr>
          <w:rFonts w:hint="eastAsia" w:ascii="宋体" w:hAnsi="宋体" w:eastAsia="宋体" w:cs="宋体"/>
          <w:snapToGrid w:val="0"/>
          <w:color w:val="auto"/>
          <w:kern w:val="0"/>
          <w:highlight w:val="none"/>
        </w:rPr>
        <w:t>，招标代理机构为</w:t>
      </w:r>
      <w:r>
        <w:rPr>
          <w:rFonts w:hint="eastAsia" w:ascii="宋体" w:hAnsi="宋体" w:eastAsia="宋体" w:cs="宋体"/>
          <w:snapToGrid w:val="0"/>
          <w:color w:val="auto"/>
          <w:kern w:val="0"/>
          <w:highlight w:val="none"/>
          <w:u w:val="single"/>
          <w:lang w:eastAsia="zh-CN"/>
        </w:rPr>
        <w:t>广东明正项目管理有限公司</w:t>
      </w:r>
      <w:r>
        <w:rPr>
          <w:rFonts w:hint="eastAsia" w:ascii="宋体" w:hAnsi="宋体" w:eastAsia="宋体" w:cs="宋体"/>
          <w:snapToGrid w:val="0"/>
          <w:color w:val="auto"/>
          <w:kern w:val="0"/>
          <w:highlight w:val="none"/>
        </w:rPr>
        <w:t>。</w:t>
      </w:r>
      <w:r>
        <w:rPr>
          <w:rFonts w:hint="eastAsia" w:ascii="宋体" w:hAnsi="宋体" w:eastAsia="宋体" w:cs="宋体"/>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eastAsia="zh-CN"/>
        </w:rPr>
        <w:t>广东省韶关市韶关高新技术产业开发区园区配套基础设施建设项目莞韶产业园甘棠片区GT0402A-02-02地块三通一平及地块西侧道路建设工程（B地块）施工</w:t>
      </w:r>
      <w:r>
        <w:rPr>
          <w:rFonts w:hint="eastAsia" w:ascii="宋体" w:hAnsi="宋体" w:eastAsia="宋体" w:cs="宋体"/>
          <w:color w:val="auto"/>
          <w:kern w:val="0"/>
          <w:sz w:val="24"/>
          <w:szCs w:val="24"/>
          <w:highlight w:val="none"/>
        </w:rPr>
        <w:t>进行公开招标。</w:t>
      </w:r>
    </w:p>
    <w:p w14:paraId="4DC7A7F5">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1．工程概况、招标范围和标段划分、投标费用</w:t>
      </w:r>
    </w:p>
    <w:p w14:paraId="2CFD9FBC">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b/>
          <w:bCs/>
          <w:color w:val="auto"/>
          <w:kern w:val="0"/>
          <w:sz w:val="24"/>
          <w:szCs w:val="24"/>
          <w:highlight w:val="none"/>
        </w:rPr>
      </w:pPr>
      <w:r>
        <w:rPr>
          <w:rStyle w:val="26"/>
          <w:rFonts w:hint="eastAsia" w:ascii="宋体" w:hAnsi="宋体" w:eastAsia="宋体" w:cs="宋体"/>
          <w:b/>
          <w:bCs/>
          <w:color w:val="auto"/>
          <w:kern w:val="0"/>
          <w:sz w:val="24"/>
          <w:szCs w:val="24"/>
          <w:highlight w:val="none"/>
        </w:rPr>
        <w:t>1.1 工程概况</w:t>
      </w:r>
    </w:p>
    <w:p w14:paraId="6867C35B">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b/>
          <w:bCs/>
          <w:color w:val="auto"/>
          <w:kern w:val="0"/>
          <w:sz w:val="24"/>
          <w:szCs w:val="24"/>
          <w:highlight w:val="none"/>
        </w:rPr>
        <w:t>1.1.1</w:t>
      </w:r>
      <w:r>
        <w:rPr>
          <w:rStyle w:val="26"/>
          <w:rFonts w:hint="eastAsia" w:ascii="宋体" w:hAnsi="宋体" w:eastAsia="宋体" w:cs="宋体"/>
          <w:color w:val="auto"/>
          <w:kern w:val="0"/>
          <w:sz w:val="24"/>
          <w:szCs w:val="24"/>
          <w:highlight w:val="none"/>
        </w:rPr>
        <w:t xml:space="preserve"> 建设地点：</w:t>
      </w:r>
      <w:r>
        <w:rPr>
          <w:rStyle w:val="26"/>
          <w:rFonts w:hint="eastAsia" w:ascii="宋体" w:hAnsi="宋体" w:eastAsia="宋体" w:cs="宋体"/>
          <w:color w:val="auto"/>
          <w:kern w:val="0"/>
          <w:sz w:val="24"/>
          <w:szCs w:val="24"/>
          <w:highlight w:val="none"/>
          <w:lang w:val="en-US" w:eastAsia="zh-CN" w:bidi="ar-SA"/>
        </w:rPr>
        <w:t>广东省韶关市高新技术产业开发区园区莞韶产业园甘棠片区。</w:t>
      </w:r>
    </w:p>
    <w:p w14:paraId="210ECDF7">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lang w:val="en-US" w:eastAsia="zh-CN" w:bidi="ar"/>
        </w:rPr>
      </w:pPr>
      <w:r>
        <w:rPr>
          <w:rStyle w:val="26"/>
          <w:rFonts w:hint="eastAsia" w:ascii="宋体" w:hAnsi="宋体" w:eastAsia="宋体" w:cs="宋体"/>
          <w:b/>
          <w:bCs/>
          <w:color w:val="auto"/>
          <w:kern w:val="0"/>
          <w:sz w:val="24"/>
          <w:szCs w:val="24"/>
          <w:highlight w:val="none"/>
        </w:rPr>
        <w:t>1.1.2</w:t>
      </w:r>
      <w:r>
        <w:rPr>
          <w:rStyle w:val="26"/>
          <w:rFonts w:hint="eastAsia" w:ascii="宋体" w:hAnsi="宋体" w:eastAsia="宋体" w:cs="宋体"/>
          <w:color w:val="auto"/>
          <w:kern w:val="0"/>
          <w:sz w:val="24"/>
          <w:szCs w:val="24"/>
          <w:highlight w:val="none"/>
        </w:rPr>
        <w:t xml:space="preserve"> 建设内容和规模：</w:t>
      </w:r>
      <w:r>
        <w:rPr>
          <w:rFonts w:hint="eastAsia" w:ascii="宋体" w:hAnsi="宋体" w:eastAsia="宋体" w:cs="宋体"/>
          <w:bCs/>
          <w:snapToGrid w:val="0"/>
          <w:color w:val="auto"/>
          <w:kern w:val="0"/>
          <w:sz w:val="24"/>
          <w:szCs w:val="24"/>
          <w:highlight w:val="none"/>
          <w:lang w:val="en-US" w:eastAsia="zh-CN"/>
        </w:rPr>
        <w:t>项目位于广东省韶关市高新技术产业开发区莞韶产业园甘棠片区，项目用地红线面积为39790.74平方米，工程设计内容主要包含场地土石方平整、挡土墙支护、B地块场地土方回填压实和周边山体排水工程等。</w:t>
      </w:r>
    </w:p>
    <w:p w14:paraId="41360A9D">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color w:val="auto"/>
          <w:kern w:val="0"/>
          <w:sz w:val="24"/>
          <w:szCs w:val="24"/>
          <w:highlight w:val="none"/>
          <w:lang w:val="en-US" w:eastAsia="zh-CN" w:bidi="ar"/>
        </w:rPr>
      </w:pPr>
      <w:r>
        <w:rPr>
          <w:rStyle w:val="26"/>
          <w:rFonts w:hint="eastAsia" w:ascii="宋体" w:hAnsi="宋体" w:eastAsia="宋体" w:cs="宋体"/>
          <w:b/>
          <w:bCs/>
          <w:color w:val="auto"/>
          <w:kern w:val="0"/>
          <w:sz w:val="24"/>
          <w:szCs w:val="24"/>
          <w:highlight w:val="none"/>
          <w:lang w:val="en-US" w:eastAsia="zh-CN" w:bidi="ar"/>
        </w:rPr>
        <w:t xml:space="preserve">1.1.3 </w:t>
      </w:r>
      <w:r>
        <w:rPr>
          <w:rStyle w:val="26"/>
          <w:rFonts w:hint="eastAsia" w:ascii="宋体" w:hAnsi="宋体" w:eastAsia="宋体" w:cs="宋体"/>
          <w:color w:val="auto"/>
          <w:kern w:val="0"/>
          <w:sz w:val="24"/>
          <w:szCs w:val="24"/>
          <w:highlight w:val="none"/>
          <w:lang w:val="en-US" w:eastAsia="zh-CN" w:bidi="ar"/>
        </w:rPr>
        <w:t>项目总投资：</w:t>
      </w:r>
      <w:r>
        <w:rPr>
          <w:rFonts w:hint="eastAsia" w:ascii="宋体" w:hAnsi="宋体" w:eastAsia="宋体" w:cs="宋体"/>
          <w:snapToGrid w:val="0"/>
          <w:color w:val="auto"/>
          <w:kern w:val="0"/>
          <w:sz w:val="24"/>
          <w:szCs w:val="24"/>
          <w:highlight w:val="none"/>
          <w:lang w:val="en-US" w:eastAsia="zh-CN"/>
        </w:rPr>
        <w:t>工程概算总投资为828.84万元，其中，建安工程费679.77万元，工程建设其他费用124.93万元，预备费24.14万元。</w:t>
      </w:r>
    </w:p>
    <w:p w14:paraId="039822CA">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b/>
          <w:bCs/>
          <w:color w:val="auto"/>
          <w:kern w:val="0"/>
          <w:sz w:val="24"/>
          <w:szCs w:val="24"/>
          <w:highlight w:val="none"/>
        </w:rPr>
      </w:pPr>
      <w:r>
        <w:rPr>
          <w:rStyle w:val="26"/>
          <w:rFonts w:hint="eastAsia" w:ascii="宋体" w:hAnsi="宋体" w:eastAsia="宋体" w:cs="宋体"/>
          <w:b/>
          <w:bCs/>
          <w:color w:val="auto"/>
          <w:kern w:val="0"/>
          <w:sz w:val="24"/>
          <w:szCs w:val="24"/>
          <w:highlight w:val="none"/>
        </w:rPr>
        <w:t>1.2 招标范围和标段划分</w:t>
      </w:r>
    </w:p>
    <w:p w14:paraId="5619B103">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1.2.1</w:t>
      </w:r>
      <w:r>
        <w:rPr>
          <w:rStyle w:val="26"/>
          <w:rFonts w:hint="eastAsia" w:ascii="宋体" w:hAnsi="宋体" w:eastAsia="宋体" w:cs="宋体"/>
          <w:color w:val="auto"/>
          <w:kern w:val="0"/>
          <w:sz w:val="24"/>
          <w:szCs w:val="24"/>
          <w:highlight w:val="none"/>
        </w:rPr>
        <w:t xml:space="preserve"> 招标范围：按审查合格的施工图纸及工程量清单内容施工。</w:t>
      </w:r>
    </w:p>
    <w:p w14:paraId="53D7F7EC">
      <w:pPr>
        <w:pStyle w:val="29"/>
        <w:keepNext w:val="0"/>
        <w:keepLines w:val="0"/>
        <w:pageBreakBefore w:val="0"/>
        <w:widowControl w:val="0"/>
        <w:kinsoku/>
        <w:overflowPunct/>
        <w:topLinePunct w:val="0"/>
        <w:autoSpaceDE/>
        <w:autoSpaceDN/>
        <w:bidi w:val="0"/>
        <w:adjustRightInd/>
        <w:snapToGrid/>
        <w:spacing w:line="360" w:lineRule="auto"/>
        <w:ind w:firstLine="482" w:firstLineChars="200"/>
        <w:jc w:val="both"/>
        <w:rPr>
          <w:rStyle w:val="26"/>
          <w:rFonts w:hint="eastAsia" w:ascii="宋体" w:hAnsi="宋体" w:eastAsia="宋体" w:cs="宋体"/>
          <w:b/>
          <w:bCs/>
          <w:color w:val="auto"/>
          <w:sz w:val="24"/>
          <w:szCs w:val="24"/>
          <w:highlight w:val="none"/>
        </w:rPr>
      </w:pPr>
      <w:r>
        <w:rPr>
          <w:rStyle w:val="26"/>
          <w:rFonts w:hint="eastAsia" w:ascii="宋体" w:hAnsi="宋体" w:eastAsia="宋体" w:cs="宋体"/>
          <w:b/>
          <w:bCs/>
          <w:color w:val="auto"/>
          <w:sz w:val="24"/>
          <w:szCs w:val="24"/>
          <w:highlight w:val="none"/>
        </w:rPr>
        <w:t>1.2.2</w:t>
      </w:r>
      <w:r>
        <w:rPr>
          <w:rStyle w:val="26"/>
          <w:rFonts w:hint="eastAsia" w:ascii="宋体" w:hAnsi="宋体" w:eastAsia="宋体" w:cs="宋体"/>
          <w:color w:val="auto"/>
          <w:sz w:val="24"/>
          <w:szCs w:val="24"/>
          <w:highlight w:val="none"/>
        </w:rPr>
        <w:t xml:space="preserve"> 标段划分：本招标项目不划分标段。</w:t>
      </w:r>
    </w:p>
    <w:p w14:paraId="63CE3462">
      <w:pPr>
        <w:keepNext w:val="0"/>
        <w:keepLines w:val="0"/>
        <w:pageBreakBefore w:val="0"/>
        <w:widowControl w:val="0"/>
        <w:tabs>
          <w:tab w:val="left" w:pos="7020"/>
        </w:tabs>
        <w:wordWrap w:val="0"/>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 xml:space="preserve"> 投标费用：投标人应承担所有准备和参加投标的相关费用，不论投标结果如何，招标人均无义务和责任承担这些费用。</w:t>
      </w:r>
    </w:p>
    <w:p w14:paraId="30967D2E">
      <w:pPr>
        <w:keepNext w:val="0"/>
        <w:keepLines w:val="0"/>
        <w:pageBreakBefore w:val="0"/>
        <w:widowControl w:val="0"/>
        <w:tabs>
          <w:tab w:val="left" w:pos="7020"/>
        </w:tabs>
        <w:wordWrap w:val="0"/>
        <w:topLinePunct w:val="0"/>
        <w:bidi w:val="0"/>
        <w:adjustRightInd/>
        <w:snapToGrid/>
        <w:spacing w:line="360" w:lineRule="auto"/>
        <w:ind w:firstLine="482" w:firstLineChars="200"/>
        <w:rPr>
          <w:rStyle w:val="26"/>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1.4 招标代理费用：</w:t>
      </w:r>
      <w:r>
        <w:rPr>
          <w:rFonts w:hint="eastAsia" w:ascii="宋体" w:hAnsi="宋体" w:eastAsia="宋体" w:cs="宋体"/>
          <w:b w:val="0"/>
          <w:bCs w:val="0"/>
          <w:snapToGrid w:val="0"/>
          <w:color w:val="auto"/>
          <w:kern w:val="0"/>
          <w:sz w:val="24"/>
          <w:szCs w:val="24"/>
          <w:highlight w:val="none"/>
          <w:lang w:val="en-US" w:eastAsia="zh-CN"/>
        </w:rPr>
        <w:t>☑由招标人支付 □ 由中标人支付。</w:t>
      </w:r>
    </w:p>
    <w:p w14:paraId="11A47E6A">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．投标人资格要求</w:t>
      </w:r>
    </w:p>
    <w:p w14:paraId="435275F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right="120" w:rightChars="5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 xml:space="preserve">2.1 </w:t>
      </w:r>
      <w:r>
        <w:rPr>
          <w:rFonts w:hint="eastAsia" w:ascii="宋体" w:hAnsi="宋体" w:eastAsia="宋体" w:cs="宋体"/>
          <w:color w:val="auto"/>
          <w:sz w:val="24"/>
          <w:szCs w:val="24"/>
          <w:highlight w:val="none"/>
        </w:rPr>
        <w:t>本次招标</w:t>
      </w:r>
      <w:r>
        <w:rPr>
          <w:rFonts w:hint="eastAsia" w:ascii="宋体" w:hAnsi="宋体" w:eastAsia="宋体" w:cs="宋体"/>
          <w:b/>
          <w:bCs/>
          <w:color w:val="auto"/>
          <w:sz w:val="24"/>
          <w:szCs w:val="24"/>
          <w:highlight w:val="none"/>
          <w:u w:val="single"/>
        </w:rPr>
        <w:t>接受</w:t>
      </w:r>
      <w:r>
        <w:rPr>
          <w:rFonts w:hint="eastAsia" w:ascii="宋体" w:hAnsi="宋体" w:eastAsia="宋体" w:cs="宋体"/>
          <w:color w:val="auto"/>
          <w:sz w:val="24"/>
          <w:szCs w:val="24"/>
          <w:highlight w:val="none"/>
        </w:rPr>
        <w:t>联合体投标，联合体以一个投标人的身份共同投标。</w:t>
      </w:r>
    </w:p>
    <w:p w14:paraId="5AFCF58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right="120" w:rightChars="5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1.1</w:t>
      </w:r>
      <w:r>
        <w:rPr>
          <w:rFonts w:hint="eastAsia" w:ascii="宋体" w:hAnsi="宋体" w:eastAsia="宋体" w:cs="宋体"/>
          <w:color w:val="auto"/>
          <w:sz w:val="24"/>
          <w:szCs w:val="24"/>
          <w:highlight w:val="none"/>
        </w:rPr>
        <w:t>联合体成员数量不超过</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个。</w:t>
      </w:r>
    </w:p>
    <w:p w14:paraId="5916521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right="120" w:rightChars="5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1.2</w:t>
      </w:r>
      <w:r>
        <w:rPr>
          <w:rFonts w:hint="eastAsia" w:ascii="宋体" w:hAnsi="宋体" w:eastAsia="宋体" w:cs="宋体"/>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7806176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right="120" w:rightChars="5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1.3</w:t>
      </w:r>
      <w:r>
        <w:rPr>
          <w:rFonts w:hint="eastAsia" w:ascii="宋体" w:hAnsi="宋体" w:eastAsia="宋体" w:cs="宋体"/>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626EB5A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right="120" w:rightChars="50"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2.1.4</w:t>
      </w:r>
      <w:r>
        <w:rPr>
          <w:rFonts w:hint="eastAsia" w:ascii="宋体" w:hAnsi="宋体" w:eastAsia="宋体" w:cs="宋体"/>
          <w:color w:val="auto"/>
          <w:sz w:val="24"/>
          <w:szCs w:val="24"/>
          <w:highlight w:val="none"/>
          <w:lang w:val="en-US" w:eastAsia="zh-CN"/>
        </w:rPr>
        <w:t>联合体各方不得再以自己名义单独或参加其他联合体在本招标项目中投标，否则各相关投标均无效。</w:t>
      </w:r>
    </w:p>
    <w:p w14:paraId="2DEBC26E">
      <w:pPr>
        <w:keepNext w:val="0"/>
        <w:keepLines w:val="0"/>
        <w:pageBreakBefore w:val="0"/>
        <w:kinsoku/>
        <w:wordWrap w:val="0"/>
        <w:overflowPunct/>
        <w:topLinePunct w:val="0"/>
        <w:bidi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snapToGrid w:val="0"/>
          <w:color w:val="auto"/>
          <w:kern w:val="0"/>
          <w:sz w:val="24"/>
          <w:szCs w:val="24"/>
          <w:highlight w:val="none"/>
        </w:rPr>
        <w:t xml:space="preserve"> 资格资质要求</w:t>
      </w:r>
    </w:p>
    <w:p w14:paraId="1225A77E">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2.2.1</w:t>
      </w:r>
      <w:r>
        <w:rPr>
          <w:rFonts w:hint="eastAsia" w:ascii="宋体" w:hAnsi="宋体" w:eastAsia="宋体" w:cs="宋体"/>
          <w:snapToGrid w:val="0"/>
          <w:color w:val="auto"/>
          <w:kern w:val="0"/>
          <w:sz w:val="24"/>
          <w:szCs w:val="24"/>
          <w:highlight w:val="none"/>
        </w:rPr>
        <w:t xml:space="preserve"> 投标人须具备独立法人资格，按国家法律经营。</w:t>
      </w:r>
    </w:p>
    <w:p w14:paraId="15129C4F">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2.2.2</w:t>
      </w:r>
      <w:r>
        <w:rPr>
          <w:rFonts w:hint="eastAsia" w:ascii="宋体" w:hAnsi="宋体" w:eastAsia="宋体" w:cs="宋体"/>
          <w:snapToGrid w:val="0"/>
          <w:color w:val="auto"/>
          <w:kern w:val="0"/>
          <w:sz w:val="24"/>
          <w:szCs w:val="24"/>
          <w:highlight w:val="none"/>
        </w:rPr>
        <w:t xml:space="preserve"> 投标人须持有建设行政主管部门颁发的企业资质证书及安全生产许可证。</w:t>
      </w:r>
    </w:p>
    <w:p w14:paraId="00F5DFCD">
      <w:pPr>
        <w:keepNext w:val="0"/>
        <w:keepLines w:val="0"/>
        <w:pageBreakBefore w:val="0"/>
        <w:widowControl w:val="0"/>
        <w:kinsoku/>
        <w:wordWrap w:val="0"/>
        <w:overflowPunct/>
        <w:topLinePunct w:val="0"/>
        <w:autoSpaceDE/>
        <w:autoSpaceDN/>
        <w:bidi w:val="0"/>
        <w:adjustRightInd/>
        <w:snapToGrid/>
        <w:spacing w:line="360" w:lineRule="auto"/>
        <w:ind w:right="120" w:rightChars="5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参加投标的投标人可以是单一独立法人或由不超过</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家独立法人组成的联合体【必须注明其中一家为牵头人】，联合体各方不得再以自己的名义单独申请，也不得同时参加两个或两个以上的联合体进行本项目的投标。</w:t>
      </w:r>
    </w:p>
    <w:p w14:paraId="4D875EC4">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投标人</w:t>
      </w:r>
      <w:r>
        <w:rPr>
          <w:rFonts w:hint="eastAsia" w:ascii="宋体" w:hAnsi="宋体" w:eastAsia="宋体" w:cs="宋体"/>
          <w:color w:val="auto"/>
          <w:sz w:val="24"/>
          <w:szCs w:val="24"/>
          <w:highlight w:val="none"/>
          <w:lang w:eastAsia="zh-CN"/>
        </w:rPr>
        <w:t>（或组成联合体）</w:t>
      </w:r>
      <w:r>
        <w:rPr>
          <w:rFonts w:hint="eastAsia" w:ascii="宋体" w:hAnsi="宋体" w:eastAsia="宋体" w:cs="宋体"/>
          <w:snapToGrid w:val="0"/>
          <w:color w:val="auto"/>
          <w:kern w:val="0"/>
          <w:sz w:val="24"/>
          <w:szCs w:val="24"/>
          <w:highlight w:val="none"/>
        </w:rPr>
        <w:t>须具备以下资质：</w:t>
      </w:r>
      <w:r>
        <w:rPr>
          <w:rFonts w:hint="eastAsia" w:ascii="宋体" w:hAnsi="宋体" w:eastAsia="宋体" w:cs="宋体"/>
          <w:b/>
          <w:bCs/>
          <w:color w:val="auto"/>
          <w:sz w:val="24"/>
          <w:szCs w:val="24"/>
          <w:highlight w:val="none"/>
          <w:u w:val="single"/>
          <w:lang w:eastAsia="zh-CN"/>
        </w:rPr>
        <w:t>市政公用工程施工总承包</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lang w:eastAsia="zh-CN"/>
        </w:rPr>
        <w:t>级以上（含</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lang w:eastAsia="zh-CN"/>
        </w:rPr>
        <w:t>级）资质</w:t>
      </w:r>
      <w:r>
        <w:rPr>
          <w:rFonts w:hint="eastAsia" w:ascii="宋体" w:hAnsi="宋体" w:eastAsia="宋体" w:cs="宋体"/>
          <w:b/>
          <w:bCs/>
          <w:color w:val="auto"/>
          <w:sz w:val="24"/>
          <w:szCs w:val="24"/>
          <w:highlight w:val="none"/>
          <w:u w:val="single"/>
          <w:lang w:val="en-US" w:eastAsia="zh-CN"/>
        </w:rPr>
        <w:t>。</w:t>
      </w:r>
    </w:p>
    <w:p w14:paraId="6F4B3B3A">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证明在开标日继续有效。</w:t>
      </w:r>
    </w:p>
    <w:p w14:paraId="14FE7120">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w:t>
      </w:r>
      <w:r>
        <w:rPr>
          <w:rFonts w:hint="eastAsia" w:ascii="宋体" w:hAnsi="宋体" w:eastAsia="宋体" w:cs="宋体"/>
          <w:snapToGrid w:val="0"/>
          <w:color w:val="auto"/>
          <w:kern w:val="0"/>
          <w:sz w:val="24"/>
          <w:szCs w:val="24"/>
          <w:highlight w:val="none"/>
        </w:rPr>
        <w:t xml:space="preserve"> 相关人员要求</w:t>
      </w:r>
    </w:p>
    <w:p w14:paraId="211ABEC0">
      <w:pPr>
        <w:keepNext w:val="0"/>
        <w:keepLines w:val="0"/>
        <w:pageBreakBefore w:val="0"/>
        <w:kinsoku/>
        <w:wordWrap w:val="0"/>
        <w:overflowPunct/>
        <w:topLinePunct w:val="0"/>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2.3.1</w:t>
      </w:r>
      <w:r>
        <w:rPr>
          <w:rFonts w:hint="eastAsia" w:ascii="宋体" w:hAnsi="宋体" w:eastAsia="宋体" w:cs="宋体"/>
          <w:snapToGrid w:val="0"/>
          <w:color w:val="auto"/>
          <w:kern w:val="0"/>
          <w:sz w:val="24"/>
          <w:szCs w:val="24"/>
          <w:highlight w:val="none"/>
        </w:rPr>
        <w:t xml:space="preserve"> 拟派项目经理为</w:t>
      </w:r>
      <w:r>
        <w:rPr>
          <w:rFonts w:hint="eastAsia" w:ascii="宋体" w:hAnsi="宋体" w:eastAsia="宋体" w:cs="宋体"/>
          <w:b/>
          <w:bCs/>
          <w:snapToGrid w:val="0"/>
          <w:color w:val="auto"/>
          <w:kern w:val="0"/>
          <w:sz w:val="24"/>
          <w:szCs w:val="24"/>
          <w:highlight w:val="none"/>
          <w:u w:val="single"/>
          <w:lang w:eastAsia="zh-CN"/>
        </w:rPr>
        <w:t>市政公用工程</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color w:val="auto"/>
          <w:sz w:val="24"/>
          <w:szCs w:val="24"/>
          <w:highlight w:val="none"/>
        </w:rPr>
        <w:t>一级或二级</w:t>
      </w:r>
      <w:r>
        <w:rPr>
          <w:rFonts w:hint="eastAsia" w:ascii="宋体" w:hAnsi="宋体" w:eastAsia="宋体" w:cs="宋体"/>
          <w:caps w:val="0"/>
          <w:smallCaps w:val="0"/>
          <w:snapToGrid w:val="0"/>
          <w:color w:val="auto"/>
          <w:spacing w:val="0"/>
          <w:kern w:val="0"/>
          <w:sz w:val="24"/>
          <w:szCs w:val="24"/>
          <w:highlight w:val="none"/>
          <w:u w:val="none"/>
          <w:lang w:val="en-US" w:eastAsia="zh-CN" w:bidi="ar-SA"/>
        </w:rPr>
        <w:t>注册建造师</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应持有住建部门印发的在使用有效期内的有效电子注册证书。同时均须具备有效安全生产考核合格证明（B 证），且未担任其他在施（包括已中标未开工、已开工未竣工）建设工程项目的项目经理。</w:t>
      </w:r>
    </w:p>
    <w:p w14:paraId="78C0465B">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w:t>
      </w:r>
      <w:r>
        <w:rPr>
          <w:rFonts w:hint="eastAsia" w:ascii="宋体" w:hAnsi="宋体" w:eastAsia="宋体" w:cs="宋体"/>
          <w:snapToGrid w:val="0"/>
          <w:color w:val="auto"/>
          <w:kern w:val="0"/>
          <w:sz w:val="24"/>
          <w:szCs w:val="24"/>
          <w:highlight w:val="none"/>
        </w:rPr>
        <w:t xml:space="preserve"> 拟派项目技术负责人须具备</w:t>
      </w:r>
      <w:r>
        <w:rPr>
          <w:rFonts w:hint="eastAsia" w:ascii="宋体" w:hAnsi="宋体" w:eastAsia="宋体" w:cs="宋体"/>
          <w:b/>
          <w:bCs/>
          <w:snapToGrid w:val="0"/>
          <w:color w:val="auto"/>
          <w:kern w:val="0"/>
          <w:sz w:val="24"/>
          <w:szCs w:val="24"/>
          <w:highlight w:val="none"/>
          <w:u w:val="single"/>
          <w:lang w:val="en-US" w:eastAsia="zh-CN"/>
        </w:rPr>
        <w:t>市政类</w:t>
      </w:r>
      <w:r>
        <w:rPr>
          <w:rFonts w:hint="eastAsia" w:ascii="宋体" w:hAnsi="宋体" w:eastAsia="宋体" w:cs="宋体"/>
          <w:snapToGrid w:val="0"/>
          <w:color w:val="auto"/>
          <w:kern w:val="0"/>
          <w:sz w:val="24"/>
          <w:szCs w:val="24"/>
          <w:highlight w:val="none"/>
          <w:u w:val="none"/>
        </w:rPr>
        <w:t>相关</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b/>
          <w:bCs/>
          <w:snapToGrid w:val="0"/>
          <w:color w:val="auto"/>
          <w:kern w:val="0"/>
          <w:sz w:val="24"/>
          <w:szCs w:val="24"/>
          <w:highlight w:val="none"/>
          <w:u w:val="single"/>
        </w:rPr>
        <w:t>中</w:t>
      </w:r>
      <w:r>
        <w:rPr>
          <w:rFonts w:hint="eastAsia" w:ascii="宋体" w:hAnsi="宋体" w:eastAsia="宋体" w:cs="宋体"/>
          <w:b/>
          <w:bCs/>
          <w:snapToGrid w:val="0"/>
          <w:color w:val="auto"/>
          <w:kern w:val="0"/>
          <w:sz w:val="24"/>
          <w:szCs w:val="24"/>
          <w:highlight w:val="none"/>
        </w:rPr>
        <w:t>级</w:t>
      </w:r>
      <w:r>
        <w:rPr>
          <w:rFonts w:hint="eastAsia" w:ascii="宋体" w:hAnsi="宋体" w:eastAsia="宋体" w:cs="宋体"/>
          <w:snapToGrid w:val="0"/>
          <w:color w:val="auto"/>
          <w:kern w:val="0"/>
          <w:sz w:val="24"/>
          <w:szCs w:val="24"/>
          <w:highlight w:val="none"/>
        </w:rPr>
        <w:t>或以上技术职称。</w:t>
      </w:r>
    </w:p>
    <w:p w14:paraId="609F2185">
      <w:pPr>
        <w:pStyle w:val="30"/>
        <w:keepNext w:val="0"/>
        <w:keepLines w:val="0"/>
        <w:pageBreakBefore w:val="0"/>
        <w:kinsoku/>
        <w:wordWrap w:val="0"/>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2.3.3</w:t>
      </w:r>
      <w:r>
        <w:rPr>
          <w:rFonts w:hint="eastAsia" w:ascii="宋体" w:hAnsi="宋体" w:eastAsia="宋体" w:cs="宋体"/>
          <w:snapToGrid w:val="0"/>
          <w:color w:val="auto"/>
          <w:kern w:val="0"/>
          <w:sz w:val="24"/>
          <w:szCs w:val="24"/>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b/>
          <w:bCs/>
          <w:snapToGrid w:val="0"/>
          <w:color w:val="auto"/>
          <w:kern w:val="0"/>
          <w:sz w:val="24"/>
          <w:szCs w:val="24"/>
          <w:highlight w:val="none"/>
          <w:u w:val="single"/>
          <w:lang w:val="en-US" w:eastAsia="zh-CN"/>
        </w:rPr>
        <w:t xml:space="preserve">1 </w:t>
      </w:r>
      <w:r>
        <w:rPr>
          <w:rFonts w:hint="eastAsia" w:ascii="宋体" w:hAnsi="宋体" w:eastAsia="宋体" w:cs="宋体"/>
          <w:b/>
          <w:bCs/>
          <w:snapToGrid w:val="0"/>
          <w:color w:val="auto"/>
          <w:kern w:val="0"/>
          <w:sz w:val="24"/>
          <w:szCs w:val="24"/>
          <w:highlight w:val="none"/>
        </w:rPr>
        <w:t>人</w:t>
      </w:r>
      <w:r>
        <w:rPr>
          <w:rFonts w:hint="eastAsia" w:ascii="宋体" w:hAnsi="宋体" w:eastAsia="宋体" w:cs="宋体"/>
          <w:snapToGrid w:val="0"/>
          <w:color w:val="auto"/>
          <w:kern w:val="0"/>
          <w:sz w:val="24"/>
          <w:szCs w:val="24"/>
          <w:highlight w:val="none"/>
        </w:rPr>
        <w:t>。</w:t>
      </w:r>
    </w:p>
    <w:p w14:paraId="43B42DD3">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b w:val="0"/>
          <w:bCs w:val="0"/>
          <w:color w:val="auto"/>
          <w:kern w:val="0"/>
          <w:sz w:val="24"/>
          <w:szCs w:val="24"/>
          <w:highlight w:val="none"/>
        </w:rPr>
      </w:pPr>
      <w:r>
        <w:rPr>
          <w:rStyle w:val="26"/>
          <w:rFonts w:hint="eastAsia" w:ascii="宋体" w:hAnsi="宋体" w:eastAsia="宋体" w:cs="宋体"/>
          <w:b/>
          <w:bCs/>
          <w:color w:val="auto"/>
          <w:kern w:val="0"/>
          <w:sz w:val="24"/>
          <w:szCs w:val="24"/>
          <w:highlight w:val="none"/>
          <w:lang w:val="en-US" w:eastAsia="zh-CN"/>
        </w:rPr>
        <w:t>2.</w:t>
      </w:r>
      <w:r>
        <w:rPr>
          <w:rStyle w:val="26"/>
          <w:rFonts w:hint="eastAsia" w:ascii="宋体" w:hAnsi="宋体" w:eastAsia="宋体" w:cs="宋体"/>
          <w:b/>
          <w:bCs/>
          <w:color w:val="auto"/>
          <w:kern w:val="0"/>
          <w:sz w:val="24"/>
          <w:szCs w:val="24"/>
          <w:highlight w:val="none"/>
        </w:rPr>
        <w:t>3.</w:t>
      </w:r>
      <w:r>
        <w:rPr>
          <w:rStyle w:val="26"/>
          <w:rFonts w:hint="eastAsia" w:ascii="宋体" w:hAnsi="宋体" w:eastAsia="宋体" w:cs="宋体"/>
          <w:b/>
          <w:bCs/>
          <w:color w:val="auto"/>
          <w:kern w:val="0"/>
          <w:sz w:val="24"/>
          <w:szCs w:val="24"/>
          <w:highlight w:val="none"/>
          <w:lang w:val="en-US" w:eastAsia="zh-CN"/>
        </w:rPr>
        <w:t>4</w:t>
      </w:r>
      <w:r>
        <w:rPr>
          <w:rStyle w:val="26"/>
          <w:rFonts w:hint="eastAsia" w:ascii="宋体" w:hAnsi="宋体" w:eastAsia="宋体" w:cs="宋体"/>
          <w:b/>
          <w:bCs/>
          <w:color w:val="auto"/>
          <w:kern w:val="0"/>
          <w:sz w:val="24"/>
          <w:szCs w:val="24"/>
          <w:highlight w:val="none"/>
        </w:rPr>
        <w:t xml:space="preserve"> </w:t>
      </w:r>
      <w:r>
        <w:rPr>
          <w:rStyle w:val="26"/>
          <w:rFonts w:hint="eastAsia" w:ascii="宋体" w:hAnsi="宋体" w:eastAsia="宋体" w:cs="宋体"/>
          <w:b w:val="0"/>
          <w:bCs w:val="0"/>
          <w:color w:val="auto"/>
          <w:kern w:val="0"/>
          <w:sz w:val="24"/>
          <w:szCs w:val="24"/>
          <w:highlight w:val="none"/>
          <w:lang w:eastAsia="zh-CN"/>
        </w:rPr>
        <w:t>投标人</w:t>
      </w:r>
      <w:r>
        <w:rPr>
          <w:rFonts w:hint="eastAsia" w:ascii="宋体" w:hAnsi="宋体" w:eastAsia="宋体" w:cs="宋体"/>
          <w:color w:val="auto"/>
          <w:sz w:val="24"/>
          <w:szCs w:val="24"/>
          <w:highlight w:val="none"/>
          <w:lang w:val="en-US" w:eastAsia="zh-CN"/>
        </w:rPr>
        <w:t>（包括组成联合体的所有成员单位）</w:t>
      </w:r>
      <w:r>
        <w:rPr>
          <w:rStyle w:val="26"/>
          <w:rFonts w:hint="eastAsia" w:ascii="宋体" w:hAnsi="宋体" w:eastAsia="宋体" w:cs="宋体"/>
          <w:b w:val="0"/>
          <w:bCs w:val="0"/>
          <w:color w:val="auto"/>
          <w:kern w:val="0"/>
          <w:sz w:val="24"/>
          <w:szCs w:val="24"/>
          <w:highlight w:val="none"/>
          <w:lang w:eastAsia="zh-CN"/>
        </w:rPr>
        <w:t>与其拟派往本项目管理机构的所有人员之间必须具备合法、唯一的劳动聘用关系。拟派人员中具备注册执业资格的，其注册单位须与投标人保持一致（提供社保缴纳证明或劳动合同）。</w:t>
      </w:r>
    </w:p>
    <w:p w14:paraId="4D1417D0">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2.4</w:t>
      </w:r>
      <w:r>
        <w:rPr>
          <w:rStyle w:val="26"/>
          <w:rFonts w:hint="eastAsia" w:ascii="宋体" w:hAnsi="宋体" w:eastAsia="宋体" w:cs="宋体"/>
          <w:color w:val="auto"/>
          <w:kern w:val="0"/>
          <w:sz w:val="24"/>
          <w:szCs w:val="24"/>
          <w:highlight w:val="none"/>
        </w:rPr>
        <w:t xml:space="preserve">  禁止投标条款</w:t>
      </w:r>
    </w:p>
    <w:p w14:paraId="4CDE2AC9">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 xml:space="preserve">2.4.1 </w:t>
      </w:r>
      <w:r>
        <w:rPr>
          <w:rStyle w:val="26"/>
          <w:rFonts w:hint="eastAsia" w:ascii="宋体" w:hAnsi="宋体" w:eastAsia="宋体" w:cs="宋体"/>
          <w:color w:val="auto"/>
          <w:kern w:val="0"/>
          <w:sz w:val="24"/>
          <w:szCs w:val="24"/>
          <w:highlight w:val="none"/>
        </w:rPr>
        <w:t>投标人不得存在下列情形之一：</w:t>
      </w:r>
    </w:p>
    <w:p w14:paraId="6D11E4E6">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（1）为招标人不具有独立法人资格的附属机构（单位）；</w:t>
      </w:r>
    </w:p>
    <w:p w14:paraId="787F8B03">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（2）为本招标项目前期准备提供设计或咨询服务的；</w:t>
      </w:r>
    </w:p>
    <w:p w14:paraId="3A46CFA0">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（3）与本招标项目的其他投标人为同一个单位负责人；</w:t>
      </w:r>
    </w:p>
    <w:p w14:paraId="664D92C0">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（4）与本招标项目的其他投标人存在控股、管理关系；</w:t>
      </w:r>
    </w:p>
    <w:p w14:paraId="6568F79B">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（5）为本招标项目的监理人；</w:t>
      </w:r>
    </w:p>
    <w:p w14:paraId="1A2423CF">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（6）为本招标项目的代建人；</w:t>
      </w:r>
    </w:p>
    <w:p w14:paraId="2D4E6282">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（7）为本招标项目的招标代理机构；</w:t>
      </w:r>
    </w:p>
    <w:p w14:paraId="6B9DC815">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（8）与本招标项目的监理人或代建人或招标代理机构同为一个法定代表人；</w:t>
      </w:r>
    </w:p>
    <w:p w14:paraId="655EAF25">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（9）与本招标项目的监理人或代建人或招标代理机构存在控股或参股关系；</w:t>
      </w:r>
    </w:p>
    <w:p w14:paraId="50568ACF">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（10）与本招标项目的监理人或代建人或招标代理机构存在相互任职或工作关系；</w:t>
      </w:r>
    </w:p>
    <w:p w14:paraId="3EA61176">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（11）被依法暂停或者取消投标资格；</w:t>
      </w:r>
    </w:p>
    <w:p w14:paraId="5F32D9EB">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（12）被责令停产停业、暂扣或者吊销许可证、暂扣或者吊销执照；</w:t>
      </w:r>
    </w:p>
    <w:p w14:paraId="4FF551DC">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（13）进入清算程序，或被宣告破产，或其他丧失履约能力的情形；</w:t>
      </w:r>
    </w:p>
    <w:p w14:paraId="2A7D98B3">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（14）在最近三年内发生重大工程质量或安全问题（以相关行业主管部门的行政处罚决定或司法机关出具的有关法律文书为准）；</w:t>
      </w:r>
    </w:p>
    <w:p w14:paraId="6D69C7FC">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（15）被“信用中国”网站（https：//www.creditchina.gov.cn）发布的《法人和非法人组织公共信用信息报告》列为严重失信主体名单的。</w:t>
      </w:r>
    </w:p>
    <w:p w14:paraId="54BC9E27">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2.4.2</w:t>
      </w:r>
      <w:r>
        <w:rPr>
          <w:rStyle w:val="26"/>
          <w:rFonts w:hint="eastAsia" w:ascii="宋体" w:hAnsi="宋体" w:eastAsia="宋体" w:cs="宋体"/>
          <w:color w:val="auto"/>
          <w:kern w:val="0"/>
          <w:sz w:val="24"/>
          <w:szCs w:val="24"/>
          <w:highlight w:val="none"/>
        </w:rPr>
        <w:t xml:space="preserve"> 招标人拒绝以下名单中的单位参加本次投标：</w:t>
      </w:r>
    </w:p>
    <w:tbl>
      <w:tblPr>
        <w:tblStyle w:val="21"/>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4381"/>
        <w:gridCol w:w="4536"/>
      </w:tblGrid>
      <w:tr w14:paraId="4F15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5C48A4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序号</w:t>
            </w:r>
          </w:p>
        </w:tc>
        <w:tc>
          <w:tcPr>
            <w:tcW w:w="4381" w:type="dxa"/>
            <w:tcBorders>
              <w:top w:val="single" w:color="auto" w:sz="4" w:space="0"/>
              <w:left w:val="single" w:color="auto" w:sz="4" w:space="0"/>
              <w:bottom w:val="single" w:color="auto" w:sz="4" w:space="0"/>
              <w:right w:val="single" w:color="auto" w:sz="4" w:space="0"/>
            </w:tcBorders>
            <w:noWrap w:val="0"/>
            <w:vAlign w:val="center"/>
          </w:tcPr>
          <w:p w14:paraId="2A37D6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单位名称</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728F63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拒绝原因</w:t>
            </w:r>
          </w:p>
        </w:tc>
      </w:tr>
      <w:tr w14:paraId="266A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2B4F87">
            <w:pPr>
              <w:pStyle w:val="3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w:t>
            </w:r>
          </w:p>
        </w:tc>
        <w:tc>
          <w:tcPr>
            <w:tcW w:w="43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5A75C3">
            <w:pPr>
              <w:pStyle w:val="3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韶关高新技术产业开发区创业服务中心</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C1DCF1">
            <w:pPr>
              <w:pStyle w:val="3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为本项目的项目业主</w:t>
            </w:r>
          </w:p>
        </w:tc>
      </w:tr>
      <w:tr w14:paraId="4F85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6A2CE0">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4381" w:type="dxa"/>
            <w:tcBorders>
              <w:top w:val="single" w:color="auto" w:sz="4" w:space="0"/>
              <w:left w:val="single" w:color="auto" w:sz="4" w:space="0"/>
              <w:bottom w:val="single" w:color="auto" w:sz="4" w:space="0"/>
              <w:right w:val="single" w:color="auto" w:sz="4" w:space="0"/>
            </w:tcBorders>
            <w:noWrap w:val="0"/>
            <w:vAlign w:val="center"/>
          </w:tcPr>
          <w:p w14:paraId="4B62DE1E">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bCs/>
                <w:snapToGrid w:val="0"/>
                <w:color w:val="auto"/>
                <w:kern w:val="0"/>
                <w:sz w:val="24"/>
                <w:szCs w:val="24"/>
                <w:highlight w:val="none"/>
                <w:lang w:val="en-US" w:eastAsia="zh-CN"/>
              </w:rPr>
              <w:t>韶关工业园投资建设有限公司</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0473E7C5">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61FF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DE1563">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4381" w:type="dxa"/>
            <w:tcBorders>
              <w:top w:val="single" w:color="auto" w:sz="4" w:space="0"/>
              <w:left w:val="single" w:color="auto" w:sz="4" w:space="0"/>
              <w:bottom w:val="single" w:color="auto" w:sz="4" w:space="0"/>
              <w:right w:val="single" w:color="auto" w:sz="4" w:space="0"/>
            </w:tcBorders>
            <w:noWrap w:val="0"/>
            <w:vAlign w:val="center"/>
          </w:tcPr>
          <w:p w14:paraId="1B888C14">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广东明正项目管理有限公司</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77C9ED47">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61F3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9395EB">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4381" w:type="dxa"/>
            <w:tcBorders>
              <w:top w:val="single" w:color="auto" w:sz="4" w:space="0"/>
              <w:left w:val="single" w:color="auto" w:sz="4" w:space="0"/>
              <w:bottom w:val="single" w:color="auto" w:sz="4" w:space="0"/>
              <w:right w:val="single" w:color="auto" w:sz="4" w:space="0"/>
            </w:tcBorders>
            <w:noWrap w:val="0"/>
            <w:vAlign w:val="center"/>
          </w:tcPr>
          <w:p w14:paraId="76B0BADC">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韶关市新辉项目管理有限公司</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390646E0">
            <w:pPr>
              <w:pStyle w:val="30"/>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全过程</w:t>
            </w:r>
            <w:r>
              <w:rPr>
                <w:rFonts w:hint="eastAsia" w:ascii="宋体" w:hAnsi="宋体" w:eastAsia="宋体" w:cs="宋体"/>
                <w:snapToGrid w:val="0"/>
                <w:color w:val="auto"/>
                <w:kern w:val="0"/>
                <w:sz w:val="24"/>
                <w:szCs w:val="24"/>
                <w:highlight w:val="none"/>
              </w:rPr>
              <w:t>造价咨询单位</w:t>
            </w:r>
          </w:p>
        </w:tc>
      </w:tr>
      <w:tr w14:paraId="5F3B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5439E3">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5</w:t>
            </w:r>
          </w:p>
        </w:tc>
        <w:tc>
          <w:tcPr>
            <w:tcW w:w="43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1C0120">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深圳建昌工程设计有限公司</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8059F4">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勘察设计</w:t>
            </w:r>
            <w:r>
              <w:rPr>
                <w:rFonts w:hint="eastAsia" w:ascii="宋体" w:hAnsi="宋体" w:eastAsia="宋体" w:cs="宋体"/>
                <w:snapToGrid w:val="0"/>
                <w:color w:val="auto"/>
                <w:kern w:val="0"/>
                <w:sz w:val="24"/>
                <w:szCs w:val="24"/>
                <w:highlight w:val="none"/>
              </w:rPr>
              <w:t>单位</w:t>
            </w:r>
          </w:p>
        </w:tc>
      </w:tr>
      <w:tr w14:paraId="0CE8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F2FBE1">
            <w:pPr>
              <w:pStyle w:val="30"/>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6</w:t>
            </w:r>
          </w:p>
        </w:tc>
        <w:tc>
          <w:tcPr>
            <w:tcW w:w="43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821C35">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待定</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C21D8A">
            <w:pPr>
              <w:pStyle w:val="30"/>
              <w:keepNext w:val="0"/>
              <w:keepLines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监理</w:t>
            </w:r>
            <w:r>
              <w:rPr>
                <w:rFonts w:hint="eastAsia" w:ascii="宋体" w:hAnsi="宋体" w:eastAsia="宋体" w:cs="宋体"/>
                <w:snapToGrid w:val="0"/>
                <w:color w:val="auto"/>
                <w:kern w:val="0"/>
                <w:sz w:val="24"/>
                <w:szCs w:val="24"/>
                <w:highlight w:val="none"/>
              </w:rPr>
              <w:t>单位</w:t>
            </w:r>
          </w:p>
        </w:tc>
      </w:tr>
    </w:tbl>
    <w:p w14:paraId="3D7D5CDD">
      <w:pPr>
        <w:pStyle w:val="31"/>
        <w:keepNext w:val="0"/>
        <w:keepLines w:val="0"/>
        <w:pageBreakBefore w:val="0"/>
        <w:widowControl w:val="0"/>
        <w:kinsoku/>
        <w:overflowPunct/>
        <w:topLinePunct w:val="0"/>
        <w:autoSpaceDE/>
        <w:autoSpaceDN/>
        <w:bidi w:val="0"/>
        <w:adjustRightInd/>
        <w:snapToGrid/>
        <w:spacing w:line="360" w:lineRule="auto"/>
        <w:ind w:firstLine="482" w:firstLineChars="200"/>
        <w:jc w:val="left"/>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2.5</w:t>
      </w:r>
      <w:r>
        <w:rPr>
          <w:rStyle w:val="26"/>
          <w:rFonts w:hint="eastAsia" w:ascii="宋体" w:hAnsi="宋体" w:eastAsia="宋体" w:cs="宋体"/>
          <w:color w:val="auto"/>
          <w:kern w:val="0"/>
          <w:sz w:val="24"/>
          <w:szCs w:val="24"/>
          <w:highlight w:val="none"/>
        </w:rPr>
        <w:t xml:space="preserve"> 其他要求</w:t>
      </w:r>
    </w:p>
    <w:p w14:paraId="562AAA9B">
      <w:pPr>
        <w:pStyle w:val="31"/>
        <w:keepNext w:val="0"/>
        <w:keepLines w:val="0"/>
        <w:pageBreakBefore w:val="0"/>
        <w:widowControl w:val="0"/>
        <w:kinsoku/>
        <w:overflowPunct/>
        <w:topLinePunct w:val="0"/>
        <w:autoSpaceDE/>
        <w:autoSpaceDN/>
        <w:bidi w:val="0"/>
        <w:adjustRightInd/>
        <w:snapToGrid/>
        <w:spacing w:line="360" w:lineRule="auto"/>
        <w:ind w:firstLine="480" w:firstLineChars="200"/>
        <w:jc w:val="left"/>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省外企业</w:t>
      </w:r>
      <w:r>
        <w:rPr>
          <w:rStyle w:val="26"/>
          <w:rFonts w:hint="eastAsia" w:ascii="宋体" w:hAnsi="宋体" w:eastAsia="宋体" w:cs="宋体"/>
          <w:color w:val="auto"/>
          <w:kern w:val="0"/>
          <w:sz w:val="24"/>
          <w:szCs w:val="24"/>
          <w:highlight w:val="none"/>
          <w:lang w:eastAsia="zh-CN"/>
        </w:rPr>
        <w:t>（</w:t>
      </w:r>
      <w:r>
        <w:rPr>
          <w:rStyle w:val="26"/>
          <w:rFonts w:hint="eastAsia" w:ascii="宋体" w:hAnsi="宋体" w:eastAsia="宋体" w:cs="宋体"/>
          <w:color w:val="auto"/>
          <w:kern w:val="0"/>
          <w:sz w:val="24"/>
          <w:szCs w:val="24"/>
          <w:highlight w:val="none"/>
        </w:rPr>
        <w:t>包括组成联合体的所有成员单位）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685EAF9E">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3．招标文件的获取、提问和答疑</w:t>
      </w:r>
    </w:p>
    <w:p w14:paraId="4D5E789C">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3.1 </w:t>
      </w:r>
      <w:r>
        <w:rPr>
          <w:rFonts w:hint="eastAsia" w:ascii="宋体" w:hAnsi="宋体" w:eastAsia="宋体" w:cs="宋体"/>
          <w:snapToGrid w:val="0"/>
          <w:color w:val="auto"/>
          <w:kern w:val="0"/>
          <w:sz w:val="24"/>
          <w:szCs w:val="24"/>
          <w:highlight w:val="none"/>
        </w:rPr>
        <w:t>本次招标实行电子投标。本项目招标文件随招标公告一并在广东省招标投标监管网（</w:t>
      </w:r>
      <w:r>
        <w:rPr>
          <w:rFonts w:hint="eastAsia" w:ascii="宋体" w:hAnsi="宋体" w:eastAsia="宋体" w:cs="宋体"/>
          <w:snapToGrid w:val="0"/>
          <w:color w:val="auto"/>
          <w:kern w:val="0"/>
          <w:sz w:val="24"/>
          <w:szCs w:val="24"/>
          <w:highlight w:val="none"/>
          <w:lang w:eastAsia="zh-CN"/>
        </w:rPr>
        <w:t>http：//zbtb.gd.gov.cn</w:t>
      </w:r>
      <w:r>
        <w:rPr>
          <w:rFonts w:hint="eastAsia" w:ascii="宋体" w:hAnsi="宋体" w:eastAsia="宋体" w:cs="宋体"/>
          <w:snapToGrid w:val="0"/>
          <w:color w:val="auto"/>
          <w:kern w:val="0"/>
          <w:sz w:val="24"/>
          <w:szCs w:val="24"/>
          <w:highlight w:val="none"/>
        </w:rPr>
        <w:t>）、全国公共资源交易平台（广东省·韶关市）（https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“重要事项时间地点一览表”）招标文件获取期间与招标公告发布时间一致，投标人须登录全国公共资源交易平台（广东省·韶关市）（https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“重要事项时间地点一览表”）前完成电子投标。投标人可登录全国公共资源交易平台（广东省·韶关市）（https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//ygp.gdzwfw.gov.cn/ggzy-portal/#/440200/index），在【服务指南】栏目中下载《韶关市公共资源建设工程交易系统</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投标人操作指南（电子评标）V1.3》，了解网上获取招标文件操作流程。技术咨询电话：18819797080/0751-8379671伍先生，业务咨询电话：0751-8633211、8633071。</w:t>
      </w:r>
    </w:p>
    <w:p w14:paraId="3F185A52">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3.2 </w:t>
      </w:r>
      <w:r>
        <w:rPr>
          <w:rFonts w:hint="eastAsia" w:ascii="宋体" w:hAnsi="宋体" w:eastAsia="宋体" w:cs="宋体"/>
          <w:snapToGrid w:val="0"/>
          <w:color w:val="auto"/>
          <w:kern w:val="0"/>
          <w:sz w:val="24"/>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29C63A2C">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//ygp.gdzwfw.gov.cn/ggzy-portal/#/440200/index）办理企业入库、数字证书及电子印章事宜，具体请在平台查阅相应的交易指引。</w:t>
      </w:r>
    </w:p>
    <w:p w14:paraId="2BB7A4A7">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10E21D52">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0" w:firstLineChars="20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3AEEF79">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14:paraId="0E6F12E7">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3.3.1</w:t>
      </w:r>
      <w:r>
        <w:rPr>
          <w:rFonts w:hint="eastAsia" w:ascii="宋体" w:hAnsi="宋体" w:eastAsia="宋体" w:cs="宋体"/>
          <w:snapToGrid w:val="0"/>
          <w:color w:val="auto"/>
          <w:kern w:val="0"/>
          <w:sz w:val="24"/>
          <w:szCs w:val="24"/>
          <w:highlight w:val="none"/>
        </w:rPr>
        <w:t xml:space="preserve"> 投标人须缴纳金额为人民币</w:t>
      </w:r>
      <w:r>
        <w:rPr>
          <w:rFonts w:hint="eastAsia" w:ascii="宋体" w:hAnsi="宋体" w:eastAsia="宋体" w:cs="宋体"/>
          <w:snapToGrid w:val="0"/>
          <w:color w:val="auto"/>
          <w:kern w:val="0"/>
          <w:sz w:val="24"/>
          <w:szCs w:val="24"/>
          <w:highlight w:val="none"/>
          <w:u w:val="single"/>
          <w:lang w:val="en-US" w:eastAsia="zh-CN"/>
        </w:rPr>
        <w:t>伍万元整</w:t>
      </w:r>
      <w:r>
        <w:rPr>
          <w:rFonts w:hint="eastAsia" w:ascii="宋体" w:hAnsi="宋体" w:eastAsia="宋体" w:cs="宋体"/>
          <w:snapToGrid w:val="0"/>
          <w:color w:val="auto"/>
          <w:kern w:val="0"/>
          <w:sz w:val="24"/>
          <w:szCs w:val="24"/>
          <w:highlight w:val="none"/>
        </w:rPr>
        <w:t>的投标保证。</w:t>
      </w:r>
    </w:p>
    <w:p w14:paraId="46D59218">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3.3.2</w:t>
      </w:r>
      <w:r>
        <w:rPr>
          <w:rFonts w:hint="eastAsia" w:ascii="宋体" w:hAnsi="宋体" w:eastAsia="宋体" w:cs="宋体"/>
          <w:snapToGrid w:val="0"/>
          <w:color w:val="auto"/>
          <w:kern w:val="0"/>
          <w:sz w:val="24"/>
          <w:szCs w:val="24"/>
          <w:highlight w:val="none"/>
        </w:rPr>
        <w:t xml:space="preserve"> 投标保证的形式包括投标保证金、投标保证担保、投标保证保险三种，由投标人自主选择。</w:t>
      </w:r>
    </w:p>
    <w:p w14:paraId="384AF173">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“重要事项时间地点一览表”）前，从其基本账户将投标保证金转账到指定的缴纳账号。逾期到账的、从非投标人基本账户转出的，其投标无效。</w:t>
      </w:r>
    </w:p>
    <w:p w14:paraId="7E44DC67">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“重要事项时间地点一览表”）前，使用工程建设交易系统完成网上办理电子保函或保证保险。</w:t>
      </w:r>
    </w:p>
    <w:p w14:paraId="627463EE">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//ygp.gdzwfw.gov.cn/ggzy-portal/#/440200/index），在【服务指南】栏目中下载《韶关市公共资源建设工程交易系统</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投标人操作指南（电子评标）V1.3》，了解网上投保具体操作流程。逾期投保的，其投标无效。</w:t>
      </w:r>
    </w:p>
    <w:p w14:paraId="42CB3AD3">
      <w:pPr>
        <w:keepNext w:val="0"/>
        <w:keepLines w:val="0"/>
        <w:pageBreakBefore w:val="0"/>
        <w:widowControl w:val="0"/>
        <w:tabs>
          <w:tab w:val="left" w:pos="7020"/>
        </w:tabs>
        <w:kinsoku/>
        <w:wordWrap w:val="0"/>
        <w:overflowPunct/>
        <w:topLinePunct w:val="0"/>
        <w:autoSpaceDE/>
        <w:autoSpaceDN/>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w:t>
      </w:r>
      <w:r>
        <w:rPr>
          <w:rFonts w:hint="eastAsia" w:ascii="宋体" w:hAnsi="宋体" w:eastAsia="宋体" w:cs="宋体"/>
          <w:snapToGrid w:val="0"/>
          <w:color w:val="auto"/>
          <w:kern w:val="0"/>
          <w:sz w:val="24"/>
          <w:szCs w:val="24"/>
          <w:highlight w:val="none"/>
          <w:lang w:eastAsia="zh-CN"/>
        </w:rPr>
        <w:t>示</w:t>
      </w:r>
      <w:r>
        <w:rPr>
          <w:rFonts w:hint="eastAsia" w:ascii="宋体" w:hAnsi="宋体" w:eastAsia="宋体" w:cs="宋体"/>
          <w:snapToGrid w:val="0"/>
          <w:color w:val="auto"/>
          <w:kern w:val="0"/>
          <w:sz w:val="24"/>
          <w:szCs w:val="24"/>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14:paraId="70FC8DF0">
      <w:pPr>
        <w:pStyle w:val="7"/>
        <w:keepNext w:val="0"/>
        <w:keepLines w:val="0"/>
        <w:pageBreakBefore w:val="0"/>
        <w:widowControl w:val="0"/>
        <w:kinsoku/>
        <w:overflowPunct/>
        <w:topLinePunct w:val="0"/>
        <w:autoSpaceDE/>
        <w:autoSpaceDN/>
        <w:bidi w:val="0"/>
        <w:adjustRightInd/>
        <w:snapToGrid/>
        <w:spacing w:line="360" w:lineRule="auto"/>
        <w:ind w:firstLine="482" w:firstLineChars="200"/>
        <w:rPr>
          <w:rFonts w:hint="eastAsia" w:ascii="宋体" w:hAnsi="宋体" w:eastAsia="宋体" w:cs="宋体"/>
          <w:snapToGrid w:val="0"/>
          <w:color w:val="auto"/>
          <w:sz w:val="24"/>
          <w:szCs w:val="24"/>
          <w:highlight w:val="none"/>
        </w:rPr>
      </w:pPr>
      <w:r>
        <w:rPr>
          <w:rFonts w:hint="eastAsia" w:ascii="宋体" w:hAnsi="宋体" w:eastAsia="宋体" w:cs="宋体"/>
          <w:b/>
          <w:bCs/>
          <w:snapToGrid w:val="0"/>
          <w:color w:val="auto"/>
          <w:sz w:val="24"/>
          <w:szCs w:val="24"/>
          <w:highlight w:val="none"/>
        </w:rPr>
        <w:t>3.4</w:t>
      </w:r>
      <w:r>
        <w:rPr>
          <w:rFonts w:hint="eastAsia" w:ascii="宋体" w:hAnsi="宋体" w:eastAsia="宋体" w:cs="宋体"/>
          <w:snapToGrid w:val="0"/>
          <w:color w:val="auto"/>
          <w:sz w:val="24"/>
          <w:szCs w:val="24"/>
          <w:highlight w:val="none"/>
        </w:rPr>
        <w:t xml:space="preserve"> 若投标人因自身原因未能正确获取招标文件、电子投标、缴纳投标保证的，其投标无效。</w:t>
      </w:r>
    </w:p>
    <w:p w14:paraId="77829B04">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4．工期要求</w:t>
      </w:r>
    </w:p>
    <w:p w14:paraId="1BEDD3E2">
      <w:pPr>
        <w:keepNext w:val="0"/>
        <w:keepLines w:val="0"/>
        <w:pageBreakBefore w:val="0"/>
        <w:widowControl w:val="0"/>
        <w:tabs>
          <w:tab w:val="left" w:pos="7020"/>
        </w:tabs>
        <w:kinsoku/>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Style w:val="26"/>
          <w:rFonts w:hint="eastAsia" w:ascii="宋体" w:hAnsi="宋体" w:eastAsia="宋体" w:cs="宋体"/>
          <w:color w:val="auto"/>
          <w:kern w:val="0"/>
          <w:sz w:val="24"/>
          <w:szCs w:val="24"/>
          <w:highlight w:val="none"/>
        </w:rPr>
        <w:t>本招标项目施工招标工期为</w:t>
      </w:r>
      <w:r>
        <w:rPr>
          <w:rStyle w:val="26"/>
          <w:rFonts w:hint="eastAsia" w:ascii="宋体" w:hAnsi="宋体" w:eastAsia="宋体" w:cs="宋体"/>
          <w:color w:val="auto"/>
          <w:kern w:val="0"/>
          <w:sz w:val="24"/>
          <w:szCs w:val="24"/>
          <w:highlight w:val="none"/>
          <w:u w:val="single"/>
          <w:lang w:val="en-US" w:eastAsia="zh-CN"/>
        </w:rPr>
        <w:t xml:space="preserve"> 120</w:t>
      </w:r>
      <w:r>
        <w:rPr>
          <w:rStyle w:val="26"/>
          <w:rFonts w:hint="eastAsia" w:ascii="宋体" w:hAnsi="宋体" w:eastAsia="宋体" w:cs="宋体"/>
          <w:color w:val="auto"/>
          <w:kern w:val="0"/>
          <w:sz w:val="24"/>
          <w:szCs w:val="24"/>
          <w:highlight w:val="none"/>
        </w:rPr>
        <w:t>个日历天，中标人必须在招标工期内完成招标范围内的全部内容。</w:t>
      </w:r>
    </w:p>
    <w:p w14:paraId="3174E50D">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5．质量标准和材料、机械要求</w:t>
      </w:r>
    </w:p>
    <w:p w14:paraId="135F010E">
      <w:pPr>
        <w:keepNext w:val="0"/>
        <w:keepLines w:val="0"/>
        <w:pageBreakBefore w:val="0"/>
        <w:widowControl w:val="0"/>
        <w:tabs>
          <w:tab w:val="left" w:pos="6240"/>
        </w:tabs>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施工工艺严格按照国家和广东省的有关现行施工技术规范及标准执行，工程质量标准须</w:t>
      </w:r>
      <w:r>
        <w:rPr>
          <w:rFonts w:hint="eastAsia" w:ascii="宋体" w:hAnsi="宋体" w:eastAsia="宋体" w:cs="宋体"/>
          <w:snapToGrid w:val="0"/>
          <w:color w:val="auto"/>
          <w:kern w:val="0"/>
          <w:sz w:val="24"/>
          <w:szCs w:val="24"/>
          <w:highlight w:val="none"/>
          <w:u w:val="none"/>
        </w:rPr>
        <w:t>达到</w:t>
      </w:r>
      <w:r>
        <w:rPr>
          <w:rFonts w:hint="eastAsia" w:ascii="宋体" w:hAnsi="宋体" w:eastAsia="宋体" w:cs="宋体"/>
          <w:snapToGrid w:val="0"/>
          <w:color w:val="auto"/>
          <w:kern w:val="0"/>
          <w:sz w:val="24"/>
          <w:szCs w:val="24"/>
          <w:highlight w:val="none"/>
          <w:u w:val="single"/>
          <w:lang w:val="en-US" w:eastAsia="zh-CN"/>
        </w:rPr>
        <w:t>符合现行国家有关工程施工质量验收规范和标准的要求并达到合格</w:t>
      </w:r>
      <w:r>
        <w:rPr>
          <w:rFonts w:hint="eastAsia" w:ascii="宋体" w:hAnsi="宋体" w:eastAsia="宋体" w:cs="宋体"/>
          <w:snapToGrid w:val="0"/>
          <w:color w:val="auto"/>
          <w:kern w:val="0"/>
          <w:sz w:val="24"/>
          <w:szCs w:val="24"/>
          <w:highlight w:val="none"/>
          <w:u w:val="none"/>
          <w:lang w:eastAsia="zh-CN"/>
        </w:rPr>
        <w:t>。</w:t>
      </w:r>
      <w:r>
        <w:rPr>
          <w:rFonts w:hint="eastAsia" w:ascii="宋体" w:hAnsi="宋体" w:eastAsia="宋体" w:cs="宋体"/>
          <w:color w:val="auto"/>
          <w:sz w:val="24"/>
          <w:szCs w:val="24"/>
          <w:highlight w:val="none"/>
        </w:rPr>
        <w:t>如未达到合格标准，则按合同价款的</w:t>
      </w:r>
      <w:r>
        <w:rPr>
          <w:rFonts w:hint="eastAsia" w:ascii="宋体" w:hAnsi="宋体" w:eastAsia="宋体" w:cs="宋体"/>
          <w:color w:val="auto"/>
          <w:sz w:val="24"/>
          <w:szCs w:val="24"/>
          <w:highlight w:val="none"/>
          <w:u w:val="single"/>
        </w:rPr>
        <w:t xml:space="preserve"> 1 </w:t>
      </w:r>
      <w:r>
        <w:rPr>
          <w:rFonts w:hint="eastAsia" w:ascii="宋体" w:hAnsi="宋体" w:eastAsia="宋体" w:cs="宋体"/>
          <w:color w:val="auto"/>
          <w:sz w:val="24"/>
          <w:szCs w:val="24"/>
          <w:highlight w:val="none"/>
        </w:rPr>
        <w:t>%向招标人</w:t>
      </w:r>
      <w:r>
        <w:rPr>
          <w:rFonts w:hint="eastAsia" w:ascii="宋体" w:hAnsi="宋体" w:eastAsia="宋体" w:cs="宋体"/>
          <w:color w:val="auto"/>
          <w:sz w:val="24"/>
          <w:szCs w:val="24"/>
          <w:highlight w:val="none"/>
          <w:lang w:eastAsia="zh-CN"/>
        </w:rPr>
        <w:t>返还</w:t>
      </w:r>
      <w:r>
        <w:rPr>
          <w:rFonts w:hint="eastAsia" w:ascii="宋体" w:hAnsi="宋体" w:eastAsia="宋体" w:cs="宋体"/>
          <w:color w:val="auto"/>
          <w:sz w:val="24"/>
          <w:szCs w:val="24"/>
          <w:highlight w:val="none"/>
        </w:rPr>
        <w:t>质量违约金，并由中标人负责返修至达到</w:t>
      </w:r>
      <w:r>
        <w:rPr>
          <w:rFonts w:hint="eastAsia" w:ascii="宋体" w:hAnsi="宋体" w:eastAsia="宋体" w:cs="宋体"/>
          <w:b/>
          <w:bCs/>
          <w:color w:val="auto"/>
          <w:sz w:val="24"/>
          <w:szCs w:val="24"/>
          <w:highlight w:val="none"/>
          <w:u w:val="single"/>
        </w:rPr>
        <w:t>合格标准</w:t>
      </w:r>
      <w:r>
        <w:rPr>
          <w:rFonts w:hint="eastAsia" w:ascii="宋体" w:hAnsi="宋体" w:eastAsia="宋体" w:cs="宋体"/>
          <w:color w:val="auto"/>
          <w:sz w:val="24"/>
          <w:szCs w:val="24"/>
          <w:highlight w:val="none"/>
        </w:rPr>
        <w:t>，返修费用由中标人承担，同时承担所有的责任及经济损失</w:t>
      </w:r>
      <w:r>
        <w:rPr>
          <w:rFonts w:hint="eastAsia" w:ascii="宋体" w:hAnsi="宋体" w:eastAsia="宋体" w:cs="宋体"/>
          <w:color w:val="auto"/>
          <w:sz w:val="24"/>
          <w:szCs w:val="24"/>
          <w:highlight w:val="none"/>
          <w:lang w:eastAsia="zh-CN"/>
        </w:rPr>
        <w:t>。</w:t>
      </w:r>
    </w:p>
    <w:p w14:paraId="47D5ADE4">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中标人在施工中如果工程质量不符合设计要求和有关规定，招标人或监理单位要求停工和返工的必须立即执行，并承担由此产生的各种费用，工期不予顺延。</w:t>
      </w:r>
    </w:p>
    <w:p w14:paraId="3420EB79">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5.3</w:t>
      </w:r>
      <w:r>
        <w:rPr>
          <w:rFonts w:hint="eastAsia" w:ascii="宋体" w:hAnsi="宋体" w:eastAsia="宋体" w:cs="宋体"/>
          <w:snapToGrid w:val="0"/>
          <w:color w:val="auto"/>
          <w:kern w:val="0"/>
          <w:sz w:val="24"/>
          <w:szCs w:val="24"/>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CE9C090">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color w:val="auto"/>
          <w:kern w:val="2"/>
          <w:sz w:val="24"/>
          <w:szCs w:val="24"/>
          <w:highlight w:val="none"/>
        </w:rPr>
        <w:t>本招标项目</w:t>
      </w:r>
      <w:r>
        <w:rPr>
          <w:rFonts w:hint="eastAsia" w:ascii="宋体" w:hAnsi="宋体" w:eastAsia="宋体" w:cs="宋体"/>
          <w:snapToGrid/>
          <w:color w:val="auto"/>
          <w:kern w:val="2"/>
          <w:sz w:val="24"/>
          <w:szCs w:val="24"/>
          <w:highlight w:val="none"/>
          <w:lang w:val="en-US" w:eastAsia="zh-CN"/>
        </w:rPr>
        <w:t>不</w:t>
      </w:r>
      <w:r>
        <w:rPr>
          <w:rFonts w:hint="eastAsia" w:ascii="宋体" w:hAnsi="宋体" w:eastAsia="宋体" w:cs="宋体"/>
          <w:snapToGrid/>
          <w:color w:val="auto"/>
          <w:kern w:val="2"/>
          <w:sz w:val="24"/>
          <w:szCs w:val="24"/>
          <w:highlight w:val="none"/>
        </w:rPr>
        <w:t>纳入绿色建</w:t>
      </w:r>
      <w:r>
        <w:rPr>
          <w:rFonts w:hint="eastAsia" w:ascii="宋体" w:hAnsi="宋体" w:eastAsia="宋体" w:cs="宋体"/>
          <w:snapToGrid/>
          <w:color w:val="auto"/>
          <w:kern w:val="2"/>
          <w:sz w:val="24"/>
          <w:szCs w:val="24"/>
          <w:highlight w:val="none"/>
          <w:lang w:eastAsia="zh-CN"/>
        </w:rPr>
        <w:t>筑</w:t>
      </w:r>
      <w:r>
        <w:rPr>
          <w:rFonts w:hint="eastAsia" w:ascii="宋体" w:hAnsi="宋体" w:eastAsia="宋体" w:cs="宋体"/>
          <w:snapToGrid/>
          <w:color w:val="auto"/>
          <w:kern w:val="2"/>
          <w:sz w:val="24"/>
          <w:szCs w:val="24"/>
          <w:highlight w:val="none"/>
        </w:rPr>
        <w:t>实施范围</w:t>
      </w:r>
      <w:r>
        <w:rPr>
          <w:rFonts w:hint="eastAsia" w:ascii="宋体" w:hAnsi="宋体" w:eastAsia="宋体" w:cs="宋体"/>
          <w:color w:val="auto"/>
          <w:kern w:val="2"/>
          <w:sz w:val="24"/>
          <w:szCs w:val="24"/>
          <w:highlight w:val="none"/>
        </w:rPr>
        <w:t>。</w:t>
      </w:r>
    </w:p>
    <w:p w14:paraId="3E1C1CD9">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5.5 </w:t>
      </w:r>
      <w:r>
        <w:rPr>
          <w:rFonts w:hint="eastAsia" w:ascii="宋体" w:hAnsi="宋体" w:eastAsia="宋体" w:cs="宋体"/>
          <w:snapToGrid w:val="0"/>
          <w:color w:val="auto"/>
          <w:kern w:val="0"/>
          <w:sz w:val="24"/>
          <w:szCs w:val="24"/>
          <w:highlight w:val="none"/>
          <w:lang w:val="en-US" w:eastAsia="zh-CN"/>
        </w:rPr>
        <w:t>本招标项目不纳入装配式建造建设实施范围。</w:t>
      </w:r>
    </w:p>
    <w:p w14:paraId="2259ADB0">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trike/>
          <w:dstrike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eastAsia="zh-CN"/>
        </w:rPr>
        <w:t>其他</w:t>
      </w:r>
      <w:r>
        <w:rPr>
          <w:rFonts w:hint="eastAsia" w:ascii="宋体" w:hAnsi="宋体" w:eastAsia="宋体" w:cs="宋体"/>
          <w:snapToGrid w:val="0"/>
          <w:color w:val="auto"/>
          <w:kern w:val="0"/>
          <w:sz w:val="24"/>
          <w:szCs w:val="24"/>
          <w:highlight w:val="none"/>
        </w:rPr>
        <w:t>：本招标文件（包括答疑纪要、补充及修改文件）中招标人对材料或设备有明确要求的，投标人必须响应招标人要求，如投标人在投标文</w:t>
      </w:r>
      <w:r>
        <w:rPr>
          <w:rFonts w:hint="eastAsia" w:ascii="宋体" w:hAnsi="宋体" w:eastAsia="宋体" w:cs="宋体"/>
          <w:snapToGrid w:val="0"/>
          <w:color w:val="auto"/>
          <w:kern w:val="0"/>
          <w:sz w:val="24"/>
          <w:szCs w:val="24"/>
          <w:highlight w:val="none"/>
          <w:lang w:eastAsia="zh-CN"/>
        </w:rPr>
        <w:t>件中</w:t>
      </w:r>
      <w:r>
        <w:rPr>
          <w:rFonts w:hint="eastAsia" w:ascii="宋体" w:hAnsi="宋体" w:eastAsia="宋体" w:cs="宋体"/>
          <w:snapToGrid w:val="0"/>
          <w:color w:val="auto"/>
          <w:kern w:val="0"/>
          <w:sz w:val="24"/>
          <w:szCs w:val="24"/>
          <w:highlight w:val="none"/>
        </w:rPr>
        <w:t>未明确响应者视为默认；或投标人在投标文件</w:t>
      </w:r>
      <w:r>
        <w:rPr>
          <w:rFonts w:hint="eastAsia" w:ascii="宋体" w:hAnsi="宋体" w:eastAsia="宋体" w:cs="宋体"/>
          <w:snapToGrid w:val="0"/>
          <w:color w:val="auto"/>
          <w:kern w:val="0"/>
          <w:sz w:val="24"/>
          <w:szCs w:val="24"/>
          <w:highlight w:val="none"/>
          <w:lang w:eastAsia="zh-CN"/>
        </w:rPr>
        <w:t>中</w:t>
      </w:r>
      <w:r>
        <w:rPr>
          <w:rFonts w:hint="eastAsia" w:ascii="宋体" w:hAnsi="宋体" w:eastAsia="宋体" w:cs="宋体"/>
          <w:snapToGrid w:val="0"/>
          <w:color w:val="auto"/>
          <w:kern w:val="0"/>
          <w:sz w:val="24"/>
          <w:szCs w:val="24"/>
          <w:highlight w:val="none"/>
        </w:rPr>
        <w:t>虽有响应但不符合招标人要求的，视为无效响应，中标后必须按招标人要求执行。如招标人在招标文件中对材料或设备没有明确要求，则中标人必须使用合格材料或设备</w:t>
      </w:r>
      <w:r>
        <w:rPr>
          <w:rFonts w:hint="eastAsia" w:ascii="宋体" w:hAnsi="宋体" w:eastAsia="宋体" w:cs="宋体"/>
          <w:strike w:val="0"/>
          <w:dstrike w:val="0"/>
          <w:snapToGrid w:val="0"/>
          <w:color w:val="auto"/>
          <w:kern w:val="0"/>
          <w:sz w:val="24"/>
          <w:szCs w:val="24"/>
          <w:highlight w:val="none"/>
        </w:rPr>
        <w:t>。</w:t>
      </w:r>
    </w:p>
    <w:p w14:paraId="1F15505D">
      <w:pPr>
        <w:pStyle w:val="11"/>
        <w:keepNext w:val="0"/>
        <w:keepLines w:val="0"/>
        <w:pageBreakBefore w:val="0"/>
        <w:widowControl w:val="0"/>
        <w:kinsoku/>
        <w:overflowPunct/>
        <w:topLinePunct w:val="0"/>
        <w:bidi w:val="0"/>
        <w:adjustRightInd/>
        <w:snapToGrid/>
        <w:spacing w:line="360" w:lineRule="auto"/>
        <w:ind w:firstLine="482" w:firstLineChars="200"/>
        <w:rPr>
          <w:rFonts w:hint="eastAsia" w:ascii="宋体" w:hAnsi="宋体" w:eastAsia="宋体" w:cs="宋体"/>
          <w:b w:val="0"/>
          <w:bCs w:val="0"/>
          <w:color w:val="auto"/>
          <w:sz w:val="24"/>
          <w:szCs w:val="24"/>
          <w:highlight w:val="none"/>
          <w:lang w:val="en-US" w:eastAsia="zh-CN"/>
        </w:rPr>
      </w:pPr>
      <w:bookmarkStart w:id="50" w:name="_Hlt74496537"/>
      <w:bookmarkEnd w:id="50"/>
      <w:bookmarkStart w:id="51" w:name="_Hlt69699204"/>
      <w:bookmarkEnd w:id="51"/>
      <w:bookmarkStart w:id="52" w:name="_Hlt88974078"/>
      <w:bookmarkEnd w:id="52"/>
      <w:bookmarkStart w:id="53" w:name="_Hlt74493474"/>
      <w:bookmarkEnd w:id="53"/>
      <w:bookmarkStart w:id="54" w:name="_Hlt121563076"/>
      <w:bookmarkEnd w:id="54"/>
      <w:bookmarkStart w:id="55" w:name="_Hlt120502666"/>
      <w:bookmarkEnd w:id="55"/>
      <w:bookmarkStart w:id="56" w:name="_Hlt111690342"/>
      <w:bookmarkEnd w:id="56"/>
      <w:bookmarkStart w:id="57" w:name="_Hlt69356505"/>
      <w:bookmarkEnd w:id="57"/>
      <w:r>
        <w:rPr>
          <w:rFonts w:hint="eastAsia" w:ascii="宋体" w:hAnsi="宋体" w:eastAsia="宋体" w:cs="宋体"/>
          <w:b/>
          <w:bCs/>
          <w:color w:val="auto"/>
          <w:sz w:val="24"/>
          <w:szCs w:val="24"/>
          <w:highlight w:val="none"/>
          <w:lang w:val="en-US" w:eastAsia="zh-CN"/>
        </w:rPr>
        <w:t>5.7</w:t>
      </w:r>
      <w:r>
        <w:rPr>
          <w:rFonts w:hint="eastAsia" w:ascii="宋体" w:hAnsi="宋体" w:eastAsia="宋体" w:cs="宋体"/>
          <w:b w:val="0"/>
          <w:bCs w:val="0"/>
          <w:color w:val="auto"/>
          <w:sz w:val="24"/>
          <w:szCs w:val="24"/>
          <w:highlight w:val="none"/>
          <w:lang w:val="en-US"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F8A85BA">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6．施工条件及现场踏勘</w:t>
      </w:r>
    </w:p>
    <w:p w14:paraId="26F45B66">
      <w:pPr>
        <w:pStyle w:val="9"/>
        <w:keepNext w:val="0"/>
        <w:keepLines w:val="0"/>
        <w:pageBreakBefore w:val="0"/>
        <w:widowControl w:val="0"/>
        <w:wordWrap w:val="0"/>
        <w:topLinePunct w:val="0"/>
        <w:bidi w:val="0"/>
        <w:adjustRightInd/>
        <w:snapToGrid/>
        <w:spacing w:line="360" w:lineRule="auto"/>
        <w:ind w:firstLine="482"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6.1 </w:t>
      </w:r>
      <w:r>
        <w:rPr>
          <w:rFonts w:hint="eastAsia" w:ascii="宋体" w:hAnsi="宋体" w:eastAsia="宋体" w:cs="宋体"/>
          <w:b w:val="0"/>
          <w:bCs w:val="0"/>
          <w:snapToGrid w:val="0"/>
          <w:color w:val="auto"/>
          <w:kern w:val="0"/>
          <w:sz w:val="24"/>
          <w:szCs w:val="24"/>
          <w:highlight w:val="none"/>
        </w:rPr>
        <w:t>招标人仅在本招标项目征地红线范围内提供场地，其他一切场地费用由中标人自行负责（含临时道路）。</w:t>
      </w:r>
    </w:p>
    <w:p w14:paraId="6119D2CA">
      <w:pPr>
        <w:keepNext w:val="0"/>
        <w:keepLines w:val="0"/>
        <w:pageBreakBefore w:val="0"/>
        <w:widowControl w:val="0"/>
        <w:wordWrap w:val="0"/>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施工</w:t>
      </w:r>
      <w:r>
        <w:rPr>
          <w:rFonts w:hint="eastAsia" w:ascii="宋体" w:hAnsi="宋体" w:eastAsia="宋体" w:cs="宋体"/>
          <w:snapToGrid w:val="0"/>
          <w:color w:val="auto"/>
          <w:kern w:val="0"/>
          <w:sz w:val="24"/>
          <w:szCs w:val="24"/>
          <w:highlight w:val="none"/>
          <w:lang w:val="en-US" w:eastAsia="zh-CN"/>
        </w:rPr>
        <w:t>临时</w:t>
      </w:r>
      <w:r>
        <w:rPr>
          <w:rFonts w:hint="eastAsia" w:ascii="宋体" w:hAnsi="宋体" w:eastAsia="宋体" w:cs="宋体"/>
          <w:snapToGrid w:val="0"/>
          <w:color w:val="auto"/>
          <w:kern w:val="0"/>
          <w:sz w:val="24"/>
          <w:szCs w:val="24"/>
          <w:highlight w:val="none"/>
        </w:rPr>
        <w:t>用水：</w:t>
      </w:r>
      <w:r>
        <w:rPr>
          <w:rFonts w:hint="eastAsia" w:ascii="宋体" w:hAnsi="宋体" w:eastAsia="宋体" w:cs="宋体"/>
          <w:snapToGrid w:val="0"/>
          <w:color w:val="auto"/>
          <w:kern w:val="0"/>
          <w:sz w:val="24"/>
          <w:szCs w:val="24"/>
          <w:highlight w:val="none"/>
          <w:u w:val="single"/>
        </w:rPr>
        <w:t>招标人协调，由中标人自行解决，费用考虑在投标报价中</w:t>
      </w:r>
      <w:r>
        <w:rPr>
          <w:rFonts w:hint="eastAsia" w:ascii="宋体" w:hAnsi="宋体" w:eastAsia="宋体" w:cs="宋体"/>
          <w:snapToGrid w:val="0"/>
          <w:color w:val="auto"/>
          <w:kern w:val="0"/>
          <w:sz w:val="24"/>
          <w:szCs w:val="24"/>
          <w:highlight w:val="none"/>
        </w:rPr>
        <w:t>。</w:t>
      </w:r>
    </w:p>
    <w:p w14:paraId="198B165A">
      <w:pPr>
        <w:keepNext w:val="0"/>
        <w:keepLines w:val="0"/>
        <w:pageBreakBefore w:val="0"/>
        <w:widowControl w:val="0"/>
        <w:wordWrap w:val="0"/>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施工</w:t>
      </w:r>
      <w:r>
        <w:rPr>
          <w:rFonts w:hint="eastAsia" w:ascii="宋体" w:hAnsi="宋体" w:eastAsia="宋体" w:cs="宋体"/>
          <w:snapToGrid w:val="0"/>
          <w:color w:val="auto"/>
          <w:kern w:val="0"/>
          <w:sz w:val="24"/>
          <w:szCs w:val="24"/>
          <w:highlight w:val="none"/>
          <w:lang w:val="en-US" w:eastAsia="zh-CN"/>
        </w:rPr>
        <w:t>临时</w:t>
      </w:r>
      <w:r>
        <w:rPr>
          <w:rFonts w:hint="eastAsia" w:ascii="宋体" w:hAnsi="宋体" w:eastAsia="宋体" w:cs="宋体"/>
          <w:snapToGrid w:val="0"/>
          <w:color w:val="auto"/>
          <w:kern w:val="0"/>
          <w:sz w:val="24"/>
          <w:szCs w:val="24"/>
          <w:highlight w:val="none"/>
        </w:rPr>
        <w:t>用电：</w:t>
      </w:r>
      <w:r>
        <w:rPr>
          <w:rFonts w:hint="eastAsia" w:ascii="宋体" w:hAnsi="宋体" w:eastAsia="宋体" w:cs="宋体"/>
          <w:snapToGrid w:val="0"/>
          <w:color w:val="auto"/>
          <w:kern w:val="0"/>
          <w:sz w:val="24"/>
          <w:szCs w:val="24"/>
          <w:highlight w:val="none"/>
          <w:u w:val="single"/>
        </w:rPr>
        <w:t>招标人协调，由中标人自行解决，费用考虑在投标报价中</w:t>
      </w:r>
      <w:r>
        <w:rPr>
          <w:rFonts w:hint="eastAsia" w:ascii="宋体" w:hAnsi="宋体" w:eastAsia="宋体" w:cs="宋体"/>
          <w:snapToGrid w:val="0"/>
          <w:color w:val="auto"/>
          <w:kern w:val="0"/>
          <w:sz w:val="24"/>
          <w:szCs w:val="24"/>
          <w:highlight w:val="none"/>
        </w:rPr>
        <w:t>。</w:t>
      </w:r>
    </w:p>
    <w:p w14:paraId="76C034F5">
      <w:pPr>
        <w:keepNext w:val="0"/>
        <w:keepLines w:val="0"/>
        <w:pageBreakBefore w:val="0"/>
        <w:widowControl w:val="0"/>
        <w:wordWrap w:val="0"/>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 xml:space="preserve"> 施工临时用水、临时用电：招标人协调，由中标人自行解决。要求中标人单独安装水表、电表，其水、电费按项目所在地</w:t>
      </w:r>
      <w:r>
        <w:rPr>
          <w:rFonts w:hint="eastAsia" w:ascii="宋体" w:hAnsi="宋体" w:eastAsia="宋体" w:cs="宋体"/>
          <w:snapToGrid w:val="0"/>
          <w:color w:val="auto"/>
          <w:kern w:val="0"/>
          <w:sz w:val="24"/>
          <w:szCs w:val="24"/>
          <w:highlight w:val="none"/>
          <w:u w:val="single"/>
          <w:lang w:val="en-US" w:eastAsia="zh-CN"/>
        </w:rPr>
        <w:t>韶关市</w:t>
      </w:r>
      <w:r>
        <w:rPr>
          <w:rFonts w:hint="eastAsia" w:ascii="宋体" w:hAnsi="宋体" w:eastAsia="宋体" w:cs="宋体"/>
          <w:snapToGrid w:val="0"/>
          <w:color w:val="auto"/>
          <w:kern w:val="0"/>
          <w:sz w:val="24"/>
          <w:szCs w:val="24"/>
          <w:highlight w:val="none"/>
        </w:rPr>
        <w:t>基建工程水、电计费标准计算并由中标人缴纳。</w:t>
      </w:r>
    </w:p>
    <w:p w14:paraId="1689ADA8">
      <w:pPr>
        <w:keepNext w:val="0"/>
        <w:keepLines w:val="0"/>
        <w:pageBreakBefore w:val="0"/>
        <w:widowControl w:val="0"/>
        <w:wordWrap w:val="0"/>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6.5</w:t>
      </w:r>
      <w:r>
        <w:rPr>
          <w:rFonts w:hint="eastAsia" w:ascii="宋体" w:hAnsi="宋体" w:eastAsia="宋体" w:cs="宋体"/>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765517C5">
      <w:pPr>
        <w:keepNext w:val="0"/>
        <w:keepLines w:val="0"/>
        <w:pageBreakBefore w:val="0"/>
        <w:widowControl w:val="0"/>
        <w:wordWrap w:val="0"/>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6.6</w:t>
      </w:r>
      <w:r>
        <w:rPr>
          <w:rFonts w:hint="eastAsia" w:ascii="宋体" w:hAnsi="宋体" w:eastAsia="宋体" w:cs="宋体"/>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56376D6F">
      <w:pPr>
        <w:keepNext w:val="0"/>
        <w:keepLines w:val="0"/>
        <w:pageBreakBefore w:val="0"/>
        <w:widowControl w:val="0"/>
        <w:wordWrap w:val="0"/>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6.7</w:t>
      </w:r>
      <w:r>
        <w:rPr>
          <w:rFonts w:hint="eastAsia" w:ascii="宋体" w:hAnsi="宋体" w:eastAsia="宋体" w:cs="宋体"/>
          <w:snapToGrid w:val="0"/>
          <w:color w:val="auto"/>
          <w:kern w:val="0"/>
          <w:sz w:val="24"/>
          <w:szCs w:val="24"/>
          <w:highlight w:val="none"/>
        </w:rPr>
        <w:t xml:space="preserve"> 现场踏勘期间的交通、食宿由投标人自行安排，费用自理。</w:t>
      </w:r>
    </w:p>
    <w:p w14:paraId="16DEDF0B">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7．招标文件的提问和答疑</w:t>
      </w:r>
    </w:p>
    <w:p w14:paraId="5F7CF427">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投标人若对招标文件（含施工图、招标工程量清单）有疑问，应在提问截止时间（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4"/>
          <w:szCs w:val="24"/>
          <w:highlight w:val="none"/>
          <w:lang w:bidi="ar"/>
        </w:rPr>
        <w:t>。</w:t>
      </w:r>
    </w:p>
    <w:p w14:paraId="2749E9AB">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招标人在提问截止时间（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“重要事项时间地点一览表”）后3日内，一次性对收到的所有问题作出答复，并形成答疑（或修改）公告在发布招标公告的媒介上公开发布。答疑（或修改）公告一旦发布，即</w:t>
      </w:r>
      <w:r>
        <w:rPr>
          <w:rFonts w:hint="eastAsia" w:ascii="宋体" w:hAnsi="宋体" w:eastAsia="宋体" w:cs="宋体"/>
          <w:snapToGrid w:val="0"/>
          <w:color w:val="auto"/>
          <w:kern w:val="0"/>
          <w:sz w:val="24"/>
          <w:szCs w:val="24"/>
          <w:highlight w:val="none"/>
          <w:lang w:eastAsia="zh-CN"/>
        </w:rPr>
        <w:t>视为</w:t>
      </w:r>
      <w:r>
        <w:rPr>
          <w:rFonts w:hint="eastAsia" w:ascii="宋体" w:hAnsi="宋体" w:eastAsia="宋体" w:cs="宋体"/>
          <w:snapToGrid w:val="0"/>
          <w:color w:val="auto"/>
          <w:kern w:val="0"/>
          <w:sz w:val="24"/>
          <w:szCs w:val="24"/>
          <w:highlight w:val="none"/>
        </w:rPr>
        <w:t>所有潜在投标人已经知悉答疑（或修改）内容，投标人未及时关注而造成的损失和后果，由投标人自行承担。</w:t>
      </w:r>
    </w:p>
    <w:p w14:paraId="1E4DA19C">
      <w:pPr>
        <w:keepNext w:val="0"/>
        <w:keepLines w:val="0"/>
        <w:pageBreakBefore w:val="0"/>
        <w:widowControl w:val="0"/>
        <w:topLinePunct w:val="0"/>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招标人对招标文件所作的答疑（或修改）公告，构成招标文件的组成部分</w:t>
      </w:r>
      <w:r>
        <w:rPr>
          <w:rStyle w:val="26"/>
          <w:rFonts w:hint="eastAsia" w:ascii="宋体" w:hAnsi="宋体" w:eastAsia="宋体" w:cs="宋体"/>
          <w:color w:val="auto"/>
          <w:kern w:val="0"/>
          <w:sz w:val="24"/>
          <w:szCs w:val="24"/>
          <w:highlight w:val="none"/>
        </w:rPr>
        <w:t>。</w:t>
      </w:r>
    </w:p>
    <w:p w14:paraId="6D30286F">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8．最高投标限价</w:t>
      </w:r>
    </w:p>
    <w:p w14:paraId="0558C379">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snapToGrid w:val="0"/>
          <w:color w:val="auto"/>
          <w:kern w:val="0"/>
          <w:sz w:val="24"/>
          <w:szCs w:val="24"/>
          <w:highlight w:val="none"/>
        </w:rPr>
        <w:t xml:space="preserve"> 本招标项目按照以下依据编制最高投标限价：</w:t>
      </w:r>
    </w:p>
    <w:p w14:paraId="0D712B02">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（1）《建设工程工程量清单计价规范》（</w:t>
      </w:r>
      <w:r>
        <w:rPr>
          <w:rFonts w:hint="eastAsia" w:ascii="宋体" w:hAnsi="宋体" w:eastAsia="宋体" w:cs="宋体"/>
          <w:snapToGrid w:val="0"/>
          <w:color w:val="auto"/>
          <w:kern w:val="0"/>
          <w:sz w:val="24"/>
          <w:szCs w:val="24"/>
          <w:highlight w:val="none"/>
          <w:lang w:eastAsia="zh-CN"/>
        </w:rPr>
        <w:t>GB</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eastAsia="zh-CN"/>
        </w:rPr>
        <w:t>T50500-2024</w:t>
      </w:r>
      <w:r>
        <w:rPr>
          <w:rFonts w:hint="eastAsia" w:ascii="宋体" w:hAnsi="宋体" w:eastAsia="宋体" w:cs="宋体"/>
          <w:snapToGrid w:val="0"/>
          <w:color w:val="auto"/>
          <w:kern w:val="0"/>
          <w:sz w:val="24"/>
          <w:szCs w:val="24"/>
          <w:highlight w:val="none"/>
        </w:rPr>
        <w:t>）；</w:t>
      </w:r>
    </w:p>
    <w:p w14:paraId="2FB86342">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《房屋建筑与装饰工程工程量计算标准》（GB/T 50854-2024）；《通用安装工程工程量计算标准》（GB/T 50856-2024）；《市政工程工程量计算标准》（GB/T 50857-2024）；《园林绿化工程工程量计算标准》（GB/T 50858-2024）；《广东省房屋建筑与装饰工程综合定额（2018 年）》；《广东省通用安装工程综合定额（2018年）》；《广东省市政工程综合定额（2018 年）》；《广东省园林绿化工程综合定额（2018年）》等；</w:t>
      </w:r>
    </w:p>
    <w:p w14:paraId="711DE5C7">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（3）施工图及相关资料；</w:t>
      </w:r>
    </w:p>
    <w:p w14:paraId="6CD394FD">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（4）招标文件及招标工程量清单；</w:t>
      </w:r>
    </w:p>
    <w:p w14:paraId="2A9EE17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（5）施工现场情况、工程特点及常规施工方案；</w:t>
      </w:r>
    </w:p>
    <w:p w14:paraId="29D3F105">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（6）项目所在地工程造价管理机构发布的工程造价信息，工程造价信息缺项的，参照市场价格；</w:t>
      </w:r>
    </w:p>
    <w:p w14:paraId="0A27678B">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（7）与建设项目相关的标准、规范、技术资料。</w:t>
      </w:r>
    </w:p>
    <w:p w14:paraId="2D923D9A">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snapToGrid w:val="0"/>
          <w:color w:val="auto"/>
          <w:kern w:val="0"/>
          <w:sz w:val="24"/>
          <w:szCs w:val="24"/>
          <w:highlight w:val="none"/>
        </w:rPr>
        <w:t>8.2</w:t>
      </w:r>
      <w:r>
        <w:rPr>
          <w:rFonts w:hint="eastAsia" w:ascii="宋体" w:hAnsi="宋体" w:eastAsia="宋体" w:cs="宋体"/>
          <w:snapToGrid w:val="0"/>
          <w:color w:val="auto"/>
          <w:kern w:val="0"/>
          <w:sz w:val="24"/>
          <w:szCs w:val="24"/>
          <w:highlight w:val="none"/>
        </w:rPr>
        <w:t xml:space="preserve"> 本招标项目最高投标限价、施工图纸、工程量清单在开标前15天另行发布于全国公共资源交易平台（广东省·韶关市）（https://ygp.gdzwfw.gov.cn/ggzy-portal/#/440200/index）、广东省招标投标监管网（http://zbtb.gd.gov.cn）网站。</w:t>
      </w:r>
    </w:p>
    <w:p w14:paraId="26CE3D23">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8.3</w:t>
      </w:r>
      <w:r>
        <w:rPr>
          <w:rFonts w:hint="eastAsia" w:ascii="宋体" w:hAnsi="宋体" w:eastAsia="宋体" w:cs="宋体"/>
          <w:snapToGrid w:val="0"/>
          <w:color w:val="auto"/>
          <w:kern w:val="0"/>
          <w:sz w:val="24"/>
          <w:szCs w:val="24"/>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110567CE">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8.4</w:t>
      </w:r>
      <w:r>
        <w:rPr>
          <w:rFonts w:hint="eastAsia" w:ascii="宋体" w:hAnsi="宋体" w:eastAsia="宋体" w:cs="宋体"/>
          <w:snapToGrid w:val="0"/>
          <w:color w:val="auto"/>
          <w:kern w:val="0"/>
          <w:sz w:val="24"/>
          <w:szCs w:val="24"/>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4"/>
          <w:szCs w:val="24"/>
          <w:highlight w:val="none"/>
          <w:u w:val="single"/>
        </w:rPr>
        <w:t>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4"/>
          <w:szCs w:val="24"/>
          <w:highlight w:val="none"/>
        </w:rPr>
        <w:t>。</w:t>
      </w:r>
    </w:p>
    <w:p w14:paraId="0931798E">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8.5</w:t>
      </w:r>
      <w:r>
        <w:rPr>
          <w:rFonts w:hint="eastAsia" w:ascii="宋体" w:hAnsi="宋体" w:eastAsia="宋体" w:cs="宋体"/>
          <w:snapToGrid w:val="0"/>
          <w:color w:val="auto"/>
          <w:kern w:val="0"/>
          <w:sz w:val="24"/>
          <w:szCs w:val="24"/>
          <w:highlight w:val="none"/>
        </w:rPr>
        <w:t xml:space="preserve"> 当暂估价项目的内容、标准、要求在项目实施过程中得以深化、明确、固定后，按以下原则发包：</w:t>
      </w:r>
    </w:p>
    <w:p w14:paraId="185B14F0">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4"/>
          <w:szCs w:val="24"/>
          <w:highlight w:val="none"/>
          <w:u w:val="single"/>
        </w:rPr>
        <w:t>中标人招标，招标人参与管理</w:t>
      </w:r>
      <w:r>
        <w:rPr>
          <w:rFonts w:hint="eastAsia" w:ascii="宋体" w:hAnsi="宋体" w:eastAsia="宋体" w:cs="宋体"/>
          <w:snapToGrid w:val="0"/>
          <w:color w:val="auto"/>
          <w:kern w:val="0"/>
          <w:sz w:val="24"/>
          <w:szCs w:val="24"/>
          <w:highlight w:val="none"/>
        </w:rPr>
        <w:t>，确定专业工程承包人（或材料、工程设备供应商）和合同价格。</w:t>
      </w:r>
    </w:p>
    <w:p w14:paraId="531B34F8">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56463FC4">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5BC7BB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6549AFF0">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（5）暂估价项目由其他承包人承包的，纳入中标人的管理和协调范围，由其他承包人向中标人承担质量、安全、文明施工、工期责任，中标人向招标人承担责任。</w:t>
      </w:r>
    </w:p>
    <w:p w14:paraId="2EF50956">
      <w:pPr>
        <w:keepNext w:val="0"/>
        <w:keepLines w:val="0"/>
        <w:pageBreakBefore w:val="0"/>
        <w:widowControl w:val="0"/>
        <w:topLinePunct w:val="0"/>
        <w:bidi w:val="0"/>
        <w:adjustRightInd/>
        <w:snapToGrid/>
        <w:spacing w:line="360" w:lineRule="auto"/>
        <w:ind w:firstLine="482" w:firstLineChars="200"/>
        <w:rPr>
          <w:rStyle w:val="26"/>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8.6</w:t>
      </w:r>
      <w:r>
        <w:rPr>
          <w:rFonts w:hint="eastAsia" w:ascii="宋体" w:hAnsi="宋体" w:eastAsia="宋体" w:cs="宋体"/>
          <w:snapToGrid w:val="0"/>
          <w:color w:val="auto"/>
          <w:kern w:val="0"/>
          <w:sz w:val="24"/>
          <w:szCs w:val="24"/>
          <w:highlight w:val="none"/>
        </w:rPr>
        <w:t xml:space="preserve"> 本招标项目以</w:t>
      </w:r>
      <w:r>
        <w:rPr>
          <w:rFonts w:hint="eastAsia" w:ascii="宋体" w:hAnsi="宋体" w:eastAsia="宋体" w:cs="宋体"/>
          <w:snapToGrid w:val="0"/>
          <w:color w:val="auto"/>
          <w:sz w:val="24"/>
          <w:szCs w:val="24"/>
          <w:highlight w:val="none"/>
        </w:rPr>
        <w:t>暂列金额</w:t>
      </w:r>
      <w:r>
        <w:rPr>
          <w:rFonts w:hint="eastAsia" w:ascii="宋体" w:hAnsi="宋体" w:eastAsia="宋体" w:cs="宋体"/>
          <w:snapToGrid w:val="0"/>
          <w:color w:val="auto"/>
          <w:kern w:val="0"/>
          <w:sz w:val="24"/>
          <w:szCs w:val="24"/>
          <w:highlight w:val="none"/>
        </w:rPr>
        <w:t>形式列入招标工程量清单中的</w:t>
      </w:r>
      <w:r>
        <w:rPr>
          <w:rFonts w:hint="eastAsia" w:ascii="宋体" w:hAnsi="宋体" w:eastAsia="宋体" w:cs="宋体"/>
          <w:snapToGrid w:val="0"/>
          <w:color w:val="auto"/>
          <w:sz w:val="24"/>
          <w:szCs w:val="24"/>
          <w:highlight w:val="none"/>
        </w:rPr>
        <w:t>所需货物和服务的采购</w:t>
      </w:r>
      <w:r>
        <w:rPr>
          <w:rFonts w:hint="eastAsia" w:ascii="宋体" w:hAnsi="宋体" w:eastAsia="宋体" w:cs="宋体"/>
          <w:snapToGrid w:val="0"/>
          <w:color w:val="auto"/>
          <w:kern w:val="0"/>
          <w:sz w:val="24"/>
          <w:szCs w:val="24"/>
          <w:highlight w:val="none"/>
        </w:rPr>
        <w:t>（以下统称“暂列金额项目”）若有</w:t>
      </w:r>
      <w:r>
        <w:rPr>
          <w:rFonts w:hint="eastAsia" w:ascii="宋体" w:hAnsi="宋体" w:eastAsia="宋体" w:cs="宋体"/>
          <w:snapToGrid w:val="0"/>
          <w:color w:val="auto"/>
          <w:sz w:val="24"/>
          <w:szCs w:val="24"/>
          <w:highlight w:val="none"/>
        </w:rPr>
        <w:t>发生，按照本节第</w:t>
      </w:r>
      <w:r>
        <w:rPr>
          <w:rFonts w:hint="eastAsia" w:ascii="宋体" w:hAnsi="宋体" w:eastAsia="宋体" w:cs="宋体"/>
          <w:b/>
          <w:bCs/>
          <w:snapToGrid w:val="0"/>
          <w:color w:val="auto"/>
          <w:kern w:val="0"/>
          <w:sz w:val="24"/>
          <w:szCs w:val="24"/>
          <w:highlight w:val="none"/>
        </w:rPr>
        <w:t>8.5</w:t>
      </w:r>
      <w:r>
        <w:rPr>
          <w:rFonts w:hint="eastAsia" w:ascii="宋体" w:hAnsi="宋体" w:eastAsia="宋体" w:cs="宋体"/>
          <w:snapToGrid w:val="0"/>
          <w:color w:val="auto"/>
          <w:sz w:val="24"/>
          <w:szCs w:val="24"/>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r>
        <w:rPr>
          <w:rStyle w:val="26"/>
          <w:rFonts w:hint="eastAsia" w:ascii="宋体" w:hAnsi="宋体" w:eastAsia="宋体" w:cs="宋体"/>
          <w:color w:val="auto"/>
          <w:sz w:val="24"/>
          <w:szCs w:val="24"/>
          <w:highlight w:val="none"/>
        </w:rPr>
        <w:t>。</w:t>
      </w:r>
    </w:p>
    <w:p w14:paraId="593040F2">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9．投标报价</w:t>
      </w:r>
    </w:p>
    <w:p w14:paraId="21B6581C">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baseline"/>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9.1</w:t>
      </w:r>
      <w:r>
        <w:rPr>
          <w:rStyle w:val="26"/>
          <w:rFonts w:hint="eastAsia" w:ascii="宋体" w:hAnsi="宋体" w:eastAsia="宋体" w:cs="宋体"/>
          <w:color w:val="auto"/>
          <w:kern w:val="0"/>
          <w:sz w:val="24"/>
          <w:szCs w:val="24"/>
          <w:highlight w:val="none"/>
        </w:rPr>
        <w:t xml:space="preserve"> 投标人应按照以下依据编制投标报价：</w:t>
      </w:r>
    </w:p>
    <w:p w14:paraId="62C5D4C7">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（1）《建设工程工程量清单计价规范》（</w:t>
      </w:r>
      <w:r>
        <w:rPr>
          <w:rFonts w:hint="eastAsia" w:ascii="宋体" w:hAnsi="宋体" w:eastAsia="宋体" w:cs="宋体"/>
          <w:snapToGrid w:val="0"/>
          <w:color w:val="auto"/>
          <w:kern w:val="0"/>
          <w:sz w:val="24"/>
          <w:szCs w:val="24"/>
          <w:highlight w:val="none"/>
          <w:lang w:eastAsia="zh-CN"/>
        </w:rPr>
        <w:t>GB</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eastAsia="zh-CN"/>
        </w:rPr>
        <w:t>T50500-2024</w:t>
      </w:r>
      <w:r>
        <w:rPr>
          <w:rFonts w:hint="eastAsia" w:ascii="宋体" w:hAnsi="宋体" w:eastAsia="宋体" w:cs="宋体"/>
          <w:snapToGrid w:val="0"/>
          <w:color w:val="auto"/>
          <w:kern w:val="0"/>
          <w:sz w:val="24"/>
          <w:szCs w:val="24"/>
          <w:highlight w:val="none"/>
        </w:rPr>
        <w:t>）；</w:t>
      </w:r>
    </w:p>
    <w:p w14:paraId="167D99B9">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《房屋建筑与装饰工程工程量计算标准》（GB/T 50854-2024）；《通用安装工程工程量计算标准》（GB/T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14:paraId="7EFB6A8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（3）企业定额；</w:t>
      </w:r>
    </w:p>
    <w:p w14:paraId="0B1A7C4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（4）招标文件及其答疑（或修改）公告、招标工程量清单；</w:t>
      </w:r>
    </w:p>
    <w:p w14:paraId="255FFDD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（5）施工图及相关资料；</w:t>
      </w:r>
    </w:p>
    <w:p w14:paraId="6EBFC5E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（6）施工现场情况、工程特点及投标时拟定的施工组织设计或施工方案；</w:t>
      </w:r>
    </w:p>
    <w:p w14:paraId="4946A37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（7）市场价格信息或项目所在地工程造价管理机构发布的工程造价信息；</w:t>
      </w:r>
    </w:p>
    <w:p w14:paraId="152EAF7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（8）与建设项目相关的标准、规范、技术资料。</w:t>
      </w:r>
    </w:p>
    <w:p w14:paraId="05F8162B">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eastAsia="宋体" w:cs="宋体"/>
          <w:snapToGrid w:val="0"/>
          <w:color w:val="auto"/>
          <w:kern w:val="0"/>
          <w:sz w:val="24"/>
          <w:szCs w:val="24"/>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58" w:name="_Hlt66594003"/>
      <w:bookmarkEnd w:id="58"/>
      <w:r>
        <w:rPr>
          <w:rFonts w:hint="eastAsia" w:ascii="宋体" w:hAnsi="宋体" w:eastAsia="宋体" w:cs="宋体"/>
          <w:snapToGrid w:val="0"/>
          <w:color w:val="auto"/>
          <w:kern w:val="0"/>
          <w:sz w:val="24"/>
          <w:szCs w:val="24"/>
          <w:highlight w:val="none"/>
        </w:rPr>
        <w:t>所谓“一定范围内的风险”是指合同约定的风险。</w:t>
      </w:r>
    </w:p>
    <w:p w14:paraId="7BF14592">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bookmarkStart w:id="59" w:name="_Hlt69335755"/>
      <w:bookmarkEnd w:id="59"/>
      <w:r>
        <w:rPr>
          <w:rFonts w:hint="eastAsia" w:ascii="宋体" w:hAnsi="宋体" w:eastAsia="宋体" w:cs="宋体"/>
          <w:b/>
          <w:bCs/>
          <w:snapToGrid w:val="0"/>
          <w:color w:val="auto"/>
          <w:kern w:val="0"/>
          <w:sz w:val="24"/>
          <w:szCs w:val="24"/>
          <w:highlight w:val="none"/>
        </w:rPr>
        <w:t>9.3</w:t>
      </w:r>
      <w:r>
        <w:rPr>
          <w:rFonts w:hint="eastAsia" w:ascii="宋体" w:hAnsi="宋体" w:eastAsia="宋体" w:cs="宋体"/>
          <w:snapToGrid w:val="0"/>
          <w:color w:val="auto"/>
          <w:kern w:val="0"/>
          <w:sz w:val="24"/>
          <w:szCs w:val="24"/>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60" w:name="_Hlt66509056"/>
      <w:bookmarkEnd w:id="60"/>
      <w:r>
        <w:rPr>
          <w:rFonts w:hint="eastAsia" w:ascii="宋体" w:hAnsi="宋体" w:eastAsia="宋体" w:cs="宋体"/>
          <w:snapToGrid w:val="0"/>
          <w:color w:val="auto"/>
          <w:kern w:val="0"/>
          <w:sz w:val="24"/>
          <w:szCs w:val="24"/>
          <w:highlight w:val="none"/>
        </w:rPr>
        <w:t>接资料。投标人应针对现场情况编制施工组织设计，并在编制投标报价时考虑现场情况的影响。</w:t>
      </w:r>
    </w:p>
    <w:p w14:paraId="0604AB25">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9.4</w:t>
      </w:r>
      <w:r>
        <w:rPr>
          <w:rFonts w:hint="eastAsia" w:ascii="宋体" w:hAnsi="宋体" w:eastAsia="宋体" w:cs="宋体"/>
          <w:snapToGrid w:val="0"/>
          <w:color w:val="auto"/>
          <w:kern w:val="0"/>
          <w:sz w:val="24"/>
          <w:szCs w:val="24"/>
          <w:highlight w:val="none"/>
        </w:rPr>
        <w:t xml:space="preserve"> 招标人向投标人提供的有关现场的数据和资料，是招标人现有的能被投标人利用的资料，招标人对投标人做出的任何推论、理解和结论均不负责任。</w:t>
      </w:r>
    </w:p>
    <w:p w14:paraId="113AF24E">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9.5</w:t>
      </w:r>
      <w:r>
        <w:rPr>
          <w:rFonts w:hint="eastAsia" w:ascii="宋体" w:hAnsi="宋体" w:eastAsia="宋体" w:cs="宋体"/>
          <w:snapToGrid w:val="0"/>
          <w:color w:val="auto"/>
          <w:kern w:val="0"/>
          <w:sz w:val="24"/>
          <w:szCs w:val="24"/>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5DAD453E">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9.6</w:t>
      </w:r>
      <w:r>
        <w:rPr>
          <w:rFonts w:hint="eastAsia" w:ascii="宋体" w:hAnsi="宋体" w:eastAsia="宋体" w:cs="宋体"/>
          <w:snapToGrid w:val="0"/>
          <w:color w:val="auto"/>
          <w:kern w:val="0"/>
          <w:sz w:val="24"/>
          <w:szCs w:val="24"/>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67C18AB">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trike/>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9.7</w:t>
      </w:r>
      <w:r>
        <w:rPr>
          <w:rFonts w:hint="eastAsia" w:ascii="宋体" w:hAnsi="宋体" w:eastAsia="宋体" w:cs="宋体"/>
          <w:snapToGrid w:val="0"/>
          <w:color w:val="auto"/>
          <w:kern w:val="0"/>
          <w:sz w:val="24"/>
          <w:szCs w:val="24"/>
          <w:highlight w:val="none"/>
        </w:rPr>
        <w:t xml:space="preserve"> 投标人的投标总价不得高于最高投标限价，也不得低于工程成本。投标人对投标总价的所有优惠（降价、让利等），均应当反映在具体清单项目或其综合单价的报价上。</w:t>
      </w:r>
      <w:r>
        <w:rPr>
          <w:rFonts w:hint="eastAsia" w:ascii="宋体" w:hAnsi="宋体" w:eastAsia="宋体" w:cs="宋体"/>
          <w:b/>
          <w:snapToGrid w:val="0"/>
          <w:color w:val="auto"/>
          <w:kern w:val="0"/>
          <w:sz w:val="24"/>
          <w:szCs w:val="24"/>
          <w:highlight w:val="none"/>
        </w:rPr>
        <w:t>如果投标人的投标总价下浮率高于15%时，投标人必须在投标文件中专项作出详细合理的书面说明并提供以往类似工程详细成本分析报告供评标委员会审查。投标总价下浮率＝（1－投标总价÷最高投标限价）×100%</w:t>
      </w:r>
      <w:r>
        <w:rPr>
          <w:rFonts w:hint="eastAsia" w:ascii="宋体" w:hAnsi="宋体" w:eastAsia="宋体" w:cs="宋体"/>
          <w:b/>
          <w:snapToGrid w:val="0"/>
          <w:color w:val="auto"/>
          <w:kern w:val="0"/>
          <w:sz w:val="24"/>
          <w:szCs w:val="24"/>
          <w:highlight w:val="none"/>
          <w:lang w:eastAsia="zh-CN"/>
        </w:rPr>
        <w:t>。</w:t>
      </w:r>
    </w:p>
    <w:p w14:paraId="701D32DA">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9.8</w:t>
      </w:r>
      <w:r>
        <w:rPr>
          <w:rFonts w:hint="eastAsia" w:ascii="宋体" w:hAnsi="宋体" w:eastAsia="宋体" w:cs="宋体"/>
          <w:snapToGrid w:val="0"/>
          <w:color w:val="auto"/>
          <w:kern w:val="0"/>
          <w:sz w:val="24"/>
          <w:szCs w:val="24"/>
          <w:highlight w:val="none"/>
        </w:rPr>
        <w:t xml:space="preserve"> 投标人的</w:t>
      </w:r>
      <w:r>
        <w:rPr>
          <w:rFonts w:hint="eastAsia" w:ascii="宋体" w:hAnsi="宋体" w:eastAsia="宋体" w:cs="宋体"/>
          <w:snapToGrid w:val="0"/>
          <w:color w:val="auto"/>
          <w:kern w:val="0"/>
          <w:sz w:val="24"/>
          <w:szCs w:val="24"/>
          <w:highlight w:val="none"/>
          <w:lang w:eastAsia="zh-CN"/>
        </w:rPr>
        <w:t>安全生产措施费</w:t>
      </w:r>
      <w:r>
        <w:rPr>
          <w:rFonts w:hint="eastAsia" w:ascii="宋体" w:hAnsi="宋体" w:eastAsia="宋体" w:cs="宋体"/>
          <w:snapToGrid w:val="0"/>
          <w:color w:val="auto"/>
          <w:kern w:val="0"/>
          <w:sz w:val="24"/>
          <w:szCs w:val="24"/>
          <w:highlight w:val="none"/>
        </w:rPr>
        <w:t>报价必须达到或超过</w:t>
      </w:r>
      <w:r>
        <w:rPr>
          <w:rFonts w:hint="eastAsia" w:ascii="宋体" w:hAnsi="宋体" w:eastAsia="宋体" w:cs="宋体"/>
          <w:color w:val="auto"/>
          <w:sz w:val="24"/>
          <w:szCs w:val="24"/>
          <w:highlight w:val="none"/>
          <w:lang w:val="en-US" w:eastAsia="zh-CN"/>
        </w:rPr>
        <w:t>最高投标限价中</w:t>
      </w:r>
      <w:r>
        <w:rPr>
          <w:rFonts w:hint="eastAsia" w:ascii="宋体" w:hAnsi="宋体" w:eastAsia="宋体" w:cs="宋体"/>
          <w:snapToGrid w:val="0"/>
          <w:color w:val="auto"/>
          <w:kern w:val="0"/>
          <w:sz w:val="24"/>
          <w:szCs w:val="24"/>
          <w:highlight w:val="none"/>
        </w:rPr>
        <w:t>提供的</w:t>
      </w:r>
      <w:r>
        <w:rPr>
          <w:rFonts w:hint="eastAsia" w:ascii="宋体" w:hAnsi="宋体" w:eastAsia="宋体" w:cs="宋体"/>
          <w:snapToGrid w:val="0"/>
          <w:color w:val="auto"/>
          <w:kern w:val="0"/>
          <w:sz w:val="24"/>
          <w:szCs w:val="24"/>
          <w:highlight w:val="none"/>
          <w:lang w:eastAsia="zh-CN"/>
        </w:rPr>
        <w:t>安全生产措施费</w:t>
      </w:r>
      <w:r>
        <w:rPr>
          <w:rFonts w:hint="eastAsia" w:ascii="宋体" w:hAnsi="宋体" w:eastAsia="宋体" w:cs="宋体"/>
          <w:snapToGrid w:val="0"/>
          <w:color w:val="auto"/>
          <w:kern w:val="0"/>
          <w:sz w:val="24"/>
          <w:szCs w:val="24"/>
          <w:highlight w:val="none"/>
        </w:rPr>
        <w:t>。</w:t>
      </w:r>
    </w:p>
    <w:p w14:paraId="1C4FCFE6">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9.9</w:t>
      </w:r>
      <w:r>
        <w:rPr>
          <w:rFonts w:hint="eastAsia" w:ascii="宋体" w:hAnsi="宋体" w:eastAsia="宋体" w:cs="宋体"/>
          <w:snapToGrid w:val="0"/>
          <w:color w:val="auto"/>
          <w:kern w:val="0"/>
          <w:sz w:val="24"/>
          <w:szCs w:val="24"/>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61" w:name="_（十）投标文件的编制、包装、密封"/>
      <w:bookmarkEnd w:id="61"/>
    </w:p>
    <w:p w14:paraId="7F47421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szCs w:val="22"/>
          <w:highlight w:val="none"/>
        </w:rPr>
        <w:t xml:space="preserve">9.10 </w:t>
      </w:r>
      <w:r>
        <w:rPr>
          <w:rFonts w:hint="eastAsia" w:ascii="宋体" w:hAnsi="宋体" w:eastAsia="宋体" w:cs="宋体"/>
          <w:snapToGrid w:val="0"/>
          <w:color w:val="auto"/>
          <w:kern w:val="0"/>
          <w:sz w:val="24"/>
          <w:highlight w:val="none"/>
          <w:lang w:val="en-US" w:eastAsia="zh-CN" w:bidi="ar-SA"/>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w:t>
      </w:r>
      <w:r>
        <w:rPr>
          <w:rFonts w:hint="eastAsia" w:ascii="宋体" w:hAnsi="宋体" w:eastAsia="宋体" w:cs="宋体"/>
          <w:snapToGrid w:val="0"/>
          <w:color w:val="auto"/>
          <w:kern w:val="0"/>
          <w:highlight w:val="none"/>
        </w:rPr>
        <w:t>《建设工程工程量清单计价标准》（GB50500—2024）</w:t>
      </w:r>
      <w:r>
        <w:rPr>
          <w:rFonts w:hint="eastAsia" w:ascii="宋体" w:hAnsi="宋体" w:eastAsia="宋体" w:cs="宋体"/>
          <w:snapToGrid w:val="0"/>
          <w:color w:val="auto"/>
          <w:kern w:val="0"/>
          <w:sz w:val="24"/>
          <w:highlight w:val="none"/>
          <w:lang w:val="en-US" w:eastAsia="zh-CN" w:bidi="ar-SA"/>
        </w:rPr>
        <w:t>规定的费率报价；若招标工程量清单明确说明不计算预算包干费或另外确定预算包干费费率的，则按招标工程量清单报价。</w:t>
      </w:r>
    </w:p>
    <w:p w14:paraId="6CCFA02B">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10．投标文件的编制要求</w:t>
      </w:r>
    </w:p>
    <w:p w14:paraId="64905DB2">
      <w:pPr>
        <w:pStyle w:val="29"/>
        <w:keepNext w:val="0"/>
        <w:keepLines w:val="0"/>
        <w:pageBreakBefore w:val="0"/>
        <w:widowControl w:val="0"/>
        <w:kinsoku/>
        <w:overflowPunct/>
        <w:topLinePunct w:val="0"/>
        <w:autoSpaceDE/>
        <w:autoSpaceDN/>
        <w:bidi w:val="0"/>
        <w:adjustRightInd/>
        <w:snapToGrid/>
        <w:spacing w:line="360" w:lineRule="auto"/>
        <w:ind w:firstLine="482" w:firstLineChars="200"/>
        <w:jc w:val="both"/>
        <w:textAlignment w:val="baseline"/>
        <w:rPr>
          <w:rStyle w:val="26"/>
          <w:rFonts w:hint="eastAsia" w:ascii="宋体" w:hAnsi="宋体" w:eastAsia="宋体" w:cs="宋体"/>
          <w:b/>
          <w:bCs/>
          <w:color w:val="auto"/>
          <w:sz w:val="24"/>
          <w:szCs w:val="24"/>
          <w:highlight w:val="none"/>
        </w:rPr>
      </w:pPr>
      <w:bookmarkStart w:id="62" w:name="_Toc17310"/>
      <w:bookmarkStart w:id="63" w:name="_Toc24051"/>
      <w:bookmarkStart w:id="64" w:name="_Toc13010"/>
      <w:r>
        <w:rPr>
          <w:rStyle w:val="26"/>
          <w:rFonts w:hint="eastAsia" w:ascii="宋体" w:hAnsi="宋体" w:eastAsia="宋体" w:cs="宋体"/>
          <w:b/>
          <w:bCs/>
          <w:color w:val="auto"/>
          <w:sz w:val="24"/>
          <w:szCs w:val="24"/>
          <w:highlight w:val="none"/>
        </w:rPr>
        <w:t>10.1 一般要求</w:t>
      </w:r>
      <w:bookmarkEnd w:id="62"/>
      <w:bookmarkEnd w:id="63"/>
      <w:bookmarkEnd w:id="64"/>
    </w:p>
    <w:p w14:paraId="39C73F5F">
      <w:pPr>
        <w:pStyle w:val="9"/>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投标文件应按第六章投标文件格式规定的内容，投标人提交的投标文件应当使用招标文件所提供的投标文件全部格式。</w:t>
      </w:r>
    </w:p>
    <w:p w14:paraId="75AD3597">
      <w:pPr>
        <w:pStyle w:val="9"/>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10.1.1</w:t>
      </w:r>
      <w:r>
        <w:rPr>
          <w:rFonts w:hint="eastAsia" w:ascii="宋体" w:hAnsi="宋体" w:eastAsia="宋体" w:cs="宋体"/>
          <w:snapToGrid w:val="0"/>
          <w:color w:val="auto"/>
          <w:kern w:val="0"/>
          <w:sz w:val="24"/>
          <w:szCs w:val="24"/>
          <w:highlight w:val="none"/>
        </w:rPr>
        <w:t xml:space="preserve"> 投标人必须响应招标文件，并在充分理解招标人提供的全部文件、设计图纸、资料及现场条件的基础</w:t>
      </w:r>
      <w:bookmarkStart w:id="65" w:name="_Hlt78709790"/>
      <w:bookmarkEnd w:id="65"/>
      <w:r>
        <w:rPr>
          <w:rFonts w:hint="eastAsia" w:ascii="宋体" w:hAnsi="宋体" w:eastAsia="宋体" w:cs="宋体"/>
          <w:snapToGrid w:val="0"/>
          <w:color w:val="auto"/>
          <w:kern w:val="0"/>
          <w:sz w:val="24"/>
          <w:szCs w:val="24"/>
          <w:highlight w:val="none"/>
        </w:rPr>
        <w:t>上编制投标文件。因投标文件不符合招标文件的要求而造成的损失和后果，由投标人自行承担。</w:t>
      </w:r>
      <w:bookmarkStart w:id="66" w:name="_Hlt74496890"/>
      <w:bookmarkEnd w:id="66"/>
    </w:p>
    <w:p w14:paraId="05019CEE">
      <w:pPr>
        <w:pStyle w:val="9"/>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10.1.2</w:t>
      </w:r>
      <w:r>
        <w:rPr>
          <w:rFonts w:hint="eastAsia" w:ascii="宋体" w:hAnsi="宋体" w:eastAsia="宋体" w:cs="宋体"/>
          <w:b/>
          <w:bCs/>
          <w:snapToGrid w:val="0"/>
          <w:color w:val="auto"/>
          <w:kern w:val="0"/>
          <w:sz w:val="24"/>
          <w:szCs w:val="24"/>
          <w:highlight w:val="none"/>
          <w:lang w:val="en-US" w:eastAsia="zh-CN"/>
        </w:rPr>
        <w:t>投标文件包括商务标书、经济标书、施工组织设计和定标文件四个分册</w:t>
      </w:r>
      <w:r>
        <w:rPr>
          <w:rFonts w:hint="eastAsia" w:ascii="宋体" w:hAnsi="宋体" w:eastAsia="宋体" w:cs="宋体"/>
          <w:b w:val="0"/>
          <w:bCs w:val="0"/>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投标文件全部采用电子文档，</w:t>
      </w:r>
      <w:r>
        <w:rPr>
          <w:rFonts w:hint="eastAsia" w:ascii="宋体" w:hAnsi="宋体" w:eastAsia="宋体" w:cs="宋体"/>
          <w:b/>
          <w:bCs/>
          <w:snapToGrid w:val="0"/>
          <w:color w:val="auto"/>
          <w:kern w:val="0"/>
          <w:sz w:val="24"/>
          <w:szCs w:val="24"/>
          <w:highlight w:val="none"/>
        </w:rPr>
        <w:t>投标文件所附证书证件均为原件扫描件</w:t>
      </w:r>
      <w:r>
        <w:rPr>
          <w:rFonts w:hint="eastAsia" w:ascii="宋体" w:hAnsi="宋体" w:eastAsia="宋体" w:cs="宋体"/>
          <w:snapToGrid w:val="0"/>
          <w:color w:val="auto"/>
          <w:kern w:val="0"/>
          <w:sz w:val="24"/>
          <w:szCs w:val="24"/>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 交易指引。</w:t>
      </w:r>
    </w:p>
    <w:p w14:paraId="65353D47">
      <w:pPr>
        <w:pStyle w:val="9"/>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w:t>
      </w:r>
      <w:r>
        <w:rPr>
          <w:rFonts w:hint="eastAsia" w:ascii="宋体" w:hAnsi="宋体" w:eastAsia="宋体" w:cs="宋体"/>
          <w:snapToGrid w:val="0"/>
          <w:color w:val="auto"/>
          <w:kern w:val="0"/>
          <w:sz w:val="24"/>
          <w:szCs w:val="24"/>
          <w:highlight w:val="none"/>
        </w:rPr>
        <w:t>投标文件需按以下要求签字、盖章：</w:t>
      </w:r>
    </w:p>
    <w:p w14:paraId="2749123F">
      <w:pPr>
        <w:pStyle w:val="9"/>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电子投标文件：</w:t>
      </w:r>
    </w:p>
    <w:p w14:paraId="42D901FA">
      <w:pPr>
        <w:pStyle w:val="9"/>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10.1.3.1</w:t>
      </w:r>
      <w:r>
        <w:rPr>
          <w:rFonts w:hint="eastAsia" w:ascii="宋体" w:hAnsi="宋体" w:eastAsia="宋体" w:cs="宋体"/>
          <w:snapToGrid w:val="0"/>
          <w:color w:val="auto"/>
          <w:kern w:val="0"/>
          <w:sz w:val="24"/>
          <w:szCs w:val="24"/>
          <w:highlight w:val="none"/>
        </w:rPr>
        <w:t xml:space="preserve"> 投标文件封面、组成内容中凡注明“签字”处由要求的人员签字或电子签章；凡注明“签字或盖章”处由要求的人员签字或盖其私章（</w:t>
      </w:r>
      <w:r>
        <w:rPr>
          <w:rFonts w:hint="eastAsia" w:ascii="宋体" w:hAnsi="宋体" w:eastAsia="宋体" w:cs="宋体"/>
          <w:snapToGrid w:val="0"/>
          <w:color w:val="auto"/>
          <w:kern w:val="0"/>
          <w:sz w:val="24"/>
          <w:szCs w:val="24"/>
          <w:highlight w:val="none"/>
          <w:lang w:val="en-US" w:eastAsia="zh-CN"/>
        </w:rPr>
        <w:t>或</w:t>
      </w:r>
      <w:r>
        <w:rPr>
          <w:rFonts w:hint="eastAsia" w:ascii="宋体" w:hAnsi="宋体" w:eastAsia="宋体" w:cs="宋体"/>
          <w:snapToGrid w:val="0"/>
          <w:color w:val="auto"/>
          <w:kern w:val="0"/>
          <w:sz w:val="24"/>
          <w:szCs w:val="24"/>
          <w:highlight w:val="none"/>
        </w:rPr>
        <w:t>电子印章）；凡注明“签字并盖执业印章”处由要求的人员签字并盖其执业印章。</w:t>
      </w:r>
    </w:p>
    <w:p w14:paraId="680540B7">
      <w:pPr>
        <w:pStyle w:val="9"/>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10.1.3.2</w:t>
      </w:r>
      <w:r>
        <w:rPr>
          <w:rFonts w:hint="eastAsia" w:ascii="宋体" w:hAnsi="宋体" w:eastAsia="宋体" w:cs="宋体"/>
          <w:snapToGrid w:val="0"/>
          <w:color w:val="auto"/>
          <w:kern w:val="0"/>
          <w:sz w:val="24"/>
          <w:szCs w:val="24"/>
          <w:highlight w:val="none"/>
        </w:rPr>
        <w:t>投标文件封套、封面、组成内容中凡要求录入投标人名称且注明“盖单位章”处盖单位法人公章（</w:t>
      </w:r>
      <w:r>
        <w:rPr>
          <w:rFonts w:hint="eastAsia" w:ascii="宋体" w:hAnsi="宋体" w:eastAsia="宋体" w:cs="宋体"/>
          <w:snapToGrid w:val="0"/>
          <w:color w:val="auto"/>
          <w:kern w:val="0"/>
          <w:sz w:val="24"/>
          <w:szCs w:val="24"/>
          <w:highlight w:val="none"/>
          <w:lang w:val="en-US" w:eastAsia="zh-CN"/>
        </w:rPr>
        <w:t>或</w:t>
      </w:r>
      <w:r>
        <w:rPr>
          <w:rFonts w:hint="eastAsia" w:ascii="宋体" w:hAnsi="宋体" w:eastAsia="宋体" w:cs="宋体"/>
          <w:snapToGrid w:val="0"/>
          <w:color w:val="auto"/>
          <w:kern w:val="0"/>
          <w:sz w:val="24"/>
          <w:szCs w:val="24"/>
          <w:highlight w:val="none"/>
        </w:rPr>
        <w:t>电子印章）。</w:t>
      </w:r>
    </w:p>
    <w:p w14:paraId="6D907EA0">
      <w:pPr>
        <w:pStyle w:val="33"/>
        <w:keepNext w:val="0"/>
        <w:keepLines w:val="0"/>
        <w:pageBreakBefore w:val="0"/>
        <w:widowControl w:val="0"/>
        <w:kinsoku/>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Cs/>
          <w:strike/>
          <w:dstrike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10.1.3.3 </w:t>
      </w:r>
      <w:r>
        <w:rPr>
          <w:rFonts w:hint="eastAsia" w:ascii="宋体" w:hAnsi="宋体" w:eastAsia="宋体" w:cs="宋体"/>
          <w:snapToGrid w:val="0"/>
          <w:color w:val="auto"/>
          <w:kern w:val="0"/>
          <w:sz w:val="24"/>
          <w:szCs w:val="24"/>
          <w:highlight w:val="none"/>
        </w:rPr>
        <w:t>投标文件的签字均为签字人本人亲笔署名或签章（</w:t>
      </w:r>
      <w:r>
        <w:rPr>
          <w:rFonts w:hint="eastAsia" w:ascii="宋体" w:hAnsi="宋体" w:eastAsia="宋体" w:cs="宋体"/>
          <w:snapToGrid w:val="0"/>
          <w:color w:val="auto"/>
          <w:kern w:val="0"/>
          <w:sz w:val="24"/>
          <w:szCs w:val="24"/>
          <w:highlight w:val="none"/>
          <w:lang w:val="en-US" w:eastAsia="zh-CN"/>
        </w:rPr>
        <w:t>或</w:t>
      </w:r>
      <w:r>
        <w:rPr>
          <w:rFonts w:hint="eastAsia" w:ascii="宋体" w:hAnsi="宋体" w:eastAsia="宋体" w:cs="宋体"/>
          <w:snapToGrid w:val="0"/>
          <w:color w:val="auto"/>
          <w:kern w:val="0"/>
          <w:sz w:val="24"/>
          <w:szCs w:val="24"/>
          <w:highlight w:val="none"/>
        </w:rPr>
        <w:t>电子印章），其余部分的</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无须另行签字、盖章</w:t>
      </w:r>
      <w:r>
        <w:rPr>
          <w:rStyle w:val="26"/>
          <w:rFonts w:hint="eastAsia" w:ascii="宋体" w:hAnsi="宋体" w:eastAsia="宋体" w:cs="宋体"/>
          <w:color w:val="auto"/>
          <w:kern w:val="0"/>
          <w:sz w:val="24"/>
          <w:szCs w:val="24"/>
          <w:highlight w:val="none"/>
        </w:rPr>
        <w:t>。</w:t>
      </w:r>
    </w:p>
    <w:p w14:paraId="1A848516">
      <w:pPr>
        <w:pStyle w:val="29"/>
        <w:keepNext w:val="0"/>
        <w:keepLines w:val="0"/>
        <w:pageBreakBefore w:val="0"/>
        <w:widowControl w:val="0"/>
        <w:kinsoku/>
        <w:overflowPunct/>
        <w:topLinePunct w:val="0"/>
        <w:autoSpaceDE/>
        <w:autoSpaceDN/>
        <w:bidi w:val="0"/>
        <w:adjustRightInd/>
        <w:snapToGrid/>
        <w:spacing w:line="360" w:lineRule="auto"/>
        <w:ind w:firstLine="482" w:firstLineChars="200"/>
        <w:jc w:val="both"/>
        <w:textAlignment w:val="baseline"/>
        <w:rPr>
          <w:rStyle w:val="26"/>
          <w:rFonts w:hint="eastAsia" w:ascii="宋体" w:hAnsi="宋体" w:eastAsia="宋体" w:cs="宋体"/>
          <w:b/>
          <w:bCs/>
          <w:color w:val="auto"/>
          <w:sz w:val="24"/>
          <w:szCs w:val="24"/>
          <w:highlight w:val="none"/>
        </w:rPr>
      </w:pPr>
      <w:bookmarkStart w:id="67" w:name="_Toc28154"/>
      <w:bookmarkStart w:id="68" w:name="_Toc257031159"/>
      <w:bookmarkStart w:id="69" w:name="_Toc28294"/>
      <w:bookmarkStart w:id="70" w:name="_Toc23762"/>
      <w:bookmarkStart w:id="71" w:name="_Toc14523"/>
      <w:bookmarkStart w:id="72" w:name="_Toc274313880"/>
      <w:bookmarkStart w:id="73" w:name="_Toc11533"/>
      <w:r>
        <w:rPr>
          <w:rStyle w:val="26"/>
          <w:rFonts w:hint="eastAsia" w:ascii="宋体" w:hAnsi="宋体" w:eastAsia="宋体" w:cs="宋体"/>
          <w:b/>
          <w:bCs/>
          <w:color w:val="auto"/>
          <w:sz w:val="24"/>
          <w:szCs w:val="24"/>
          <w:highlight w:val="none"/>
        </w:rPr>
        <w:t>10.2 商务标书的编制要求</w:t>
      </w:r>
      <w:bookmarkEnd w:id="67"/>
      <w:bookmarkEnd w:id="68"/>
      <w:bookmarkEnd w:id="69"/>
      <w:bookmarkEnd w:id="70"/>
      <w:bookmarkEnd w:id="71"/>
      <w:bookmarkEnd w:id="72"/>
      <w:bookmarkEnd w:id="73"/>
    </w:p>
    <w:p w14:paraId="151AC7F1">
      <w:pPr>
        <w:pStyle w:val="29"/>
        <w:keepNext w:val="0"/>
        <w:keepLines w:val="0"/>
        <w:pageBreakBefore w:val="0"/>
        <w:widowControl w:val="0"/>
        <w:kinsoku/>
        <w:overflowPunct/>
        <w:topLinePunct w:val="0"/>
        <w:autoSpaceDE/>
        <w:autoSpaceDN/>
        <w:bidi w:val="0"/>
        <w:adjustRightInd/>
        <w:snapToGrid/>
        <w:spacing w:line="360" w:lineRule="auto"/>
        <w:ind w:firstLine="482" w:firstLineChars="200"/>
        <w:jc w:val="both"/>
        <w:textAlignment w:val="baseline"/>
        <w:rPr>
          <w:rStyle w:val="26"/>
          <w:rFonts w:hint="eastAsia" w:ascii="宋体" w:hAnsi="宋体" w:eastAsia="宋体" w:cs="宋体"/>
          <w:color w:val="auto"/>
          <w:sz w:val="24"/>
          <w:szCs w:val="24"/>
          <w:highlight w:val="none"/>
        </w:rPr>
      </w:pPr>
      <w:r>
        <w:rPr>
          <w:rStyle w:val="26"/>
          <w:rFonts w:hint="eastAsia" w:ascii="宋体" w:hAnsi="宋体" w:eastAsia="宋体" w:cs="宋体"/>
          <w:b/>
          <w:bCs/>
          <w:color w:val="auto"/>
          <w:sz w:val="24"/>
          <w:szCs w:val="24"/>
          <w:highlight w:val="none"/>
        </w:rPr>
        <w:t xml:space="preserve">10.2.1 </w:t>
      </w:r>
      <w:r>
        <w:rPr>
          <w:rStyle w:val="26"/>
          <w:rFonts w:hint="eastAsia" w:ascii="宋体" w:hAnsi="宋体" w:eastAsia="宋体" w:cs="宋体"/>
          <w:color w:val="auto"/>
          <w:sz w:val="24"/>
          <w:szCs w:val="24"/>
          <w:highlight w:val="none"/>
        </w:rPr>
        <w:t>商务标书包括但不限于以下内容：</w:t>
      </w:r>
    </w:p>
    <w:p w14:paraId="4AF6200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295C1F6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27FE4DE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0791748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54909A9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5297B96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35805F2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（7）《联合体协议书》（格式六）及所附资料；</w:t>
      </w:r>
    </w:p>
    <w:p w14:paraId="6748D4F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z w:val="24"/>
          <w:szCs w:val="24"/>
          <w:highlight w:val="none"/>
        </w:rPr>
        <w:t>《韶关市公共资源交易一体化平台保证金缴纳信息》</w:t>
      </w:r>
      <w:r>
        <w:rPr>
          <w:rFonts w:hint="eastAsia" w:ascii="宋体" w:hAnsi="宋体" w:eastAsia="宋体" w:cs="宋体"/>
          <w:b/>
          <w:bCs/>
          <w:snapToGrid w:val="0"/>
          <w:color w:val="auto"/>
          <w:kern w:val="0"/>
          <w:sz w:val="24"/>
          <w:szCs w:val="24"/>
          <w:highlight w:val="none"/>
        </w:rPr>
        <w:t>页面截图</w:t>
      </w:r>
      <w:r>
        <w:rPr>
          <w:rFonts w:hint="eastAsia" w:ascii="宋体" w:hAnsi="宋体" w:eastAsia="宋体" w:cs="宋体"/>
          <w:snapToGrid w:val="0"/>
          <w:color w:val="auto"/>
          <w:kern w:val="0"/>
          <w:sz w:val="24"/>
          <w:szCs w:val="24"/>
          <w:highlight w:val="none"/>
        </w:rPr>
        <w:t>）；</w:t>
      </w:r>
    </w:p>
    <w:p w14:paraId="182F84F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（9）《投标人基本情况表》（格式七）及所附资料；</w:t>
      </w:r>
    </w:p>
    <w:p w14:paraId="751BD21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（10）《项目经理简历表》（格式八）及所附资料；</w:t>
      </w:r>
    </w:p>
    <w:p w14:paraId="61B2369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（11）《项目经理任职声明》（格式九）；</w:t>
      </w:r>
    </w:p>
    <w:p w14:paraId="7E069A5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（12）《项目技术负责人简历表》（格式十）及所附资料；</w:t>
      </w:r>
    </w:p>
    <w:p w14:paraId="0BD45E2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）《项目管理机构组成表》（格式十</w:t>
      </w:r>
      <w:r>
        <w:rPr>
          <w:rFonts w:hint="eastAsia" w:ascii="宋体" w:hAnsi="宋体" w:eastAsia="宋体" w:cs="宋体"/>
          <w:snapToGrid w:val="0"/>
          <w:color w:val="auto"/>
          <w:kern w:val="0"/>
          <w:sz w:val="24"/>
          <w:szCs w:val="24"/>
          <w:highlight w:val="none"/>
          <w:lang w:val="en-US" w:eastAsia="zh-CN"/>
        </w:rPr>
        <w:t>一</w:t>
      </w:r>
      <w:r>
        <w:rPr>
          <w:rFonts w:hint="eastAsia" w:ascii="宋体" w:hAnsi="宋体" w:eastAsia="宋体" w:cs="宋体"/>
          <w:snapToGrid w:val="0"/>
          <w:color w:val="auto"/>
          <w:kern w:val="0"/>
          <w:sz w:val="24"/>
          <w:szCs w:val="24"/>
          <w:highlight w:val="none"/>
        </w:rPr>
        <w:t>）及所附资料；</w:t>
      </w:r>
    </w:p>
    <w:p w14:paraId="0687332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w:t>
      </w:r>
      <w:r>
        <w:rPr>
          <w:rFonts w:hint="eastAsia" w:ascii="宋体" w:hAnsi="宋体" w:eastAsia="宋体" w:cs="宋体"/>
          <w:b/>
          <w:snapToGrid w:val="0"/>
          <w:color w:val="auto"/>
          <w:sz w:val="24"/>
          <w:szCs w:val="24"/>
          <w:highlight w:val="none"/>
        </w:rPr>
        <w:t xml:space="preserve"> </w:t>
      </w:r>
      <w:r>
        <w:rPr>
          <w:rFonts w:hint="eastAsia" w:ascii="宋体" w:hAnsi="宋体" w:eastAsia="宋体" w:cs="宋体"/>
          <w:b w:val="0"/>
          <w:snapToGrid w:val="0"/>
          <w:color w:val="auto"/>
          <w:kern w:val="0"/>
          <w:sz w:val="24"/>
          <w:szCs w:val="24"/>
          <w:highlight w:val="none"/>
        </w:rPr>
        <w:t>共管账户承诺书</w:t>
      </w:r>
      <w:r>
        <w:rPr>
          <w:rFonts w:hint="eastAsia" w:ascii="宋体" w:hAnsi="宋体" w:eastAsia="宋体" w:cs="宋体"/>
          <w:snapToGrid w:val="0"/>
          <w:color w:val="auto"/>
          <w:kern w:val="0"/>
          <w:sz w:val="24"/>
          <w:szCs w:val="24"/>
          <w:highlight w:val="none"/>
        </w:rPr>
        <w:t>（格式十</w:t>
      </w:r>
      <w:r>
        <w:rPr>
          <w:rFonts w:hint="eastAsia" w:ascii="宋体" w:hAnsi="宋体" w:eastAsia="宋体" w:cs="宋体"/>
          <w:snapToGrid w:val="0"/>
          <w:color w:val="auto"/>
          <w:kern w:val="0"/>
          <w:sz w:val="24"/>
          <w:szCs w:val="24"/>
          <w:highlight w:val="none"/>
          <w:lang w:val="en-US" w:eastAsia="zh-CN"/>
        </w:rPr>
        <w:t>五</w:t>
      </w:r>
      <w:r>
        <w:rPr>
          <w:rFonts w:hint="eastAsia" w:ascii="宋体" w:hAnsi="宋体" w:eastAsia="宋体" w:cs="宋体"/>
          <w:snapToGrid w:val="0"/>
          <w:color w:val="auto"/>
          <w:kern w:val="0"/>
          <w:sz w:val="24"/>
          <w:szCs w:val="24"/>
          <w:highlight w:val="none"/>
        </w:rPr>
        <w:t>）</w:t>
      </w:r>
    </w:p>
    <w:p w14:paraId="5FDC1C0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）本节第</w:t>
      </w: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snapToGrid w:val="0"/>
          <w:color w:val="auto"/>
          <w:kern w:val="0"/>
          <w:sz w:val="24"/>
          <w:szCs w:val="24"/>
          <w:highlight w:val="none"/>
        </w:rPr>
        <w:t>目“评标方法”要求提供的评审资料；</w:t>
      </w:r>
    </w:p>
    <w:p w14:paraId="799C031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企业所在省、地级市住建部门或其授权的组织</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机构</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关于企业资质、人员资格有效期自动顺延或延期办理的相关文件等）。</w:t>
      </w:r>
    </w:p>
    <w:p w14:paraId="43E9CE2B">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bCs/>
          <w:snapToGrid w:val="0"/>
          <w:color w:val="auto"/>
          <w:kern w:val="0"/>
          <w:sz w:val="24"/>
          <w:szCs w:val="24"/>
          <w:highlight w:val="none"/>
        </w:rPr>
        <w:t>但非联合体投标的，无需提供第（7）项内容。</w:t>
      </w:r>
    </w:p>
    <w:p w14:paraId="2873B907">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snapToGrid w:val="0"/>
          <w:color w:val="auto"/>
          <w:kern w:val="0"/>
          <w:sz w:val="24"/>
          <w:szCs w:val="24"/>
          <w:highlight w:val="none"/>
        </w:rPr>
        <w:t xml:space="preserve"> 商务标书的组成内容按本节第 10.2.1 目规定的顺序整理、编排后，逐页（页码起始从封面开始）连续标记页码。</w:t>
      </w:r>
    </w:p>
    <w:p w14:paraId="2EA631BE">
      <w:pPr>
        <w:pStyle w:val="29"/>
        <w:keepNext w:val="0"/>
        <w:keepLines w:val="0"/>
        <w:pageBreakBefore w:val="0"/>
        <w:widowControl w:val="0"/>
        <w:kinsoku/>
        <w:overflowPunct/>
        <w:topLinePunct w:val="0"/>
        <w:autoSpaceDE/>
        <w:autoSpaceDN/>
        <w:bidi w:val="0"/>
        <w:adjustRightInd/>
        <w:snapToGrid/>
        <w:spacing w:line="360" w:lineRule="auto"/>
        <w:ind w:firstLine="482" w:firstLineChars="200"/>
        <w:jc w:val="both"/>
        <w:textAlignment w:val="baseline"/>
        <w:rPr>
          <w:rStyle w:val="26"/>
          <w:rFonts w:hint="eastAsia" w:ascii="宋体" w:hAnsi="宋体" w:eastAsia="宋体" w:cs="宋体"/>
          <w:b/>
          <w:bCs/>
          <w:color w:val="auto"/>
          <w:sz w:val="24"/>
          <w:szCs w:val="24"/>
          <w:highlight w:val="none"/>
        </w:rPr>
      </w:pPr>
      <w:bookmarkStart w:id="74" w:name="_Toc28389"/>
      <w:bookmarkStart w:id="75" w:name="_Toc18154"/>
      <w:bookmarkStart w:id="76" w:name="_Toc29164"/>
      <w:bookmarkStart w:id="77" w:name="_Toc10756"/>
      <w:bookmarkStart w:id="78" w:name="_Toc23486"/>
      <w:bookmarkStart w:id="79" w:name="_Toc4083"/>
      <w:r>
        <w:rPr>
          <w:rStyle w:val="26"/>
          <w:rFonts w:hint="eastAsia" w:ascii="宋体" w:hAnsi="宋体" w:eastAsia="宋体" w:cs="宋体"/>
          <w:b/>
          <w:bCs/>
          <w:color w:val="auto"/>
          <w:sz w:val="24"/>
          <w:szCs w:val="24"/>
          <w:highlight w:val="none"/>
        </w:rPr>
        <w:t>10.3 经济标书的编制要求</w:t>
      </w:r>
      <w:bookmarkEnd w:id="74"/>
      <w:bookmarkEnd w:id="75"/>
      <w:bookmarkEnd w:id="76"/>
      <w:bookmarkEnd w:id="77"/>
      <w:bookmarkEnd w:id="78"/>
      <w:bookmarkEnd w:id="79"/>
    </w:p>
    <w:p w14:paraId="15791A52">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经济标书包括以下内容：</w:t>
      </w:r>
    </w:p>
    <w:p w14:paraId="0EA42AE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0631840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62A9154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rPr>
      </w:pPr>
      <w:bookmarkStart w:id="80" w:name="_Hlt69699579"/>
      <w:bookmarkEnd w:id="80"/>
      <w:r>
        <w:rPr>
          <w:rFonts w:hint="eastAsia" w:ascii="宋体" w:hAnsi="宋体" w:eastAsia="宋体" w:cs="宋体"/>
          <w:color w:val="auto"/>
          <w:sz w:val="24"/>
          <w:szCs w:val="24"/>
          <w:highlight w:val="none"/>
        </w:rPr>
        <w:t>（3）《投标总价》；</w:t>
      </w:r>
    </w:p>
    <w:p w14:paraId="4DAA9AE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说明：《投标总价》的格式按照《建设工程工程量清单计价规范》（</w:t>
      </w:r>
      <w:r>
        <w:rPr>
          <w:rFonts w:hint="eastAsia" w:ascii="宋体" w:hAnsi="宋体" w:eastAsia="宋体" w:cs="宋体"/>
          <w:snapToGrid w:val="0"/>
          <w:color w:val="auto"/>
          <w:kern w:val="0"/>
          <w:sz w:val="24"/>
          <w:szCs w:val="24"/>
          <w:highlight w:val="none"/>
          <w:lang w:eastAsia="zh-CN"/>
        </w:rPr>
        <w:t>GB</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eastAsia="zh-CN"/>
        </w:rPr>
        <w:t>T50500-2024</w:t>
      </w:r>
      <w:r>
        <w:rPr>
          <w:rFonts w:hint="eastAsia" w:ascii="宋体" w:hAnsi="宋体" w:eastAsia="宋体" w:cs="宋体"/>
          <w:snapToGrid w:val="0"/>
          <w:color w:val="auto"/>
          <w:kern w:val="0"/>
          <w:sz w:val="24"/>
          <w:szCs w:val="24"/>
          <w:highlight w:val="none"/>
        </w:rPr>
        <w:t>）执行，并应满足以下要求：</w:t>
      </w:r>
    </w:p>
    <w:p w14:paraId="245D3531">
      <w:pPr>
        <w:keepNext w:val="0"/>
        <w:keepLines w:val="0"/>
        <w:pageBreakBefore w:val="0"/>
        <w:widowControl w:val="0"/>
        <w:suppressLineNumbers w:val="0"/>
        <w:kinsoku/>
        <w:overflowPunct/>
        <w:topLinePunct w:val="0"/>
        <w:autoSpaceDE/>
        <w:autoSpaceDN/>
        <w:bidi w:val="0"/>
        <w:adjustRightInd/>
        <w:snapToGrid/>
        <w:spacing w:line="360" w:lineRule="auto"/>
        <w:ind w:firstLine="482" w:firstLineChars="200"/>
        <w:jc w:val="lef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b/>
          <w:bCs/>
          <w:snapToGrid w:val="0"/>
          <w:color w:val="auto"/>
          <w:kern w:val="0"/>
          <w:sz w:val="24"/>
          <w:szCs w:val="24"/>
          <w:highlight w:val="none"/>
        </w:rPr>
        <w:t>《投标总价扉页》后应附编制人的造价工程师注册证书</w:t>
      </w:r>
      <w:r>
        <w:rPr>
          <w:rFonts w:hint="eastAsia" w:ascii="宋体" w:hAnsi="宋体" w:eastAsia="宋体" w:cs="宋体"/>
          <w:b/>
          <w:bCs/>
          <w:snapToGrid w:val="0"/>
          <w:color w:val="auto"/>
          <w:kern w:val="0"/>
          <w:sz w:val="24"/>
          <w:szCs w:val="24"/>
          <w:highlight w:val="none"/>
          <w:lang w:val="en-US" w:eastAsia="zh-CN"/>
        </w:rPr>
        <w:t>彩色扫描件</w:t>
      </w:r>
      <w:r>
        <w:rPr>
          <w:rFonts w:hint="eastAsia" w:ascii="宋体" w:hAnsi="宋体" w:eastAsia="宋体" w:cs="宋体"/>
          <w:b/>
          <w:bCs/>
          <w:snapToGrid w:val="0"/>
          <w:color w:val="auto"/>
          <w:kern w:val="0"/>
          <w:sz w:val="24"/>
          <w:szCs w:val="24"/>
          <w:highlight w:val="none"/>
        </w:rPr>
        <w:t>（须复印或打印至变更注册栏</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bidi="ar"/>
        </w:rPr>
        <w:t>一级造价师或二级造价师均可提供电子证书</w:t>
      </w:r>
      <w:r>
        <w:rPr>
          <w:rFonts w:hint="eastAsia" w:ascii="宋体" w:hAnsi="宋体" w:eastAsia="宋体" w:cs="宋体"/>
          <w:b/>
          <w:bCs/>
          <w:snapToGrid w:val="0"/>
          <w:color w:val="auto"/>
          <w:kern w:val="0"/>
          <w:sz w:val="24"/>
          <w:szCs w:val="24"/>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b/>
          <w:bCs/>
          <w:snapToGrid w:val="0"/>
          <w:color w:val="auto"/>
          <w:kern w:val="0"/>
          <w:sz w:val="24"/>
          <w:szCs w:val="24"/>
          <w:highlight w:val="none"/>
          <w:lang w:val="en-US" w:eastAsia="zh-CN"/>
        </w:rPr>
        <w:t>彩色扫描件</w:t>
      </w:r>
      <w:r>
        <w:rPr>
          <w:rFonts w:hint="eastAsia" w:ascii="宋体" w:hAnsi="宋体" w:eastAsia="宋体" w:cs="宋体"/>
          <w:b/>
          <w:bCs/>
          <w:snapToGrid w:val="0"/>
          <w:color w:val="auto"/>
          <w:kern w:val="0"/>
          <w:sz w:val="24"/>
          <w:szCs w:val="24"/>
          <w:highlight w:val="none"/>
        </w:rPr>
        <w:t>。</w:t>
      </w:r>
    </w:p>
    <w:p w14:paraId="79DF9296">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b/>
          <w:bCs/>
          <w:snapToGrid w:val="0"/>
          <w:color w:val="auto"/>
          <w:kern w:val="0"/>
          <w:sz w:val="24"/>
          <w:szCs w:val="24"/>
          <w:highlight w:val="none"/>
        </w:rPr>
        <w:t>投标人认为有必要补充的其他资料（例如关于投标总价下浮率超过15%的书面说明和佐证材料）。</w:t>
      </w:r>
    </w:p>
    <w:p w14:paraId="5A654F07">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目中所列出的经济标书组成内容中，第（1）至第（3）项所有投标人均应提供</w:t>
      </w:r>
      <w:bookmarkStart w:id="81" w:name="_Hlt145127239"/>
      <w:bookmarkEnd w:id="81"/>
      <w:r>
        <w:rPr>
          <w:rFonts w:hint="eastAsia" w:ascii="宋体" w:hAnsi="宋体" w:eastAsia="宋体" w:cs="宋体"/>
          <w:snapToGrid w:val="0"/>
          <w:color w:val="auto"/>
          <w:kern w:val="0"/>
          <w:sz w:val="24"/>
          <w:szCs w:val="24"/>
          <w:highlight w:val="none"/>
        </w:rPr>
        <w:t>。</w:t>
      </w:r>
    </w:p>
    <w:p w14:paraId="55C16071">
      <w:pPr>
        <w:pStyle w:val="7"/>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rPr>
        <w:t>10.3.3</w:t>
      </w:r>
      <w:r>
        <w:rPr>
          <w:rFonts w:hint="eastAsia" w:ascii="宋体" w:hAnsi="宋体" w:eastAsia="宋体" w:cs="宋体"/>
          <w:b/>
          <w:bCs/>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val="en-US" w:eastAsia="zh-CN" w:bidi="ar-SA"/>
        </w:rPr>
        <w:t>经济标书的组成内容按本节第10.3.1目规定的顺序整理、编排后，逐页（页码起始从封面开始）连续标记页码，作成一个PDF格式电子文件。</w:t>
      </w:r>
    </w:p>
    <w:p w14:paraId="4F0588B3">
      <w:pPr>
        <w:pStyle w:val="29"/>
        <w:keepNext w:val="0"/>
        <w:keepLines w:val="0"/>
        <w:pageBreakBefore w:val="0"/>
        <w:widowControl w:val="0"/>
        <w:kinsoku/>
        <w:overflowPunct/>
        <w:topLinePunct w:val="0"/>
        <w:autoSpaceDE/>
        <w:autoSpaceDN/>
        <w:bidi w:val="0"/>
        <w:adjustRightInd/>
        <w:snapToGrid/>
        <w:spacing w:line="360" w:lineRule="auto"/>
        <w:ind w:firstLine="482" w:firstLineChars="200"/>
        <w:jc w:val="both"/>
        <w:textAlignment w:val="baseline"/>
        <w:rPr>
          <w:rStyle w:val="26"/>
          <w:rFonts w:hint="eastAsia" w:ascii="宋体" w:hAnsi="宋体" w:eastAsia="宋体" w:cs="宋体"/>
          <w:b/>
          <w:bCs/>
          <w:color w:val="auto"/>
          <w:sz w:val="24"/>
          <w:szCs w:val="24"/>
          <w:highlight w:val="none"/>
        </w:rPr>
      </w:pPr>
      <w:bookmarkStart w:id="82" w:name="_Toc30191"/>
      <w:bookmarkStart w:id="83" w:name="_Toc3720"/>
      <w:r>
        <w:rPr>
          <w:rStyle w:val="26"/>
          <w:rFonts w:hint="eastAsia" w:ascii="宋体" w:hAnsi="宋体" w:eastAsia="宋体" w:cs="宋体"/>
          <w:b/>
          <w:bCs/>
          <w:color w:val="auto"/>
          <w:sz w:val="24"/>
          <w:szCs w:val="24"/>
          <w:highlight w:val="none"/>
        </w:rPr>
        <w:t>10.4 施工组织设计的编制要求</w:t>
      </w:r>
      <w:bookmarkEnd w:id="82"/>
      <w:bookmarkEnd w:id="83"/>
    </w:p>
    <w:p w14:paraId="2C95229D">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施工组织设计的编制依据包括且不限于</w:t>
      </w:r>
      <w:r>
        <w:rPr>
          <w:rFonts w:hint="eastAsia" w:ascii="宋体" w:hAnsi="宋体" w:eastAsia="宋体" w:cs="宋体"/>
          <w:bCs/>
          <w:snapToGrid w:val="0"/>
          <w:color w:val="auto"/>
          <w:kern w:val="0"/>
          <w:sz w:val="24"/>
          <w:szCs w:val="24"/>
          <w:highlight w:val="none"/>
        </w:rPr>
        <w:t>：</w:t>
      </w:r>
    </w:p>
    <w:p w14:paraId="0DCD82C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73541F6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（2）施工图及相关资料；</w:t>
      </w:r>
    </w:p>
    <w:p w14:paraId="50EA2CE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（3）施工现场情况、工程特点；</w:t>
      </w:r>
    </w:p>
    <w:p w14:paraId="324D6B0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（4）相关法律、法规、规定；</w:t>
      </w:r>
    </w:p>
    <w:p w14:paraId="3E20791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04804C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（6）企业内部标准、工法。</w:t>
      </w:r>
    </w:p>
    <w:p w14:paraId="71AD311E">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10.4.2</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施工组织设计包括但不限于以下内容：</w:t>
      </w:r>
    </w:p>
    <w:p w14:paraId="7D2BE63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678EBD9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64C9BCA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（3）总体概述（包括施工程序总体设想及施工段划分等内容）；</w:t>
      </w:r>
    </w:p>
    <w:p w14:paraId="31C8AB7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2D3068E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（5）质量保证措施（包括质量管理目标；相应保证措施；违约责任承诺等内容）；</w:t>
      </w:r>
    </w:p>
    <w:p w14:paraId="786287B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（6）施工技术措施（包括关键施工技术、工艺及工程项目实施的重点、难点分析和解决方案；新技术应用与承诺等内容）；</w:t>
      </w:r>
    </w:p>
    <w:p w14:paraId="62EA23D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（7）绿色施工、安全防护、文明施工措施计划</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应对建设单位组织的勘察设计等单位在施工招标文件中列出的危大工程清单</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详见格式十三</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进行投标文件回应</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w:t>
      </w:r>
    </w:p>
    <w:p w14:paraId="5975EEB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7D095AA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（9）项目管理机构。</w:t>
      </w:r>
    </w:p>
    <w:p w14:paraId="253C82F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（10）投标人认为有必要补充的其他内容。</w:t>
      </w:r>
      <w:r>
        <w:rPr>
          <w:rFonts w:hint="eastAsia" w:ascii="宋体" w:hAnsi="宋体" w:eastAsia="宋体" w:cs="宋体"/>
          <w:snapToGrid w:val="0"/>
          <w:color w:val="auto"/>
          <w:kern w:val="0"/>
          <w:sz w:val="24"/>
          <w:szCs w:val="24"/>
          <w:highlight w:val="none"/>
          <w:lang w:val="en-US" w:eastAsia="zh-CN"/>
        </w:rPr>
        <w:t>（例如对总包管理的认识以及对专业分包工程的管理、协调、配合、服务方案）。</w:t>
      </w:r>
    </w:p>
    <w:p w14:paraId="588689E4">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目中所列出的施工组织设计组成内容中，第（1）至第（9）项所有投标人均应提供。</w:t>
      </w:r>
    </w:p>
    <w:p w14:paraId="775EFC0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10.4.4 施工组织设计的组成内容按本节第10.4.2目规定的顺序整理、编排后，逐页（页码起始从封面开始）连续标记页码，作成一个PDF格式电子文件。</w:t>
      </w:r>
    </w:p>
    <w:p w14:paraId="50D1A212">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8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16FFD52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2E9C0ED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3E10B83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546055F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定标因素评审资料（格式十六）</w:t>
      </w:r>
    </w:p>
    <w:p w14:paraId="692105F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5.5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目中所列出的组成内容中，第（1）至第（</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p>
    <w:bookmarkEnd w:id="84"/>
    <w:p w14:paraId="3DE715C8">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11．电子投标</w:t>
      </w:r>
    </w:p>
    <w:p w14:paraId="0AB92338">
      <w:pPr>
        <w:keepNext w:val="0"/>
        <w:keepLines w:val="0"/>
        <w:pageBreakBefore w:val="0"/>
        <w:widowControl w:val="0"/>
        <w:overflowPunct/>
        <w:topLinePunct w:val="0"/>
        <w:bidi w:val="0"/>
        <w:adjustRightInd/>
        <w:snapToGrid/>
        <w:spacing w:line="360" w:lineRule="auto"/>
        <w:ind w:left="0" w:leftChars="0" w:right="0" w:rightChars="0" w:firstLine="470" w:firstLineChars="200"/>
        <w:jc w:val="both"/>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2"/>
          <w:sz w:val="24"/>
          <w:szCs w:val="24"/>
          <w:highlight w:val="none"/>
        </w:rPr>
        <w:t>在建设工程交易系统上传加盖了电子印章的投标文件、录入相关信息及标书页码信息，（页码起始从封面开始）并提交投标标书。提交标书为已加密投标文件。具体操作参照《韶关市公共资源建设工程交易系统</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245EEFCF">
      <w:pPr>
        <w:keepNext w:val="0"/>
        <w:keepLines w:val="0"/>
        <w:pageBreakBefore w:val="0"/>
        <w:widowControl w:val="0"/>
        <w:wordWrap w:val="0"/>
        <w:topLinePunct w:val="0"/>
        <w:bidi w:val="0"/>
        <w:adjustRightInd/>
        <w:snapToGrid/>
        <w:spacing w:line="360" w:lineRule="auto"/>
        <w:ind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11.2</w:t>
      </w:r>
      <w:r>
        <w:rPr>
          <w:rFonts w:hint="eastAsia" w:ascii="宋体" w:hAnsi="宋体" w:eastAsia="宋体" w:cs="宋体"/>
          <w:color w:val="auto"/>
          <w:spacing w:val="-2"/>
          <w:sz w:val="24"/>
          <w:szCs w:val="24"/>
          <w:highlight w:val="none"/>
        </w:rPr>
        <w:t xml:space="preserve"> 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r>
        <w:rPr>
          <w:rFonts w:hint="eastAsia" w:ascii="宋体" w:hAnsi="宋体" w:eastAsia="宋体" w:cs="宋体"/>
          <w:bCs/>
          <w:snapToGrid w:val="0"/>
          <w:color w:val="auto"/>
          <w:sz w:val="24"/>
          <w:szCs w:val="24"/>
          <w:highlight w:val="none"/>
        </w:rPr>
        <w:t>。</w:t>
      </w:r>
    </w:p>
    <w:p w14:paraId="0F4C7474">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85" w:name="_Toc17508"/>
      <w:r>
        <w:rPr>
          <w:rFonts w:hint="eastAsia" w:ascii="宋体" w:hAnsi="宋体" w:eastAsia="宋体" w:cs="宋体"/>
          <w:b/>
          <w:bCs/>
          <w:color w:val="auto"/>
          <w:kern w:val="0"/>
          <w:sz w:val="24"/>
          <w:szCs w:val="24"/>
          <w:highlight w:val="none"/>
          <w:lang w:val="en-US" w:eastAsia="zh-CN"/>
        </w:rPr>
        <w:t>12．电子投标及投标解密失败及突发情况的补救方案</w:t>
      </w:r>
      <w:bookmarkEnd w:id="85"/>
    </w:p>
    <w:p w14:paraId="13727AA5">
      <w:pPr>
        <w:keepNext w:val="0"/>
        <w:keepLines w:val="0"/>
        <w:pageBreakBefore w:val="0"/>
        <w:widowControl w:val="0"/>
        <w:overflowPunct/>
        <w:topLinePunct w:val="0"/>
        <w:bidi w:val="0"/>
        <w:adjustRightInd/>
        <w:snapToGrid/>
        <w:spacing w:line="360" w:lineRule="auto"/>
        <w:ind w:right="0" w:rightChars="0" w:firstLine="474"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12.1</w:t>
      </w:r>
      <w:r>
        <w:rPr>
          <w:rFonts w:hint="eastAsia" w:ascii="宋体" w:hAnsi="宋体" w:eastAsia="宋体" w:cs="宋体"/>
          <w:color w:val="auto"/>
          <w:spacing w:val="-2"/>
          <w:sz w:val="24"/>
          <w:szCs w:val="24"/>
          <w:highlight w:val="none"/>
        </w:rPr>
        <w:t xml:space="preserve"> 按照交易平台关于全流程电子化项目的相关指南进行</w:t>
      </w:r>
      <w:r>
        <w:rPr>
          <w:rFonts w:hint="eastAsia" w:ascii="宋体" w:hAnsi="宋体" w:eastAsia="宋体" w:cs="宋体"/>
          <w:color w:val="auto"/>
          <w:sz w:val="24"/>
          <w:szCs w:val="24"/>
          <w:highlight w:val="none"/>
        </w:rPr>
        <w:t>操作。详见：全国公共</w:t>
      </w:r>
      <w:bookmarkStart w:id="86" w:name="bookmark122"/>
      <w:bookmarkEnd w:id="86"/>
      <w:r>
        <w:rPr>
          <w:rFonts w:hint="eastAsia" w:ascii="宋体" w:hAnsi="宋体" w:eastAsia="宋体" w:cs="宋体"/>
          <w:color w:val="auto"/>
          <w:sz w:val="24"/>
          <w:szCs w:val="24"/>
          <w:highlight w:val="none"/>
        </w:rPr>
        <w:t>资源交易平台（广东省·韶关市）（https://ygp.gdzwfw.gov.cn/ggzy-portal/#/440200/index）服务指南栏目发布的最新版操作指引。</w:t>
      </w:r>
    </w:p>
    <w:p w14:paraId="6A7B0A83">
      <w:pPr>
        <w:keepNext w:val="0"/>
        <w:keepLines w:val="0"/>
        <w:pageBreakBefore w:val="0"/>
        <w:widowControl w:val="0"/>
        <w:overflowPunct/>
        <w:topLinePunct w:val="0"/>
        <w:bidi w:val="0"/>
        <w:adjustRightInd/>
        <w:snapToGrid/>
        <w:spacing w:line="360" w:lineRule="auto"/>
        <w:ind w:right="0" w:rightChars="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31515C2D">
      <w:pPr>
        <w:keepNext w:val="0"/>
        <w:keepLines w:val="0"/>
        <w:pageBreakBefore w:val="0"/>
        <w:widowControl w:val="0"/>
        <w:overflowPunct/>
        <w:topLinePunct w:val="0"/>
        <w:bidi w:val="0"/>
        <w:adjustRightInd/>
        <w:snapToGrid/>
        <w:spacing w:line="360" w:lineRule="auto"/>
        <w:ind w:right="0" w:rightChars="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7D53E341">
      <w:pPr>
        <w:keepNext w:val="0"/>
        <w:keepLines w:val="0"/>
        <w:pageBreakBefore w:val="0"/>
        <w:widowControl w:val="0"/>
        <w:overflowPunct/>
        <w:topLinePunct w:val="0"/>
        <w:bidi w:val="0"/>
        <w:adjustRightInd/>
        <w:snapToGrid/>
        <w:spacing w:line="360" w:lineRule="auto"/>
        <w:ind w:left="0" w:leftChars="0" w:right="0" w:righ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在规定时间内，因投标人之外原因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指网络瘫痪、服务器损坏、交易系统故障短期无法恢复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等导致的电子投标文件解密失败，在开标现场解密环节由代理授权后，解密失败投标人可在建设工程交易系统在规定时间（代理机构授权后 30 分钟内）内重新提交投标文件继续开标程序。</w:t>
      </w:r>
    </w:p>
    <w:p w14:paraId="22D03592">
      <w:pPr>
        <w:keepNext w:val="0"/>
        <w:keepLines w:val="0"/>
        <w:pageBreakBefore w:val="0"/>
        <w:widowControl w:val="0"/>
        <w:overflowPunct/>
        <w:topLinePunct w:val="0"/>
        <w:bidi w:val="0"/>
        <w:adjustRightInd/>
        <w:snapToGrid/>
        <w:spacing w:line="360" w:lineRule="auto"/>
        <w:ind w:left="0" w:leftChars="0" w:right="0" w:rightChars="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2E8DBC75">
      <w:pPr>
        <w:keepNext w:val="0"/>
        <w:keepLines w:val="0"/>
        <w:pageBreakBefore w:val="0"/>
        <w:widowControl w:val="0"/>
        <w:overflowPunct/>
        <w:topLinePunct w:val="0"/>
        <w:bidi w:val="0"/>
        <w:adjustRightInd/>
        <w:snapToGrid/>
        <w:spacing w:line="360" w:lineRule="auto"/>
        <w:ind w:left="0" w:leftChars="0" w:right="0" w:righ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3A76071E">
      <w:pPr>
        <w:keepNext w:val="0"/>
        <w:keepLines w:val="0"/>
        <w:pageBreakBefore w:val="0"/>
        <w:widowControl w:val="0"/>
        <w:overflowPunct/>
        <w:topLinePunct w:val="0"/>
        <w:bidi w:val="0"/>
        <w:adjustRightInd/>
        <w:snapToGrid/>
        <w:spacing w:line="360" w:lineRule="auto"/>
        <w:ind w:left="0" w:leftChars="0" w:right="0" w:rightChars="0" w:firstLine="478"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w:t>
      </w:r>
      <w:r>
        <w:rPr>
          <w:rFonts w:hint="eastAsia" w:ascii="宋体" w:hAnsi="宋体" w:eastAsia="宋体" w:cs="宋体"/>
          <w:color w:val="auto"/>
          <w:spacing w:val="-2"/>
          <w:sz w:val="24"/>
          <w:szCs w:val="24"/>
          <w:highlight w:val="none"/>
        </w:rPr>
        <w:t>联合体投标的，由联合体牵头</w:t>
      </w:r>
      <w:r>
        <w:rPr>
          <w:rFonts w:hint="eastAsia" w:ascii="宋体" w:hAnsi="宋体" w:eastAsia="宋体" w:cs="宋体"/>
          <w:color w:val="auto"/>
          <w:spacing w:val="-1"/>
          <w:sz w:val="24"/>
          <w:szCs w:val="24"/>
          <w:highlight w:val="none"/>
        </w:rPr>
        <w:t>人）通过交易平台网上递交的电子投标文件为准。</w:t>
      </w:r>
    </w:p>
    <w:p w14:paraId="09E0DE9E">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87" w:name="_Toc12525"/>
      <w:r>
        <w:rPr>
          <w:rFonts w:hint="eastAsia" w:ascii="宋体" w:hAnsi="宋体" w:eastAsia="宋体" w:cs="宋体"/>
          <w:b/>
          <w:bCs/>
          <w:color w:val="auto"/>
          <w:kern w:val="0"/>
          <w:sz w:val="24"/>
          <w:szCs w:val="24"/>
          <w:highlight w:val="none"/>
          <w:lang w:val="en-US" w:eastAsia="zh-CN"/>
        </w:rPr>
        <w:t>13．</w:t>
      </w:r>
      <w:bookmarkEnd w:id="87"/>
      <w:r>
        <w:rPr>
          <w:rFonts w:hint="eastAsia" w:ascii="宋体" w:hAnsi="宋体" w:eastAsia="宋体" w:cs="宋体"/>
          <w:b/>
          <w:bCs/>
          <w:color w:val="auto"/>
          <w:kern w:val="0"/>
          <w:sz w:val="24"/>
          <w:szCs w:val="24"/>
          <w:highlight w:val="none"/>
          <w:lang w:val="en-US" w:eastAsia="zh-CN"/>
        </w:rPr>
        <w:t>投标文件的提交</w:t>
      </w:r>
    </w:p>
    <w:p w14:paraId="7F5A7F3C">
      <w:pPr>
        <w:keepNext w:val="0"/>
        <w:keepLines w:val="0"/>
        <w:pageBreakBefore w:val="0"/>
        <w:widowControl w:val="0"/>
        <w:wordWrap/>
        <w:overflowPunct/>
        <w:topLinePunct w:val="0"/>
        <w:bidi w:val="0"/>
        <w:adjustRightInd/>
        <w:snapToGrid/>
        <w:spacing w:line="360" w:lineRule="auto"/>
        <w:ind w:left="0" w:leftChars="0" w:right="0" w:rightChars="0" w:firstLine="482" w:firstLineChars="20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在投标文件提交截止时间前，投标人通过全国公共资源交易平台（广东省·韶关市）提交已加密投标文件。逾期提交的电子投标文件，全国公共资源交易平台（广东省·韶关市）将予以拒收。</w:t>
      </w:r>
    </w:p>
    <w:p w14:paraId="20F8C5BF">
      <w:pPr>
        <w:keepNext w:val="0"/>
        <w:keepLines w:val="0"/>
        <w:pageBreakBefore w:val="0"/>
        <w:widowControl w:val="0"/>
        <w:wordWrap/>
        <w:overflowPunct/>
        <w:topLinePunct w:val="0"/>
        <w:bidi w:val="0"/>
        <w:adjustRightInd/>
        <w:snapToGrid/>
        <w:spacing w:line="360" w:lineRule="auto"/>
        <w:ind w:left="0" w:leftChars="0" w:right="0" w:rightChars="0" w:firstLine="490" w:firstLineChars="200"/>
        <w:jc w:val="both"/>
        <w:textAlignment w:val="baseline"/>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2"/>
          <w:sz w:val="24"/>
          <w:szCs w:val="24"/>
          <w:highlight w:val="none"/>
          <w:lang w:eastAsia="zh-CN"/>
        </w:rPr>
        <w:t>。</w:t>
      </w:r>
    </w:p>
    <w:p w14:paraId="3D096851">
      <w:pPr>
        <w:keepNext w:val="0"/>
        <w:keepLines w:val="0"/>
        <w:pageBreakBefore w:val="0"/>
        <w:widowControl w:val="0"/>
        <w:wordWrap/>
        <w:overflowPunct/>
        <w:topLinePunct w:val="0"/>
        <w:bidi w:val="0"/>
        <w:adjustRightInd/>
        <w:snapToGrid/>
        <w:spacing w:line="360" w:lineRule="auto"/>
        <w:ind w:left="0" w:leftChars="0" w:right="0" w:rightChars="0" w:firstLine="478"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2"/>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0D8D6717">
      <w:pPr>
        <w:keepNext w:val="0"/>
        <w:keepLines w:val="0"/>
        <w:pageBreakBefore w:val="0"/>
        <w:widowControl w:val="0"/>
        <w:wordWrap/>
        <w:overflowPunct/>
        <w:topLinePunct w:val="0"/>
        <w:bidi w:val="0"/>
        <w:adjustRightInd/>
        <w:snapToGrid/>
        <w:spacing w:line="360" w:lineRule="auto"/>
        <w:ind w:left="0" w:leftChars="0" w:right="0" w:rightChars="0" w:firstLine="47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代理机构对因不可抗力事件造成的投标文件的损坏、丢失的，不承担责任</w:t>
      </w:r>
      <w:r>
        <w:rPr>
          <w:rFonts w:hint="eastAsia" w:ascii="宋体" w:hAnsi="宋体" w:eastAsia="宋体" w:cs="宋体"/>
          <w:color w:val="auto"/>
          <w:spacing w:val="-2"/>
          <w:sz w:val="24"/>
          <w:szCs w:val="24"/>
          <w:highlight w:val="none"/>
        </w:rPr>
        <w:t>。</w:t>
      </w:r>
    </w:p>
    <w:p w14:paraId="1FA4FCDC">
      <w:pPr>
        <w:keepNext w:val="0"/>
        <w:keepLines w:val="0"/>
        <w:pageBreakBefore w:val="0"/>
        <w:widowControl w:val="0"/>
        <w:wordWrap/>
        <w:overflowPunct/>
        <w:topLinePunct w:val="0"/>
        <w:bidi w:val="0"/>
        <w:adjustRightInd/>
        <w:snapToGrid/>
        <w:spacing w:line="360" w:lineRule="auto"/>
        <w:ind w:left="0" w:leftChars="0" w:right="0" w:rightChars="0" w:firstLine="478"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2"/>
          <w:sz w:val="24"/>
          <w:szCs w:val="24"/>
          <w:highlight w:val="none"/>
        </w:rPr>
        <w:t>出现下述情形之一，属于未成功提交投标文件，按无效投标处理：</w:t>
      </w:r>
    </w:p>
    <w:p w14:paraId="4A2C7AF9">
      <w:pPr>
        <w:keepNext w:val="0"/>
        <w:keepLines w:val="0"/>
        <w:pageBreakBefore w:val="0"/>
        <w:widowControl w:val="0"/>
        <w:wordWrap/>
        <w:overflowPunct/>
        <w:topLinePunct w:val="0"/>
        <w:bidi w:val="0"/>
        <w:adjustRightInd/>
        <w:snapToGrid/>
        <w:spacing w:line="360" w:lineRule="auto"/>
        <w:ind w:left="0" w:leftChars="0" w:right="0" w:rightChars="0" w:firstLine="472"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（1）至提交投标文件截止时，投标文件未完整上传及提交标书；</w:t>
      </w:r>
    </w:p>
    <w:p w14:paraId="1CEE8B8A">
      <w:pPr>
        <w:keepNext w:val="0"/>
        <w:keepLines w:val="0"/>
        <w:pageBreakBefore w:val="0"/>
        <w:widowControl w:val="0"/>
        <w:wordWrap/>
        <w:overflowPunct/>
        <w:topLinePunct w:val="0"/>
        <w:bidi w:val="0"/>
        <w:adjustRightInd/>
        <w:snapToGrid/>
        <w:spacing w:line="360" w:lineRule="auto"/>
        <w:ind w:left="0" w:leftChars="0" w:right="0" w:rightChars="0" w:firstLine="472"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（2）解密失败且在规定时间内未重新提交投标文件的；</w:t>
      </w:r>
    </w:p>
    <w:p w14:paraId="1032420C">
      <w:pPr>
        <w:keepNext w:val="0"/>
        <w:keepLines w:val="0"/>
        <w:pageBreakBefore w:val="0"/>
        <w:widowControl w:val="0"/>
        <w:wordWrap/>
        <w:overflowPunct/>
        <w:topLinePunct w:val="0"/>
        <w:bidi w:val="0"/>
        <w:adjustRightInd/>
        <w:snapToGrid/>
        <w:spacing w:line="360" w:lineRule="auto"/>
        <w:ind w:left="0" w:leftChars="0" w:right="0" w:rightChars="0" w:firstLine="472"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183084A9">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8"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BC7B06D">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2"/>
          <w:sz w:val="24"/>
          <w:szCs w:val="24"/>
          <w:highlight w:val="none"/>
          <w:lang w:eastAsia="zh-CN"/>
        </w:rPr>
        <w:t>，</w:t>
      </w:r>
      <w:bookmarkStart w:id="88" w:name="bookmark123"/>
      <w:bookmarkEnd w:id="88"/>
      <w:r>
        <w:rPr>
          <w:rFonts w:hint="eastAsia" w:ascii="宋体" w:hAnsi="宋体" w:eastAsia="宋体" w:cs="宋体"/>
          <w:color w:val="auto"/>
          <w:spacing w:val="-1"/>
          <w:sz w:val="24"/>
          <w:szCs w:val="24"/>
          <w:highlight w:val="none"/>
        </w:rPr>
        <w:t>应向投标人出具标明签收人和签收时间的凭证，并妥善保管。</w:t>
      </w:r>
    </w:p>
    <w:p w14:paraId="749857BA">
      <w:pPr>
        <w:keepNext w:val="0"/>
        <w:keepLines w:val="0"/>
        <w:pageBreakBefore w:val="0"/>
        <w:widowControl w:val="0"/>
        <w:wordWrap/>
        <w:overflowPunct/>
        <w:topLinePunct w:val="0"/>
        <w:bidi w:val="0"/>
        <w:adjustRightInd/>
        <w:snapToGrid/>
        <w:spacing w:line="360" w:lineRule="auto"/>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13.8 </w:t>
      </w:r>
      <w:r>
        <w:rPr>
          <w:rFonts w:hint="eastAsia" w:ascii="宋体" w:hAnsi="宋体" w:eastAsia="宋体" w:cs="宋体"/>
          <w:color w:val="auto"/>
          <w:sz w:val="24"/>
          <w:szCs w:val="24"/>
          <w:highlight w:val="none"/>
        </w:rPr>
        <w:t>本次招标投标有效期为</w:t>
      </w:r>
      <w:r>
        <w:rPr>
          <w:rFonts w:hint="eastAsia" w:ascii="宋体" w:hAnsi="宋体" w:eastAsia="宋体" w:cs="宋体"/>
          <w:color w:val="auto"/>
          <w:sz w:val="24"/>
          <w:szCs w:val="24"/>
          <w:highlight w:val="none"/>
          <w:u w:val="single" w:color="auto"/>
          <w:lang w:val="en-US" w:eastAsia="zh-CN"/>
        </w:rPr>
        <w:t>90</w:t>
      </w:r>
      <w:r>
        <w:rPr>
          <w:rFonts w:hint="eastAsia" w:ascii="宋体" w:hAnsi="宋体" w:eastAsia="宋体" w:cs="宋体"/>
          <w:color w:val="auto"/>
          <w:sz w:val="24"/>
          <w:szCs w:val="24"/>
          <w:highlight w:val="none"/>
        </w:rPr>
        <w:t>个日历天，投标有效期从提交投</w:t>
      </w:r>
      <w:r>
        <w:rPr>
          <w:rFonts w:hint="eastAsia" w:ascii="宋体" w:hAnsi="宋体" w:eastAsia="宋体" w:cs="宋体"/>
          <w:color w:val="auto"/>
          <w:spacing w:val="-1"/>
          <w:sz w:val="24"/>
          <w:szCs w:val="24"/>
          <w:highlight w:val="none"/>
        </w:rPr>
        <w:t>标文件的截止之日起计算</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在此期间，投标人不得撤销或修改其投标文件，否</w:t>
      </w:r>
      <w:r>
        <w:rPr>
          <w:rFonts w:hint="eastAsia" w:ascii="宋体" w:hAnsi="宋体" w:eastAsia="宋体" w:cs="宋体"/>
          <w:color w:val="auto"/>
          <w:spacing w:val="-2"/>
          <w:sz w:val="24"/>
          <w:szCs w:val="24"/>
          <w:highlight w:val="none"/>
        </w:rPr>
        <w:t>则其投标保证不予退</w:t>
      </w:r>
      <w:r>
        <w:rPr>
          <w:rFonts w:hint="eastAsia" w:ascii="宋体" w:hAnsi="宋体" w:eastAsia="宋体" w:cs="宋体"/>
          <w:color w:val="auto"/>
          <w:spacing w:val="-5"/>
          <w:sz w:val="24"/>
          <w:szCs w:val="24"/>
          <w:highlight w:val="none"/>
        </w:rPr>
        <w:t>还</w:t>
      </w:r>
      <w:r>
        <w:rPr>
          <w:rFonts w:hint="eastAsia" w:ascii="宋体" w:hAnsi="宋体" w:eastAsia="宋体" w:cs="宋体"/>
          <w:color w:val="auto"/>
          <w:sz w:val="24"/>
          <w:szCs w:val="24"/>
          <w:highlight w:val="none"/>
        </w:rPr>
        <w:t>。</w:t>
      </w:r>
    </w:p>
    <w:p w14:paraId="761406D3">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89" w:name="_Toc29880"/>
      <w:r>
        <w:rPr>
          <w:rFonts w:hint="eastAsia" w:ascii="宋体" w:hAnsi="宋体" w:eastAsia="宋体" w:cs="宋体"/>
          <w:b/>
          <w:bCs/>
          <w:color w:val="auto"/>
          <w:kern w:val="0"/>
          <w:sz w:val="24"/>
          <w:szCs w:val="24"/>
          <w:highlight w:val="none"/>
          <w:lang w:val="en-US" w:eastAsia="zh-CN"/>
        </w:rPr>
        <w:t>14．开标</w:t>
      </w:r>
      <w:bookmarkEnd w:id="89"/>
    </w:p>
    <w:p w14:paraId="5A6DCC5A">
      <w:pPr>
        <w:keepNext w:val="0"/>
        <w:keepLines w:val="0"/>
        <w:pageBreakBefore w:val="0"/>
        <w:widowControl w:val="0"/>
        <w:overflowPunct/>
        <w:topLinePunct w:val="0"/>
        <w:bidi w:val="0"/>
        <w:adjustRightInd/>
        <w:snapToGrid/>
        <w:spacing w:line="360" w:lineRule="auto"/>
        <w:ind w:left="0" w:leftChars="0" w:right="0" w:rightChars="0" w:firstLine="470"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2"/>
          <w:sz w:val="24"/>
          <w:szCs w:val="24"/>
          <w:highlight w:val="none"/>
        </w:rPr>
        <w:t>招标人邀请所有正确获取招标文件、电子投标、缴纳投标保证的投标人参加开标，投标人可自主决定是否参加。投标人可</w:t>
      </w:r>
      <w:r>
        <w:rPr>
          <w:rFonts w:hint="eastAsia" w:ascii="宋体" w:hAnsi="宋体" w:eastAsia="宋体" w:cs="宋体"/>
          <w:color w:val="auto"/>
          <w:spacing w:val="-2"/>
          <w:sz w:val="24"/>
          <w:szCs w:val="24"/>
          <w:highlight w:val="none"/>
          <w:lang w:eastAsia="zh-CN"/>
        </w:rPr>
        <w:t>登录</w:t>
      </w:r>
      <w:r>
        <w:rPr>
          <w:rFonts w:hint="eastAsia" w:ascii="宋体" w:hAnsi="宋体" w:eastAsia="宋体" w:cs="宋体"/>
          <w:color w:val="auto"/>
          <w:spacing w:val="-2"/>
          <w:sz w:val="24"/>
          <w:szCs w:val="24"/>
          <w:highlight w:val="none"/>
        </w:rPr>
        <w:t>交易平台观看开标实况、提出异议或进行澄清、确认等操作（具体按招标文件和系统操作手册为准）。投标人不参加开标的，视其默认开标结果，以及放弃在开标期间见证、监督、投诉、申辩的权利。</w:t>
      </w:r>
    </w:p>
    <w:p w14:paraId="40AEAEB1">
      <w:pPr>
        <w:keepNext w:val="0"/>
        <w:keepLines w:val="0"/>
        <w:pageBreakBefore w:val="0"/>
        <w:widowControl w:val="0"/>
        <w:overflowPunct/>
        <w:topLinePunct w:val="0"/>
        <w:bidi w:val="0"/>
        <w:adjustRightInd/>
        <w:snapToGrid/>
        <w:spacing w:line="360" w:lineRule="auto"/>
        <w:ind w:right="0" w:rightChars="0"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开标时间和地点：见本章第二节“重要事项时间地点一览表”。</w:t>
      </w:r>
    </w:p>
    <w:p w14:paraId="076731F4">
      <w:pPr>
        <w:keepNext w:val="0"/>
        <w:keepLines w:val="0"/>
        <w:pageBreakBefore w:val="0"/>
        <w:widowControl w:val="0"/>
        <w:overflowPunct/>
        <w:topLinePunct w:val="0"/>
        <w:bidi w:val="0"/>
        <w:adjustRightInd/>
        <w:snapToGrid/>
        <w:spacing w:line="360" w:lineRule="auto"/>
        <w:ind w:right="0" w:rightChars="0" w:firstLine="454"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2"/>
          <w:sz w:val="24"/>
          <w:szCs w:val="24"/>
          <w:highlight w:val="none"/>
        </w:rPr>
        <w:t>开标前24小时，若建设工程交易系统显示缴纳投标保证（包括投标保证金、投标保证担保、投标保证保险）的投标人数量不足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44CDA11C">
      <w:pPr>
        <w:keepNext w:val="0"/>
        <w:keepLines w:val="0"/>
        <w:pageBreakBefore w:val="0"/>
        <w:widowControl w:val="0"/>
        <w:overflowPunct/>
        <w:topLinePunct w:val="0"/>
        <w:bidi w:val="0"/>
        <w:adjustRightInd/>
        <w:snapToGrid/>
        <w:spacing w:line="360" w:lineRule="auto"/>
        <w:ind w:left="0" w:leftChars="0" w:right="0" w:rightChars="0" w:firstLine="474"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14.1.3</w:t>
      </w:r>
      <w:r>
        <w:rPr>
          <w:rFonts w:hint="eastAsia" w:ascii="宋体" w:hAnsi="宋体" w:eastAsia="宋体" w:cs="宋体"/>
          <w:color w:val="auto"/>
          <w:spacing w:val="-2"/>
          <w:sz w:val="24"/>
          <w:szCs w:val="24"/>
          <w:highlight w:val="none"/>
        </w:rPr>
        <w:t xml:space="preserve"> 本项目实行全流程电子化招标投标，投标人在交易平台按要求上传加盖电子印章并经加密的电子投标文件，并在交易平台录入准确的页码信息即可完成在线投标。由于投标人原因导致未按投标</w:t>
      </w:r>
      <w:r>
        <w:rPr>
          <w:rFonts w:hint="eastAsia" w:ascii="宋体" w:hAnsi="宋体" w:eastAsia="宋体" w:cs="宋体"/>
          <w:color w:val="auto"/>
          <w:spacing w:val="-2"/>
          <w:sz w:val="24"/>
          <w:szCs w:val="24"/>
          <w:highlight w:val="none"/>
          <w:lang w:eastAsia="zh-CN"/>
        </w:rPr>
        <w:t>截止</w:t>
      </w:r>
      <w:r>
        <w:rPr>
          <w:rFonts w:hint="eastAsia" w:ascii="宋体" w:hAnsi="宋体" w:eastAsia="宋体" w:cs="宋体"/>
          <w:color w:val="auto"/>
          <w:spacing w:val="-2"/>
          <w:sz w:val="24"/>
          <w:szCs w:val="24"/>
          <w:highlight w:val="none"/>
        </w:rPr>
        <w:t>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7CCA9DA">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4"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14.2</w:t>
      </w:r>
      <w:r>
        <w:rPr>
          <w:rFonts w:hint="eastAsia" w:ascii="宋体" w:hAnsi="宋体" w:eastAsia="宋体" w:cs="宋体"/>
          <w:color w:val="auto"/>
          <w:spacing w:val="-2"/>
          <w:sz w:val="24"/>
          <w:szCs w:val="24"/>
          <w:highlight w:val="none"/>
        </w:rPr>
        <w:t xml:space="preserve"> 开标程序</w:t>
      </w:r>
    </w:p>
    <w:p w14:paraId="7CC9D4C9">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2" w:firstLineChars="200"/>
        <w:jc w:val="both"/>
        <w:textAlignment w:val="baseline"/>
        <w:rPr>
          <w:rFonts w:hint="eastAsia" w:ascii="宋体" w:hAnsi="宋体" w:eastAsia="宋体" w:cs="宋体"/>
          <w:color w:val="auto"/>
          <w:spacing w:val="-2"/>
          <w:sz w:val="24"/>
          <w:szCs w:val="24"/>
          <w:highlight w:val="none"/>
        </w:rPr>
      </w:pPr>
      <w:bookmarkStart w:id="90" w:name="bookmark124"/>
      <w:bookmarkEnd w:id="90"/>
      <w:r>
        <w:rPr>
          <w:rFonts w:hint="eastAsia" w:ascii="宋体" w:hAnsi="宋体" w:eastAsia="宋体" w:cs="宋体"/>
          <w:color w:val="auto"/>
          <w:spacing w:val="-2"/>
          <w:sz w:val="24"/>
          <w:szCs w:val="24"/>
          <w:highlight w:val="none"/>
        </w:rPr>
        <w:t>（1）主持人（招标人代表或招标人授权的招标代理机构人员）宣读开标纪律。</w:t>
      </w:r>
    </w:p>
    <w:p w14:paraId="7639C653">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2"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（2）主持人宣布唱标人、记录人、见证人、监督人等有关人员姓名。</w:t>
      </w:r>
    </w:p>
    <w:p w14:paraId="592AD586">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2" w:firstLineChars="200"/>
        <w:jc w:val="both"/>
        <w:textAlignment w:val="baseline"/>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（3）唱标人公布在投标截止时间前进行投标文件的投标人数量和名称</w:t>
      </w:r>
      <w:r>
        <w:rPr>
          <w:rFonts w:hint="eastAsia" w:ascii="宋体" w:hAnsi="宋体" w:eastAsia="宋体" w:cs="宋体"/>
          <w:color w:val="auto"/>
          <w:spacing w:val="-2"/>
          <w:sz w:val="24"/>
          <w:szCs w:val="24"/>
          <w:highlight w:val="none"/>
          <w:lang w:eastAsia="zh-CN"/>
        </w:rPr>
        <w:t>。</w:t>
      </w:r>
    </w:p>
    <w:p w14:paraId="2B6733E9">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2"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（4）招标代理机构会同交易场所工作人员对投标人的电子投标信息进行解密，建设工程交易系统自动生成《投标保证缴纳情况表》和《开标一览表》。</w:t>
      </w:r>
    </w:p>
    <w:p w14:paraId="03197054">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6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lang w:val="en-US" w:eastAsia="zh-CN"/>
        </w:rPr>
        <w:t>备注</w:t>
      </w:r>
      <w:r>
        <w:rPr>
          <w:rFonts w:hint="eastAsia" w:ascii="宋体" w:hAnsi="宋体" w:eastAsia="宋体" w:cs="宋体"/>
          <w:b/>
          <w:bCs/>
          <w:color w:val="auto"/>
          <w:spacing w:val="-4"/>
          <w:sz w:val="24"/>
          <w:szCs w:val="24"/>
          <w:highlight w:val="none"/>
        </w:rPr>
        <w:t>：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r>
        <w:rPr>
          <w:rFonts w:hint="eastAsia" w:ascii="宋体" w:hAnsi="宋体" w:eastAsia="宋体" w:cs="宋体"/>
          <w:b/>
          <w:bCs/>
          <w:color w:val="auto"/>
          <w:spacing w:val="-3"/>
          <w:sz w:val="24"/>
          <w:szCs w:val="24"/>
          <w:highlight w:val="none"/>
        </w:rPr>
        <w:t>。</w:t>
      </w:r>
    </w:p>
    <w:p w14:paraId="3F6005AA">
      <w:pPr>
        <w:keepNext w:val="0"/>
        <w:keepLines w:val="0"/>
        <w:pageBreakBefore w:val="0"/>
        <w:widowControl w:val="0"/>
        <w:kinsoku w:val="0"/>
        <w:wordWrap/>
        <w:overflowPunct/>
        <w:topLinePunct w:val="0"/>
        <w:autoSpaceDE w:val="0"/>
        <w:autoSpaceDN w:val="0"/>
        <w:bidi w:val="0"/>
        <w:adjustRightInd/>
        <w:snapToGrid/>
        <w:spacing w:line="360" w:lineRule="auto"/>
        <w:ind w:left="0" w:leftChars="0" w:right="0" w:rightChars="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12C08B86">
      <w:pPr>
        <w:keepNext w:val="0"/>
        <w:keepLines w:val="0"/>
        <w:pageBreakBefore w:val="0"/>
        <w:widowControl w:val="0"/>
        <w:wordWrap w:val="0"/>
        <w:overflowPunct/>
        <w:topLinePunct w:val="0"/>
        <w:bidi w:val="0"/>
        <w:adjustRightInd/>
        <w:snapToGrid/>
        <w:spacing w:line="360" w:lineRule="auto"/>
        <w:ind w:firstLine="478" w:firstLineChars="200"/>
        <w:textAlignment w:val="baseline"/>
        <w:rPr>
          <w:rStyle w:val="26"/>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r>
        <w:rPr>
          <w:rFonts w:hint="eastAsia" w:ascii="宋体" w:hAnsi="宋体" w:eastAsia="宋体" w:cs="宋体"/>
          <w:snapToGrid w:val="0"/>
          <w:color w:val="auto"/>
          <w:kern w:val="0"/>
          <w:sz w:val="24"/>
          <w:szCs w:val="24"/>
          <w:highlight w:val="none"/>
        </w:rPr>
        <w:t>。</w:t>
      </w:r>
    </w:p>
    <w:p w14:paraId="64FB72FF">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15．评标</w:t>
      </w:r>
    </w:p>
    <w:p w14:paraId="76012A72">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6D0329D0">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w:t>
      </w:r>
      <w:r>
        <w:rPr>
          <w:rFonts w:hint="eastAsia" w:ascii="宋体" w:hAnsi="宋体" w:eastAsia="宋体" w:cs="宋体"/>
          <w:bCs/>
          <w:snapToGrid w:val="0"/>
          <w:color w:val="auto"/>
          <w:kern w:val="0"/>
          <w:sz w:val="24"/>
          <w:szCs w:val="24"/>
          <w:highlight w:val="none"/>
        </w:rPr>
        <w:t xml:space="preserve"> 评标委员会</w:t>
      </w:r>
    </w:p>
    <w:p w14:paraId="2C06DA1F">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广东省综合评标评审专家库</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3193C98E">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19D2E4D">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35427CB8">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3A59DA4E">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366360BD">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2D946774">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5ED23836">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027E9CE5">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1ED0E2A">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79A947E">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15.2</w:t>
      </w:r>
      <w:r>
        <w:rPr>
          <w:rFonts w:hint="eastAsia" w:ascii="宋体" w:hAnsi="宋体" w:eastAsia="宋体" w:cs="宋体"/>
          <w:bCs/>
          <w:snapToGrid w:val="0"/>
          <w:color w:val="auto"/>
          <w:kern w:val="0"/>
          <w:sz w:val="24"/>
          <w:szCs w:val="24"/>
          <w:highlight w:val="none"/>
        </w:rPr>
        <w:t xml:space="preserve"> 评标方法</w:t>
      </w:r>
    </w:p>
    <w:p w14:paraId="2D9372B6">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4"/>
          <w:szCs w:val="24"/>
          <w:highlight w:val="none"/>
          <w:u w:val="single"/>
        </w:rPr>
        <w:t>综合评估法</w:t>
      </w:r>
      <w:r>
        <w:rPr>
          <w:rFonts w:hint="eastAsia" w:ascii="宋体" w:hAnsi="宋体" w:eastAsia="宋体" w:cs="宋体"/>
          <w:snapToGrid w:val="0"/>
          <w:color w:val="auto"/>
          <w:kern w:val="0"/>
          <w:sz w:val="24"/>
          <w:szCs w:val="24"/>
          <w:highlight w:val="none"/>
        </w:rPr>
        <w:t>进行评标。</w:t>
      </w:r>
    </w:p>
    <w:p w14:paraId="74D3FBBC">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15.3 </w:t>
      </w:r>
      <w:r>
        <w:rPr>
          <w:rFonts w:hint="eastAsia" w:ascii="宋体" w:hAnsi="宋体" w:eastAsia="宋体" w:cs="宋体"/>
          <w:snapToGrid w:val="0"/>
          <w:color w:val="auto"/>
          <w:kern w:val="0"/>
          <w:sz w:val="24"/>
          <w:szCs w:val="24"/>
          <w:highlight w:val="none"/>
        </w:rPr>
        <w:t>评审范围</w:t>
      </w:r>
    </w:p>
    <w:p w14:paraId="2FC37CAA">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15.3.1 评标方法采用“综合评估法”的，评标委员会应对所有投标人的投标文件进行评审。</w:t>
      </w:r>
    </w:p>
    <w:p w14:paraId="381AB677">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w:t>
      </w:r>
      <w:r>
        <w:rPr>
          <w:rFonts w:hint="eastAsia" w:ascii="宋体" w:hAnsi="宋体" w:eastAsia="宋体" w:cs="宋体"/>
          <w:snapToGrid w:val="0"/>
          <w:color w:val="auto"/>
          <w:kern w:val="0"/>
          <w:sz w:val="24"/>
          <w:szCs w:val="24"/>
          <w:highlight w:val="none"/>
        </w:rPr>
        <w:t xml:space="preserve"> 初步评审阶段</w:t>
      </w:r>
    </w:p>
    <w:p w14:paraId="689EE05A">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63084254">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15.4.1</w:t>
      </w:r>
      <w:r>
        <w:rPr>
          <w:rFonts w:hint="eastAsia" w:ascii="宋体" w:hAnsi="宋体" w:eastAsia="宋体" w:cs="宋体"/>
          <w:snapToGrid w:val="0"/>
          <w:color w:val="auto"/>
          <w:kern w:val="0"/>
          <w:sz w:val="24"/>
          <w:szCs w:val="24"/>
          <w:highlight w:val="none"/>
        </w:rPr>
        <w:t xml:space="preserve"> 资格评审环节</w:t>
      </w:r>
    </w:p>
    <w:p w14:paraId="49C12A75">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5C0BE45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如果“禁止投标条款”包括失信惩戒的，投标人信用信息的获取采用现场实时查询的方式实施。由招标代理机构工作人员在评标委员会成员、交易场所工作人员共同见证下，登录信用中国网站（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xml:space="preserve">//www.creditchina.gov.cn），在企业查询界面下载和打印《法人和非法人组织公共信用信息报告》，作为评审依据移交评标委员会。 </w:t>
      </w:r>
    </w:p>
    <w:p w14:paraId="3C8A3BCC">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（2）投标人名称是否与营业执照、资质证书、安全生产许可证一致。</w:t>
      </w:r>
    </w:p>
    <w:p w14:paraId="3F0AD42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（3）投标人的资质是否符合招标文件规定；其营业执照、资质证书、安全生产许可证（</w:t>
      </w:r>
      <w:r>
        <w:rPr>
          <w:rFonts w:hint="eastAsia" w:ascii="宋体" w:hAnsi="宋体" w:eastAsia="宋体" w:cs="宋体"/>
          <w:snapToGrid w:val="0"/>
          <w:color w:val="auto"/>
          <w:kern w:val="0"/>
          <w:sz w:val="24"/>
          <w:szCs w:val="24"/>
          <w:highlight w:val="none"/>
          <w:lang w:eastAsia="zh-CN"/>
        </w:rPr>
        <w:t>含</w:t>
      </w:r>
      <w:r>
        <w:rPr>
          <w:rFonts w:hint="eastAsia" w:ascii="宋体" w:hAnsi="宋体" w:eastAsia="宋体" w:cs="宋体"/>
          <w:snapToGrid w:val="0"/>
          <w:color w:val="auto"/>
          <w:kern w:val="0"/>
          <w:sz w:val="24"/>
          <w:szCs w:val="24"/>
          <w:highlight w:val="none"/>
        </w:rPr>
        <w:t>实时网页查询页</w:t>
      </w:r>
      <w:r>
        <w:rPr>
          <w:rFonts w:hint="eastAsia" w:ascii="宋体" w:hAnsi="宋体" w:eastAsia="宋体" w:cs="宋体"/>
          <w:snapToGrid w:val="0"/>
          <w:color w:val="auto"/>
          <w:kern w:val="0"/>
          <w:sz w:val="24"/>
          <w:szCs w:val="24"/>
          <w:highlight w:val="none"/>
          <w:lang w:eastAsia="zh-CN"/>
        </w:rPr>
        <w:t>，可参考网址https：//zlaq.mohurd.gov.cn/fwmh/bjxcjgl/fwmh/pages/construction_safety/qyaqscxkz/qyaqscxkz</w:t>
      </w:r>
      <w:r>
        <w:rPr>
          <w:rFonts w:hint="eastAsia" w:ascii="宋体" w:hAnsi="宋体" w:eastAsia="宋体" w:cs="宋体"/>
          <w:snapToGrid w:val="0"/>
          <w:color w:val="auto"/>
          <w:kern w:val="0"/>
          <w:sz w:val="24"/>
          <w:szCs w:val="24"/>
          <w:highlight w:val="none"/>
        </w:rPr>
        <w:t>）是否合法、有效、准确。</w:t>
      </w:r>
    </w:p>
    <w:p w14:paraId="74565DF3">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（4）《项目经理简历表》中拟派项目经理是否与《开标一览表》一致。</w:t>
      </w:r>
    </w:p>
    <w:p w14:paraId="0CADD295">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17B60EA8">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A7A5C35">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（7）投标人为外省建筑企业的，是否按规定在“进粤企业和人员诚信信息登记平台”录入企业及其拟派人员有关信息并通过数据规范检查。</w:t>
      </w:r>
    </w:p>
    <w:p w14:paraId="52CA5FD4">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15.4.2</w:t>
      </w:r>
      <w:r>
        <w:rPr>
          <w:rFonts w:hint="eastAsia" w:ascii="宋体" w:hAnsi="宋体" w:eastAsia="宋体" w:cs="宋体"/>
          <w:snapToGrid w:val="0"/>
          <w:color w:val="auto"/>
          <w:kern w:val="0"/>
          <w:sz w:val="24"/>
          <w:szCs w:val="24"/>
          <w:highlight w:val="none"/>
        </w:rPr>
        <w:t xml:space="preserve"> 形式评审环节</w:t>
      </w:r>
    </w:p>
    <w:p w14:paraId="364388E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形式评审事项包括：</w:t>
      </w:r>
    </w:p>
    <w:p w14:paraId="51C0E30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（1）各分册是否按招标文件规定加盖电子印章。</w:t>
      </w:r>
    </w:p>
    <w:p w14:paraId="2305CAE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（2）本节第10.2.2目、第10.3.2目、第10.4.3目中规定的“所有投标人均应提供”的组成内容（包括该组成内容的所附资料）是否完整、齐全。</w:t>
      </w:r>
    </w:p>
    <w:p w14:paraId="6D051B77">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15.4.3</w:t>
      </w:r>
      <w:r>
        <w:rPr>
          <w:rFonts w:hint="eastAsia" w:ascii="宋体" w:hAnsi="宋体" w:eastAsia="宋体" w:cs="宋体"/>
          <w:snapToGrid w:val="0"/>
          <w:color w:val="auto"/>
          <w:kern w:val="0"/>
          <w:sz w:val="24"/>
          <w:szCs w:val="24"/>
          <w:highlight w:val="none"/>
        </w:rPr>
        <w:t xml:space="preserve"> 响应性评审环节</w:t>
      </w:r>
    </w:p>
    <w:p w14:paraId="1B783340">
      <w:pPr>
        <w:keepNext w:val="0"/>
        <w:keepLines w:val="0"/>
        <w:pageBreakBefore w:val="0"/>
        <w:widowControl w:val="0"/>
        <w:kinsoku/>
        <w:wordWrap w:val="0"/>
        <w:overflowPunct/>
        <w:topLinePunct w:val="0"/>
        <w:autoSpaceDE/>
        <w:autoSpaceDN/>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2CEA210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70E3BE6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（2）编制《投标总价》的造价工程师，其注册证书是否合法、有效。</w:t>
      </w:r>
    </w:p>
    <w:p w14:paraId="378F82EA">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（3）投标人委托造价咨询单位编制《投标总价》的，是否在《投标总价扉页》“投标人”栏目加盖造价咨询人公章；是否提供造价咨询人的营业执照彩色扫描件；</w:t>
      </w:r>
    </w:p>
    <w:p w14:paraId="53C15DFA">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（4）投标总价是否唯一；投标总价是否超出最高投标限价；</w:t>
      </w:r>
      <w:r>
        <w:rPr>
          <w:rFonts w:hint="eastAsia" w:ascii="宋体" w:hAnsi="宋体" w:eastAsia="宋体" w:cs="宋体"/>
          <w:snapToGrid w:val="0"/>
          <w:color w:val="auto"/>
          <w:kern w:val="0"/>
          <w:sz w:val="24"/>
          <w:szCs w:val="24"/>
          <w:highlight w:val="none"/>
          <w:lang w:eastAsia="zh-CN"/>
        </w:rPr>
        <w:t>安全生产措施费</w:t>
      </w:r>
      <w:r>
        <w:rPr>
          <w:rFonts w:hint="eastAsia" w:ascii="宋体" w:hAnsi="宋体" w:eastAsia="宋体" w:cs="宋体"/>
          <w:snapToGrid w:val="0"/>
          <w:color w:val="auto"/>
          <w:kern w:val="0"/>
          <w:sz w:val="24"/>
          <w:szCs w:val="24"/>
          <w:highlight w:val="none"/>
        </w:rPr>
        <w:t>是否达到最低要求；暂列金额、暂估价是否按照招标工程量清单统一报价；投标人是否以低于成本的价格竞标。</w:t>
      </w:r>
    </w:p>
    <w:p w14:paraId="64F2B662">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注：如果某投标人的投标总价下浮率超过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snapToGrid w:val="0"/>
          <w:color w:val="auto"/>
          <w:kern w:val="0"/>
          <w:sz w:val="24"/>
          <w:szCs w:val="24"/>
          <w:highlight w:val="none"/>
        </w:rPr>
        <w:t>）×100% 。</w:t>
      </w:r>
    </w:p>
    <w:p w14:paraId="6570A04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（5）施工组织设计的质量、进度保障措施是否符合国家和省市现行有关规范、规定、标准，是否能实现工程质量、进度管理目标。</w:t>
      </w:r>
    </w:p>
    <w:p w14:paraId="13A8537F">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15.4.4</w:t>
      </w:r>
      <w:r>
        <w:rPr>
          <w:rFonts w:hint="eastAsia" w:ascii="宋体" w:hAnsi="宋体" w:eastAsia="宋体" w:cs="宋体"/>
          <w:snapToGrid w:val="0"/>
          <w:color w:val="auto"/>
          <w:kern w:val="0"/>
          <w:sz w:val="24"/>
          <w:szCs w:val="24"/>
          <w:highlight w:val="none"/>
        </w:rPr>
        <w:t xml:space="preserve"> 否决投标说明</w:t>
      </w:r>
    </w:p>
    <w:p w14:paraId="2AE9BE0C">
      <w:pPr>
        <w:keepNext w:val="0"/>
        <w:keepLines w:val="0"/>
        <w:pageBreakBefore w:val="0"/>
        <w:widowControl w:val="0"/>
        <w:topLinePunct w:val="0"/>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kern w:val="0"/>
          <w:sz w:val="24"/>
          <w:szCs w:val="24"/>
          <w:highlight w:val="none"/>
          <w:lang w:val="en-US" w:eastAsia="zh-CN" w:bidi="ar"/>
        </w:rPr>
        <w:t>评标委员会经评审，认为所有投标都不符合招标文件要求的，可否决所有投标，项目的所有投标被否决的，招标人应依法重新组织招标。当在初步评审阶段任何环节，有效投标人数量不足3个时，招标人应依法重新组织招标。</w:t>
      </w:r>
    </w:p>
    <w:p w14:paraId="29069AE1">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bCs/>
          <w:snapToGrid w:val="0"/>
          <w:color w:val="auto"/>
          <w:kern w:val="0"/>
          <w:sz w:val="24"/>
          <w:szCs w:val="24"/>
          <w:highlight w:val="none"/>
        </w:rPr>
        <w:t xml:space="preserve"> “综合评估法”评审程序</w:t>
      </w:r>
    </w:p>
    <w:p w14:paraId="1F6908BF">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评审内容分为商务技术和投标报价两大部分。其中，商务技术合计满分</w:t>
      </w:r>
      <w:r>
        <w:rPr>
          <w:rFonts w:hint="eastAsia" w:ascii="宋体" w:hAnsi="宋体" w:eastAsia="宋体" w:cs="宋体"/>
          <w:snapToGrid w:val="0"/>
          <w:color w:val="auto"/>
          <w:kern w:val="0"/>
          <w:sz w:val="24"/>
          <w:szCs w:val="24"/>
          <w:highlight w:val="none"/>
          <w:u w:val="single"/>
        </w:rPr>
        <w:t xml:space="preserve"> 100</w:t>
      </w:r>
      <w:r>
        <w:rPr>
          <w:rFonts w:hint="eastAsia" w:ascii="宋体" w:hAnsi="宋体" w:eastAsia="宋体" w:cs="宋体"/>
          <w:snapToGrid w:val="0"/>
          <w:color w:val="auto"/>
          <w:kern w:val="0"/>
          <w:sz w:val="24"/>
          <w:szCs w:val="24"/>
          <w:highlight w:val="none"/>
        </w:rPr>
        <w:t>分，权重为</w:t>
      </w:r>
      <w:r>
        <w:rPr>
          <w:rFonts w:hint="eastAsia" w:ascii="宋体" w:hAnsi="宋体" w:eastAsia="宋体" w:cs="宋体"/>
          <w:snapToGrid w:val="0"/>
          <w:color w:val="auto"/>
          <w:kern w:val="0"/>
          <w:sz w:val="24"/>
          <w:szCs w:val="24"/>
          <w:highlight w:val="none"/>
          <w:u w:val="single"/>
        </w:rPr>
        <w:t xml:space="preserve"> 40 </w:t>
      </w:r>
      <w:r>
        <w:rPr>
          <w:rFonts w:hint="eastAsia" w:ascii="宋体" w:hAnsi="宋体" w:eastAsia="宋体" w:cs="宋体"/>
          <w:snapToGrid w:val="0"/>
          <w:color w:val="auto"/>
          <w:kern w:val="0"/>
          <w:sz w:val="24"/>
          <w:szCs w:val="24"/>
          <w:highlight w:val="none"/>
        </w:rPr>
        <w:t>%；投标报价满分100分，权重为</w:t>
      </w:r>
      <w:r>
        <w:rPr>
          <w:rFonts w:hint="eastAsia" w:ascii="宋体" w:hAnsi="宋体" w:eastAsia="宋体" w:cs="宋体"/>
          <w:snapToGrid w:val="0"/>
          <w:color w:val="auto"/>
          <w:kern w:val="0"/>
          <w:sz w:val="24"/>
          <w:szCs w:val="24"/>
          <w:highlight w:val="none"/>
          <w:u w:val="single"/>
        </w:rPr>
        <w:t xml:space="preserve"> 60 </w:t>
      </w:r>
      <w:r>
        <w:rPr>
          <w:rFonts w:hint="eastAsia" w:ascii="宋体" w:hAnsi="宋体" w:eastAsia="宋体" w:cs="宋体"/>
          <w:snapToGrid w:val="0"/>
          <w:color w:val="auto"/>
          <w:kern w:val="0"/>
          <w:sz w:val="24"/>
          <w:szCs w:val="24"/>
          <w:highlight w:val="none"/>
        </w:rPr>
        <w:t>%。两大部分权重之和应为</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w:t>
      </w:r>
    </w:p>
    <w:p w14:paraId="089CA138">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除特别注明外，综合得分以及商务技术得分、投标报价得分的中间过程计算值和最终值，均按“四舍五入”原则精确到两位小数。</w:t>
      </w:r>
    </w:p>
    <w:p w14:paraId="2418EBB9">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（1）商务技术得分M</w:t>
      </w:r>
    </w:p>
    <w:p w14:paraId="2F67CBE3">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w:t>
      </w:r>
    </w:p>
    <w:p w14:paraId="58DA0C5E">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rPr>
        <w:t>评标委员会各成员独立按照《综合评分表》技术部分（施工组织设计）指定的评分标准对各评分因素进行打分，累加后得出技术评分。将评标委员会所有成员的技术评分去掉一个最高评分和一个最低评分后，取算术平均值，即为某投标人的技术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w:t>
      </w:r>
    </w:p>
    <w:p w14:paraId="5E4A413F">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．M＝M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2</w:t>
      </w:r>
    </w:p>
    <w:p w14:paraId="72C93AC4">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为某投标人的商务得分，M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为某投标人的技术得分。</w:t>
      </w:r>
    </w:p>
    <w:p w14:paraId="19C29757">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（2）投标报价得分N</w:t>
      </w:r>
    </w:p>
    <w:p w14:paraId="431216AD">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rPr>
        <w:t>评标委员会按照《综合评分表》投标报价部分指定的方法计算评标基准价D。</w:t>
      </w:r>
    </w:p>
    <w:p w14:paraId="6AA1F0D3">
      <w:pPr>
        <w:keepNext w:val="0"/>
        <w:keepLines w:val="0"/>
        <w:pageBreakBefore w:val="0"/>
        <w:widowControl w:val="0"/>
        <w:kinsoku/>
        <w:wordWrap w:val="0"/>
        <w:overflowPunct/>
        <w:topLinePunct w:val="0"/>
        <w:bidi w:val="0"/>
        <w:adjustRightInd/>
        <w:snapToGrid/>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w:t>
      </w:r>
      <w:r>
        <w:rPr>
          <w:rFonts w:hint="eastAsia" w:ascii="宋体" w:hAnsi="宋体" w:eastAsia="宋体" w:cs="宋体"/>
          <w:b/>
          <w:bCs/>
          <w:snapToGrid w:val="0"/>
          <w:color w:val="auto"/>
          <w:kern w:val="0"/>
          <w:sz w:val="24"/>
          <w:szCs w:val="24"/>
          <w:highlight w:val="none"/>
        </w:rPr>
        <w:t>1分</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xml:space="preserve"> 每低于评标基准价一个百分点扣</w:t>
      </w:r>
      <w:r>
        <w:rPr>
          <w:rFonts w:hint="eastAsia" w:ascii="宋体" w:hAnsi="宋体" w:eastAsia="宋体" w:cs="宋体"/>
          <w:b/>
          <w:bCs/>
          <w:snapToGrid w:val="0"/>
          <w:color w:val="auto"/>
          <w:kern w:val="0"/>
          <w:sz w:val="24"/>
          <w:szCs w:val="24"/>
          <w:highlight w:val="none"/>
        </w:rPr>
        <w:t>0.5分</w:t>
      </w:r>
      <w:r>
        <w:rPr>
          <w:rFonts w:hint="eastAsia" w:ascii="宋体" w:hAnsi="宋体" w:eastAsia="宋体" w:cs="宋体"/>
          <w:snapToGrid w:val="0"/>
          <w:color w:val="auto"/>
          <w:kern w:val="0"/>
          <w:sz w:val="24"/>
          <w:szCs w:val="24"/>
          <w:highlight w:val="none"/>
        </w:rPr>
        <w:t>，扣完为止。公式如下：</w:t>
      </w:r>
    </w:p>
    <w:p w14:paraId="454E4329">
      <w:pPr>
        <w:keepNext w:val="0"/>
        <w:keepLines w:val="0"/>
        <w:pageBreakBefore w:val="0"/>
        <w:widowControl w:val="0"/>
        <w:kinsoku/>
        <w:wordWrap w:val="0"/>
        <w:overflowPunct/>
        <w:topLinePunct w:val="0"/>
        <w:bidi w:val="0"/>
        <w:adjustRightInd/>
        <w:snapToGrid/>
        <w:spacing w:line="360" w:lineRule="auto"/>
        <w:ind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1FA6B586">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p w14:paraId="2D4BC364">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（3）综合得分</w:t>
      </w:r>
    </w:p>
    <w:p w14:paraId="57AC6291">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259562A6">
      <w:pPr>
        <w:keepNext w:val="0"/>
        <w:keepLines w:val="0"/>
        <w:pageBreakBefore w:val="0"/>
        <w:widowControl w:val="0"/>
        <w:kinsoku/>
        <w:wordWrap w:val="0"/>
        <w:overflowPunct/>
        <w:topLinePunct w:val="0"/>
        <w:bidi w:val="0"/>
        <w:adjustRightInd/>
        <w:snapToGrid/>
        <w:spacing w:line="360" w:lineRule="auto"/>
        <w:ind w:firstLine="480" w:firstLineChars="200"/>
        <w:jc w:val="both"/>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综合得分＝M÷商务技术合计满分×100×商务技术权重＋N×投标报价权重</w:t>
      </w:r>
    </w:p>
    <w:p w14:paraId="511CE01B">
      <w:pPr>
        <w:keepNext w:val="0"/>
        <w:keepLines w:val="0"/>
        <w:pageBreakBefore w:val="0"/>
        <w:widowControl w:val="0"/>
        <w:kinsoku/>
        <w:wordWrap w:val="0"/>
        <w:overflowPunct/>
        <w:topLinePunct w:val="0"/>
        <w:bidi w:val="0"/>
        <w:adjustRightInd/>
        <w:snapToGrid/>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式中：M为商务技术得分，N</w:t>
      </w:r>
      <w:r>
        <w:rPr>
          <w:rFonts w:hint="eastAsia" w:ascii="宋体" w:hAnsi="宋体" w:eastAsia="宋体" w:cs="宋体"/>
          <w:b w:val="0"/>
          <w:bCs w:val="0"/>
          <w:snapToGrid w:val="0"/>
          <w:color w:val="auto"/>
          <w:kern w:val="0"/>
          <w:sz w:val="24"/>
          <w:szCs w:val="24"/>
          <w:highlight w:val="none"/>
        </w:rPr>
        <w:t>为投标报价得分。</w:t>
      </w:r>
    </w:p>
    <w:p w14:paraId="186BE914">
      <w:pPr>
        <w:keepNext w:val="0"/>
        <w:keepLines w:val="0"/>
        <w:pageBreakBefore w:val="0"/>
        <w:widowControl w:val="0"/>
        <w:numPr>
          <w:ilvl w:val="0"/>
          <w:numId w:val="0"/>
        </w:numPr>
        <w:wordWrap w:val="0"/>
        <w:topLinePunct w:val="0"/>
        <w:bidi w:val="0"/>
        <w:adjustRightInd/>
        <w:snapToGrid/>
        <w:spacing w:line="360" w:lineRule="auto"/>
        <w:ind w:firstLine="480" w:firstLineChars="20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bidi="ar-SA"/>
        </w:rPr>
        <w:t>（4）</w:t>
      </w:r>
      <w:r>
        <w:rPr>
          <w:rFonts w:hint="eastAsia" w:ascii="宋体" w:hAnsi="宋体" w:eastAsia="宋体" w:cs="宋体"/>
          <w:b w:val="0"/>
          <w:bCs w:val="0"/>
          <w:snapToGrid w:val="0"/>
          <w:color w:val="auto"/>
          <w:kern w:val="0"/>
          <w:sz w:val="24"/>
          <w:szCs w:val="24"/>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b w:val="0"/>
          <w:bCs w:val="0"/>
          <w:snapToGrid w:val="0"/>
          <w:color w:val="auto"/>
          <w:kern w:val="0"/>
          <w:sz w:val="24"/>
          <w:szCs w:val="24"/>
          <w:highlight w:val="none"/>
          <w:lang w:eastAsia="zh-CN"/>
        </w:rPr>
        <w:t>前</w:t>
      </w:r>
      <w:r>
        <w:rPr>
          <w:rFonts w:hint="eastAsia" w:ascii="宋体" w:hAnsi="宋体" w:eastAsia="宋体" w:cs="宋体"/>
          <w:b w:val="0"/>
          <w:bCs w:val="0"/>
          <w:snapToGrid w:val="0"/>
          <w:color w:val="auto"/>
          <w:kern w:val="0"/>
          <w:sz w:val="24"/>
          <w:szCs w:val="24"/>
          <w:highlight w:val="none"/>
        </w:rPr>
        <w:t>。</w:t>
      </w:r>
    </w:p>
    <w:p w14:paraId="45931809">
      <w:pPr>
        <w:keepNext w:val="0"/>
        <w:keepLines w:val="0"/>
        <w:pageBreakBefore w:val="0"/>
        <w:widowControl w:val="0"/>
        <w:numPr>
          <w:ilvl w:val="0"/>
          <w:numId w:val="0"/>
        </w:numPr>
        <w:wordWrap w:val="0"/>
        <w:topLinePunct w:val="0"/>
        <w:bidi w:val="0"/>
        <w:adjustRightInd/>
        <w:snapToGrid/>
        <w:spacing w:line="360" w:lineRule="auto"/>
        <w:ind w:firstLine="480" w:firstLineChars="200"/>
        <w:jc w:val="lef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rPr>
        <w:t>定标候选人得分只作为评标委员会的推荐依据，不作为定标委员会对中标候选人排序的依据。</w:t>
      </w:r>
      <w:r>
        <w:rPr>
          <w:rFonts w:hint="eastAsia" w:ascii="宋体" w:hAnsi="宋体" w:eastAsia="宋体" w:cs="宋体"/>
          <w:b w:val="0"/>
          <w:bCs w:val="0"/>
          <w:snapToGrid w:val="0"/>
          <w:color w:val="auto"/>
          <w:kern w:val="0"/>
          <w:sz w:val="24"/>
          <w:szCs w:val="24"/>
          <w:highlight w:val="none"/>
          <w:lang w:val="en-US" w:eastAsia="zh-CN"/>
        </w:rPr>
        <w:t>当有效投标人数量不足5名但满足法定要求时，所有通过评审的有效投标人均应作为定标候选人。</w:t>
      </w:r>
    </w:p>
    <w:p w14:paraId="421BDD38">
      <w:pPr>
        <w:rPr>
          <w:rFonts w:hint="eastAsia" w:ascii="宋体" w:hAnsi="宋体" w:eastAsia="宋体" w:cs="宋体"/>
          <w:color w:val="auto"/>
          <w:lang w:val="en-US" w:eastAsia="zh-CN"/>
        </w:rPr>
      </w:pPr>
    </w:p>
    <w:p w14:paraId="3C7780A8">
      <w:pPr>
        <w:rPr>
          <w:rFonts w:hint="eastAsia" w:ascii="宋体" w:hAnsi="宋体" w:eastAsia="宋体" w:cs="宋体"/>
          <w:color w:val="auto"/>
          <w:lang w:val="en-US" w:eastAsia="zh-CN"/>
        </w:rPr>
      </w:pPr>
    </w:p>
    <w:p w14:paraId="27ACEEE1">
      <w:pPr>
        <w:rPr>
          <w:rFonts w:hint="eastAsia" w:ascii="宋体" w:hAnsi="宋体" w:eastAsia="宋体" w:cs="宋体"/>
          <w:color w:val="auto"/>
          <w:lang w:val="en-US" w:eastAsia="zh-CN"/>
        </w:rPr>
      </w:pPr>
    </w:p>
    <w:p w14:paraId="4074E814">
      <w:pPr>
        <w:rPr>
          <w:rFonts w:hint="eastAsia" w:ascii="宋体" w:hAnsi="宋体" w:eastAsia="宋体" w:cs="宋体"/>
          <w:color w:val="auto"/>
          <w:lang w:val="en-US" w:eastAsia="zh-CN"/>
        </w:rPr>
      </w:pPr>
    </w:p>
    <w:p w14:paraId="26D30F85">
      <w:pPr>
        <w:rPr>
          <w:rFonts w:hint="eastAsia" w:ascii="宋体" w:hAnsi="宋体" w:eastAsia="宋体" w:cs="宋体"/>
          <w:color w:val="auto"/>
          <w:lang w:val="en-US" w:eastAsia="zh-CN"/>
        </w:rPr>
      </w:pPr>
    </w:p>
    <w:p w14:paraId="446DFF15">
      <w:pPr>
        <w:rPr>
          <w:rFonts w:hint="eastAsia" w:ascii="宋体" w:hAnsi="宋体" w:eastAsia="宋体" w:cs="宋体"/>
          <w:color w:val="auto"/>
          <w:lang w:val="en-US" w:eastAsia="zh-CN"/>
        </w:rPr>
      </w:pPr>
    </w:p>
    <w:p w14:paraId="2BD6BCDE">
      <w:pPr>
        <w:rPr>
          <w:rFonts w:hint="eastAsia" w:ascii="宋体" w:hAnsi="宋体" w:eastAsia="宋体" w:cs="宋体"/>
          <w:color w:val="auto"/>
          <w:lang w:val="en-US" w:eastAsia="zh-CN"/>
        </w:rPr>
      </w:pPr>
    </w:p>
    <w:p w14:paraId="0E96221B">
      <w:pPr>
        <w:rPr>
          <w:rFonts w:hint="eastAsia" w:ascii="宋体" w:hAnsi="宋体" w:eastAsia="宋体" w:cs="宋体"/>
          <w:color w:val="auto"/>
          <w:lang w:val="en-US" w:eastAsia="zh-CN"/>
        </w:rPr>
      </w:pPr>
    </w:p>
    <w:p w14:paraId="2A9EEB53">
      <w:pPr>
        <w:rPr>
          <w:rFonts w:hint="eastAsia" w:ascii="宋体" w:hAnsi="宋体" w:eastAsia="宋体" w:cs="宋体"/>
          <w:color w:val="auto"/>
          <w:lang w:val="en-US" w:eastAsia="zh-CN"/>
        </w:rPr>
      </w:pPr>
    </w:p>
    <w:p w14:paraId="25D75B13">
      <w:pPr>
        <w:rPr>
          <w:rFonts w:hint="eastAsia" w:ascii="宋体" w:hAnsi="宋体" w:eastAsia="宋体" w:cs="宋体"/>
          <w:color w:val="auto"/>
          <w:lang w:val="en-US" w:eastAsia="zh-CN"/>
        </w:rPr>
      </w:pPr>
    </w:p>
    <w:p w14:paraId="3C494778">
      <w:pPr>
        <w:rPr>
          <w:rFonts w:hint="eastAsia" w:ascii="宋体" w:hAnsi="宋体" w:eastAsia="宋体" w:cs="宋体"/>
          <w:color w:val="auto"/>
          <w:lang w:val="en-US" w:eastAsia="zh-CN"/>
        </w:rPr>
      </w:pPr>
    </w:p>
    <w:p w14:paraId="342559F3">
      <w:pPr>
        <w:rPr>
          <w:rFonts w:hint="eastAsia" w:ascii="宋体" w:hAnsi="宋体" w:eastAsia="宋体" w:cs="宋体"/>
          <w:color w:val="auto"/>
          <w:lang w:val="en-US" w:eastAsia="zh-CN"/>
        </w:rPr>
      </w:pPr>
    </w:p>
    <w:p w14:paraId="42C2EABE">
      <w:pPr>
        <w:rPr>
          <w:rFonts w:hint="eastAsia" w:ascii="宋体" w:hAnsi="宋体" w:eastAsia="宋体" w:cs="宋体"/>
          <w:color w:val="auto"/>
          <w:lang w:val="en-US" w:eastAsia="zh-CN"/>
        </w:rPr>
      </w:pPr>
    </w:p>
    <w:p w14:paraId="18304D2F">
      <w:pPr>
        <w:rPr>
          <w:rFonts w:hint="eastAsia" w:ascii="宋体" w:hAnsi="宋体" w:eastAsia="宋体" w:cs="宋体"/>
          <w:color w:val="auto"/>
          <w:lang w:val="en-US" w:eastAsia="zh-CN"/>
        </w:rPr>
      </w:pPr>
    </w:p>
    <w:p w14:paraId="1A9DC66C">
      <w:pPr>
        <w:rPr>
          <w:rFonts w:hint="eastAsia" w:ascii="宋体" w:hAnsi="宋体" w:eastAsia="宋体" w:cs="宋体"/>
          <w:color w:val="auto"/>
          <w:lang w:val="en-US" w:eastAsia="zh-CN"/>
        </w:rPr>
      </w:pPr>
    </w:p>
    <w:p w14:paraId="743FB17E">
      <w:pPr>
        <w:rPr>
          <w:rFonts w:hint="eastAsia" w:ascii="宋体" w:hAnsi="宋体" w:eastAsia="宋体" w:cs="宋体"/>
          <w:color w:val="auto"/>
          <w:lang w:val="en-US" w:eastAsia="zh-CN"/>
        </w:rPr>
      </w:pPr>
    </w:p>
    <w:p w14:paraId="032D3002">
      <w:pPr>
        <w:rPr>
          <w:rFonts w:hint="eastAsia" w:ascii="宋体" w:hAnsi="宋体" w:eastAsia="宋体" w:cs="宋体"/>
          <w:color w:val="auto"/>
          <w:lang w:val="en-US" w:eastAsia="zh-CN"/>
        </w:rPr>
      </w:pPr>
    </w:p>
    <w:p w14:paraId="649873CA">
      <w:pPr>
        <w:rPr>
          <w:rFonts w:hint="eastAsia" w:ascii="宋体" w:hAnsi="宋体" w:eastAsia="宋体" w:cs="宋体"/>
          <w:color w:val="auto"/>
          <w:lang w:val="en-US" w:eastAsia="zh-CN"/>
        </w:rPr>
      </w:pPr>
    </w:p>
    <w:p w14:paraId="6530DD7F">
      <w:pPr>
        <w:rPr>
          <w:rFonts w:hint="eastAsia" w:ascii="宋体" w:hAnsi="宋体" w:eastAsia="宋体" w:cs="宋体"/>
          <w:color w:val="auto"/>
          <w:lang w:val="en-US" w:eastAsia="zh-CN"/>
        </w:rPr>
      </w:pPr>
    </w:p>
    <w:p w14:paraId="041A381D">
      <w:pPr>
        <w:rPr>
          <w:rFonts w:hint="eastAsia" w:ascii="宋体" w:hAnsi="宋体" w:eastAsia="宋体" w:cs="宋体"/>
          <w:color w:val="auto"/>
          <w:lang w:val="en-US" w:eastAsia="zh-CN"/>
        </w:rPr>
      </w:pPr>
    </w:p>
    <w:p w14:paraId="3CA4CA9B">
      <w:pPr>
        <w:rPr>
          <w:rFonts w:hint="eastAsia" w:ascii="宋体" w:hAnsi="宋体" w:eastAsia="宋体" w:cs="宋体"/>
          <w:color w:val="auto"/>
        </w:rPr>
      </w:pPr>
    </w:p>
    <w:p w14:paraId="1DB431DA">
      <w:pPr>
        <w:jc w:val="center"/>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综合评分表</w:t>
      </w:r>
    </w:p>
    <w:tbl>
      <w:tblPr>
        <w:tblStyle w:val="22"/>
        <w:tblW w:w="10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3695"/>
        <w:gridCol w:w="5111"/>
      </w:tblGrid>
      <w:tr w14:paraId="0DA6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5" w:type="dxa"/>
            <w:gridSpan w:val="3"/>
          </w:tcPr>
          <w:p w14:paraId="7BD947A6">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商务部分，满分：80分。</w:t>
            </w:r>
          </w:p>
        </w:tc>
      </w:tr>
      <w:tr w14:paraId="15AE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092829FF">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评分因素</w:t>
            </w:r>
          </w:p>
        </w:tc>
        <w:tc>
          <w:tcPr>
            <w:tcW w:w="3695" w:type="dxa"/>
            <w:shd w:val="clear" w:color="auto" w:fill="auto"/>
            <w:vAlign w:val="center"/>
          </w:tcPr>
          <w:p w14:paraId="11CFF44B">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评分标准</w:t>
            </w:r>
          </w:p>
        </w:tc>
        <w:tc>
          <w:tcPr>
            <w:tcW w:w="5111" w:type="dxa"/>
            <w:shd w:val="clear" w:color="auto" w:fill="auto"/>
            <w:vAlign w:val="center"/>
          </w:tcPr>
          <w:p w14:paraId="1F1BE431">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备注</w:t>
            </w:r>
          </w:p>
        </w:tc>
      </w:tr>
      <w:tr w14:paraId="0CF3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203EF796">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企业奖项</w:t>
            </w:r>
          </w:p>
          <w:p w14:paraId="34DB81D4">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（10分）</w:t>
            </w:r>
          </w:p>
        </w:tc>
        <w:tc>
          <w:tcPr>
            <w:tcW w:w="3695" w:type="dxa"/>
            <w:shd w:val="clear" w:color="auto" w:fill="auto"/>
            <w:vAlign w:val="center"/>
          </w:tcPr>
          <w:p w14:paraId="2B0C3EF8">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企业近5年来（2021年1月1日至今）获得市政工程类奖项情况：</w:t>
            </w:r>
          </w:p>
          <w:p w14:paraId="19DF188B">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1.获得国家级奖项的，每个得8分。</w:t>
            </w:r>
          </w:p>
          <w:p w14:paraId="1E40AB25">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2.获得省级奖项的，每个得6分。</w:t>
            </w:r>
          </w:p>
          <w:p w14:paraId="1D0E74D4">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3.获得地市级奖项的，每个得4分。</w:t>
            </w:r>
          </w:p>
          <w:p w14:paraId="3757D26E">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4.以上奖项均未获得的，不予计分。</w:t>
            </w:r>
          </w:p>
          <w:p w14:paraId="53150B9E">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5.本项最高得10分。</w:t>
            </w:r>
          </w:p>
        </w:tc>
        <w:tc>
          <w:tcPr>
            <w:tcW w:w="5111" w:type="dxa"/>
            <w:shd w:val="clear" w:color="auto" w:fill="auto"/>
            <w:vAlign w:val="center"/>
          </w:tcPr>
          <w:p w14:paraId="6826FC09">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1.允许投标人提交多个业绩，但同一业绩只按最高级别奖项计分一次。</w:t>
            </w:r>
          </w:p>
          <w:p w14:paraId="42E09D8E">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2.需附有关奖项证明彩色扫描件，</w:t>
            </w:r>
            <w:r>
              <w:rPr>
                <w:rFonts w:hint="eastAsia" w:ascii="宋体" w:hAnsi="宋体" w:eastAsia="宋体" w:cs="宋体"/>
                <w:b/>
                <w:bCs/>
                <w:color w:val="auto"/>
                <w:sz w:val="24"/>
                <w:szCs w:val="24"/>
                <w:highlight w:val="none"/>
                <w:lang w:val="en-US" w:eastAsia="zh-CN"/>
              </w:rPr>
              <w:t>同时提供原件供核对</w:t>
            </w:r>
            <w:r>
              <w:rPr>
                <w:rFonts w:hint="eastAsia" w:ascii="宋体" w:hAnsi="宋体" w:eastAsia="宋体" w:cs="宋体"/>
                <w:color w:val="auto"/>
                <w:sz w:val="24"/>
                <w:szCs w:val="24"/>
                <w:highlight w:val="none"/>
                <w:lang w:val="en-US" w:eastAsia="zh-CN"/>
              </w:rPr>
              <w:t>。（奖项为电子证书的除外）</w:t>
            </w:r>
          </w:p>
          <w:p w14:paraId="2ED25CC1">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3.颁发机构限定以下范围：</w:t>
            </w:r>
          </w:p>
          <w:p w14:paraId="2DCF36C2">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①国家级奖项：国务院、住建部、中国建筑业协会；（相关协会需经民政部门备案）</w:t>
            </w:r>
          </w:p>
          <w:p w14:paraId="5CA6C529">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②省级奖项：省级人民政府、省级住建部门、省级市政行业协会；（相关协会需经民政部门备案）</w:t>
            </w:r>
          </w:p>
          <w:p w14:paraId="713F3250">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③地市级奖项：地市级人民政府、地市级住建部门、地市级建筑协会。（相关协会需经民政部门备案）</w:t>
            </w:r>
          </w:p>
          <w:p w14:paraId="641EB7C2">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4.获奖时间以奖项证明的落款日期为准。</w:t>
            </w:r>
          </w:p>
          <w:p w14:paraId="4B28EE6F">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5.任一奖项有以下情形之一的，该奖项视为无效，不予计分：</w:t>
            </w:r>
          </w:p>
          <w:p w14:paraId="697A9CF4">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①未提供奖项原件的；</w:t>
            </w:r>
          </w:p>
          <w:p w14:paraId="36394570">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②奖项不属于指定类别的；</w:t>
            </w:r>
          </w:p>
          <w:p w14:paraId="57C7F455">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③颁发机构不符合要求的；</w:t>
            </w:r>
          </w:p>
          <w:p w14:paraId="02D07CD0">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④获奖时间不符合要求的。</w:t>
            </w:r>
          </w:p>
          <w:p w14:paraId="5358BA95">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说明：以上所称“要求”均指本表评分标准及备注的要求，下同。</w:t>
            </w:r>
          </w:p>
          <w:p w14:paraId="53B85625">
            <w:pPr>
              <w:widowControl w:val="0"/>
              <w:spacing w:line="360" w:lineRule="auto"/>
              <w:rPr>
                <w:rFonts w:hint="eastAsia"/>
                <w:color w:val="auto"/>
                <w:lang w:val="en-US" w:eastAsia="zh-CN"/>
              </w:rPr>
            </w:pP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.组成联合体时，由牵头人提供以上资料。</w:t>
            </w:r>
          </w:p>
        </w:tc>
      </w:tr>
      <w:tr w14:paraId="242F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3C126D46">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项目经理</w:t>
            </w:r>
          </w:p>
          <w:p w14:paraId="42F851B4">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综合素质</w:t>
            </w:r>
          </w:p>
          <w:p w14:paraId="444EEC1E">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（10分）</w:t>
            </w:r>
          </w:p>
        </w:tc>
        <w:tc>
          <w:tcPr>
            <w:tcW w:w="3695" w:type="dxa"/>
            <w:shd w:val="clear" w:color="auto" w:fill="auto"/>
            <w:vAlign w:val="center"/>
          </w:tcPr>
          <w:p w14:paraId="7FFE2DB9">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项目经理工程类技术职称情况：</w:t>
            </w:r>
          </w:p>
          <w:p w14:paraId="7F81E21C">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1.具备工程师或以上职称的，得10分。</w:t>
            </w:r>
          </w:p>
          <w:p w14:paraId="1EC29340">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2.具备助理工程师职称的，得5分。</w:t>
            </w:r>
          </w:p>
          <w:p w14:paraId="5CF5A877">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3.不具备以上职称的，或未提供职称证原件的，不予计分。</w:t>
            </w:r>
          </w:p>
        </w:tc>
        <w:tc>
          <w:tcPr>
            <w:tcW w:w="5111" w:type="dxa"/>
            <w:shd w:val="clear" w:color="auto" w:fill="auto"/>
            <w:vAlign w:val="center"/>
          </w:tcPr>
          <w:p w14:paraId="41CBD443">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1.需附职称证彩色扫描件，</w:t>
            </w:r>
            <w:r>
              <w:rPr>
                <w:rFonts w:hint="eastAsia" w:ascii="宋体" w:hAnsi="宋体" w:eastAsia="宋体" w:cs="宋体"/>
                <w:b/>
                <w:bCs/>
                <w:color w:val="auto"/>
                <w:sz w:val="24"/>
                <w:szCs w:val="24"/>
                <w:highlight w:val="none"/>
                <w:lang w:val="en-US" w:eastAsia="zh-CN"/>
              </w:rPr>
              <w:t>同时提供原件供核对</w:t>
            </w:r>
            <w:r>
              <w:rPr>
                <w:rFonts w:hint="eastAsia" w:ascii="宋体" w:hAnsi="宋体" w:eastAsia="宋体" w:cs="宋体"/>
                <w:color w:val="auto"/>
                <w:sz w:val="24"/>
                <w:szCs w:val="24"/>
                <w:highlight w:val="none"/>
                <w:lang w:val="en-US" w:eastAsia="zh-CN"/>
              </w:rPr>
              <w:t>。（职称证为电子证书打印件的除外）。</w:t>
            </w:r>
          </w:p>
          <w:p w14:paraId="08AEDDAE">
            <w:pPr>
              <w:widowControl w:val="0"/>
              <w:spacing w:line="360" w:lineRule="auto"/>
              <w:rPr>
                <w:rFonts w:hint="eastAsia"/>
                <w:color w:val="auto"/>
                <w:lang w:val="en-US" w:eastAsia="zh-CN"/>
              </w:rPr>
            </w:pPr>
            <w:r>
              <w:rPr>
                <w:rFonts w:hint="eastAsia" w:cs="宋体"/>
                <w:color w:val="auto"/>
                <w:sz w:val="24"/>
                <w:szCs w:val="24"/>
                <w:highlight w:val="none"/>
                <w:lang w:val="en-US" w:eastAsia="zh-CN"/>
              </w:rPr>
              <w:t>2.组成联合体时，由牵头人提供以上资料。</w:t>
            </w:r>
          </w:p>
        </w:tc>
      </w:tr>
      <w:tr w14:paraId="44D6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0DF2E3BC">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企业业绩</w:t>
            </w:r>
          </w:p>
          <w:p w14:paraId="61ABEF46">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（10分）</w:t>
            </w:r>
          </w:p>
        </w:tc>
        <w:tc>
          <w:tcPr>
            <w:tcW w:w="3695" w:type="dxa"/>
            <w:shd w:val="clear" w:color="auto" w:fill="auto"/>
            <w:vAlign w:val="center"/>
          </w:tcPr>
          <w:p w14:paraId="307AAAD4">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企业近5年来（2021年1月1日至今）业绩情况：</w:t>
            </w:r>
          </w:p>
          <w:p w14:paraId="5CD02E02">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1.承接过类似工程的，每个得5分。</w:t>
            </w:r>
          </w:p>
          <w:p w14:paraId="7C0BD632">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2.未承接过类似工程的，不予计分。</w:t>
            </w:r>
          </w:p>
          <w:p w14:paraId="7C0576D9">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3.本项最高得10分。</w:t>
            </w:r>
          </w:p>
        </w:tc>
        <w:tc>
          <w:tcPr>
            <w:tcW w:w="5111" w:type="dxa"/>
            <w:shd w:val="clear" w:color="auto" w:fill="auto"/>
            <w:vAlign w:val="center"/>
          </w:tcPr>
          <w:p w14:paraId="73FF39A3">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1.类似工程指：类似工程指：合同金额≥600万元的市政工程类施工总承包工程或设计、施工总承包工程或勘察、设计、施工总承包工程。</w:t>
            </w:r>
          </w:p>
          <w:p w14:paraId="59220AAA">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2.需附有关业绩（仅限于以施工总承包单位身份参建的项目）合同协议书彩色扫描件，</w:t>
            </w:r>
            <w:r>
              <w:rPr>
                <w:rFonts w:hint="eastAsia" w:ascii="宋体" w:hAnsi="宋体" w:eastAsia="宋体" w:cs="宋体"/>
                <w:b/>
                <w:bCs/>
                <w:color w:val="auto"/>
                <w:sz w:val="24"/>
                <w:szCs w:val="24"/>
                <w:highlight w:val="none"/>
                <w:lang w:val="en-US" w:eastAsia="zh-CN"/>
              </w:rPr>
              <w:t>同时提供原件供核对</w:t>
            </w:r>
            <w:r>
              <w:rPr>
                <w:rFonts w:hint="eastAsia" w:ascii="宋体" w:hAnsi="宋体" w:eastAsia="宋体" w:cs="宋体"/>
                <w:color w:val="auto"/>
                <w:sz w:val="24"/>
                <w:szCs w:val="24"/>
                <w:highlight w:val="none"/>
                <w:lang w:val="en-US" w:eastAsia="zh-CN"/>
              </w:rPr>
              <w:t>。</w:t>
            </w:r>
          </w:p>
          <w:p w14:paraId="65DA4406">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3.业绩时间以合同协议书日期为准。</w:t>
            </w:r>
          </w:p>
          <w:p w14:paraId="0B6DA5C8">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4.任一业绩有以下情形之一的，该业绩视为无效，不予计分：</w:t>
            </w:r>
          </w:p>
          <w:p w14:paraId="5ED7678D">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①未提供业绩证明材料原件的；</w:t>
            </w:r>
          </w:p>
          <w:p w14:paraId="127922B6">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②业绩不属于类似工程的；</w:t>
            </w:r>
          </w:p>
          <w:p w14:paraId="3D57ED98">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③不是以指定身份参建的；</w:t>
            </w:r>
          </w:p>
          <w:p w14:paraId="46AFAC4D">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④业绩时间不符合要求的。</w:t>
            </w:r>
          </w:p>
          <w:p w14:paraId="0B264A37">
            <w:pPr>
              <w:widowControl w:val="0"/>
              <w:spacing w:line="360" w:lineRule="auto"/>
              <w:rPr>
                <w:rFonts w:hint="eastAsia"/>
                <w:color w:val="auto"/>
                <w:lang w:val="en-US" w:eastAsia="zh-CN"/>
              </w:rPr>
            </w:pPr>
            <w:r>
              <w:rPr>
                <w:rFonts w:hint="eastAsia" w:cs="宋体"/>
                <w:color w:val="auto"/>
                <w:sz w:val="24"/>
                <w:szCs w:val="24"/>
                <w:highlight w:val="none"/>
                <w:lang w:val="en-US" w:eastAsia="zh-CN"/>
              </w:rPr>
              <w:t>5.组成联合体时，由牵头人提供以上资料。</w:t>
            </w:r>
          </w:p>
        </w:tc>
      </w:tr>
      <w:tr w14:paraId="7A64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76D26565">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企业银行</w:t>
            </w:r>
          </w:p>
          <w:p w14:paraId="1F6795DD">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资信评级</w:t>
            </w:r>
          </w:p>
          <w:p w14:paraId="7C315FA1">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（5分）</w:t>
            </w:r>
          </w:p>
        </w:tc>
        <w:tc>
          <w:tcPr>
            <w:tcW w:w="3695" w:type="dxa"/>
            <w:shd w:val="clear" w:color="auto" w:fill="auto"/>
            <w:vAlign w:val="center"/>
          </w:tcPr>
          <w:p w14:paraId="601D2C06">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1.银行资信评级AAA的，得5分；</w:t>
            </w:r>
          </w:p>
          <w:p w14:paraId="6DD80683">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2.银行资信评级AA（含AA＋、AA－）的，得4分。</w:t>
            </w:r>
          </w:p>
          <w:p w14:paraId="283119FF">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3.银行资信评级A（含A＋、A－）的，得3分。</w:t>
            </w:r>
          </w:p>
          <w:p w14:paraId="39DF02DA">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4.未获得过以上评级的，或评级证书无效的，不予计分。</w:t>
            </w:r>
          </w:p>
        </w:tc>
        <w:tc>
          <w:tcPr>
            <w:tcW w:w="5111" w:type="dxa"/>
            <w:shd w:val="clear" w:color="auto" w:fill="auto"/>
            <w:vAlign w:val="center"/>
          </w:tcPr>
          <w:p w14:paraId="28C8F009">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1.需附在有效期内的资信评级证书（证明）彩色扫描件，</w:t>
            </w:r>
            <w:r>
              <w:rPr>
                <w:rFonts w:hint="eastAsia" w:ascii="宋体" w:hAnsi="宋体" w:eastAsia="宋体" w:cs="宋体"/>
                <w:b/>
                <w:bCs/>
                <w:color w:val="auto"/>
                <w:sz w:val="24"/>
                <w:szCs w:val="24"/>
                <w:highlight w:val="none"/>
                <w:lang w:val="en-US" w:eastAsia="zh-CN"/>
              </w:rPr>
              <w:t>同时提供原件供核对</w:t>
            </w:r>
            <w:r>
              <w:rPr>
                <w:rFonts w:hint="eastAsia" w:ascii="宋体" w:hAnsi="宋体" w:eastAsia="宋体" w:cs="宋体"/>
                <w:color w:val="auto"/>
                <w:sz w:val="24"/>
                <w:szCs w:val="24"/>
                <w:highlight w:val="none"/>
                <w:lang w:val="en-US" w:eastAsia="zh-CN"/>
              </w:rPr>
              <w:t>。</w:t>
            </w:r>
          </w:p>
          <w:p w14:paraId="42AB243D">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2.评级证书（证明）须由金融机构出具。</w:t>
            </w:r>
          </w:p>
          <w:p w14:paraId="0E787CAD">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3.评级证书（证明）有以下情形之一的，视为无效：</w:t>
            </w:r>
          </w:p>
          <w:p w14:paraId="4BF7BE60">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①未提供评级证书（证明）原件的；</w:t>
            </w:r>
          </w:p>
          <w:p w14:paraId="2002CF2A">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②评级证书（证明）不在有效期内的；</w:t>
            </w:r>
          </w:p>
          <w:p w14:paraId="792FD334">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③出具机构不符合要求的。</w:t>
            </w:r>
          </w:p>
          <w:p w14:paraId="39A86350">
            <w:pPr>
              <w:widowControl w:val="0"/>
              <w:spacing w:line="360" w:lineRule="auto"/>
              <w:rPr>
                <w:rFonts w:hint="eastAsia"/>
                <w:color w:val="auto"/>
                <w:lang w:val="en-US" w:eastAsia="zh-CN"/>
              </w:rPr>
            </w:pPr>
            <w:r>
              <w:rPr>
                <w:rFonts w:hint="eastAsia" w:cs="宋体"/>
                <w:color w:val="auto"/>
                <w:sz w:val="24"/>
                <w:szCs w:val="24"/>
                <w:highlight w:val="none"/>
                <w:lang w:val="en-US" w:eastAsia="zh-CN"/>
              </w:rPr>
              <w:t>4.组成联合体时，由牵头人提供以上资料。</w:t>
            </w:r>
          </w:p>
        </w:tc>
      </w:tr>
      <w:tr w14:paraId="4154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65DBB0AB">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企业管理</w:t>
            </w:r>
          </w:p>
          <w:p w14:paraId="52488B8F">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体系认证</w:t>
            </w:r>
          </w:p>
          <w:p w14:paraId="258E2345">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（9分）</w:t>
            </w:r>
          </w:p>
        </w:tc>
        <w:tc>
          <w:tcPr>
            <w:tcW w:w="3695" w:type="dxa"/>
            <w:shd w:val="clear" w:color="auto" w:fill="auto"/>
            <w:vAlign w:val="center"/>
          </w:tcPr>
          <w:p w14:paraId="1F358022">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1.质量管理体系认证、职业健康安全管理体系认证、环境管理体系认证中，每获得1项认证得3分，最高得9分。</w:t>
            </w:r>
          </w:p>
          <w:p w14:paraId="38D90348">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2.未获得以上认证的，不予计分。</w:t>
            </w:r>
          </w:p>
        </w:tc>
        <w:tc>
          <w:tcPr>
            <w:tcW w:w="5111" w:type="dxa"/>
            <w:shd w:val="clear" w:color="auto" w:fill="auto"/>
            <w:vAlign w:val="center"/>
          </w:tcPr>
          <w:p w14:paraId="1F355EDB">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1.需附在有效期内的认证证书彩色扫描件，</w:t>
            </w:r>
            <w:r>
              <w:rPr>
                <w:rFonts w:hint="eastAsia" w:ascii="宋体" w:hAnsi="宋体" w:eastAsia="宋体" w:cs="宋体"/>
                <w:b/>
                <w:bCs/>
                <w:color w:val="auto"/>
                <w:sz w:val="24"/>
                <w:szCs w:val="24"/>
                <w:highlight w:val="none"/>
                <w:lang w:val="en-US" w:eastAsia="zh-CN"/>
              </w:rPr>
              <w:t>同时提供原件供核对</w:t>
            </w:r>
            <w:r>
              <w:rPr>
                <w:rFonts w:hint="eastAsia" w:ascii="宋体" w:hAnsi="宋体" w:eastAsia="宋体" w:cs="宋体"/>
                <w:color w:val="auto"/>
                <w:sz w:val="24"/>
                <w:szCs w:val="24"/>
                <w:highlight w:val="none"/>
                <w:lang w:val="en-US" w:eastAsia="zh-CN"/>
              </w:rPr>
              <w:t>。（证书为电子证书的除外）</w:t>
            </w:r>
          </w:p>
          <w:p w14:paraId="01122047">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2.任一认证证书有以下情形之一的，该认证证书视为无效，不予计分：</w:t>
            </w:r>
          </w:p>
          <w:p w14:paraId="470250D6">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①未提供认证证书原件的；</w:t>
            </w:r>
          </w:p>
          <w:p w14:paraId="32E1A43B">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②认证证书不在有效期内的。</w:t>
            </w:r>
          </w:p>
          <w:p w14:paraId="2C0D5552">
            <w:pPr>
              <w:widowControl w:val="0"/>
              <w:spacing w:line="360" w:lineRule="auto"/>
              <w:rPr>
                <w:rFonts w:hint="eastAsia"/>
                <w:color w:val="auto"/>
                <w:lang w:val="en-US" w:eastAsia="zh-CN"/>
              </w:rPr>
            </w:pPr>
            <w:r>
              <w:rPr>
                <w:rFonts w:hint="eastAsia" w:cs="宋体"/>
                <w:color w:val="auto"/>
                <w:sz w:val="24"/>
                <w:szCs w:val="24"/>
                <w:highlight w:val="none"/>
                <w:lang w:val="en-US" w:eastAsia="zh-CN"/>
              </w:rPr>
              <w:t>3.组成联合体时，由牵头人提供以上资料。</w:t>
            </w:r>
          </w:p>
        </w:tc>
      </w:tr>
      <w:tr w14:paraId="03A3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vMerge w:val="restart"/>
            <w:vAlign w:val="center"/>
          </w:tcPr>
          <w:p w14:paraId="2A075D3B">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招标人</w:t>
            </w:r>
          </w:p>
          <w:p w14:paraId="77A12B0D">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自选项</w:t>
            </w:r>
          </w:p>
          <w:p w14:paraId="62C2FF2F">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（36分）</w:t>
            </w:r>
          </w:p>
        </w:tc>
        <w:tc>
          <w:tcPr>
            <w:tcW w:w="3695" w:type="dxa"/>
            <w:shd w:val="clear" w:color="auto" w:fill="auto"/>
            <w:vAlign w:val="center"/>
          </w:tcPr>
          <w:p w14:paraId="308828BA">
            <w:pPr>
              <w:widowControl w:val="0"/>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1.企业近5年（2021年1月1日至今）获得过县（市、区）级行政主管部门或以上人民政府、人民武装部颁发的“民兵建设先进企业”证书的，得5分。</w:t>
            </w:r>
          </w:p>
          <w:p w14:paraId="662F722D">
            <w:pPr>
              <w:widowControl w:val="0"/>
              <w:bidi w:val="0"/>
              <w:rPr>
                <w:rFonts w:hint="eastAsia" w:ascii="宋体" w:hAnsi="宋体" w:eastAsia="宋体" w:cs="宋体"/>
                <w:color w:val="auto"/>
                <w:kern w:val="2"/>
                <w:sz w:val="24"/>
                <w:lang w:val="en-US" w:eastAsia="zh-CN" w:bidi="ar-SA"/>
              </w:rPr>
            </w:pPr>
            <w:r>
              <w:rPr>
                <w:rFonts w:hint="eastAsia" w:ascii="宋体" w:hAnsi="宋体" w:eastAsia="宋体" w:cs="宋体"/>
                <w:color w:val="auto"/>
                <w:lang w:val="en-US" w:eastAsia="zh-CN"/>
              </w:rPr>
              <w:t>2.其他情形的，不予计分。</w:t>
            </w:r>
          </w:p>
        </w:tc>
        <w:tc>
          <w:tcPr>
            <w:tcW w:w="5111" w:type="dxa"/>
            <w:shd w:val="clear" w:color="auto" w:fill="auto"/>
            <w:vAlign w:val="center"/>
          </w:tcPr>
          <w:p w14:paraId="50FD83B7">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1.需提供有关证书彩色扫描件，</w:t>
            </w:r>
            <w:r>
              <w:rPr>
                <w:rFonts w:hint="eastAsia" w:ascii="宋体" w:hAnsi="宋体" w:eastAsia="宋体" w:cs="宋体"/>
                <w:b/>
                <w:bCs/>
                <w:color w:val="auto"/>
                <w:sz w:val="24"/>
                <w:szCs w:val="24"/>
                <w:highlight w:val="none"/>
                <w:lang w:val="en-US" w:eastAsia="zh-CN"/>
              </w:rPr>
              <w:t>同时提供原件供核对</w:t>
            </w:r>
            <w:r>
              <w:rPr>
                <w:rFonts w:hint="eastAsia" w:ascii="宋体" w:hAnsi="宋体" w:eastAsia="宋体" w:cs="宋体"/>
                <w:color w:val="auto"/>
                <w:sz w:val="24"/>
                <w:szCs w:val="24"/>
                <w:highlight w:val="none"/>
                <w:lang w:val="en-US" w:eastAsia="zh-CN"/>
              </w:rPr>
              <w:t>（证书为电子证书的除外）。</w:t>
            </w:r>
          </w:p>
          <w:p w14:paraId="576602A8">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2.未提供原件的，颁发机构、时间不符合要求的，按第2项标准处理。</w:t>
            </w:r>
          </w:p>
          <w:p w14:paraId="4568124F">
            <w:pPr>
              <w:widowControl w:val="0"/>
              <w:spacing w:line="360" w:lineRule="auto"/>
              <w:rPr>
                <w:rFonts w:hint="eastAsia"/>
                <w:color w:val="auto"/>
                <w:lang w:val="en-US" w:eastAsia="zh-CN"/>
              </w:rPr>
            </w:pPr>
            <w:r>
              <w:rPr>
                <w:rFonts w:hint="eastAsia" w:cs="宋体"/>
                <w:color w:val="auto"/>
                <w:sz w:val="24"/>
                <w:szCs w:val="24"/>
                <w:highlight w:val="none"/>
                <w:lang w:val="en-US" w:eastAsia="zh-CN"/>
              </w:rPr>
              <w:t>3.组成联合体时，由牵头人提供以上资料。</w:t>
            </w:r>
          </w:p>
        </w:tc>
      </w:tr>
      <w:tr w14:paraId="40AB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vMerge w:val="continue"/>
            <w:vAlign w:val="center"/>
          </w:tcPr>
          <w:p w14:paraId="65F007FA">
            <w:pPr>
              <w:widowControl w:val="0"/>
              <w:spacing w:line="360" w:lineRule="auto"/>
              <w:jc w:val="center"/>
              <w:rPr>
                <w:rFonts w:hint="eastAsia" w:ascii="宋体" w:hAnsi="宋体" w:eastAsia="宋体" w:cs="宋体"/>
                <w:color w:val="auto"/>
                <w:sz w:val="24"/>
                <w:szCs w:val="24"/>
                <w:highlight w:val="none"/>
              </w:rPr>
            </w:pPr>
          </w:p>
        </w:tc>
        <w:tc>
          <w:tcPr>
            <w:tcW w:w="3695" w:type="dxa"/>
            <w:shd w:val="clear" w:color="auto" w:fill="auto"/>
            <w:vAlign w:val="center"/>
          </w:tcPr>
          <w:p w14:paraId="7B7F1501">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企业连续10年或10年以上（含10年）获得纳税信用A级纳税人的，得7分。（其中必须有2025年度）</w:t>
            </w:r>
          </w:p>
        </w:tc>
        <w:tc>
          <w:tcPr>
            <w:tcW w:w="5111" w:type="dxa"/>
            <w:shd w:val="clear" w:color="auto" w:fill="auto"/>
            <w:vAlign w:val="center"/>
          </w:tcPr>
          <w:p w14:paraId="48627176">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1.必须提供企业纳税信用A级纳税人证明材料（或证书）彩色扫描件，否则不得分。</w:t>
            </w:r>
          </w:p>
          <w:p w14:paraId="488950B8">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2.只计算投标人自身（不计算投标人的分公司、子公司及分支机构）</w:t>
            </w:r>
          </w:p>
          <w:p w14:paraId="2FF79B1F">
            <w:pPr>
              <w:widowControl w:val="0"/>
              <w:spacing w:line="360" w:lineRule="auto"/>
              <w:rPr>
                <w:rFonts w:hint="eastAsia"/>
                <w:color w:val="auto"/>
                <w:lang w:val="en-US" w:eastAsia="zh-CN"/>
              </w:rPr>
            </w:pPr>
            <w:r>
              <w:rPr>
                <w:rFonts w:hint="eastAsia" w:cs="宋体"/>
                <w:color w:val="auto"/>
                <w:sz w:val="24"/>
                <w:szCs w:val="24"/>
                <w:highlight w:val="none"/>
                <w:lang w:val="en-US" w:eastAsia="zh-CN"/>
              </w:rPr>
              <w:t>3.组成联合体时，由牵头人提供以上资料。</w:t>
            </w:r>
          </w:p>
        </w:tc>
      </w:tr>
      <w:tr w14:paraId="3AEE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vMerge w:val="continue"/>
            <w:vAlign w:val="center"/>
          </w:tcPr>
          <w:p w14:paraId="7935E496">
            <w:pPr>
              <w:widowControl w:val="0"/>
              <w:spacing w:line="360" w:lineRule="auto"/>
              <w:jc w:val="center"/>
              <w:rPr>
                <w:rFonts w:hint="eastAsia" w:ascii="宋体" w:hAnsi="宋体" w:eastAsia="宋体" w:cs="宋体"/>
                <w:color w:val="auto"/>
                <w:sz w:val="24"/>
                <w:szCs w:val="24"/>
                <w:highlight w:val="none"/>
              </w:rPr>
            </w:pPr>
          </w:p>
        </w:tc>
        <w:tc>
          <w:tcPr>
            <w:tcW w:w="3695" w:type="dxa"/>
            <w:shd w:val="clear" w:color="auto" w:fill="auto"/>
            <w:vAlign w:val="center"/>
          </w:tcPr>
          <w:p w14:paraId="09838D1E">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近5年来（2021年1月1日至今）企业获得过专精特新中小企业的，得8分。</w:t>
            </w:r>
          </w:p>
        </w:tc>
        <w:tc>
          <w:tcPr>
            <w:tcW w:w="5111" w:type="dxa"/>
            <w:shd w:val="clear" w:color="auto" w:fill="auto"/>
            <w:vAlign w:val="center"/>
          </w:tcPr>
          <w:p w14:paraId="26D19D0E">
            <w:pPr>
              <w:widowControl w:val="0"/>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1.需提供省级或以上政府评定部门网站的通告或通知截图，否则不得分。</w:t>
            </w:r>
          </w:p>
          <w:p w14:paraId="1EDE4CB8">
            <w:pPr>
              <w:widowControl w:val="0"/>
              <w:spacing w:line="360" w:lineRule="auto"/>
              <w:rPr>
                <w:rFonts w:hint="eastAsia"/>
                <w:color w:val="auto"/>
                <w:lang w:val="en-US" w:eastAsia="zh-CN"/>
              </w:rPr>
            </w:pPr>
            <w:r>
              <w:rPr>
                <w:rFonts w:hint="eastAsia" w:cs="宋体"/>
                <w:color w:val="auto"/>
                <w:sz w:val="24"/>
                <w:szCs w:val="24"/>
                <w:highlight w:val="none"/>
                <w:lang w:val="en-US" w:eastAsia="zh-CN"/>
              </w:rPr>
              <w:t>2.组成联合体时，由牵头人提供以上资料。</w:t>
            </w:r>
          </w:p>
        </w:tc>
      </w:tr>
      <w:tr w14:paraId="0E6E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vMerge w:val="continue"/>
            <w:vAlign w:val="center"/>
          </w:tcPr>
          <w:p w14:paraId="48E3B5C2">
            <w:pPr>
              <w:widowControl w:val="0"/>
              <w:spacing w:line="360" w:lineRule="auto"/>
              <w:jc w:val="center"/>
              <w:rPr>
                <w:rFonts w:hint="eastAsia" w:ascii="宋体" w:hAnsi="宋体" w:eastAsia="宋体" w:cs="宋体"/>
                <w:color w:val="auto"/>
                <w:sz w:val="24"/>
                <w:szCs w:val="24"/>
                <w:highlight w:val="none"/>
              </w:rPr>
            </w:pPr>
          </w:p>
        </w:tc>
        <w:tc>
          <w:tcPr>
            <w:tcW w:w="3695" w:type="dxa"/>
            <w:shd w:val="clear" w:color="auto" w:fill="auto"/>
            <w:vAlign w:val="center"/>
          </w:tcPr>
          <w:p w14:paraId="1CF8FCB1">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近5年来（2021年1月1日至今）企业连续三年以上（含三年）获得地级市及以上建筑协会颁发的“优秀典型施工企业”，得8分。</w:t>
            </w:r>
          </w:p>
        </w:tc>
        <w:tc>
          <w:tcPr>
            <w:tcW w:w="5111" w:type="dxa"/>
            <w:shd w:val="clear" w:color="auto" w:fill="auto"/>
            <w:vAlign w:val="center"/>
          </w:tcPr>
          <w:p w14:paraId="06444B8A">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1.需提供证书彩色扫描件，</w:t>
            </w:r>
            <w:r>
              <w:rPr>
                <w:rFonts w:hint="eastAsia" w:ascii="宋体" w:hAnsi="宋体" w:eastAsia="宋体" w:cs="宋体"/>
                <w:b/>
                <w:bCs/>
                <w:color w:val="auto"/>
                <w:sz w:val="24"/>
                <w:szCs w:val="24"/>
                <w:highlight w:val="none"/>
                <w:lang w:val="en-US" w:eastAsia="zh-CN"/>
              </w:rPr>
              <w:t>同时提供证书原件供核对</w:t>
            </w:r>
            <w:r>
              <w:rPr>
                <w:rFonts w:hint="eastAsia" w:ascii="宋体" w:hAnsi="宋体" w:eastAsia="宋体" w:cs="宋体"/>
                <w:color w:val="auto"/>
                <w:sz w:val="24"/>
                <w:szCs w:val="24"/>
                <w:highlight w:val="none"/>
                <w:lang w:val="en-US" w:eastAsia="zh-CN"/>
              </w:rPr>
              <w:t>（证书为电子证书的除外），否则不得分。</w:t>
            </w:r>
          </w:p>
          <w:p w14:paraId="2477EE3C">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2.需提供地级市及以上相关政府部门或地级市及以上建筑协会网站截图打印页，否则不得分。</w:t>
            </w:r>
          </w:p>
          <w:p w14:paraId="6C33157F">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（相关协会需经民政部门备案）</w:t>
            </w:r>
          </w:p>
          <w:p w14:paraId="193723E8">
            <w:pPr>
              <w:widowControl w:val="0"/>
              <w:spacing w:line="360" w:lineRule="auto"/>
              <w:rPr>
                <w:rFonts w:hint="eastAsia"/>
                <w:color w:val="auto"/>
                <w:lang w:val="en-US" w:eastAsia="zh-CN"/>
              </w:rPr>
            </w:pPr>
            <w:r>
              <w:rPr>
                <w:rFonts w:hint="eastAsia" w:cs="宋体"/>
                <w:color w:val="auto"/>
                <w:sz w:val="24"/>
                <w:szCs w:val="24"/>
                <w:highlight w:val="none"/>
                <w:lang w:val="en-US" w:eastAsia="zh-CN"/>
              </w:rPr>
              <w:t>3.组成联合体时，由牵头人提供以上资料。</w:t>
            </w:r>
          </w:p>
        </w:tc>
      </w:tr>
      <w:tr w14:paraId="4635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vMerge w:val="continue"/>
          </w:tcPr>
          <w:p w14:paraId="5993125B">
            <w:pPr>
              <w:widowControl w:val="0"/>
              <w:spacing w:line="360" w:lineRule="auto"/>
              <w:rPr>
                <w:rFonts w:hint="eastAsia" w:ascii="宋体" w:hAnsi="宋体" w:eastAsia="宋体" w:cs="宋体"/>
                <w:color w:val="auto"/>
                <w:sz w:val="24"/>
                <w:szCs w:val="24"/>
                <w:highlight w:val="none"/>
              </w:rPr>
            </w:pPr>
          </w:p>
        </w:tc>
        <w:tc>
          <w:tcPr>
            <w:tcW w:w="3695" w:type="dxa"/>
            <w:shd w:val="clear" w:color="auto" w:fill="auto"/>
            <w:vAlign w:val="center"/>
          </w:tcPr>
          <w:p w14:paraId="090ED6DD">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1.企业近5年度（2021年度至今）获得过省级或以上商业联合会颁发的诚信兴商企业证书的，得8分。</w:t>
            </w:r>
          </w:p>
          <w:p w14:paraId="7457DB49">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2.其他情形的，不予计分。</w:t>
            </w:r>
          </w:p>
        </w:tc>
        <w:tc>
          <w:tcPr>
            <w:tcW w:w="5111" w:type="dxa"/>
            <w:shd w:val="clear" w:color="auto" w:fill="auto"/>
            <w:vAlign w:val="center"/>
          </w:tcPr>
          <w:p w14:paraId="71DF31AF">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1.证书由省级或以上商业联合会颁发，须提供有关证书彩色扫描件，</w:t>
            </w:r>
            <w:r>
              <w:rPr>
                <w:rFonts w:hint="eastAsia" w:ascii="宋体" w:hAnsi="宋体" w:eastAsia="宋体" w:cs="宋体"/>
                <w:b/>
                <w:bCs/>
                <w:color w:val="auto"/>
                <w:sz w:val="24"/>
                <w:szCs w:val="24"/>
                <w:highlight w:val="none"/>
                <w:lang w:val="en-US" w:eastAsia="zh-CN"/>
              </w:rPr>
              <w:t>同时提供原件核对</w:t>
            </w:r>
            <w:r>
              <w:rPr>
                <w:rFonts w:hint="eastAsia" w:ascii="宋体" w:hAnsi="宋体" w:eastAsia="宋体" w:cs="宋体"/>
                <w:color w:val="auto"/>
                <w:sz w:val="24"/>
                <w:szCs w:val="24"/>
                <w:highlight w:val="none"/>
                <w:lang w:val="en-US" w:eastAsia="zh-CN"/>
              </w:rPr>
              <w:t>。</w:t>
            </w:r>
          </w:p>
          <w:p w14:paraId="24075611">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2.未提供原件的，颁发机构不符合要求的，按第2项标准处理。</w:t>
            </w:r>
          </w:p>
          <w:p w14:paraId="25C46A19">
            <w:pPr>
              <w:widowControl w:val="0"/>
              <w:spacing w:line="360" w:lineRule="auto"/>
              <w:rPr>
                <w:rFonts w:hint="eastAsia"/>
                <w:color w:val="auto"/>
                <w:lang w:val="en-US" w:eastAsia="zh-CN"/>
              </w:rPr>
            </w:pPr>
            <w:r>
              <w:rPr>
                <w:rFonts w:hint="eastAsia" w:cs="宋体"/>
                <w:color w:val="auto"/>
                <w:sz w:val="24"/>
                <w:szCs w:val="24"/>
                <w:highlight w:val="none"/>
                <w:lang w:val="en-US" w:eastAsia="zh-CN"/>
              </w:rPr>
              <w:t>3.组成联合体时，由牵头人提供以上资料。</w:t>
            </w:r>
          </w:p>
        </w:tc>
      </w:tr>
      <w:tr w14:paraId="078D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5" w:type="dxa"/>
            <w:gridSpan w:val="3"/>
            <w:shd w:val="clear" w:color="auto" w:fill="auto"/>
            <w:vAlign w:val="top"/>
          </w:tcPr>
          <w:p w14:paraId="2BB60B8C">
            <w:pPr>
              <w:widowControl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技术部分（施工组织设计），满分：20分。</w:t>
            </w:r>
          </w:p>
        </w:tc>
      </w:tr>
      <w:tr w14:paraId="5B1A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384BB424">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评分因素</w:t>
            </w:r>
          </w:p>
        </w:tc>
        <w:tc>
          <w:tcPr>
            <w:tcW w:w="3695" w:type="dxa"/>
            <w:shd w:val="clear" w:color="auto" w:fill="auto"/>
            <w:vAlign w:val="center"/>
          </w:tcPr>
          <w:p w14:paraId="65D285A3">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评分标准</w:t>
            </w:r>
          </w:p>
        </w:tc>
        <w:tc>
          <w:tcPr>
            <w:tcW w:w="5111" w:type="dxa"/>
            <w:shd w:val="clear" w:color="auto" w:fill="auto"/>
            <w:vAlign w:val="center"/>
          </w:tcPr>
          <w:p w14:paraId="512AFE1F">
            <w:pPr>
              <w:widowControl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备注</w:t>
            </w:r>
          </w:p>
        </w:tc>
      </w:tr>
      <w:tr w14:paraId="0793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35CE33A1">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总体概述</w:t>
            </w:r>
          </w:p>
          <w:p w14:paraId="67AF94DF">
            <w:pPr>
              <w:widowControl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（3分）</w:t>
            </w:r>
          </w:p>
        </w:tc>
        <w:tc>
          <w:tcPr>
            <w:tcW w:w="3695" w:type="dxa"/>
            <w:shd w:val="clear" w:color="auto" w:fill="auto"/>
            <w:vAlign w:val="center"/>
          </w:tcPr>
          <w:p w14:paraId="42BFA572">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【优】得该项因素分的90%～100%（含90%）；</w:t>
            </w:r>
          </w:p>
          <w:p w14:paraId="65257342">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【良】得该项因素分的80%～90%（含80%）；</w:t>
            </w:r>
          </w:p>
          <w:p w14:paraId="7D4B2B98">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【中】得该项因素分的70%～80%（含70%）；</w:t>
            </w:r>
          </w:p>
          <w:p w14:paraId="78023230">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【差】得该项因素分的60%～70%（含60%）。</w:t>
            </w:r>
          </w:p>
        </w:tc>
        <w:tc>
          <w:tcPr>
            <w:tcW w:w="5111" w:type="dxa"/>
            <w:shd w:val="clear" w:color="auto" w:fill="auto"/>
            <w:vAlign w:val="center"/>
          </w:tcPr>
          <w:p w14:paraId="52F5CDE0">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【优】对项目总体有深刻认识，表述清晰、完整、严谨、合理，措施先进、具体、有效、成熟，采用了新技术、新工艺、新材料、新设备；施工段划分呼应总体表述，划分清晰、合理，符合规范要求。</w:t>
            </w:r>
          </w:p>
          <w:p w14:paraId="12BD54C7">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【良】对项目总体有一定认识，表述清晰、完整，措施具体有效；施工段划分呼应总体表述，划分清晰，符合规范要求。</w:t>
            </w:r>
          </w:p>
          <w:p w14:paraId="1953BC30">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【中】对项目总体有认识，有一定的措施但部分不具体；施工段划分较合理，符合规范要求。</w:t>
            </w:r>
          </w:p>
          <w:p w14:paraId="179E3908">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【差】对项目认识不足，表述不清晰，措施不具体；施工段划分不合理。</w:t>
            </w:r>
          </w:p>
        </w:tc>
      </w:tr>
      <w:tr w14:paraId="58D6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365D144C">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施工总进度计划及保证措施</w:t>
            </w:r>
          </w:p>
          <w:p w14:paraId="1B2462B3">
            <w:pPr>
              <w:widowControl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（3分）</w:t>
            </w:r>
          </w:p>
        </w:tc>
        <w:tc>
          <w:tcPr>
            <w:tcW w:w="3695" w:type="dxa"/>
            <w:shd w:val="clear" w:color="auto" w:fill="auto"/>
            <w:vAlign w:val="center"/>
          </w:tcPr>
          <w:p w14:paraId="47BEDF55">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【优】得该项因素分的90%～100%（含90%）；</w:t>
            </w:r>
          </w:p>
          <w:p w14:paraId="07498C30">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【良】得该项因素分的80%～90%（含80%）；</w:t>
            </w:r>
          </w:p>
          <w:p w14:paraId="5E2344B6">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【中】得该项因素分的70%～80%（含70%）；</w:t>
            </w:r>
          </w:p>
          <w:p w14:paraId="05AE5C4E">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【差】得该项因素分的60%～70%（含60%）。</w:t>
            </w:r>
          </w:p>
        </w:tc>
        <w:tc>
          <w:tcPr>
            <w:tcW w:w="5111" w:type="dxa"/>
            <w:shd w:val="clear" w:color="auto" w:fill="auto"/>
            <w:vAlign w:val="center"/>
          </w:tcPr>
          <w:p w14:paraId="13D81022">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27CFC597">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7FAED6FC">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79B98139">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【差】关键线路不准确，计划编制不合理。关键节点的控制不可行。人、材、机需求和进场计划与进度计划不相呼应，不能满足施工需要。没有违约责任承诺。</w:t>
            </w:r>
          </w:p>
        </w:tc>
      </w:tr>
      <w:tr w14:paraId="1552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71F6C559">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w:t>
            </w:r>
          </w:p>
          <w:p w14:paraId="4BBDF4EA">
            <w:pPr>
              <w:widowControl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（4分）</w:t>
            </w:r>
          </w:p>
        </w:tc>
        <w:tc>
          <w:tcPr>
            <w:tcW w:w="3695" w:type="dxa"/>
            <w:shd w:val="clear" w:color="auto" w:fill="auto"/>
            <w:vAlign w:val="center"/>
          </w:tcPr>
          <w:p w14:paraId="5477E717">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【优】得该项因素分的90%～100%（含90%）；</w:t>
            </w:r>
          </w:p>
          <w:p w14:paraId="524172AA">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【良】得该项因素分的80%～90%（含80%）；</w:t>
            </w:r>
          </w:p>
          <w:p w14:paraId="00CD1522">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【中】得该项因素分的70%～80%（含70%）；</w:t>
            </w:r>
          </w:p>
          <w:p w14:paraId="78C3AD1E">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【差】得该项因素分的60%～70%（含60%）。</w:t>
            </w:r>
          </w:p>
        </w:tc>
        <w:tc>
          <w:tcPr>
            <w:tcW w:w="5111" w:type="dxa"/>
            <w:shd w:val="clear" w:color="auto" w:fill="auto"/>
            <w:vAlign w:val="center"/>
          </w:tcPr>
          <w:p w14:paraId="2D45AB70">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【优】应用新技术、新工艺、新材料、新设备，针对项目实际提出先进、可行、具体的保证措施。超过招标文件的质量要求。</w:t>
            </w:r>
          </w:p>
          <w:p w14:paraId="0433719A">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【良】针对项目实际提出先进、可行、具体的保证措施。满足招标文件的质量要求。</w:t>
            </w:r>
          </w:p>
          <w:p w14:paraId="0516F751">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【中】具体措施可行。满足招标文件的质量要求。</w:t>
            </w:r>
          </w:p>
          <w:p w14:paraId="2CEEC16B">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【差】措施不可行，没有质量违约责任承诺。</w:t>
            </w:r>
          </w:p>
        </w:tc>
      </w:tr>
      <w:tr w14:paraId="3D93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6DB35F4B">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施工技术措施</w:t>
            </w:r>
          </w:p>
          <w:p w14:paraId="39B188F4">
            <w:pPr>
              <w:widowControl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（2分）</w:t>
            </w:r>
          </w:p>
        </w:tc>
        <w:tc>
          <w:tcPr>
            <w:tcW w:w="3695" w:type="dxa"/>
            <w:shd w:val="clear" w:color="auto" w:fill="auto"/>
            <w:vAlign w:val="center"/>
          </w:tcPr>
          <w:p w14:paraId="35AFC1FF">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【优】得该项因素分的90%～100%（含90%）；</w:t>
            </w:r>
          </w:p>
          <w:p w14:paraId="1B60A156">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【良】得该项因素分的80%～90%（含80%）；</w:t>
            </w:r>
          </w:p>
          <w:p w14:paraId="46208871">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【中】得该项因素分的70%～80%（含70%）；</w:t>
            </w:r>
          </w:p>
          <w:p w14:paraId="24CB442D">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【差】得该项因素分的60%～70%（含60%）。</w:t>
            </w:r>
          </w:p>
        </w:tc>
        <w:tc>
          <w:tcPr>
            <w:tcW w:w="5111" w:type="dxa"/>
            <w:shd w:val="clear" w:color="auto" w:fill="auto"/>
            <w:vAlign w:val="center"/>
          </w:tcPr>
          <w:p w14:paraId="3250B696">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3C2337CA">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3A4E3B5A">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5506AB91">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【差】对项目关键技术有表述，对重点、难点有建议，解决方案不可行。采用的新技术针对性不强或验证材料不可靠，对节约投资、工期没有具体收益。无违约责任承诺。</w:t>
            </w:r>
          </w:p>
        </w:tc>
      </w:tr>
      <w:tr w14:paraId="6F5C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422AD181">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绿色施工、安全防护、文明施工措施计划</w:t>
            </w:r>
          </w:p>
          <w:p w14:paraId="402E0E48">
            <w:pPr>
              <w:widowControl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（3分）</w:t>
            </w:r>
          </w:p>
        </w:tc>
        <w:tc>
          <w:tcPr>
            <w:tcW w:w="3695" w:type="dxa"/>
            <w:shd w:val="clear" w:color="auto" w:fill="auto"/>
            <w:vAlign w:val="center"/>
          </w:tcPr>
          <w:p w14:paraId="11BB1C15">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【优】得该项因素分的90%～100%（含90%）；</w:t>
            </w:r>
          </w:p>
          <w:p w14:paraId="3D9DF48A">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【良】得该项因素分的80%～90%（含80%）；</w:t>
            </w:r>
          </w:p>
          <w:p w14:paraId="50A99E40">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【中】得该项因素分的70%～80%（含70%）；</w:t>
            </w:r>
          </w:p>
          <w:p w14:paraId="37A2E02C">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【差】得该项因素分的60%～70%（含60%）。</w:t>
            </w:r>
          </w:p>
        </w:tc>
        <w:tc>
          <w:tcPr>
            <w:tcW w:w="5111" w:type="dxa"/>
            <w:shd w:val="clear" w:color="auto" w:fill="auto"/>
            <w:vAlign w:val="center"/>
          </w:tcPr>
          <w:p w14:paraId="4E6807A7">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【优】针对项目实际情况，有先进、具体、完整、可行的措施，采用规范准确、清晰。</w:t>
            </w:r>
          </w:p>
          <w:p w14:paraId="265E9FF7">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【良】针对项目实际情况，有合理的措施且具体、完整，采用规范准确。</w:t>
            </w:r>
          </w:p>
          <w:p w14:paraId="64C7C2E7">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【中】有基本合理的措施，采用规范准确。</w:t>
            </w:r>
          </w:p>
          <w:p w14:paraId="383CC436">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【差】措施不力，采用规范不正确。</w:t>
            </w:r>
          </w:p>
        </w:tc>
      </w:tr>
      <w:tr w14:paraId="5412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67E764CB">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施工平面布置和临时设施布置</w:t>
            </w:r>
          </w:p>
          <w:p w14:paraId="05E074BD">
            <w:pPr>
              <w:widowControl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（2分）</w:t>
            </w:r>
          </w:p>
        </w:tc>
        <w:tc>
          <w:tcPr>
            <w:tcW w:w="3695" w:type="dxa"/>
            <w:shd w:val="clear" w:color="auto" w:fill="auto"/>
            <w:vAlign w:val="center"/>
          </w:tcPr>
          <w:p w14:paraId="57CB9E9A">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【优】得该项因素分的90%～100%（含90%）；</w:t>
            </w:r>
          </w:p>
          <w:p w14:paraId="1D1FE9F3">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【良】得该项因素分的80%～90%（含80%）；</w:t>
            </w:r>
          </w:p>
          <w:p w14:paraId="3AA87EBC">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【中】得该项因素分的70%～80%（含70%）；</w:t>
            </w:r>
          </w:p>
          <w:p w14:paraId="57AE1C26">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【差】得该项因素分的60%～70%（含60%）。</w:t>
            </w:r>
          </w:p>
        </w:tc>
        <w:tc>
          <w:tcPr>
            <w:tcW w:w="5111" w:type="dxa"/>
            <w:shd w:val="clear" w:color="auto" w:fill="auto"/>
            <w:vAlign w:val="center"/>
          </w:tcPr>
          <w:p w14:paraId="2D71D342">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【优】总体布置有针对性、合理，较好满足施工需要，符合绿色施工、安全防护、文明施工要求。</w:t>
            </w:r>
          </w:p>
          <w:p w14:paraId="66E6BDC4">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【良】总体布置合理，能满足施工需要，基本符合绿色施工、安全防护、文明施工要求。</w:t>
            </w:r>
          </w:p>
          <w:p w14:paraId="7D242B65">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【中】总体布置基本合理，基本满足施工需要。</w:t>
            </w:r>
          </w:p>
          <w:p w14:paraId="2222375D">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【差】总体布置不合理，不符合绿色施工、安全防护、文明施工要求。</w:t>
            </w:r>
          </w:p>
        </w:tc>
      </w:tr>
      <w:tr w14:paraId="4FCD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70B85476">
            <w:pPr>
              <w:widowControl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项目管理机构</w:t>
            </w:r>
          </w:p>
          <w:p w14:paraId="00283B83">
            <w:pPr>
              <w:widowControl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（3分）</w:t>
            </w:r>
          </w:p>
        </w:tc>
        <w:tc>
          <w:tcPr>
            <w:tcW w:w="3695" w:type="dxa"/>
            <w:shd w:val="clear" w:color="auto" w:fill="auto"/>
            <w:vAlign w:val="center"/>
          </w:tcPr>
          <w:p w14:paraId="2ECC2436">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【优】得该项因素分的90%～100%（含90%）；</w:t>
            </w:r>
          </w:p>
          <w:p w14:paraId="3B7C13F5">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【良】得该项因素分的80%～90%（含80%）；</w:t>
            </w:r>
          </w:p>
          <w:p w14:paraId="493896EF">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【中】得该项因素分的70%～80%（含70%）；</w:t>
            </w:r>
          </w:p>
          <w:p w14:paraId="01FB438D">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【差】得该项因素分的60%～70%（含60%）。</w:t>
            </w:r>
          </w:p>
        </w:tc>
        <w:tc>
          <w:tcPr>
            <w:tcW w:w="5111" w:type="dxa"/>
            <w:shd w:val="clear" w:color="auto" w:fill="auto"/>
            <w:vAlign w:val="center"/>
          </w:tcPr>
          <w:p w14:paraId="728F9948">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组织机构形式合理，有完善的指挥系统，生产及质量、绿色施工、安全、文明施工、创优达标监控系统、联络协调系统，项目管理人员内高级职称人员20%（含20%）以上、中级职称人员及以上职称60%（含60%）以上。</w:t>
            </w:r>
          </w:p>
          <w:p w14:paraId="201FE85F">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组织机构形式合理，指挥系统，生产及质量、绿色施工、安全、文明施工、创优达标监控系统、联络协调系统齐全，项目管理人员内高级职称人员15%～20%（含15%）、中级职称人员及以上职称50%～60%（含50%）。</w:t>
            </w:r>
          </w:p>
          <w:p w14:paraId="70EBC6BB">
            <w:pPr>
              <w:widowControl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组织机构形式基本合理，有指挥系统，生产及质量、绿色施工、安全、文明施工、创优达标监控系统、联络协调系统，项目管理人员内高级职称人员10%～15%（含10%）、中级职称人员及以上职称40%～50%（含40%）。</w:t>
            </w:r>
          </w:p>
          <w:p w14:paraId="7E9F0CC5">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【差】组织机构形式合理，指挥系统，生产及质量、绿色施工、安全、文明施工、创优达标监控系统、联络协调系统不齐全，项目管理人员内高级职称人员10%以下、中级职称人员及以上职称40%以下。</w:t>
            </w:r>
          </w:p>
        </w:tc>
      </w:tr>
      <w:tr w14:paraId="5D50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5" w:type="dxa"/>
            <w:gridSpan w:val="3"/>
            <w:shd w:val="clear" w:color="auto" w:fill="auto"/>
            <w:vAlign w:val="top"/>
          </w:tcPr>
          <w:p w14:paraId="7A00B04A">
            <w:pPr>
              <w:widowControl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投标报价部分，满分：100分。</w:t>
            </w:r>
          </w:p>
        </w:tc>
      </w:tr>
      <w:tr w14:paraId="4FF0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189599B5">
            <w:pPr>
              <w:widowControl w:val="0"/>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评分事项</w:t>
            </w:r>
          </w:p>
        </w:tc>
        <w:tc>
          <w:tcPr>
            <w:tcW w:w="8806" w:type="dxa"/>
            <w:gridSpan w:val="2"/>
            <w:shd w:val="clear" w:color="auto" w:fill="auto"/>
            <w:vAlign w:val="center"/>
          </w:tcPr>
          <w:p w14:paraId="011CC0C7">
            <w:pPr>
              <w:widowControl w:val="0"/>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评分方法</w:t>
            </w:r>
          </w:p>
        </w:tc>
      </w:tr>
      <w:tr w14:paraId="4190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573F8C88">
            <w:pPr>
              <w:pStyle w:val="36"/>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评标基准价</w:t>
            </w:r>
            <w:r>
              <w:rPr>
                <w:rFonts w:hint="eastAsia" w:ascii="宋体" w:hAnsi="宋体" w:eastAsia="宋体" w:cs="宋体"/>
                <w:color w:val="auto"/>
                <w:kern w:val="0"/>
                <w:sz w:val="24"/>
                <w:szCs w:val="24"/>
                <w:highlight w:val="none"/>
              </w:rPr>
              <w:t>D</w:t>
            </w:r>
          </w:p>
        </w:tc>
        <w:tc>
          <w:tcPr>
            <w:tcW w:w="8806" w:type="dxa"/>
            <w:gridSpan w:val="2"/>
            <w:shd w:val="clear" w:color="auto" w:fill="auto"/>
            <w:vAlign w:val="center"/>
          </w:tcPr>
          <w:p w14:paraId="0E009ACB">
            <w:pPr>
              <w:widowControl w:val="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w:t>
            </w:r>
            <w:r>
              <w:rPr>
                <w:rFonts w:hint="eastAsia" w:ascii="宋体" w:hAnsi="宋体" w:eastAsia="宋体" w:cs="宋体"/>
                <w:snapToGrid w:val="0"/>
                <w:color w:val="auto"/>
                <w:kern w:val="0"/>
                <w:sz w:val="24"/>
                <w:szCs w:val="24"/>
                <w:highlight w:val="none"/>
                <w:lang w:val="en-US" w:eastAsia="zh-CN"/>
              </w:rPr>
              <w:t>最高投标限价</w:t>
            </w:r>
            <w:r>
              <w:rPr>
                <w:rFonts w:hint="eastAsia" w:ascii="宋体" w:hAnsi="宋体" w:eastAsia="宋体" w:cs="宋体"/>
                <w:snapToGrid w:val="0"/>
                <w:color w:val="auto"/>
                <w:kern w:val="0"/>
                <w:sz w:val="24"/>
                <w:szCs w:val="24"/>
                <w:highlight w:val="none"/>
              </w:rPr>
              <w:t>下浮系数n：用1～21号球分别代表一个下浮系数，由评委代表从这21个号码中随机抽取3次，每次抽取1个号码，抽出的号球不参与下次抽取。所抽取的3个号码对应下浮系数的算术平均值作为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highlight w:val="none"/>
                <w:lang w:val="en-US" w:eastAsia="zh-CN"/>
              </w:rPr>
              <w:t>最高投标限价</w:t>
            </w:r>
            <w:r>
              <w:rPr>
                <w:rFonts w:hint="eastAsia" w:ascii="宋体" w:hAnsi="宋体" w:eastAsia="宋体" w:cs="宋体"/>
                <w:snapToGrid w:val="0"/>
                <w:color w:val="auto"/>
                <w:kern w:val="0"/>
                <w:sz w:val="24"/>
                <w:szCs w:val="24"/>
                <w:highlight w:val="none"/>
              </w:rPr>
              <w:t>下浮系数n。具体号码对应的下浮系数可参考下表。</w:t>
            </w:r>
          </w:p>
          <w:tbl>
            <w:tblPr>
              <w:tblStyle w:val="21"/>
              <w:tblW w:w="0" w:type="auto"/>
              <w:jc w:val="center"/>
              <w:tblLayout w:type="autofit"/>
              <w:tblCellMar>
                <w:top w:w="0" w:type="dxa"/>
                <w:left w:w="108" w:type="dxa"/>
                <w:bottom w:w="0" w:type="dxa"/>
                <w:right w:w="108" w:type="dxa"/>
              </w:tblCellMar>
            </w:tblPr>
            <w:tblGrid>
              <w:gridCol w:w="1775"/>
              <w:gridCol w:w="794"/>
              <w:gridCol w:w="830"/>
              <w:gridCol w:w="864"/>
              <w:gridCol w:w="848"/>
              <w:gridCol w:w="882"/>
              <w:gridCol w:w="829"/>
              <w:gridCol w:w="819"/>
            </w:tblGrid>
            <w:tr w14:paraId="265E6502">
              <w:tblPrEx>
                <w:tblCellMar>
                  <w:top w:w="0" w:type="dxa"/>
                  <w:left w:w="108" w:type="dxa"/>
                  <w:bottom w:w="0" w:type="dxa"/>
                  <w:right w:w="108" w:type="dxa"/>
                </w:tblCellMar>
              </w:tblPrEx>
              <w:trPr>
                <w:trHeight w:val="454" w:hRule="exact"/>
                <w:jc w:val="center"/>
              </w:trPr>
              <w:tc>
                <w:tcPr>
                  <w:tcW w:w="1775" w:type="dxa"/>
                  <w:tcBorders>
                    <w:top w:val="single" w:color="000000" w:sz="4" w:space="0"/>
                    <w:left w:val="single" w:color="000000" w:sz="4" w:space="0"/>
                    <w:bottom w:val="single" w:color="000000" w:sz="4" w:space="0"/>
                    <w:right w:val="single" w:color="000000" w:sz="4" w:space="0"/>
                  </w:tcBorders>
                  <w:vAlign w:val="center"/>
                </w:tcPr>
                <w:p w14:paraId="1AA5F404">
                  <w:pPr>
                    <w:wordWrap w:val="0"/>
                    <w:adjustRightInd w:val="0"/>
                    <w:snapToGrid w:val="0"/>
                    <w:spacing w:line="36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77507490">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164E97A3">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2</w:t>
                  </w:r>
                </w:p>
              </w:tc>
              <w:tc>
                <w:tcPr>
                  <w:tcW w:w="864" w:type="dxa"/>
                  <w:tcBorders>
                    <w:top w:val="single" w:color="000000" w:sz="4" w:space="0"/>
                    <w:left w:val="single" w:color="000000" w:sz="4" w:space="0"/>
                    <w:bottom w:val="single" w:color="000000" w:sz="4" w:space="0"/>
                    <w:right w:val="single" w:color="000000" w:sz="4" w:space="0"/>
                  </w:tcBorders>
                  <w:vAlign w:val="center"/>
                </w:tcPr>
                <w:p w14:paraId="72634935">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w:t>
                  </w:r>
                </w:p>
              </w:tc>
              <w:tc>
                <w:tcPr>
                  <w:tcW w:w="848" w:type="dxa"/>
                  <w:tcBorders>
                    <w:top w:val="single" w:color="000000" w:sz="4" w:space="0"/>
                    <w:left w:val="single" w:color="000000" w:sz="4" w:space="0"/>
                    <w:bottom w:val="single" w:color="000000" w:sz="4" w:space="0"/>
                    <w:right w:val="single" w:color="000000" w:sz="4" w:space="0"/>
                  </w:tcBorders>
                  <w:vAlign w:val="center"/>
                </w:tcPr>
                <w:p w14:paraId="769618A3">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w:t>
                  </w:r>
                </w:p>
              </w:tc>
              <w:tc>
                <w:tcPr>
                  <w:tcW w:w="882" w:type="dxa"/>
                  <w:tcBorders>
                    <w:top w:val="single" w:color="000000" w:sz="4" w:space="0"/>
                    <w:left w:val="single" w:color="000000" w:sz="4" w:space="0"/>
                    <w:bottom w:val="single" w:color="000000" w:sz="4" w:space="0"/>
                    <w:right w:val="single" w:color="000000" w:sz="4" w:space="0"/>
                  </w:tcBorders>
                  <w:vAlign w:val="center"/>
                </w:tcPr>
                <w:p w14:paraId="1593D19F">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5</w:t>
                  </w:r>
                </w:p>
              </w:tc>
              <w:tc>
                <w:tcPr>
                  <w:tcW w:w="829" w:type="dxa"/>
                  <w:tcBorders>
                    <w:top w:val="single" w:color="000000" w:sz="4" w:space="0"/>
                    <w:left w:val="single" w:color="000000" w:sz="4" w:space="0"/>
                    <w:bottom w:val="single" w:color="000000" w:sz="4" w:space="0"/>
                    <w:right w:val="single" w:color="000000" w:sz="4" w:space="0"/>
                  </w:tcBorders>
                  <w:vAlign w:val="center"/>
                </w:tcPr>
                <w:p w14:paraId="04723598">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6</w:t>
                  </w:r>
                </w:p>
              </w:tc>
              <w:tc>
                <w:tcPr>
                  <w:tcW w:w="819" w:type="dxa"/>
                  <w:tcBorders>
                    <w:top w:val="single" w:color="000000" w:sz="4" w:space="0"/>
                    <w:left w:val="single" w:color="000000" w:sz="4" w:space="0"/>
                    <w:bottom w:val="single" w:color="000000" w:sz="4" w:space="0"/>
                    <w:right w:val="single" w:color="000000" w:sz="4" w:space="0"/>
                  </w:tcBorders>
                  <w:vAlign w:val="center"/>
                </w:tcPr>
                <w:p w14:paraId="7C4C1C37">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7</w:t>
                  </w:r>
                </w:p>
              </w:tc>
            </w:tr>
            <w:tr w14:paraId="16D7978B">
              <w:tblPrEx>
                <w:tblCellMar>
                  <w:top w:w="0" w:type="dxa"/>
                  <w:left w:w="108" w:type="dxa"/>
                  <w:bottom w:w="0" w:type="dxa"/>
                  <w:right w:w="108" w:type="dxa"/>
                </w:tblCellMar>
              </w:tblPrEx>
              <w:trPr>
                <w:trHeight w:val="454" w:hRule="exact"/>
                <w:jc w:val="center"/>
              </w:trPr>
              <w:tc>
                <w:tcPr>
                  <w:tcW w:w="1775" w:type="dxa"/>
                  <w:tcBorders>
                    <w:top w:val="single" w:color="000000" w:sz="4" w:space="0"/>
                    <w:left w:val="single" w:color="000000" w:sz="4" w:space="0"/>
                    <w:bottom w:val="single" w:color="000000" w:sz="4" w:space="0"/>
                    <w:right w:val="single" w:color="000000" w:sz="4" w:space="0"/>
                  </w:tcBorders>
                  <w:vAlign w:val="center"/>
                </w:tcPr>
                <w:p w14:paraId="22D7B558">
                  <w:pPr>
                    <w:wordWrap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r>
                    <w:rPr>
                      <w:rFonts w:hint="eastAsia" w:ascii="宋体" w:hAnsi="宋体" w:eastAsia="宋体" w:cs="宋体"/>
                      <w:color w:val="auto"/>
                      <w:kern w:val="0"/>
                      <w:sz w:val="24"/>
                      <w:szCs w:val="24"/>
                      <w:highlight w:val="none"/>
                    </w:rPr>
                    <w:t>%</w:t>
                  </w:r>
                  <w:r>
                    <w:rPr>
                      <w:rFonts w:hint="eastAsia" w:ascii="宋体" w:hAnsi="宋体" w:eastAsia="宋体" w:cs="宋体"/>
                      <w:snapToGrid w:val="0"/>
                      <w:color w:val="auto"/>
                      <w:kern w:val="0"/>
                      <w:sz w:val="24"/>
                      <w:szCs w:val="24"/>
                      <w:highlight w:val="none"/>
                    </w:rPr>
                    <w:t>）</w:t>
                  </w:r>
                </w:p>
              </w:tc>
              <w:tc>
                <w:tcPr>
                  <w:tcW w:w="794" w:type="dxa"/>
                  <w:tcBorders>
                    <w:top w:val="single" w:color="000000" w:sz="4" w:space="0"/>
                    <w:left w:val="single" w:color="000000" w:sz="4" w:space="0"/>
                    <w:bottom w:val="single" w:color="000000" w:sz="4" w:space="0"/>
                    <w:right w:val="single" w:color="000000" w:sz="4" w:space="0"/>
                  </w:tcBorders>
                  <w:vAlign w:val="center"/>
                </w:tcPr>
                <w:p w14:paraId="1965917E">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3.0</w:t>
                  </w:r>
                </w:p>
              </w:tc>
              <w:tc>
                <w:tcPr>
                  <w:tcW w:w="830" w:type="dxa"/>
                  <w:tcBorders>
                    <w:top w:val="single" w:color="000000" w:sz="4" w:space="0"/>
                    <w:left w:val="single" w:color="000000" w:sz="4" w:space="0"/>
                    <w:bottom w:val="single" w:color="000000" w:sz="4" w:space="0"/>
                    <w:right w:val="single" w:color="000000" w:sz="4" w:space="0"/>
                  </w:tcBorders>
                  <w:vAlign w:val="center"/>
                </w:tcPr>
                <w:p w14:paraId="6A6F628F">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3.1</w:t>
                  </w:r>
                </w:p>
              </w:tc>
              <w:tc>
                <w:tcPr>
                  <w:tcW w:w="864" w:type="dxa"/>
                  <w:tcBorders>
                    <w:top w:val="single" w:color="000000" w:sz="4" w:space="0"/>
                    <w:left w:val="single" w:color="000000" w:sz="4" w:space="0"/>
                    <w:bottom w:val="single" w:color="000000" w:sz="4" w:space="0"/>
                    <w:right w:val="single" w:color="000000" w:sz="4" w:space="0"/>
                  </w:tcBorders>
                  <w:vAlign w:val="center"/>
                </w:tcPr>
                <w:p w14:paraId="0C3DF4D9">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3.2</w:t>
                  </w:r>
                </w:p>
              </w:tc>
              <w:tc>
                <w:tcPr>
                  <w:tcW w:w="848" w:type="dxa"/>
                  <w:tcBorders>
                    <w:top w:val="single" w:color="000000" w:sz="4" w:space="0"/>
                    <w:left w:val="single" w:color="000000" w:sz="4" w:space="0"/>
                    <w:bottom w:val="single" w:color="000000" w:sz="4" w:space="0"/>
                    <w:right w:val="single" w:color="000000" w:sz="4" w:space="0"/>
                  </w:tcBorders>
                  <w:vAlign w:val="center"/>
                </w:tcPr>
                <w:p w14:paraId="0B4BF661">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3.3</w:t>
                  </w:r>
                </w:p>
              </w:tc>
              <w:tc>
                <w:tcPr>
                  <w:tcW w:w="882" w:type="dxa"/>
                  <w:tcBorders>
                    <w:top w:val="single" w:color="000000" w:sz="4" w:space="0"/>
                    <w:left w:val="single" w:color="000000" w:sz="4" w:space="0"/>
                    <w:bottom w:val="single" w:color="000000" w:sz="4" w:space="0"/>
                    <w:right w:val="single" w:color="000000" w:sz="4" w:space="0"/>
                  </w:tcBorders>
                  <w:vAlign w:val="center"/>
                </w:tcPr>
                <w:p w14:paraId="66E5A281">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3.4</w:t>
                  </w:r>
                </w:p>
              </w:tc>
              <w:tc>
                <w:tcPr>
                  <w:tcW w:w="829" w:type="dxa"/>
                  <w:tcBorders>
                    <w:top w:val="single" w:color="000000" w:sz="4" w:space="0"/>
                    <w:left w:val="single" w:color="000000" w:sz="4" w:space="0"/>
                    <w:bottom w:val="single" w:color="000000" w:sz="4" w:space="0"/>
                    <w:right w:val="single" w:color="000000" w:sz="4" w:space="0"/>
                  </w:tcBorders>
                  <w:vAlign w:val="center"/>
                </w:tcPr>
                <w:p w14:paraId="49C89409">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3.5</w:t>
                  </w:r>
                </w:p>
              </w:tc>
              <w:tc>
                <w:tcPr>
                  <w:tcW w:w="819" w:type="dxa"/>
                  <w:tcBorders>
                    <w:top w:val="single" w:color="000000" w:sz="4" w:space="0"/>
                    <w:left w:val="single" w:color="000000" w:sz="4" w:space="0"/>
                    <w:bottom w:val="single" w:color="000000" w:sz="4" w:space="0"/>
                    <w:right w:val="single" w:color="000000" w:sz="4" w:space="0"/>
                  </w:tcBorders>
                  <w:vAlign w:val="center"/>
                </w:tcPr>
                <w:p w14:paraId="31C987E3">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3.6</w:t>
                  </w:r>
                </w:p>
              </w:tc>
            </w:tr>
            <w:tr w14:paraId="6A6ED0A7">
              <w:tblPrEx>
                <w:tblCellMar>
                  <w:top w:w="0" w:type="dxa"/>
                  <w:left w:w="108" w:type="dxa"/>
                  <w:bottom w:w="0" w:type="dxa"/>
                  <w:right w:w="108" w:type="dxa"/>
                </w:tblCellMar>
              </w:tblPrEx>
              <w:trPr>
                <w:trHeight w:val="454" w:hRule="exact"/>
                <w:jc w:val="center"/>
              </w:trPr>
              <w:tc>
                <w:tcPr>
                  <w:tcW w:w="1775" w:type="dxa"/>
                  <w:tcBorders>
                    <w:top w:val="single" w:color="000000" w:sz="4" w:space="0"/>
                    <w:left w:val="single" w:color="000000" w:sz="4" w:space="0"/>
                    <w:bottom w:val="single" w:color="000000" w:sz="4" w:space="0"/>
                    <w:right w:val="single" w:color="000000" w:sz="4" w:space="0"/>
                  </w:tcBorders>
                  <w:vAlign w:val="center"/>
                </w:tcPr>
                <w:p w14:paraId="7C9BBD78">
                  <w:pPr>
                    <w:wordWrap w:val="0"/>
                    <w:adjustRightInd w:val="0"/>
                    <w:snapToGrid w:val="0"/>
                    <w:spacing w:line="36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1BD65E1E">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8</w:t>
                  </w:r>
                </w:p>
              </w:tc>
              <w:tc>
                <w:tcPr>
                  <w:tcW w:w="830" w:type="dxa"/>
                  <w:tcBorders>
                    <w:top w:val="single" w:color="000000" w:sz="4" w:space="0"/>
                    <w:left w:val="single" w:color="000000" w:sz="4" w:space="0"/>
                    <w:bottom w:val="single" w:color="000000" w:sz="4" w:space="0"/>
                    <w:right w:val="single" w:color="000000" w:sz="4" w:space="0"/>
                  </w:tcBorders>
                  <w:vAlign w:val="center"/>
                </w:tcPr>
                <w:p w14:paraId="15C3AC57">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9</w:t>
                  </w:r>
                </w:p>
              </w:tc>
              <w:tc>
                <w:tcPr>
                  <w:tcW w:w="864" w:type="dxa"/>
                  <w:tcBorders>
                    <w:top w:val="single" w:color="000000" w:sz="4" w:space="0"/>
                    <w:left w:val="single" w:color="000000" w:sz="4" w:space="0"/>
                    <w:bottom w:val="single" w:color="000000" w:sz="4" w:space="0"/>
                    <w:right w:val="single" w:color="000000" w:sz="4" w:space="0"/>
                  </w:tcBorders>
                  <w:vAlign w:val="center"/>
                </w:tcPr>
                <w:p w14:paraId="5D3A20EA">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10</w:t>
                  </w:r>
                </w:p>
              </w:tc>
              <w:tc>
                <w:tcPr>
                  <w:tcW w:w="848" w:type="dxa"/>
                  <w:tcBorders>
                    <w:top w:val="single" w:color="000000" w:sz="4" w:space="0"/>
                    <w:left w:val="single" w:color="000000" w:sz="4" w:space="0"/>
                    <w:bottom w:val="single" w:color="000000" w:sz="4" w:space="0"/>
                    <w:right w:val="single" w:color="000000" w:sz="4" w:space="0"/>
                  </w:tcBorders>
                  <w:vAlign w:val="center"/>
                </w:tcPr>
                <w:p w14:paraId="710AD430">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28C8F737">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12</w:t>
                  </w:r>
                </w:p>
              </w:tc>
              <w:tc>
                <w:tcPr>
                  <w:tcW w:w="829" w:type="dxa"/>
                  <w:tcBorders>
                    <w:top w:val="single" w:color="000000" w:sz="4" w:space="0"/>
                    <w:left w:val="single" w:color="000000" w:sz="4" w:space="0"/>
                    <w:bottom w:val="single" w:color="000000" w:sz="4" w:space="0"/>
                    <w:right w:val="single" w:color="000000" w:sz="4" w:space="0"/>
                  </w:tcBorders>
                  <w:vAlign w:val="center"/>
                </w:tcPr>
                <w:p w14:paraId="2081256D">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13</w:t>
                  </w:r>
                </w:p>
              </w:tc>
              <w:tc>
                <w:tcPr>
                  <w:tcW w:w="819" w:type="dxa"/>
                  <w:tcBorders>
                    <w:top w:val="single" w:color="000000" w:sz="4" w:space="0"/>
                    <w:left w:val="single" w:color="000000" w:sz="4" w:space="0"/>
                    <w:bottom w:val="single" w:color="000000" w:sz="4" w:space="0"/>
                    <w:right w:val="single" w:color="000000" w:sz="4" w:space="0"/>
                  </w:tcBorders>
                  <w:vAlign w:val="center"/>
                </w:tcPr>
                <w:p w14:paraId="7F97255B">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14</w:t>
                  </w:r>
                </w:p>
              </w:tc>
            </w:tr>
            <w:tr w14:paraId="5D190279">
              <w:tblPrEx>
                <w:tblCellMar>
                  <w:top w:w="0" w:type="dxa"/>
                  <w:left w:w="108" w:type="dxa"/>
                  <w:bottom w:w="0" w:type="dxa"/>
                  <w:right w:w="108" w:type="dxa"/>
                </w:tblCellMar>
              </w:tblPrEx>
              <w:trPr>
                <w:trHeight w:val="454" w:hRule="exact"/>
                <w:jc w:val="center"/>
              </w:trPr>
              <w:tc>
                <w:tcPr>
                  <w:tcW w:w="1775" w:type="dxa"/>
                  <w:tcBorders>
                    <w:top w:val="single" w:color="000000" w:sz="4" w:space="0"/>
                    <w:left w:val="single" w:color="000000" w:sz="4" w:space="0"/>
                    <w:bottom w:val="single" w:color="000000" w:sz="4" w:space="0"/>
                    <w:right w:val="single" w:color="000000" w:sz="4" w:space="0"/>
                  </w:tcBorders>
                  <w:vAlign w:val="center"/>
                </w:tcPr>
                <w:p w14:paraId="0BF1062C">
                  <w:pPr>
                    <w:wordWrap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r>
                    <w:rPr>
                      <w:rFonts w:hint="eastAsia" w:ascii="宋体" w:hAnsi="宋体" w:eastAsia="宋体" w:cs="宋体"/>
                      <w:color w:val="auto"/>
                      <w:kern w:val="0"/>
                      <w:sz w:val="24"/>
                      <w:szCs w:val="24"/>
                      <w:highlight w:val="none"/>
                    </w:rPr>
                    <w:t>%</w:t>
                  </w:r>
                  <w:r>
                    <w:rPr>
                      <w:rFonts w:hint="eastAsia" w:ascii="宋体" w:hAnsi="宋体" w:eastAsia="宋体" w:cs="宋体"/>
                      <w:snapToGrid w:val="0"/>
                      <w:color w:val="auto"/>
                      <w:kern w:val="0"/>
                      <w:sz w:val="24"/>
                      <w:szCs w:val="24"/>
                      <w:highlight w:val="none"/>
                    </w:rPr>
                    <w:t>）</w:t>
                  </w:r>
                </w:p>
              </w:tc>
              <w:tc>
                <w:tcPr>
                  <w:tcW w:w="794" w:type="dxa"/>
                  <w:tcBorders>
                    <w:top w:val="single" w:color="000000" w:sz="4" w:space="0"/>
                    <w:left w:val="single" w:color="000000" w:sz="4" w:space="0"/>
                    <w:bottom w:val="single" w:color="000000" w:sz="4" w:space="0"/>
                    <w:right w:val="single" w:color="000000" w:sz="4" w:space="0"/>
                  </w:tcBorders>
                  <w:vAlign w:val="center"/>
                </w:tcPr>
                <w:p w14:paraId="3012E6E3">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3.7</w:t>
                  </w:r>
                </w:p>
              </w:tc>
              <w:tc>
                <w:tcPr>
                  <w:tcW w:w="830" w:type="dxa"/>
                  <w:tcBorders>
                    <w:top w:val="single" w:color="000000" w:sz="4" w:space="0"/>
                    <w:left w:val="single" w:color="000000" w:sz="4" w:space="0"/>
                    <w:bottom w:val="single" w:color="000000" w:sz="4" w:space="0"/>
                    <w:right w:val="single" w:color="000000" w:sz="4" w:space="0"/>
                  </w:tcBorders>
                  <w:vAlign w:val="center"/>
                </w:tcPr>
                <w:p w14:paraId="5F653750">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3.8</w:t>
                  </w:r>
                </w:p>
              </w:tc>
              <w:tc>
                <w:tcPr>
                  <w:tcW w:w="864" w:type="dxa"/>
                  <w:tcBorders>
                    <w:top w:val="single" w:color="000000" w:sz="4" w:space="0"/>
                    <w:left w:val="single" w:color="000000" w:sz="4" w:space="0"/>
                    <w:bottom w:val="single" w:color="000000" w:sz="4" w:space="0"/>
                    <w:right w:val="single" w:color="000000" w:sz="4" w:space="0"/>
                  </w:tcBorders>
                  <w:vAlign w:val="center"/>
                </w:tcPr>
                <w:p w14:paraId="0CDA1BF2">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3.9</w:t>
                  </w:r>
                </w:p>
              </w:tc>
              <w:tc>
                <w:tcPr>
                  <w:tcW w:w="848" w:type="dxa"/>
                  <w:tcBorders>
                    <w:top w:val="single" w:color="000000" w:sz="4" w:space="0"/>
                    <w:left w:val="single" w:color="000000" w:sz="4" w:space="0"/>
                    <w:bottom w:val="single" w:color="000000" w:sz="4" w:space="0"/>
                    <w:right w:val="single" w:color="000000" w:sz="4" w:space="0"/>
                  </w:tcBorders>
                  <w:vAlign w:val="center"/>
                </w:tcPr>
                <w:p w14:paraId="3A6B73EF">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4.0</w:t>
                  </w:r>
                </w:p>
              </w:tc>
              <w:tc>
                <w:tcPr>
                  <w:tcW w:w="882" w:type="dxa"/>
                  <w:tcBorders>
                    <w:top w:val="single" w:color="000000" w:sz="4" w:space="0"/>
                    <w:left w:val="single" w:color="000000" w:sz="4" w:space="0"/>
                    <w:bottom w:val="single" w:color="000000" w:sz="4" w:space="0"/>
                    <w:right w:val="single" w:color="000000" w:sz="4" w:space="0"/>
                  </w:tcBorders>
                  <w:vAlign w:val="center"/>
                </w:tcPr>
                <w:p w14:paraId="48F4F6E7">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4.1</w:t>
                  </w:r>
                </w:p>
              </w:tc>
              <w:tc>
                <w:tcPr>
                  <w:tcW w:w="829" w:type="dxa"/>
                  <w:tcBorders>
                    <w:top w:val="single" w:color="000000" w:sz="4" w:space="0"/>
                    <w:left w:val="single" w:color="000000" w:sz="4" w:space="0"/>
                    <w:bottom w:val="single" w:color="000000" w:sz="4" w:space="0"/>
                    <w:right w:val="single" w:color="000000" w:sz="4" w:space="0"/>
                  </w:tcBorders>
                  <w:vAlign w:val="center"/>
                </w:tcPr>
                <w:p w14:paraId="4B65DC45">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4.2</w:t>
                  </w:r>
                </w:p>
              </w:tc>
              <w:tc>
                <w:tcPr>
                  <w:tcW w:w="819" w:type="dxa"/>
                  <w:tcBorders>
                    <w:top w:val="single" w:color="000000" w:sz="4" w:space="0"/>
                    <w:left w:val="single" w:color="000000" w:sz="4" w:space="0"/>
                    <w:bottom w:val="single" w:color="000000" w:sz="4" w:space="0"/>
                    <w:right w:val="single" w:color="000000" w:sz="4" w:space="0"/>
                  </w:tcBorders>
                  <w:vAlign w:val="center"/>
                </w:tcPr>
                <w:p w14:paraId="24089107">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4.3</w:t>
                  </w:r>
                </w:p>
              </w:tc>
            </w:tr>
            <w:tr w14:paraId="23350573">
              <w:tblPrEx>
                <w:tblCellMar>
                  <w:top w:w="0" w:type="dxa"/>
                  <w:left w:w="108" w:type="dxa"/>
                  <w:bottom w:w="0" w:type="dxa"/>
                  <w:right w:w="108" w:type="dxa"/>
                </w:tblCellMar>
              </w:tblPrEx>
              <w:trPr>
                <w:trHeight w:val="454" w:hRule="exact"/>
                <w:jc w:val="center"/>
              </w:trPr>
              <w:tc>
                <w:tcPr>
                  <w:tcW w:w="1775" w:type="dxa"/>
                  <w:tcBorders>
                    <w:top w:val="single" w:color="000000" w:sz="4" w:space="0"/>
                    <w:left w:val="single" w:color="000000" w:sz="4" w:space="0"/>
                    <w:bottom w:val="single" w:color="000000" w:sz="4" w:space="0"/>
                    <w:right w:val="single" w:color="000000" w:sz="4" w:space="0"/>
                  </w:tcBorders>
                  <w:vAlign w:val="center"/>
                </w:tcPr>
                <w:p w14:paraId="5871E2AD">
                  <w:pPr>
                    <w:wordWrap w:val="0"/>
                    <w:adjustRightInd w:val="0"/>
                    <w:snapToGrid w:val="0"/>
                    <w:spacing w:line="36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2096E6A8">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15</w:t>
                  </w:r>
                </w:p>
              </w:tc>
              <w:tc>
                <w:tcPr>
                  <w:tcW w:w="830" w:type="dxa"/>
                  <w:tcBorders>
                    <w:top w:val="single" w:color="000000" w:sz="4" w:space="0"/>
                    <w:left w:val="single" w:color="000000" w:sz="4" w:space="0"/>
                    <w:bottom w:val="single" w:color="000000" w:sz="4" w:space="0"/>
                    <w:right w:val="single" w:color="000000" w:sz="4" w:space="0"/>
                  </w:tcBorders>
                  <w:vAlign w:val="center"/>
                </w:tcPr>
                <w:p w14:paraId="17098E4E">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16</w:t>
                  </w:r>
                </w:p>
              </w:tc>
              <w:tc>
                <w:tcPr>
                  <w:tcW w:w="864" w:type="dxa"/>
                  <w:tcBorders>
                    <w:top w:val="single" w:color="000000" w:sz="4" w:space="0"/>
                    <w:left w:val="single" w:color="000000" w:sz="4" w:space="0"/>
                    <w:bottom w:val="single" w:color="000000" w:sz="4" w:space="0"/>
                    <w:right w:val="single" w:color="000000" w:sz="4" w:space="0"/>
                  </w:tcBorders>
                  <w:vAlign w:val="center"/>
                </w:tcPr>
                <w:p w14:paraId="31C9369B">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17</w:t>
                  </w:r>
                </w:p>
              </w:tc>
              <w:tc>
                <w:tcPr>
                  <w:tcW w:w="848" w:type="dxa"/>
                  <w:tcBorders>
                    <w:top w:val="single" w:color="000000" w:sz="4" w:space="0"/>
                    <w:left w:val="single" w:color="000000" w:sz="4" w:space="0"/>
                    <w:bottom w:val="single" w:color="000000" w:sz="4" w:space="0"/>
                    <w:right w:val="single" w:color="000000" w:sz="4" w:space="0"/>
                  </w:tcBorders>
                  <w:vAlign w:val="center"/>
                </w:tcPr>
                <w:p w14:paraId="1ED43407">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18</w:t>
                  </w:r>
                </w:p>
              </w:tc>
              <w:tc>
                <w:tcPr>
                  <w:tcW w:w="882" w:type="dxa"/>
                  <w:tcBorders>
                    <w:top w:val="single" w:color="000000" w:sz="4" w:space="0"/>
                    <w:left w:val="single" w:color="000000" w:sz="4" w:space="0"/>
                    <w:bottom w:val="single" w:color="000000" w:sz="4" w:space="0"/>
                    <w:right w:val="single" w:color="000000" w:sz="4" w:space="0"/>
                  </w:tcBorders>
                  <w:vAlign w:val="center"/>
                </w:tcPr>
                <w:p w14:paraId="2160173E">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19</w:t>
                  </w:r>
                </w:p>
              </w:tc>
              <w:tc>
                <w:tcPr>
                  <w:tcW w:w="829" w:type="dxa"/>
                  <w:tcBorders>
                    <w:top w:val="single" w:color="000000" w:sz="4" w:space="0"/>
                    <w:left w:val="single" w:color="000000" w:sz="4" w:space="0"/>
                    <w:bottom w:val="single" w:color="000000" w:sz="4" w:space="0"/>
                    <w:right w:val="single" w:color="000000" w:sz="4" w:space="0"/>
                  </w:tcBorders>
                  <w:vAlign w:val="center"/>
                </w:tcPr>
                <w:p w14:paraId="7AD8D339">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20</w:t>
                  </w:r>
                </w:p>
              </w:tc>
              <w:tc>
                <w:tcPr>
                  <w:tcW w:w="819" w:type="dxa"/>
                  <w:tcBorders>
                    <w:top w:val="single" w:color="000000" w:sz="4" w:space="0"/>
                    <w:left w:val="single" w:color="000000" w:sz="4" w:space="0"/>
                    <w:bottom w:val="single" w:color="000000" w:sz="4" w:space="0"/>
                    <w:right w:val="single" w:color="000000" w:sz="4" w:space="0"/>
                  </w:tcBorders>
                  <w:vAlign w:val="center"/>
                </w:tcPr>
                <w:p w14:paraId="57B80B4C">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05ED75C0">
              <w:tblPrEx>
                <w:tblCellMar>
                  <w:top w:w="0" w:type="dxa"/>
                  <w:left w:w="108" w:type="dxa"/>
                  <w:bottom w:w="0" w:type="dxa"/>
                  <w:right w:w="108" w:type="dxa"/>
                </w:tblCellMar>
              </w:tblPrEx>
              <w:trPr>
                <w:trHeight w:val="454" w:hRule="exact"/>
                <w:jc w:val="center"/>
              </w:trPr>
              <w:tc>
                <w:tcPr>
                  <w:tcW w:w="1775" w:type="dxa"/>
                  <w:tcBorders>
                    <w:top w:val="single" w:color="000000" w:sz="4" w:space="0"/>
                    <w:left w:val="single" w:color="000000" w:sz="4" w:space="0"/>
                    <w:bottom w:val="single" w:color="000000" w:sz="4" w:space="0"/>
                    <w:right w:val="single" w:color="000000" w:sz="4" w:space="0"/>
                  </w:tcBorders>
                  <w:vAlign w:val="center"/>
                </w:tcPr>
                <w:p w14:paraId="68110A04">
                  <w:pPr>
                    <w:wordWrap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r>
                    <w:rPr>
                      <w:rFonts w:hint="eastAsia" w:ascii="宋体" w:hAnsi="宋体" w:eastAsia="宋体" w:cs="宋体"/>
                      <w:color w:val="auto"/>
                      <w:kern w:val="0"/>
                      <w:sz w:val="24"/>
                      <w:szCs w:val="24"/>
                      <w:highlight w:val="none"/>
                    </w:rPr>
                    <w:t>%</w:t>
                  </w:r>
                  <w:r>
                    <w:rPr>
                      <w:rFonts w:hint="eastAsia" w:ascii="宋体" w:hAnsi="宋体" w:eastAsia="宋体" w:cs="宋体"/>
                      <w:snapToGrid w:val="0"/>
                      <w:color w:val="auto"/>
                      <w:kern w:val="0"/>
                      <w:sz w:val="24"/>
                      <w:szCs w:val="24"/>
                      <w:highlight w:val="none"/>
                    </w:rPr>
                    <w:t>）</w:t>
                  </w:r>
                </w:p>
              </w:tc>
              <w:tc>
                <w:tcPr>
                  <w:tcW w:w="794" w:type="dxa"/>
                  <w:tcBorders>
                    <w:top w:val="single" w:color="000000" w:sz="4" w:space="0"/>
                    <w:left w:val="single" w:color="000000" w:sz="4" w:space="0"/>
                    <w:bottom w:val="single" w:color="000000" w:sz="4" w:space="0"/>
                    <w:right w:val="single" w:color="000000" w:sz="4" w:space="0"/>
                  </w:tcBorders>
                  <w:vAlign w:val="center"/>
                </w:tcPr>
                <w:p w14:paraId="4D0A7981">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4.4</w:t>
                  </w:r>
                </w:p>
              </w:tc>
              <w:tc>
                <w:tcPr>
                  <w:tcW w:w="830" w:type="dxa"/>
                  <w:tcBorders>
                    <w:top w:val="single" w:color="000000" w:sz="4" w:space="0"/>
                    <w:left w:val="single" w:color="000000" w:sz="4" w:space="0"/>
                    <w:bottom w:val="single" w:color="000000" w:sz="4" w:space="0"/>
                    <w:right w:val="single" w:color="000000" w:sz="4" w:space="0"/>
                  </w:tcBorders>
                  <w:vAlign w:val="center"/>
                </w:tcPr>
                <w:p w14:paraId="3384E2E9">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4.5</w:t>
                  </w:r>
                </w:p>
              </w:tc>
              <w:tc>
                <w:tcPr>
                  <w:tcW w:w="864" w:type="dxa"/>
                  <w:tcBorders>
                    <w:top w:val="single" w:color="000000" w:sz="4" w:space="0"/>
                    <w:left w:val="single" w:color="000000" w:sz="4" w:space="0"/>
                    <w:bottom w:val="single" w:color="000000" w:sz="4" w:space="0"/>
                    <w:right w:val="single" w:color="000000" w:sz="4" w:space="0"/>
                  </w:tcBorders>
                  <w:vAlign w:val="center"/>
                </w:tcPr>
                <w:p w14:paraId="3A33701F">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4.6</w:t>
                  </w:r>
                </w:p>
              </w:tc>
              <w:tc>
                <w:tcPr>
                  <w:tcW w:w="848" w:type="dxa"/>
                  <w:tcBorders>
                    <w:top w:val="single" w:color="000000" w:sz="4" w:space="0"/>
                    <w:left w:val="single" w:color="000000" w:sz="4" w:space="0"/>
                    <w:bottom w:val="single" w:color="000000" w:sz="4" w:space="0"/>
                    <w:right w:val="single" w:color="000000" w:sz="4" w:space="0"/>
                  </w:tcBorders>
                  <w:vAlign w:val="center"/>
                </w:tcPr>
                <w:p w14:paraId="481B9426">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4.7</w:t>
                  </w:r>
                </w:p>
              </w:tc>
              <w:tc>
                <w:tcPr>
                  <w:tcW w:w="882" w:type="dxa"/>
                  <w:tcBorders>
                    <w:top w:val="single" w:color="000000" w:sz="4" w:space="0"/>
                    <w:left w:val="single" w:color="000000" w:sz="4" w:space="0"/>
                    <w:bottom w:val="single" w:color="000000" w:sz="4" w:space="0"/>
                    <w:right w:val="single" w:color="000000" w:sz="4" w:space="0"/>
                  </w:tcBorders>
                  <w:vAlign w:val="center"/>
                </w:tcPr>
                <w:p w14:paraId="42630EE4">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4.8</w:t>
                  </w:r>
                </w:p>
              </w:tc>
              <w:tc>
                <w:tcPr>
                  <w:tcW w:w="829" w:type="dxa"/>
                  <w:tcBorders>
                    <w:top w:val="single" w:color="000000" w:sz="4" w:space="0"/>
                    <w:left w:val="single" w:color="000000" w:sz="4" w:space="0"/>
                    <w:bottom w:val="single" w:color="000000" w:sz="4" w:space="0"/>
                    <w:right w:val="single" w:color="000000" w:sz="4" w:space="0"/>
                  </w:tcBorders>
                  <w:vAlign w:val="center"/>
                </w:tcPr>
                <w:p w14:paraId="4D0B31B9">
                  <w:pPr>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4.9</w:t>
                  </w:r>
                </w:p>
              </w:tc>
              <w:tc>
                <w:tcPr>
                  <w:tcW w:w="819" w:type="dxa"/>
                  <w:tcBorders>
                    <w:top w:val="single" w:color="000000" w:sz="4" w:space="0"/>
                    <w:left w:val="single" w:color="000000" w:sz="4" w:space="0"/>
                    <w:bottom w:val="single" w:color="000000" w:sz="4" w:space="0"/>
                    <w:right w:val="single" w:color="000000" w:sz="4" w:space="0"/>
                  </w:tcBorders>
                  <w:vAlign w:val="center"/>
                </w:tcPr>
                <w:p w14:paraId="49D23857">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r>
          </w:tbl>
          <w:p w14:paraId="6EFA6CFA">
            <w:pPr>
              <w:widowControl w:val="0"/>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（2）评标基准价D＝</w:t>
            </w:r>
            <w:r>
              <w:rPr>
                <w:rFonts w:hint="eastAsia" w:ascii="宋体" w:hAnsi="宋体" w:eastAsia="宋体" w:cs="宋体"/>
                <w:snapToGrid w:val="0"/>
                <w:color w:val="auto"/>
                <w:kern w:val="0"/>
                <w:sz w:val="24"/>
                <w:szCs w:val="24"/>
                <w:highlight w:val="none"/>
                <w:lang w:val="en-US" w:eastAsia="zh-CN"/>
              </w:rPr>
              <w:t>最高投标限价</w:t>
            </w:r>
            <w:r>
              <w:rPr>
                <w:rFonts w:hint="eastAsia" w:ascii="宋体" w:hAnsi="宋体" w:eastAsia="宋体" w:cs="宋体"/>
                <w:snapToGrid w:val="0"/>
                <w:color w:val="auto"/>
                <w:kern w:val="0"/>
                <w:sz w:val="24"/>
                <w:szCs w:val="24"/>
                <w:highlight w:val="none"/>
              </w:rPr>
              <w:t>×（1－n）</w:t>
            </w:r>
          </w:p>
        </w:tc>
      </w:tr>
      <w:tr w14:paraId="7111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9" w:type="dxa"/>
            <w:shd w:val="clear" w:color="auto" w:fill="auto"/>
            <w:vAlign w:val="center"/>
          </w:tcPr>
          <w:p w14:paraId="4A527BF7">
            <w:pPr>
              <w:pStyle w:val="3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5E87DA86">
            <w:pPr>
              <w:pStyle w:val="36"/>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得分N</w:t>
            </w:r>
          </w:p>
        </w:tc>
        <w:tc>
          <w:tcPr>
            <w:tcW w:w="8806" w:type="dxa"/>
            <w:gridSpan w:val="2"/>
            <w:shd w:val="clear" w:color="auto" w:fill="auto"/>
            <w:vAlign w:val="center"/>
          </w:tcPr>
          <w:p w14:paraId="0BEAA934">
            <w:pPr>
              <w:widowControl w:val="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每低于评标基准价一个百分点扣0.5分，扣完为止。公式如下：</w:t>
            </w:r>
          </w:p>
          <w:p w14:paraId="59E7C35F">
            <w:pPr>
              <w:widowControl w:val="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N＝100－（|Di－D|÷D）×100×E</w:t>
            </w:r>
          </w:p>
          <w:p w14:paraId="37661615">
            <w:pPr>
              <w:widowControl w:val="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tc>
      </w:tr>
    </w:tbl>
    <w:p w14:paraId="53CCC284">
      <w:pPr>
        <w:spacing w:line="360" w:lineRule="auto"/>
        <w:ind w:firstLine="482" w:firstLineChars="200"/>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注：技术部分（施工组织设计）评分：各投标人的技术文件的最终评分低于技术部分满分（20分）的65%或高于95%的，评委必须详细阐述具体理由（字数不少于50字）。</w:t>
      </w:r>
    </w:p>
    <w:p w14:paraId="52CE272C">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15.5.2 否决投标说明</w:t>
      </w:r>
    </w:p>
    <w:p w14:paraId="1B5B00B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6084B3D1">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91" w:name="_Toc21502"/>
      <w:bookmarkStart w:id="92" w:name="_Toc30413"/>
      <w:bookmarkStart w:id="93" w:name="_Toc3180"/>
      <w:bookmarkStart w:id="94" w:name="_Toc12478"/>
      <w:bookmarkStart w:id="95" w:name="_Toc19642"/>
      <w:bookmarkStart w:id="96" w:name="_Toc4008"/>
      <w:bookmarkStart w:id="97" w:name="_Toc1471"/>
      <w:bookmarkStart w:id="98" w:name="_Toc17835"/>
      <w:bookmarkStart w:id="99" w:name="_Toc9095"/>
      <w:r>
        <w:rPr>
          <w:rFonts w:hint="eastAsia" w:ascii="宋体" w:hAnsi="宋体" w:eastAsia="宋体" w:cs="宋体"/>
          <w:b/>
          <w:bCs/>
          <w:color w:val="auto"/>
          <w:sz w:val="24"/>
          <w:szCs w:val="24"/>
          <w:highlight w:val="none"/>
        </w:rPr>
        <w:t>注：投标人在详细评审阶段根据评分方法提供的佐证材料，其合法性、有效性和准确性不符合要求的，有关量化因素（或评分标准）的折算、调整（或评分）按相应量化标准（或评分标准）处理，但不否决投标。</w:t>
      </w:r>
      <w:bookmarkEnd w:id="91"/>
      <w:bookmarkEnd w:id="92"/>
      <w:bookmarkEnd w:id="93"/>
      <w:bookmarkEnd w:id="94"/>
      <w:bookmarkEnd w:id="95"/>
      <w:bookmarkEnd w:id="96"/>
      <w:bookmarkEnd w:id="97"/>
      <w:bookmarkEnd w:id="98"/>
      <w:bookmarkEnd w:id="99"/>
      <w:bookmarkStart w:id="100" w:name="_Toc8153"/>
    </w:p>
    <w:p w14:paraId="4F8EB135">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101" w:name="_Toc18711"/>
      <w:bookmarkStart w:id="102" w:name="_Toc13897"/>
      <w:bookmarkStart w:id="103" w:name="_Toc19232"/>
      <w:bookmarkStart w:id="104" w:name="_Toc7762"/>
      <w:bookmarkStart w:id="105" w:name="_Toc2769"/>
      <w:r>
        <w:rPr>
          <w:rFonts w:hint="eastAsia" w:ascii="宋体" w:hAnsi="宋体" w:eastAsia="宋体" w:cs="宋体"/>
          <w:b/>
          <w:bCs/>
          <w:color w:val="auto"/>
          <w:kern w:val="0"/>
          <w:sz w:val="24"/>
          <w:szCs w:val="24"/>
          <w:highlight w:val="none"/>
          <w:lang w:val="en-US" w:eastAsia="zh-CN"/>
        </w:rPr>
        <w:t>16．</w:t>
      </w:r>
      <w:bookmarkEnd w:id="100"/>
      <w:bookmarkEnd w:id="101"/>
      <w:bookmarkEnd w:id="102"/>
      <w:bookmarkEnd w:id="103"/>
      <w:bookmarkEnd w:id="104"/>
      <w:bookmarkEnd w:id="105"/>
      <w:r>
        <w:rPr>
          <w:rFonts w:hint="eastAsia" w:ascii="宋体" w:hAnsi="宋体" w:eastAsia="宋体" w:cs="宋体"/>
          <w:b/>
          <w:bCs/>
          <w:color w:val="auto"/>
          <w:kern w:val="0"/>
          <w:sz w:val="24"/>
          <w:szCs w:val="24"/>
          <w:highlight w:val="none"/>
          <w:lang w:val="en-US" w:eastAsia="zh-CN"/>
        </w:rPr>
        <w:t>定标候选人公示</w:t>
      </w:r>
    </w:p>
    <w:p w14:paraId="2EE1802C">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356FE6EB">
      <w:pPr>
        <w:rPr>
          <w:rFonts w:hint="eastAsia" w:ascii="宋体" w:hAnsi="宋体" w:eastAsia="宋体" w:cs="宋体"/>
          <w:color w:val="auto"/>
        </w:rPr>
      </w:pPr>
      <w:bookmarkStart w:id="106" w:name="_Toc21572"/>
      <w:bookmarkStart w:id="107" w:name="_Toc9616"/>
      <w:bookmarkStart w:id="108" w:name="_Toc7139"/>
      <w:bookmarkStart w:id="109" w:name="_Toc32101"/>
      <w:bookmarkStart w:id="110" w:name="_Toc611"/>
      <w:bookmarkStart w:id="111" w:name="_Toc11724"/>
      <w:bookmarkStart w:id="112" w:name="_Toc1623"/>
      <w:bookmarkStart w:id="113" w:name="_Toc26670"/>
      <w:bookmarkStart w:id="114" w:name="_Toc19086"/>
      <w:bookmarkStart w:id="115" w:name="_Toc18634"/>
      <w:bookmarkStart w:id="116" w:name="_Toc14558"/>
    </w:p>
    <w:p w14:paraId="77629CE2">
      <w:pPr>
        <w:rPr>
          <w:rFonts w:hint="eastAsia" w:ascii="宋体" w:hAnsi="宋体" w:eastAsia="宋体" w:cs="宋体"/>
          <w:color w:val="auto"/>
        </w:rPr>
      </w:pPr>
    </w:p>
    <w:p w14:paraId="5F299F85">
      <w:pPr>
        <w:rPr>
          <w:rFonts w:hint="eastAsia" w:ascii="宋体" w:hAnsi="宋体" w:eastAsia="宋体" w:cs="宋体"/>
          <w:color w:val="auto"/>
        </w:rPr>
      </w:pPr>
    </w:p>
    <w:p w14:paraId="72EC7890">
      <w:pPr>
        <w:rPr>
          <w:rFonts w:hint="eastAsia" w:ascii="宋体" w:hAnsi="宋体" w:eastAsia="宋体" w:cs="宋体"/>
          <w:color w:val="auto"/>
        </w:rPr>
      </w:pPr>
    </w:p>
    <w:p w14:paraId="7F83B984">
      <w:pPr>
        <w:rPr>
          <w:rFonts w:hint="eastAsia" w:ascii="宋体" w:hAnsi="宋体" w:eastAsia="宋体" w:cs="宋体"/>
          <w:color w:val="auto"/>
        </w:rPr>
      </w:pPr>
    </w:p>
    <w:p w14:paraId="44D4F83C">
      <w:pPr>
        <w:rPr>
          <w:rFonts w:hint="eastAsia" w:ascii="宋体" w:hAnsi="宋体" w:eastAsia="宋体" w:cs="宋体"/>
          <w:color w:val="auto"/>
        </w:rPr>
      </w:pPr>
    </w:p>
    <w:p w14:paraId="31D1D02C">
      <w:pPr>
        <w:rPr>
          <w:rFonts w:hint="eastAsia" w:ascii="宋体" w:hAnsi="宋体" w:eastAsia="宋体" w:cs="宋体"/>
          <w:color w:val="auto"/>
        </w:rPr>
      </w:pPr>
    </w:p>
    <w:p w14:paraId="61C0B7B4">
      <w:pPr>
        <w:rPr>
          <w:rFonts w:hint="eastAsia" w:ascii="宋体" w:hAnsi="宋体" w:eastAsia="宋体" w:cs="宋体"/>
          <w:color w:val="auto"/>
        </w:rPr>
      </w:pPr>
    </w:p>
    <w:p w14:paraId="60C1A9ED">
      <w:pPr>
        <w:rPr>
          <w:rFonts w:hint="eastAsia" w:ascii="宋体" w:hAnsi="宋体" w:eastAsia="宋体" w:cs="宋体"/>
          <w:color w:val="auto"/>
        </w:rPr>
      </w:pPr>
    </w:p>
    <w:p w14:paraId="2934E943">
      <w:pPr>
        <w:rPr>
          <w:rFonts w:hint="eastAsia" w:ascii="宋体" w:hAnsi="宋体" w:eastAsia="宋体" w:cs="宋体"/>
          <w:color w:val="auto"/>
        </w:rPr>
      </w:pPr>
    </w:p>
    <w:p w14:paraId="6AA9BC39">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117" w:name="_Toc1447"/>
      <w:r>
        <w:rPr>
          <w:rFonts w:hint="eastAsia" w:ascii="宋体" w:hAnsi="宋体" w:eastAsia="宋体" w:cs="宋体"/>
          <w:color w:val="auto"/>
          <w:kern w:val="2"/>
          <w:sz w:val="28"/>
          <w:szCs w:val="24"/>
          <w:lang w:val="en-US" w:eastAsia="zh-CN"/>
        </w:rPr>
        <w:t>第四节   否决投标条件</w:t>
      </w:r>
      <w:bookmarkEnd w:id="106"/>
      <w:bookmarkEnd w:id="107"/>
      <w:bookmarkEnd w:id="108"/>
      <w:bookmarkEnd w:id="109"/>
      <w:bookmarkEnd w:id="110"/>
      <w:bookmarkEnd w:id="111"/>
      <w:bookmarkEnd w:id="112"/>
      <w:bookmarkEnd w:id="113"/>
      <w:bookmarkEnd w:id="114"/>
      <w:bookmarkEnd w:id="115"/>
      <w:bookmarkEnd w:id="116"/>
      <w:bookmarkEnd w:id="117"/>
    </w:p>
    <w:p w14:paraId="3E79976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szCs w:val="24"/>
          <w:highlight w:val="none"/>
        </w:rPr>
        <w:t>投标人未有列入本节情形的，评标时一律不得否决其投标。</w:t>
      </w:r>
      <w:r>
        <w:rPr>
          <w:rFonts w:hint="eastAsia" w:ascii="宋体" w:hAnsi="宋体" w:eastAsia="宋体" w:cs="宋体"/>
          <w:snapToGrid w:val="0"/>
          <w:color w:val="auto"/>
          <w:kern w:val="0"/>
          <w:sz w:val="24"/>
          <w:szCs w:val="24"/>
          <w:highlight w:val="none"/>
        </w:rPr>
        <w:t>本节所称“规定”均指招标文件的规定。</w:t>
      </w:r>
    </w:p>
    <w:p w14:paraId="506D35C1">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118" w:name="_Toc4922"/>
      <w:r>
        <w:rPr>
          <w:rFonts w:hint="eastAsia" w:ascii="宋体" w:hAnsi="宋体" w:eastAsia="宋体" w:cs="宋体"/>
          <w:b/>
          <w:bCs/>
          <w:color w:val="auto"/>
          <w:kern w:val="0"/>
          <w:sz w:val="24"/>
          <w:szCs w:val="24"/>
          <w:highlight w:val="none"/>
        </w:rPr>
        <w:t>1．资格评审环节</w:t>
      </w:r>
      <w:bookmarkEnd w:id="118"/>
    </w:p>
    <w:p w14:paraId="38A5653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投标人有下列情形之一的，评标委员会应否决其投标。被否决的投标人，不进入形式评审环节。</w:t>
      </w:r>
    </w:p>
    <w:p w14:paraId="7FE34D2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（1）有本章第三节第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条“禁止投标条款”规定的任何一种情形；</w:t>
      </w:r>
    </w:p>
    <w:p w14:paraId="3046840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（2）投标人资质不符合规定的；</w:t>
      </w:r>
    </w:p>
    <w:p w14:paraId="409815D8">
      <w:pPr>
        <w:keepNext w:val="0"/>
        <w:keepLines w:val="0"/>
        <w:pageBreakBefore w:val="0"/>
        <w:widowControl w:val="0"/>
        <w:suppressLineNumbers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（3）投标人名称与营业执照、资质证书、安全生产许可证上的企业名称相互不一致的；其资质证书、安全生产许可证不是由住房城乡建设主管部门颁发的；营业执照、资质证书、</w:t>
      </w:r>
      <w:r>
        <w:rPr>
          <w:rFonts w:hint="eastAsia" w:ascii="宋体" w:hAnsi="宋体" w:eastAsia="宋体" w:cs="宋体"/>
          <w:b/>
          <w:bCs/>
          <w:snapToGrid w:val="0"/>
          <w:color w:val="auto"/>
          <w:kern w:val="0"/>
          <w:sz w:val="24"/>
          <w:szCs w:val="24"/>
          <w:highlight w:val="none"/>
        </w:rPr>
        <w:t>安全生产许可证</w:t>
      </w:r>
      <w:r>
        <w:rPr>
          <w:rFonts w:hint="eastAsia" w:ascii="宋体" w:hAnsi="宋体" w:eastAsia="宋体" w:cs="宋体"/>
          <w:b/>
          <w:bCs/>
          <w:color w:val="auto"/>
          <w:kern w:val="0"/>
          <w:sz w:val="24"/>
          <w:szCs w:val="24"/>
          <w:highlight w:val="none"/>
          <w:lang w:val="en-US" w:eastAsia="zh-CN" w:bidi="ar"/>
        </w:rPr>
        <w:t>（含实时网页查询页，可参考网址 https：//zlaq.mohurd.gov.cn/fwmh/bjxcjgl/fwmh/pages/construction_safety/qyaqscxkz/qyaqscxk）被</w:t>
      </w:r>
      <w:r>
        <w:rPr>
          <w:rFonts w:hint="eastAsia" w:ascii="宋体" w:hAnsi="宋体" w:eastAsia="宋体" w:cs="宋体"/>
          <w:b/>
          <w:bCs/>
          <w:snapToGrid w:val="0"/>
          <w:color w:val="auto"/>
          <w:kern w:val="0"/>
          <w:sz w:val="24"/>
          <w:szCs w:val="24"/>
          <w:highlight w:val="none"/>
        </w:rPr>
        <w:t>吊销、暂扣或不在有效期内的；</w:t>
      </w:r>
    </w:p>
    <w:p w14:paraId="49EEA017">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5F4C14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（4）拟派项目经理、项目技术负责人、专职安全员的条件不符合规定的；拟派专职安全员数量不符合规定的；技术负责人未在投标文件《项目技术负责人简历表》中签字确认；</w:t>
      </w:r>
    </w:p>
    <w:p w14:paraId="05C48847">
      <w:pPr>
        <w:pStyle w:val="11"/>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温馨提示：建造师打印电子证书后，应在个人签名处手写本人签名，未手写签名或与签名图像笔迹不一致的，该电子证书无效。</w:t>
      </w:r>
    </w:p>
    <w:p w14:paraId="7911155A">
      <w:pPr>
        <w:keepNext w:val="0"/>
        <w:keepLines w:val="0"/>
        <w:pageBreakBefore w:val="0"/>
        <w:widowControl w:val="0"/>
        <w:suppressLineNumbers w:val="0"/>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color w:val="auto"/>
          <w:sz w:val="24"/>
          <w:szCs w:val="24"/>
          <w:highlight w:val="none"/>
        </w:rPr>
        <w:t>《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r>
        <w:rPr>
          <w:rFonts w:hint="eastAsia" w:ascii="宋体" w:hAnsi="宋体" w:eastAsia="宋体" w:cs="宋体"/>
          <w:b w:val="0"/>
          <w:bCs w:val="0"/>
          <w:caps w:val="0"/>
          <w:smallCaps w:val="0"/>
          <w:snapToGrid w:val="0"/>
          <w:color w:val="auto"/>
          <w:spacing w:val="0"/>
          <w:kern w:val="0"/>
          <w:sz w:val="24"/>
          <w:szCs w:val="24"/>
          <w:highlight w:val="none"/>
          <w:lang w:val="en-US" w:eastAsia="zh-CN"/>
        </w:rPr>
        <w:t>；</w:t>
      </w:r>
    </w:p>
    <w:p w14:paraId="1FE3E625">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注：投标人已经工商变更，但其员工执业资格注册证书的注册单位名称未完成变更的，不得否决其投标。</w:t>
      </w:r>
    </w:p>
    <w:p w14:paraId="1590D2CB">
      <w:pPr>
        <w:keepNext w:val="0"/>
        <w:keepLines w:val="0"/>
        <w:pageBreakBefore w:val="0"/>
        <w:widowControl w:val="0"/>
        <w:suppressLineNumbers w:val="0"/>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鉴于目前继续教育开展的实际情况，建筑和市政工程施工现场专业人员（例如：施工员、质量员、材料员、资料员）的岗位证书或培训证书不审查其证书的有效期。</w:t>
      </w:r>
    </w:p>
    <w:p w14:paraId="0DB88D1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（6）招标文件规定不接受联合体投标，但以联合体投标的；</w:t>
      </w:r>
    </w:p>
    <w:p w14:paraId="08BE6A3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0BE2A715">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（8）投标人为外省建筑企业，但未提供“进粤企业和人员诚信信息登记平台”企业和拟派人员信息情况打印页或网页截图的</w:t>
      </w:r>
      <w:r>
        <w:rPr>
          <w:rStyle w:val="26"/>
          <w:rFonts w:hint="eastAsia" w:ascii="宋体" w:hAnsi="宋体" w:eastAsia="宋体" w:cs="宋体"/>
          <w:color w:val="auto"/>
          <w:kern w:val="0"/>
          <w:sz w:val="24"/>
          <w:szCs w:val="24"/>
          <w:highlight w:val="none"/>
        </w:rPr>
        <w:t>。</w:t>
      </w:r>
    </w:p>
    <w:p w14:paraId="04CE3BA0">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2．形式评审环节</w:t>
      </w:r>
    </w:p>
    <w:p w14:paraId="2D6F23B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投标人有下列情形之一的，评标委员会应否决其投标。被否决的投标人，不进入响应性评审环节。</w:t>
      </w:r>
    </w:p>
    <w:p w14:paraId="60B383B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（1）各分册没按招标文件规定加盖电子印章；</w:t>
      </w:r>
    </w:p>
    <w:p w14:paraId="4107DBC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（2）本章第三节第</w:t>
      </w:r>
      <w:r>
        <w:rPr>
          <w:rFonts w:hint="eastAsia" w:ascii="宋体" w:hAnsi="宋体" w:eastAsia="宋体" w:cs="宋体"/>
          <w:b/>
          <w:bCs/>
          <w:color w:val="auto"/>
          <w:sz w:val="24"/>
          <w:szCs w:val="24"/>
          <w:highlight w:val="none"/>
        </w:rPr>
        <w:t>10.2.2</w:t>
      </w:r>
      <w:r>
        <w:rPr>
          <w:rFonts w:hint="eastAsia" w:ascii="宋体" w:hAnsi="宋体" w:eastAsia="宋体" w:cs="宋体"/>
          <w:color w:val="auto"/>
          <w:sz w:val="24"/>
          <w:szCs w:val="24"/>
          <w:highlight w:val="none"/>
        </w:rPr>
        <w:t>目、第</w:t>
      </w:r>
      <w:r>
        <w:rPr>
          <w:rFonts w:hint="eastAsia" w:ascii="宋体" w:hAnsi="宋体" w:eastAsia="宋体" w:cs="宋体"/>
          <w:b/>
          <w:bCs/>
          <w:color w:val="auto"/>
          <w:sz w:val="24"/>
          <w:szCs w:val="24"/>
          <w:highlight w:val="none"/>
        </w:rPr>
        <w:t>10.3.2</w:t>
      </w:r>
      <w:r>
        <w:rPr>
          <w:rFonts w:hint="eastAsia" w:ascii="宋体" w:hAnsi="宋体" w:eastAsia="宋体" w:cs="宋体"/>
          <w:color w:val="auto"/>
          <w:sz w:val="24"/>
          <w:szCs w:val="24"/>
          <w:highlight w:val="none"/>
        </w:rPr>
        <w:t>目、第</w:t>
      </w:r>
      <w:r>
        <w:rPr>
          <w:rFonts w:hint="eastAsia" w:ascii="宋体" w:hAnsi="宋体" w:eastAsia="宋体" w:cs="宋体"/>
          <w:b/>
          <w:bCs/>
          <w:color w:val="auto"/>
          <w:sz w:val="24"/>
          <w:szCs w:val="24"/>
          <w:highlight w:val="none"/>
        </w:rPr>
        <w:t>10.4.3</w:t>
      </w:r>
      <w:r>
        <w:rPr>
          <w:rFonts w:hint="eastAsia" w:ascii="宋体" w:hAnsi="宋体" w:eastAsia="宋体" w:cs="宋体"/>
          <w:color w:val="auto"/>
          <w:sz w:val="24"/>
          <w:szCs w:val="24"/>
          <w:highlight w:val="none"/>
        </w:rPr>
        <w:t>目中规定的“所有投标人均应提供”的组成内容（包括该组成内容的所附资料）中，任何一项有缺漏的；</w:t>
      </w:r>
    </w:p>
    <w:p w14:paraId="1913C25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（3）关键字迹模糊、无法辨认，且该种过错将导致评标委员会无法判断投标文件是否响应招标文件实质性要求的；有涂改、行间插字或删除，但未加盖单</w:t>
      </w:r>
      <w:r>
        <w:rPr>
          <w:rFonts w:hint="eastAsia" w:ascii="宋体" w:hAnsi="宋体" w:eastAsia="宋体" w:cs="宋体"/>
          <w:snapToGrid w:val="0"/>
          <w:color w:val="auto"/>
          <w:kern w:val="0"/>
          <w:sz w:val="24"/>
          <w:szCs w:val="24"/>
          <w:highlight w:val="none"/>
          <w:lang w:eastAsia="zh-CN"/>
        </w:rPr>
        <w:t>位公</w:t>
      </w:r>
      <w:r>
        <w:rPr>
          <w:rFonts w:hint="eastAsia" w:ascii="宋体" w:hAnsi="宋体" w:eastAsia="宋体" w:cs="宋体"/>
          <w:snapToGrid w:val="0"/>
          <w:color w:val="auto"/>
          <w:kern w:val="0"/>
          <w:sz w:val="24"/>
          <w:szCs w:val="24"/>
          <w:highlight w:val="none"/>
        </w:rPr>
        <w:t>章或由投标人的法定代表人或其委托代理人签字确认的；</w:t>
      </w:r>
    </w:p>
    <w:p w14:paraId="38ABF03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（4）投标文件未按规定签字、盖章的。</w:t>
      </w:r>
    </w:p>
    <w:p w14:paraId="64C255A7">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3．响应性评审环节</w:t>
      </w:r>
    </w:p>
    <w:p w14:paraId="23A405D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投标人有下列情形之一的，评标委员会应否决其投标。被否决的投标人，不进入详细评审阶段。</w:t>
      </w:r>
    </w:p>
    <w:p w14:paraId="25999D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（1）承诺的投标有效期短于规定的；质量标准低于规定的；工期超出规定的；擅自修改、遗漏《投标函》《各项承诺一览表》实质性内容的；</w:t>
      </w:r>
    </w:p>
    <w:p w14:paraId="20C1D35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（2）编制《投标总价》的造价工程师，其注册证书不是</w:t>
      </w:r>
      <w:r>
        <w:rPr>
          <w:rFonts w:hint="eastAsia" w:ascii="宋体" w:hAnsi="宋体" w:eastAsia="宋体" w:cs="宋体"/>
          <w:b/>
          <w:bCs/>
          <w:snapToGrid w:val="0"/>
          <w:color w:val="auto"/>
          <w:kern w:val="0"/>
          <w:sz w:val="24"/>
          <w:szCs w:val="24"/>
          <w:highlight w:val="none"/>
        </w:rPr>
        <w:t>住建部门</w:t>
      </w:r>
      <w:r>
        <w:rPr>
          <w:rFonts w:hint="eastAsia" w:ascii="宋体" w:hAnsi="宋体" w:eastAsia="宋体" w:cs="宋体"/>
          <w:snapToGrid w:val="0"/>
          <w:color w:val="auto"/>
          <w:kern w:val="0"/>
          <w:sz w:val="24"/>
          <w:szCs w:val="24"/>
          <w:highlight w:val="none"/>
        </w:rPr>
        <w:t>颁发的；其注册单位与投标人（或造价咨询人）不一致的；其注册证书不在有效期内的。</w:t>
      </w:r>
    </w:p>
    <w:p w14:paraId="464593DE">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注：投标人（或造价咨询人）已经工商变更，但其员工的执业资格注册证书的注册单位名称未完成变更的，不得否决其投标。</w:t>
      </w:r>
    </w:p>
    <w:p w14:paraId="68B20B79">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（3）投标人委托造价咨询单位编制《投标总价》，但未在《投标总价扉页》“投标人”栏目加盖造价咨询人公章的；未提供造价咨询人的营业执照彩色扫描件的；</w:t>
      </w:r>
    </w:p>
    <w:p w14:paraId="2900CBE1">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（4）出现两个或两个以上投标总价的（同一个投标总价大、小写不一致的除外）；投标总价超出</w:t>
      </w:r>
      <w:r>
        <w:rPr>
          <w:rStyle w:val="26"/>
          <w:rFonts w:hint="eastAsia" w:ascii="宋体" w:hAnsi="宋体" w:eastAsia="宋体" w:cs="宋体"/>
          <w:b/>
          <w:bCs/>
          <w:color w:val="auto"/>
          <w:kern w:val="0"/>
          <w:sz w:val="24"/>
          <w:szCs w:val="24"/>
          <w:highlight w:val="none"/>
          <w:lang w:val="en-US" w:eastAsia="zh-CN"/>
        </w:rPr>
        <w:t>最高投标限价</w:t>
      </w:r>
      <w:r>
        <w:rPr>
          <w:rStyle w:val="26"/>
          <w:rFonts w:hint="eastAsia" w:ascii="宋体" w:hAnsi="宋体" w:eastAsia="宋体" w:cs="宋体"/>
          <w:color w:val="auto"/>
          <w:kern w:val="0"/>
          <w:sz w:val="24"/>
          <w:szCs w:val="24"/>
          <w:highlight w:val="none"/>
        </w:rPr>
        <w:t>的；</w:t>
      </w:r>
      <w:r>
        <w:rPr>
          <w:rFonts w:hint="eastAsia" w:ascii="宋体" w:hAnsi="宋体" w:eastAsia="宋体" w:cs="宋体"/>
          <w:snapToGrid w:val="0"/>
          <w:color w:val="auto"/>
          <w:kern w:val="0"/>
          <w:sz w:val="24"/>
          <w:szCs w:val="24"/>
          <w:highlight w:val="none"/>
          <w:lang w:eastAsia="zh-CN"/>
        </w:rPr>
        <w:t>安全生产措施费</w:t>
      </w:r>
      <w:r>
        <w:rPr>
          <w:rStyle w:val="26"/>
          <w:rFonts w:hint="eastAsia" w:ascii="宋体" w:hAnsi="宋体" w:eastAsia="宋体" w:cs="宋体"/>
          <w:color w:val="auto"/>
          <w:kern w:val="0"/>
          <w:sz w:val="24"/>
          <w:szCs w:val="24"/>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1F2994DE">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（5）在施工组织设计评审中，评标委员会认定质量、进度保障措施与国家和省市现行有关规范、规定、标准有重大偏差，</w:t>
      </w:r>
      <w:r>
        <w:rPr>
          <w:rStyle w:val="26"/>
          <w:rFonts w:hint="eastAsia" w:ascii="宋体" w:hAnsi="宋体" w:eastAsia="宋体" w:cs="宋体"/>
          <w:b/>
          <w:bCs/>
          <w:color w:val="auto"/>
          <w:kern w:val="0"/>
          <w:sz w:val="24"/>
          <w:szCs w:val="24"/>
          <w:highlight w:val="none"/>
        </w:rPr>
        <w:t>且该种过错将导致工程质量、进度管理目标无法实现的</w:t>
      </w:r>
      <w:r>
        <w:rPr>
          <w:rStyle w:val="26"/>
          <w:rFonts w:hint="eastAsia" w:ascii="宋体" w:hAnsi="宋体" w:eastAsia="宋体" w:cs="宋体"/>
          <w:color w:val="auto"/>
          <w:kern w:val="0"/>
          <w:sz w:val="24"/>
          <w:szCs w:val="24"/>
          <w:highlight w:val="none"/>
        </w:rPr>
        <w:t>。</w:t>
      </w:r>
    </w:p>
    <w:p w14:paraId="55362E19">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4．其他</w:t>
      </w:r>
    </w:p>
    <w:p w14:paraId="49EFA077">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在任何评标环节（或阶段），投标人有下列情形之一的，评标委员会应否决其投标。被否决的投标人，不进入下一环节（或阶段）。</w:t>
      </w:r>
    </w:p>
    <w:p w14:paraId="7F1A7642">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（1）不按评标委员会要求澄清、说明或补正的；</w:t>
      </w:r>
    </w:p>
    <w:p w14:paraId="03C481F4">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（2）有下列情形之一，被评标委员会认定属于串通投标的：</w:t>
      </w:r>
    </w:p>
    <w:p w14:paraId="0959CFA8">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①不同投标人的投标文件两处以上（含两处）错、漏一致；</w:t>
      </w:r>
    </w:p>
    <w:p w14:paraId="7DEB5FB2">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②不同投标人的投标总价相近且各分项报价、综合单价分析表内容混乱不能相互对应、乱调乱压或乱抬的，而在询标时没有合理的解释或者不能提供计算依据和报价依据；</w:t>
      </w:r>
    </w:p>
    <w:p w14:paraId="6F8CFB1B">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③不同投标人的投标各项报价存在异常一致或者呈规律性变化；</w:t>
      </w:r>
    </w:p>
    <w:p w14:paraId="1A8AB399">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④不同投标人的投标文件由同一单位或者同一个人编制或不同投标人通过同一IP地址上传投标文件的；</w:t>
      </w:r>
    </w:p>
    <w:p w14:paraId="63374A70">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⑤不同投标人的投标文件中投标资料（包括电子资料）相互混装或项目班子成员出现同一人；</w:t>
      </w:r>
    </w:p>
    <w:p w14:paraId="15760A3F">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⑥不同投标人的投标文件由同一电脑编制或同一台附属设备打印，或投标报价用同一个预算编制软件密码锁制作或出自同一电子文档；</w:t>
      </w:r>
    </w:p>
    <w:p w14:paraId="1647B122">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⑦不同投标人的投标保证由同一企业或同一账户资金缴纳；</w:t>
      </w:r>
    </w:p>
    <w:p w14:paraId="13635D4C">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lang w:val="en-US" w:eastAsia="zh-CN"/>
        </w:rPr>
        <w:t>⑧不同投标人委托同一个人或注册在同一家企业的注册人员或同一家企业为其投标提供投标咨询、商务报价、技术咨询（招标项目本身要求采用专有技术的除外）等服务</w:t>
      </w:r>
      <w:r>
        <w:rPr>
          <w:rStyle w:val="26"/>
          <w:rFonts w:hint="eastAsia" w:ascii="宋体" w:hAnsi="宋体" w:eastAsia="宋体" w:cs="宋体"/>
          <w:color w:val="auto"/>
          <w:kern w:val="0"/>
          <w:sz w:val="24"/>
          <w:szCs w:val="24"/>
          <w:highlight w:val="none"/>
        </w:rPr>
        <w:t>。</w:t>
      </w:r>
    </w:p>
    <w:p w14:paraId="2FC305FB">
      <w:pPr>
        <w:rPr>
          <w:rStyle w:val="26"/>
          <w:rFonts w:hint="eastAsia" w:ascii="宋体" w:hAnsi="宋体" w:eastAsia="宋体" w:cs="宋体"/>
          <w:b/>
          <w:bCs/>
          <w:color w:val="auto"/>
          <w:highlight w:val="none"/>
        </w:rPr>
      </w:pPr>
    </w:p>
    <w:p w14:paraId="7F82B2C1">
      <w:pPr>
        <w:rPr>
          <w:rStyle w:val="26"/>
          <w:rFonts w:hint="eastAsia" w:ascii="宋体" w:hAnsi="宋体" w:eastAsia="宋体" w:cs="宋体"/>
          <w:b/>
          <w:bCs/>
          <w:color w:val="auto"/>
          <w:highlight w:val="none"/>
        </w:rPr>
      </w:pPr>
    </w:p>
    <w:p w14:paraId="4BBEAB53">
      <w:pPr>
        <w:rPr>
          <w:rStyle w:val="26"/>
          <w:rFonts w:hint="eastAsia" w:ascii="宋体" w:hAnsi="宋体" w:eastAsia="宋体" w:cs="宋体"/>
          <w:b/>
          <w:bCs/>
          <w:color w:val="auto"/>
          <w:highlight w:val="none"/>
        </w:rPr>
      </w:pPr>
    </w:p>
    <w:p w14:paraId="68D21E5F">
      <w:pPr>
        <w:rPr>
          <w:rStyle w:val="26"/>
          <w:rFonts w:hint="eastAsia" w:ascii="宋体" w:hAnsi="宋体" w:eastAsia="宋体" w:cs="宋体"/>
          <w:b/>
          <w:bCs/>
          <w:color w:val="auto"/>
          <w:highlight w:val="none"/>
        </w:rPr>
      </w:pPr>
    </w:p>
    <w:p w14:paraId="287A54F5">
      <w:pPr>
        <w:rPr>
          <w:rStyle w:val="26"/>
          <w:rFonts w:hint="eastAsia" w:ascii="宋体" w:hAnsi="宋体" w:eastAsia="宋体" w:cs="宋体"/>
          <w:b/>
          <w:bCs/>
          <w:color w:val="auto"/>
          <w:highlight w:val="none"/>
        </w:rPr>
      </w:pPr>
    </w:p>
    <w:p w14:paraId="2FAE8414">
      <w:pPr>
        <w:rPr>
          <w:rStyle w:val="26"/>
          <w:rFonts w:hint="eastAsia" w:ascii="宋体" w:hAnsi="宋体" w:eastAsia="宋体" w:cs="宋体"/>
          <w:b/>
          <w:bCs/>
          <w:color w:val="auto"/>
          <w:highlight w:val="none"/>
        </w:rPr>
      </w:pPr>
    </w:p>
    <w:p w14:paraId="48BED51D">
      <w:pPr>
        <w:rPr>
          <w:rStyle w:val="26"/>
          <w:rFonts w:hint="eastAsia" w:ascii="宋体" w:hAnsi="宋体" w:eastAsia="宋体" w:cs="宋体"/>
          <w:b/>
          <w:bCs/>
          <w:color w:val="auto"/>
          <w:highlight w:val="none"/>
        </w:rPr>
      </w:pPr>
    </w:p>
    <w:p w14:paraId="38DA1D55">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119" w:name="_Toc9840"/>
      <w:r>
        <w:rPr>
          <w:rFonts w:hint="eastAsia" w:ascii="宋体" w:hAnsi="宋体" w:eastAsia="宋体" w:cs="宋体"/>
          <w:color w:val="auto"/>
          <w:kern w:val="2"/>
          <w:sz w:val="28"/>
          <w:szCs w:val="24"/>
          <w:lang w:val="en-US" w:eastAsia="zh-CN"/>
        </w:rPr>
        <w:t>第五节   定标规定及细则（本项目采用票决数量法定标）</w:t>
      </w:r>
      <w:bookmarkEnd w:id="119"/>
    </w:p>
    <w:p w14:paraId="60EAB90E">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确定定标时间</w:t>
      </w:r>
    </w:p>
    <w:p w14:paraId="72F89BCC">
      <w:pPr>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招标人</w:t>
      </w:r>
      <w:r>
        <w:rPr>
          <w:rStyle w:val="26"/>
          <w:rFonts w:hint="eastAsia" w:ascii="宋体" w:hAnsi="宋体" w:eastAsia="宋体" w:cs="宋体"/>
          <w:color w:val="auto"/>
          <w:kern w:val="0"/>
          <w:sz w:val="24"/>
          <w:szCs w:val="24"/>
          <w:highlight w:val="none"/>
          <w:lang w:eastAsia="zh-CN"/>
        </w:rPr>
        <w:t>应</w:t>
      </w:r>
      <w:r>
        <w:rPr>
          <w:rStyle w:val="26"/>
          <w:rFonts w:hint="eastAsia" w:ascii="宋体" w:hAnsi="宋体" w:eastAsia="宋体" w:cs="宋体"/>
          <w:color w:val="auto"/>
          <w:kern w:val="0"/>
          <w:sz w:val="24"/>
          <w:szCs w:val="24"/>
          <w:highlight w:val="none"/>
        </w:rPr>
        <w:t>自</w:t>
      </w:r>
      <w:r>
        <w:rPr>
          <w:rStyle w:val="26"/>
          <w:rFonts w:hint="eastAsia" w:ascii="宋体" w:hAnsi="宋体" w:eastAsia="宋体" w:cs="宋体"/>
          <w:color w:val="auto"/>
          <w:kern w:val="0"/>
          <w:sz w:val="24"/>
          <w:szCs w:val="24"/>
          <w:highlight w:val="none"/>
          <w:lang w:val="en-US" w:eastAsia="zh-CN"/>
        </w:rPr>
        <w:t>定标候选人</w:t>
      </w:r>
      <w:r>
        <w:rPr>
          <w:rStyle w:val="26"/>
          <w:rFonts w:hint="eastAsia" w:ascii="宋体" w:hAnsi="宋体" w:eastAsia="宋体" w:cs="宋体"/>
          <w:color w:val="auto"/>
          <w:kern w:val="0"/>
          <w:sz w:val="24"/>
          <w:szCs w:val="24"/>
          <w:highlight w:val="none"/>
        </w:rPr>
        <w:t>公示期满后</w:t>
      </w:r>
      <w:r>
        <w:rPr>
          <w:rStyle w:val="26"/>
          <w:rFonts w:hint="eastAsia" w:ascii="宋体" w:hAnsi="宋体" w:eastAsia="宋体" w:cs="宋体"/>
          <w:color w:val="auto"/>
          <w:kern w:val="0"/>
          <w:sz w:val="24"/>
          <w:szCs w:val="24"/>
          <w:highlight w:val="none"/>
          <w:lang w:val="en-US" w:eastAsia="zh-CN"/>
        </w:rPr>
        <w:t>5</w:t>
      </w:r>
      <w:r>
        <w:rPr>
          <w:rStyle w:val="26"/>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6"/>
          <w:rFonts w:hint="eastAsia" w:ascii="宋体" w:hAnsi="宋体" w:eastAsia="宋体" w:cs="宋体"/>
          <w:color w:val="auto"/>
          <w:kern w:val="0"/>
          <w:sz w:val="24"/>
          <w:szCs w:val="24"/>
          <w:highlight w:val="none"/>
          <w:lang w:eastAsia="zh-CN"/>
        </w:rPr>
        <w:t>应</w:t>
      </w:r>
      <w:r>
        <w:rPr>
          <w:rStyle w:val="26"/>
          <w:rFonts w:hint="eastAsia" w:ascii="宋体" w:hAnsi="宋体" w:eastAsia="宋体" w:cs="宋体"/>
          <w:color w:val="auto"/>
          <w:kern w:val="0"/>
          <w:sz w:val="24"/>
          <w:szCs w:val="24"/>
          <w:highlight w:val="none"/>
        </w:rPr>
        <w:t>通过公共资源交易平台公布延期原因和定标时间。</w:t>
      </w:r>
    </w:p>
    <w:p w14:paraId="6EE0EE39">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定标委员会</w:t>
      </w:r>
    </w:p>
    <w:p w14:paraId="71A79FA6">
      <w:pPr>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2.1招标人负责组建定标委员会，由项目业主（由建设单位或代建单位）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6D564D50">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1B0B23D">
      <w:pPr>
        <w:spacing w:line="360" w:lineRule="auto"/>
        <w:ind w:firstLine="480" w:firstLineChars="200"/>
        <w:rPr>
          <w:rFonts w:hint="eastAsia" w:ascii="宋体" w:hAnsi="宋体" w:eastAsia="宋体" w:cs="宋体"/>
          <w:color w:val="auto"/>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2</w:t>
      </w:r>
      <w:r>
        <w:rPr>
          <w:rStyle w:val="26"/>
          <w:rFonts w:hint="eastAsia" w:ascii="宋体" w:hAnsi="宋体" w:eastAsia="宋体" w:cs="宋体"/>
          <w:color w:val="auto"/>
          <w:kern w:val="0"/>
          <w:sz w:val="24"/>
          <w:szCs w:val="24"/>
          <w:highlight w:val="none"/>
        </w:rPr>
        <w:t>.</w:t>
      </w:r>
      <w:r>
        <w:rPr>
          <w:rStyle w:val="26"/>
          <w:rFonts w:hint="eastAsia" w:ascii="宋体" w:hAnsi="宋体" w:eastAsia="宋体" w:cs="宋体"/>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7386A654">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组建招标监督小组</w:t>
      </w:r>
    </w:p>
    <w:p w14:paraId="4462A01A">
      <w:pPr>
        <w:pageBreakBefore w:val="0"/>
        <w:widowControl/>
        <w:kinsoku/>
        <w:wordWrap/>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单位主要负责人、行政监督部门。</w:t>
      </w:r>
    </w:p>
    <w:p w14:paraId="7DA2F1E4">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定标办法</w:t>
      </w:r>
    </w:p>
    <w:p w14:paraId="0957E97A">
      <w:pPr>
        <w:pageBreakBefore w:val="0"/>
        <w:widowControl/>
        <w:kinsoku/>
        <w:wordWrap/>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lang w:val="en-US" w:eastAsia="zh-CN"/>
        </w:rPr>
      </w:pPr>
      <w:r>
        <w:rPr>
          <w:rStyle w:val="26"/>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4DB9C21D">
      <w:pPr>
        <w:pageBreakBefore w:val="0"/>
        <w:widowControl/>
        <w:kinsoku/>
        <w:wordWrap/>
        <w:overflowPunct/>
        <w:topLinePunct w:val="0"/>
        <w:autoSpaceDE/>
        <w:autoSpaceDN/>
        <w:bidi w:val="0"/>
        <w:adjustRightInd/>
        <w:snapToGrid/>
        <w:spacing w:line="360" w:lineRule="auto"/>
        <w:ind w:firstLine="482" w:firstLineChars="200"/>
        <w:rPr>
          <w:rFonts w:hint="eastAsia" w:ascii="宋体" w:hAnsi="宋体" w:eastAsia="宋体" w:cs="宋体"/>
          <w:color w:val="auto"/>
          <w:sz w:val="24"/>
          <w:szCs w:val="24"/>
          <w:highlight w:val="none"/>
        </w:rPr>
      </w:pPr>
      <w:bookmarkStart w:id="120" w:name="OLE_LINK3"/>
      <w:r>
        <w:rPr>
          <w:rFonts w:hint="eastAsia" w:ascii="宋体" w:hAnsi="宋体" w:eastAsia="宋体" w:cs="宋体"/>
          <w:b/>
          <w:bCs/>
          <w:color w:val="auto"/>
          <w:sz w:val="24"/>
          <w:szCs w:val="24"/>
          <w:highlight w:val="none"/>
          <w:lang w:val="en-US" w:eastAsia="zh-CN"/>
        </w:rPr>
        <w:t>本项目</w:t>
      </w:r>
      <w:bookmarkEnd w:id="120"/>
      <w:r>
        <w:rPr>
          <w:rFonts w:hint="eastAsia" w:ascii="宋体" w:hAnsi="宋体" w:eastAsia="宋体" w:cs="宋体"/>
          <w:b/>
          <w:bCs/>
          <w:color w:val="auto"/>
          <w:sz w:val="24"/>
          <w:szCs w:val="24"/>
          <w:highlight w:val="none"/>
          <w:lang w:val="en-US" w:eastAsia="zh-CN"/>
        </w:rPr>
        <w:t>采用票决数量法定标。</w:t>
      </w:r>
    </w:p>
    <w:p w14:paraId="33FBDD38">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定标细则</w:t>
      </w:r>
    </w:p>
    <w:p w14:paraId="114EF9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52C0BDE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6D643DC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52C9E2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08F2A0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26CCE8F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551BE187">
      <w:pPr>
        <w:pStyle w:val="18"/>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6048AC0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8C3584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1588BD1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210992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9B7F2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63CF5B30">
      <w:pPr>
        <w:pStyle w:val="18"/>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6F5B289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02A96A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4152940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10EC20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（1）企业实力</w:t>
      </w:r>
    </w:p>
    <w:p w14:paraId="108296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相对标准：企业实力好的定标候选人优于企业实力一般的定标候选人。以企业资质等级、承接过类似业绩、财务状况等情况综合比较。</w:t>
      </w:r>
    </w:p>
    <w:p w14:paraId="241543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（2）拟派团队管理能力与水平（履约能力）</w:t>
      </w:r>
    </w:p>
    <w:p w14:paraId="6F431B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6AC8FFF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（3）企业信誉</w:t>
      </w:r>
    </w:p>
    <w:p w14:paraId="685AA2F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75738F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（4）农民工工资保障情况</w:t>
      </w:r>
    </w:p>
    <w:p w14:paraId="2C163D0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1C85C20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（5）评标报告</w:t>
      </w:r>
    </w:p>
    <w:p w14:paraId="0F3119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4ECE7DAD">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定标结果公示</w:t>
      </w:r>
    </w:p>
    <w:p w14:paraId="169A25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6"/>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6"/>
          <w:rFonts w:hint="eastAsia" w:ascii="宋体" w:hAnsi="宋体" w:eastAsia="宋体" w:cs="宋体"/>
          <w:b w:val="0"/>
          <w:bCs w:val="0"/>
          <w:color w:val="auto"/>
          <w:kern w:val="0"/>
          <w:sz w:val="24"/>
          <w:szCs w:val="24"/>
          <w:highlight w:val="none"/>
          <w:lang w:val="en-US" w:eastAsia="zh-CN"/>
        </w:rPr>
        <w:t>后</w:t>
      </w:r>
      <w:r>
        <w:rPr>
          <w:rStyle w:val="26"/>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7C947837">
      <w:pPr>
        <w:rPr>
          <w:rFonts w:hint="eastAsia" w:ascii="宋体" w:hAnsi="宋体" w:eastAsia="宋体" w:cs="宋体"/>
          <w:color w:val="auto"/>
        </w:rPr>
      </w:pPr>
      <w:bookmarkStart w:id="121" w:name="_Toc20125"/>
    </w:p>
    <w:p w14:paraId="641B77C4">
      <w:pPr>
        <w:rPr>
          <w:rFonts w:hint="eastAsia" w:ascii="宋体" w:hAnsi="宋体" w:eastAsia="宋体" w:cs="宋体"/>
          <w:color w:val="auto"/>
        </w:rPr>
      </w:pPr>
    </w:p>
    <w:p w14:paraId="2964F1B0">
      <w:pPr>
        <w:rPr>
          <w:rFonts w:hint="eastAsia" w:ascii="宋体" w:hAnsi="宋体" w:eastAsia="宋体" w:cs="宋体"/>
          <w:color w:val="auto"/>
        </w:rPr>
      </w:pPr>
    </w:p>
    <w:p w14:paraId="6AF9C6D5">
      <w:pPr>
        <w:rPr>
          <w:rFonts w:hint="eastAsia" w:ascii="宋体" w:hAnsi="宋体" w:eastAsia="宋体" w:cs="宋体"/>
          <w:color w:val="auto"/>
        </w:rPr>
      </w:pPr>
    </w:p>
    <w:p w14:paraId="3A651BB2">
      <w:pPr>
        <w:rPr>
          <w:rFonts w:hint="eastAsia" w:ascii="宋体" w:hAnsi="宋体" w:eastAsia="宋体" w:cs="宋体"/>
          <w:color w:val="auto"/>
        </w:rPr>
      </w:pPr>
    </w:p>
    <w:p w14:paraId="66DAC123">
      <w:pPr>
        <w:rPr>
          <w:rFonts w:hint="eastAsia" w:ascii="宋体" w:hAnsi="宋体" w:eastAsia="宋体" w:cs="宋体"/>
          <w:color w:val="auto"/>
        </w:rPr>
      </w:pPr>
    </w:p>
    <w:p w14:paraId="68E12D00">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r>
        <w:rPr>
          <w:rFonts w:hint="eastAsia" w:ascii="宋体" w:hAnsi="宋体" w:eastAsia="宋体" w:cs="宋体"/>
          <w:color w:val="auto"/>
          <w:kern w:val="2"/>
          <w:sz w:val="28"/>
          <w:szCs w:val="24"/>
          <w:lang w:val="en-US" w:eastAsia="zh-CN"/>
        </w:rPr>
        <w:t>第六节   中标确认</w:t>
      </w:r>
      <w:bookmarkEnd w:id="121"/>
    </w:p>
    <w:p w14:paraId="31BC500E">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中标人确定</w:t>
      </w:r>
    </w:p>
    <w:p w14:paraId="027E861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w:t>
      </w:r>
    </w:p>
    <w:p w14:paraId="63B3D21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66F89B5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0A4D81AC">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异议和投诉</w:t>
      </w:r>
    </w:p>
    <w:p w14:paraId="495885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582C74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21823E4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2AE3C4DF">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122" w:name="_Toc236550039"/>
      <w:r>
        <w:rPr>
          <w:rFonts w:hint="eastAsia" w:ascii="宋体" w:hAnsi="宋体" w:eastAsia="宋体" w:cs="宋体"/>
          <w:b/>
          <w:bCs/>
          <w:color w:val="auto"/>
          <w:kern w:val="0"/>
          <w:sz w:val="24"/>
          <w:szCs w:val="24"/>
          <w:highlight w:val="none"/>
          <w:lang w:val="en-US" w:eastAsia="zh-CN"/>
        </w:rPr>
        <w:t>3．废除授标</w:t>
      </w:r>
      <w:bookmarkEnd w:id="122"/>
      <w:r>
        <w:rPr>
          <w:rFonts w:hint="eastAsia" w:ascii="宋体" w:hAnsi="宋体" w:eastAsia="宋体" w:cs="宋体"/>
          <w:b/>
          <w:bCs/>
          <w:color w:val="auto"/>
          <w:kern w:val="0"/>
          <w:sz w:val="24"/>
          <w:szCs w:val="24"/>
          <w:highlight w:val="none"/>
          <w:lang w:val="en-US" w:eastAsia="zh-CN"/>
        </w:rPr>
        <w:t>及授标</w:t>
      </w:r>
    </w:p>
    <w:p w14:paraId="73CF9B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5FA0B2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7F503EA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2CB9577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139BC2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37094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36855E4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23A965C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21FA63F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3AAE5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4BBF9F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78DCC9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4A7412B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34284F5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2FD23A4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31E1362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67EEB6B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1E49C49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22C315A">
      <w:pPr>
        <w:rPr>
          <w:rFonts w:hint="eastAsia" w:ascii="宋体" w:hAnsi="宋体" w:eastAsia="宋体" w:cs="宋体"/>
          <w:color w:val="auto"/>
          <w:lang w:val="en-US" w:eastAsia="zh-CN"/>
        </w:rPr>
      </w:pPr>
    </w:p>
    <w:p w14:paraId="056C72D4">
      <w:pPr>
        <w:rPr>
          <w:rFonts w:hint="eastAsia" w:ascii="宋体" w:hAnsi="宋体" w:eastAsia="宋体" w:cs="宋体"/>
          <w:color w:val="auto"/>
          <w:lang w:val="en-US" w:eastAsia="zh-CN"/>
        </w:rPr>
      </w:pPr>
    </w:p>
    <w:p w14:paraId="3D9F1A59">
      <w:pPr>
        <w:rPr>
          <w:rFonts w:hint="eastAsia" w:ascii="宋体" w:hAnsi="宋体" w:eastAsia="宋体" w:cs="宋体"/>
          <w:color w:val="auto"/>
          <w:lang w:val="en-US" w:eastAsia="zh-CN"/>
        </w:rPr>
      </w:pPr>
    </w:p>
    <w:p w14:paraId="700104AC">
      <w:pPr>
        <w:rPr>
          <w:rFonts w:hint="eastAsia" w:ascii="宋体" w:hAnsi="宋体" w:eastAsia="宋体" w:cs="宋体"/>
          <w:color w:val="auto"/>
          <w:lang w:val="en-US" w:eastAsia="zh-CN"/>
        </w:rPr>
      </w:pPr>
    </w:p>
    <w:p w14:paraId="4A873316">
      <w:pPr>
        <w:rPr>
          <w:rFonts w:hint="eastAsia" w:ascii="宋体" w:hAnsi="宋体" w:eastAsia="宋体" w:cs="宋体"/>
          <w:color w:val="auto"/>
          <w:lang w:val="en-US" w:eastAsia="zh-CN"/>
        </w:rPr>
      </w:pPr>
    </w:p>
    <w:p w14:paraId="29266978">
      <w:pPr>
        <w:rPr>
          <w:rFonts w:hint="eastAsia" w:ascii="宋体" w:hAnsi="宋体" w:eastAsia="宋体" w:cs="宋体"/>
          <w:color w:val="auto"/>
          <w:lang w:val="en-US" w:eastAsia="zh-CN"/>
        </w:rPr>
      </w:pPr>
    </w:p>
    <w:p w14:paraId="7130A840">
      <w:pPr>
        <w:rPr>
          <w:rFonts w:hint="eastAsia" w:ascii="宋体" w:hAnsi="宋体" w:eastAsia="宋体" w:cs="宋体"/>
          <w:color w:val="auto"/>
          <w:lang w:val="en-US" w:eastAsia="zh-CN"/>
        </w:rPr>
      </w:pPr>
    </w:p>
    <w:p w14:paraId="42D11154">
      <w:pPr>
        <w:rPr>
          <w:rFonts w:hint="eastAsia" w:ascii="宋体" w:hAnsi="宋体" w:eastAsia="宋体" w:cs="宋体"/>
          <w:color w:val="auto"/>
          <w:lang w:val="en-US" w:eastAsia="zh-CN"/>
        </w:rPr>
      </w:pPr>
    </w:p>
    <w:p w14:paraId="4E78A63E">
      <w:pPr>
        <w:rPr>
          <w:rFonts w:hint="eastAsia" w:ascii="宋体" w:hAnsi="宋体" w:eastAsia="宋体" w:cs="宋体"/>
          <w:color w:val="auto"/>
          <w:lang w:val="en-US" w:eastAsia="zh-CN"/>
        </w:rPr>
      </w:pPr>
    </w:p>
    <w:p w14:paraId="3420C3E6">
      <w:pPr>
        <w:rPr>
          <w:rFonts w:hint="eastAsia" w:ascii="宋体" w:hAnsi="宋体" w:eastAsia="宋体" w:cs="宋体"/>
          <w:color w:val="auto"/>
          <w:lang w:val="en-US" w:eastAsia="zh-CN"/>
        </w:rPr>
      </w:pPr>
    </w:p>
    <w:p w14:paraId="0E18801C">
      <w:pPr>
        <w:rPr>
          <w:rFonts w:hint="eastAsia" w:ascii="宋体" w:hAnsi="宋体" w:eastAsia="宋体" w:cs="宋体"/>
          <w:color w:val="auto"/>
          <w:lang w:val="en-US" w:eastAsia="zh-CN"/>
        </w:rPr>
      </w:pPr>
    </w:p>
    <w:p w14:paraId="229FA7C3">
      <w:pPr>
        <w:rPr>
          <w:rFonts w:hint="eastAsia" w:ascii="宋体" w:hAnsi="宋体" w:eastAsia="宋体" w:cs="宋体"/>
          <w:color w:val="auto"/>
          <w:lang w:val="en-US" w:eastAsia="zh-CN"/>
        </w:rPr>
      </w:pPr>
    </w:p>
    <w:p w14:paraId="4E0D11EB">
      <w:pPr>
        <w:rPr>
          <w:rFonts w:hint="eastAsia" w:ascii="宋体" w:hAnsi="宋体" w:eastAsia="宋体" w:cs="宋体"/>
          <w:color w:val="auto"/>
          <w:lang w:val="en-US" w:eastAsia="zh-CN"/>
        </w:rPr>
      </w:pPr>
    </w:p>
    <w:p w14:paraId="3AC3F0C9">
      <w:pPr>
        <w:pStyle w:val="3"/>
        <w:keepLines w:val="0"/>
        <w:pageBreakBefore w:val="0"/>
        <w:widowControl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color w:val="auto"/>
          <w:sz w:val="24"/>
          <w:szCs w:val="24"/>
        </w:rPr>
      </w:pPr>
      <w:bookmarkStart w:id="123" w:name="_Toc4077"/>
      <w:bookmarkStart w:id="124" w:name="_Toc27143"/>
      <w:bookmarkStart w:id="125" w:name="_Toc28787"/>
      <w:bookmarkStart w:id="126" w:name="_Toc3347"/>
      <w:bookmarkStart w:id="127" w:name="_Toc15467"/>
      <w:bookmarkStart w:id="128" w:name="_Toc30480"/>
      <w:bookmarkStart w:id="129" w:name="_Toc28953"/>
      <w:bookmarkStart w:id="130" w:name="_Toc2386"/>
      <w:bookmarkStart w:id="131" w:name="_Toc10927"/>
      <w:bookmarkStart w:id="132" w:name="_Toc15462"/>
      <w:bookmarkStart w:id="133" w:name="_Toc28709"/>
      <w:bookmarkStart w:id="134" w:name="_Toc6867"/>
      <w:r>
        <w:rPr>
          <w:rFonts w:hint="eastAsia" w:ascii="宋体" w:hAnsi="宋体" w:eastAsia="宋体" w:cs="宋体"/>
          <w:color w:val="auto"/>
          <w:sz w:val="32"/>
          <w:szCs w:val="32"/>
          <w:highlight w:val="none"/>
        </w:rPr>
        <w:t>第二章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中标人须知</w:t>
      </w:r>
      <w:bookmarkEnd w:id="123"/>
      <w:bookmarkEnd w:id="124"/>
      <w:bookmarkEnd w:id="125"/>
      <w:bookmarkEnd w:id="126"/>
      <w:bookmarkEnd w:id="127"/>
      <w:bookmarkEnd w:id="128"/>
      <w:bookmarkEnd w:id="129"/>
      <w:bookmarkEnd w:id="130"/>
      <w:bookmarkEnd w:id="131"/>
      <w:bookmarkEnd w:id="132"/>
      <w:bookmarkEnd w:id="133"/>
      <w:bookmarkEnd w:id="134"/>
      <w:bookmarkStart w:id="135" w:name="_Toc29237"/>
      <w:bookmarkStart w:id="136" w:name="_Toc17046"/>
      <w:bookmarkStart w:id="137" w:name="_Toc6149"/>
      <w:bookmarkStart w:id="138" w:name="_Toc22972"/>
      <w:bookmarkStart w:id="139" w:name="_Toc61"/>
      <w:bookmarkStart w:id="140" w:name="_Toc12261"/>
      <w:bookmarkStart w:id="141" w:name="_Toc14325"/>
      <w:bookmarkStart w:id="142" w:name="_Toc19623"/>
      <w:bookmarkStart w:id="143" w:name="_Toc10923"/>
      <w:bookmarkStart w:id="144" w:name="_Toc4987"/>
      <w:bookmarkStart w:id="145" w:name="_Toc16222"/>
    </w:p>
    <w:p w14:paraId="5E309EA5">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146" w:name="_Toc28207"/>
      <w:r>
        <w:rPr>
          <w:rFonts w:hint="eastAsia" w:ascii="宋体" w:hAnsi="宋体" w:eastAsia="宋体" w:cs="宋体"/>
          <w:color w:val="auto"/>
          <w:kern w:val="2"/>
          <w:sz w:val="28"/>
          <w:szCs w:val="24"/>
          <w:lang w:eastAsia="zh-CN"/>
        </w:rPr>
        <w:t>1．中标通知书</w:t>
      </w:r>
      <w:bookmarkEnd w:id="135"/>
      <w:bookmarkEnd w:id="136"/>
      <w:bookmarkEnd w:id="137"/>
      <w:bookmarkEnd w:id="138"/>
      <w:bookmarkEnd w:id="139"/>
      <w:bookmarkEnd w:id="140"/>
      <w:bookmarkEnd w:id="141"/>
      <w:bookmarkEnd w:id="142"/>
      <w:bookmarkEnd w:id="143"/>
      <w:bookmarkEnd w:id="144"/>
      <w:bookmarkEnd w:id="145"/>
      <w:bookmarkEnd w:id="146"/>
    </w:p>
    <w:p w14:paraId="19155DC7">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1755DEE0">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147" w:name="_Toc23103"/>
      <w:bookmarkStart w:id="148" w:name="_Toc18834"/>
      <w:bookmarkStart w:id="149" w:name="_Toc32016"/>
      <w:bookmarkStart w:id="150" w:name="_Toc1504"/>
      <w:bookmarkStart w:id="151" w:name="_Toc7495"/>
      <w:bookmarkStart w:id="152" w:name="_Toc11550"/>
      <w:bookmarkStart w:id="153" w:name="_Toc26333"/>
      <w:bookmarkStart w:id="154" w:name="_Toc7369"/>
      <w:bookmarkStart w:id="155" w:name="_Toc9352"/>
      <w:bookmarkStart w:id="156" w:name="_Toc10346"/>
      <w:bookmarkStart w:id="157" w:name="_Toc250"/>
      <w:bookmarkStart w:id="158" w:name="_Toc13183"/>
      <w:r>
        <w:rPr>
          <w:rFonts w:hint="eastAsia" w:ascii="宋体" w:hAnsi="宋体" w:eastAsia="宋体" w:cs="宋体"/>
          <w:color w:val="auto"/>
          <w:kern w:val="2"/>
          <w:sz w:val="28"/>
          <w:szCs w:val="24"/>
          <w:lang w:eastAsia="zh-CN"/>
        </w:rPr>
        <w:t>2．中标结果公示</w:t>
      </w:r>
      <w:bookmarkEnd w:id="147"/>
      <w:bookmarkEnd w:id="148"/>
      <w:bookmarkEnd w:id="149"/>
      <w:bookmarkEnd w:id="150"/>
      <w:bookmarkEnd w:id="151"/>
      <w:bookmarkEnd w:id="152"/>
      <w:bookmarkEnd w:id="153"/>
      <w:bookmarkEnd w:id="154"/>
      <w:bookmarkEnd w:id="155"/>
      <w:bookmarkEnd w:id="156"/>
      <w:bookmarkEnd w:id="157"/>
      <w:bookmarkEnd w:id="158"/>
    </w:p>
    <w:p w14:paraId="56F175D6">
      <w:pPr>
        <w:keepNext w:val="0"/>
        <w:keepLines w:val="0"/>
        <w:pageBreakBefore w:val="0"/>
        <w:widowControl w:val="0"/>
        <w:kinsoku/>
        <w:overflowPunct/>
        <w:topLinePunct w:val="0"/>
        <w:autoSpaceDE/>
        <w:autoSpaceDN/>
        <w:bidi w:val="0"/>
        <w:adjustRightInd/>
        <w:snapToGrid/>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中标通知书发出后15日内，招标人应将中标结果</w:t>
      </w:r>
      <w:r>
        <w:rPr>
          <w:rFonts w:hint="eastAsia" w:ascii="宋体" w:hAnsi="宋体" w:eastAsia="宋体" w:cs="宋体"/>
          <w:snapToGrid w:val="0"/>
          <w:color w:val="auto"/>
          <w:kern w:val="0"/>
          <w:sz w:val="24"/>
          <w:szCs w:val="24"/>
          <w:highlight w:val="none"/>
        </w:rPr>
        <w:t>在广东省招标投标监管网（</w:t>
      </w:r>
      <w:r>
        <w:rPr>
          <w:rFonts w:hint="eastAsia" w:ascii="宋体" w:hAnsi="宋体" w:eastAsia="宋体" w:cs="宋体"/>
          <w:snapToGrid w:val="0"/>
          <w:color w:val="auto"/>
          <w:kern w:val="0"/>
          <w:sz w:val="24"/>
          <w:szCs w:val="24"/>
          <w:highlight w:val="none"/>
          <w:lang w:val="en-US" w:eastAsia="zh-CN" w:bidi="ar-SA"/>
        </w:rPr>
        <w:t>http：//zbtb.gd.gov.cn</w:t>
      </w:r>
      <w:r>
        <w:rPr>
          <w:rFonts w:hint="eastAsia" w:ascii="宋体" w:hAnsi="宋体" w:eastAsia="宋体" w:cs="宋体"/>
          <w:snapToGrid w:val="0"/>
          <w:color w:val="auto"/>
          <w:kern w:val="0"/>
          <w:sz w:val="24"/>
          <w:szCs w:val="24"/>
          <w:highlight w:val="none"/>
        </w:rPr>
        <w:t>）、全国公共资源交易平台（广东省·韶关市）（https://ygp.gdzwfw.gov.cn/ggzy-portal/#/440200/index）进行公示。</w:t>
      </w:r>
    </w:p>
    <w:p w14:paraId="35641769">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159" w:name="_Toc4720"/>
      <w:bookmarkStart w:id="160" w:name="_Toc7791"/>
      <w:bookmarkStart w:id="161" w:name="_Toc9163"/>
      <w:bookmarkStart w:id="162" w:name="_Toc18175"/>
      <w:bookmarkStart w:id="163" w:name="_Toc3103"/>
      <w:bookmarkStart w:id="164" w:name="_Toc8887"/>
      <w:bookmarkStart w:id="165" w:name="_Toc23213"/>
      <w:bookmarkStart w:id="166" w:name="_Toc25855"/>
      <w:bookmarkStart w:id="167" w:name="_Toc6985"/>
      <w:bookmarkStart w:id="168" w:name="_Toc2148"/>
      <w:bookmarkStart w:id="169" w:name="_Toc11324"/>
      <w:bookmarkStart w:id="170" w:name="_Toc5175"/>
      <w:r>
        <w:rPr>
          <w:rFonts w:hint="eastAsia" w:ascii="宋体" w:hAnsi="宋体" w:eastAsia="宋体" w:cs="宋体"/>
          <w:color w:val="auto"/>
          <w:kern w:val="2"/>
          <w:sz w:val="28"/>
          <w:szCs w:val="24"/>
          <w:lang w:eastAsia="zh-CN"/>
        </w:rPr>
        <w:t>3．履约保证</w:t>
      </w:r>
      <w:bookmarkEnd w:id="159"/>
      <w:bookmarkEnd w:id="160"/>
      <w:bookmarkEnd w:id="161"/>
      <w:bookmarkEnd w:id="162"/>
      <w:bookmarkEnd w:id="163"/>
      <w:bookmarkEnd w:id="164"/>
      <w:bookmarkEnd w:id="165"/>
      <w:bookmarkEnd w:id="166"/>
      <w:bookmarkEnd w:id="167"/>
      <w:bookmarkEnd w:id="168"/>
      <w:bookmarkEnd w:id="169"/>
      <w:bookmarkEnd w:id="170"/>
    </w:p>
    <w:p w14:paraId="259469EA">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lang w:val="en-US" w:eastAsia="zh-CN"/>
        </w:rPr>
        <w:t xml:space="preserve"> 10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b/>
          <w:bCs/>
          <w:snapToGrid w:val="0"/>
          <w:color w:val="auto"/>
          <w:kern w:val="0"/>
          <w:sz w:val="24"/>
          <w:szCs w:val="24"/>
          <w:highlight w:val="none"/>
          <w:u w:val="single"/>
          <w:lang w:val="en-US" w:eastAsia="zh-CN"/>
        </w:rPr>
        <w:t xml:space="preserve"> 10 </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的履约保证。</w:t>
      </w:r>
    </w:p>
    <w:p w14:paraId="6EEE8904">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snapToGrid w:val="0"/>
          <w:color w:val="auto"/>
          <w:kern w:val="0"/>
          <w:sz w:val="24"/>
          <w:szCs w:val="24"/>
          <w:highlight w:val="none"/>
          <w:lang w:val="en-US" w:eastAsia="zh-CN"/>
        </w:rPr>
        <w:t>商业保函、银行保函或保险合同（或保险单）的有效期应当自合同生效之日起至项目通过竣工验收之日后28天止。</w:t>
      </w:r>
      <w:r>
        <w:rPr>
          <w:rFonts w:hint="eastAsia" w:ascii="宋体" w:hAnsi="宋体" w:eastAsia="宋体" w:cs="宋体"/>
          <w:snapToGrid w:val="0"/>
          <w:color w:val="auto"/>
          <w:kern w:val="0"/>
          <w:sz w:val="24"/>
          <w:szCs w:val="24"/>
          <w:highlight w:val="none"/>
        </w:rPr>
        <w:t>项目竣工后，由招标人发起退保。</w:t>
      </w:r>
    </w:p>
    <w:p w14:paraId="55E154CE">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val="en-US" w:eastAsia="zh-CN"/>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宋体" w:hAnsi="宋体" w:eastAsia="宋体" w:cs="宋体"/>
          <w:snapToGrid w:val="0"/>
          <w:color w:val="auto"/>
          <w:kern w:val="0"/>
          <w:sz w:val="24"/>
          <w:szCs w:val="24"/>
          <w:highlight w:val="none"/>
        </w:rPr>
        <w:t>并由招标人通报建设行政管理部门。如采用</w:t>
      </w:r>
      <w:r>
        <w:rPr>
          <w:rFonts w:hint="eastAsia" w:ascii="宋体" w:hAnsi="宋体" w:eastAsia="宋体" w:cs="宋体"/>
          <w:snapToGrid w:val="0"/>
          <w:color w:val="auto"/>
          <w:kern w:val="0"/>
          <w:sz w:val="24"/>
          <w:szCs w:val="24"/>
          <w:highlight w:val="none"/>
          <w:lang w:eastAsia="zh-CN"/>
        </w:rPr>
        <w:t>商业保函、银行保函或保险合同</w:t>
      </w:r>
      <w:r>
        <w:rPr>
          <w:rFonts w:hint="eastAsia" w:ascii="宋体" w:hAnsi="宋体" w:eastAsia="宋体" w:cs="宋体"/>
          <w:snapToGrid w:val="0"/>
          <w:color w:val="auto"/>
          <w:kern w:val="0"/>
          <w:sz w:val="24"/>
          <w:szCs w:val="24"/>
          <w:highlight w:val="none"/>
        </w:rPr>
        <w:t>方式缴纳履约保证金，在保函或保险合同到期前一个月，中标人须主动办理续期手续或提交新的</w:t>
      </w:r>
      <w:r>
        <w:rPr>
          <w:rFonts w:hint="eastAsia" w:ascii="宋体" w:hAnsi="宋体" w:eastAsia="宋体" w:cs="宋体"/>
          <w:snapToGrid w:val="0"/>
          <w:color w:val="auto"/>
          <w:kern w:val="0"/>
          <w:sz w:val="24"/>
          <w:szCs w:val="24"/>
          <w:highlight w:val="none"/>
          <w:lang w:eastAsia="zh-CN"/>
        </w:rPr>
        <w:t>商业保函、银行保函或保险合同。</w:t>
      </w:r>
    </w:p>
    <w:p w14:paraId="373A245E">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04D632A9">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b/>
          <w:bCs/>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r>
        <w:rPr>
          <w:rStyle w:val="26"/>
          <w:rFonts w:hint="eastAsia" w:ascii="宋体" w:hAnsi="宋体" w:eastAsia="宋体" w:cs="宋体"/>
          <w:color w:val="auto"/>
          <w:kern w:val="0"/>
          <w:sz w:val="24"/>
          <w:szCs w:val="24"/>
          <w:highlight w:val="none"/>
        </w:rPr>
        <w:t>。</w:t>
      </w:r>
    </w:p>
    <w:p w14:paraId="5794EE67">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171" w:name="_Toc31219"/>
      <w:bookmarkStart w:id="172" w:name="_Toc28994"/>
      <w:bookmarkStart w:id="173" w:name="_Toc31886"/>
      <w:bookmarkStart w:id="174" w:name="_Toc27654"/>
      <w:bookmarkStart w:id="175" w:name="_Toc17066"/>
      <w:bookmarkStart w:id="176" w:name="_Toc23036"/>
      <w:bookmarkStart w:id="177" w:name="_Toc15062"/>
      <w:bookmarkStart w:id="178" w:name="_Toc14440"/>
      <w:bookmarkStart w:id="179" w:name="_Toc27814"/>
      <w:bookmarkStart w:id="180" w:name="_Toc8187"/>
      <w:bookmarkStart w:id="181" w:name="_Toc24211"/>
      <w:bookmarkStart w:id="182" w:name="_Toc26477"/>
      <w:r>
        <w:rPr>
          <w:rFonts w:hint="eastAsia" w:ascii="宋体" w:hAnsi="宋体" w:eastAsia="宋体" w:cs="宋体"/>
          <w:color w:val="auto"/>
          <w:kern w:val="2"/>
          <w:sz w:val="28"/>
          <w:szCs w:val="24"/>
          <w:lang w:eastAsia="zh-CN"/>
        </w:rPr>
        <w:t>4．合同订立</w:t>
      </w:r>
      <w:bookmarkEnd w:id="171"/>
      <w:bookmarkEnd w:id="172"/>
      <w:bookmarkEnd w:id="173"/>
      <w:bookmarkEnd w:id="174"/>
      <w:bookmarkEnd w:id="175"/>
      <w:bookmarkEnd w:id="176"/>
      <w:bookmarkEnd w:id="177"/>
      <w:bookmarkEnd w:id="178"/>
      <w:bookmarkEnd w:id="179"/>
      <w:bookmarkEnd w:id="180"/>
      <w:bookmarkEnd w:id="181"/>
      <w:bookmarkEnd w:id="182"/>
    </w:p>
    <w:p w14:paraId="46B669ED">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4.1</w:t>
      </w:r>
      <w:r>
        <w:rPr>
          <w:rStyle w:val="26"/>
          <w:rFonts w:hint="eastAsia" w:ascii="宋体" w:hAnsi="宋体" w:eastAsia="宋体" w:cs="宋体"/>
          <w:color w:val="auto"/>
          <w:kern w:val="0"/>
          <w:sz w:val="24"/>
          <w:szCs w:val="24"/>
          <w:highlight w:val="none"/>
        </w:rPr>
        <w:t xml:space="preserve"> 招标人应当自中标通知书发出之日起</w:t>
      </w:r>
      <w:r>
        <w:rPr>
          <w:rStyle w:val="26"/>
          <w:rFonts w:hint="eastAsia" w:ascii="宋体" w:hAnsi="宋体" w:eastAsia="宋体" w:cs="宋体"/>
          <w:color w:val="auto"/>
          <w:kern w:val="0"/>
          <w:sz w:val="24"/>
          <w:szCs w:val="24"/>
          <w:highlight w:val="none"/>
          <w:u w:val="single"/>
        </w:rPr>
        <w:t>30</w:t>
      </w:r>
      <w:r>
        <w:rPr>
          <w:rStyle w:val="26"/>
          <w:rFonts w:hint="eastAsia" w:ascii="宋体" w:hAnsi="宋体" w:eastAsia="宋体" w:cs="宋体"/>
          <w:color w:val="auto"/>
          <w:kern w:val="0"/>
          <w:sz w:val="24"/>
          <w:szCs w:val="24"/>
          <w:highlight w:val="none"/>
        </w:rPr>
        <w:t>日内，按照招标文件、中标人的投标文件与中标人订立书面合同。</w:t>
      </w:r>
    </w:p>
    <w:p w14:paraId="4ACD1F93">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4.2</w:t>
      </w:r>
      <w:r>
        <w:rPr>
          <w:rStyle w:val="26"/>
          <w:rFonts w:hint="eastAsia" w:ascii="宋体" w:hAnsi="宋体" w:eastAsia="宋体" w:cs="宋体"/>
          <w:color w:val="auto"/>
          <w:kern w:val="0"/>
          <w:sz w:val="24"/>
          <w:szCs w:val="24"/>
          <w:highlight w:val="none"/>
        </w:rPr>
        <w:t xml:space="preserve"> 不正常报价的梳理和确认</w:t>
      </w:r>
    </w:p>
    <w:p w14:paraId="6AAAA818">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4.2.1</w:t>
      </w:r>
      <w:r>
        <w:rPr>
          <w:rStyle w:val="26"/>
          <w:rFonts w:hint="eastAsia" w:ascii="宋体" w:hAnsi="宋体" w:eastAsia="宋体" w:cs="宋体"/>
          <w:color w:val="auto"/>
          <w:kern w:val="0"/>
          <w:sz w:val="24"/>
          <w:szCs w:val="24"/>
          <w:highlight w:val="none"/>
        </w:rPr>
        <w:t xml:space="preserve"> </w:t>
      </w:r>
      <w:r>
        <w:rPr>
          <w:rStyle w:val="26"/>
          <w:rFonts w:hint="eastAsia" w:ascii="宋体" w:hAnsi="宋体" w:eastAsia="宋体" w:cs="宋体"/>
          <w:b/>
          <w:bCs/>
          <w:color w:val="auto"/>
          <w:kern w:val="0"/>
          <w:sz w:val="24"/>
          <w:szCs w:val="24"/>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Style w:val="26"/>
          <w:rFonts w:hint="eastAsia" w:ascii="宋体" w:hAnsi="宋体" w:eastAsia="宋体" w:cs="宋体"/>
          <w:color w:val="auto"/>
          <w:kern w:val="0"/>
          <w:sz w:val="24"/>
          <w:szCs w:val="24"/>
          <w:highlight w:val="none"/>
        </w:rPr>
        <w:t>招标人不具备以上能力的，可授权编制本项目</w:t>
      </w:r>
      <w:r>
        <w:rPr>
          <w:rFonts w:hint="eastAsia" w:ascii="宋体" w:hAnsi="宋体" w:eastAsia="宋体" w:cs="宋体"/>
          <w:snapToGrid w:val="0"/>
          <w:color w:val="auto"/>
          <w:kern w:val="0"/>
          <w:sz w:val="24"/>
          <w:szCs w:val="24"/>
          <w:highlight w:val="none"/>
          <w:lang w:val="en-US" w:eastAsia="zh-CN"/>
        </w:rPr>
        <w:t>最高投标限价</w:t>
      </w:r>
      <w:r>
        <w:rPr>
          <w:rStyle w:val="26"/>
          <w:rFonts w:hint="eastAsia" w:ascii="宋体" w:hAnsi="宋体" w:eastAsia="宋体" w:cs="宋体"/>
          <w:color w:val="auto"/>
          <w:kern w:val="0"/>
          <w:sz w:val="24"/>
          <w:szCs w:val="24"/>
          <w:highlight w:val="none"/>
        </w:rPr>
        <w:t>的造价咨询单位实施。</w:t>
      </w:r>
    </w:p>
    <w:p w14:paraId="6D8E6F41">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4.2.2</w:t>
      </w:r>
      <w:r>
        <w:rPr>
          <w:rStyle w:val="26"/>
          <w:rFonts w:hint="eastAsia" w:ascii="宋体" w:hAnsi="宋体" w:eastAsia="宋体" w:cs="宋体"/>
          <w:color w:val="auto"/>
          <w:kern w:val="0"/>
          <w:sz w:val="24"/>
          <w:szCs w:val="24"/>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4844593">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4.2.3</w:t>
      </w:r>
      <w:r>
        <w:rPr>
          <w:rStyle w:val="26"/>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错漏项的认定。中标人已标价工程量清单中，任一清单项目未填报价格或价格为零的，视为错漏项</w:t>
      </w:r>
      <w:r>
        <w:rPr>
          <w:rStyle w:val="26"/>
          <w:rFonts w:hint="eastAsia" w:ascii="宋体" w:hAnsi="宋体" w:eastAsia="宋体" w:cs="宋体"/>
          <w:color w:val="auto"/>
          <w:kern w:val="0"/>
          <w:sz w:val="24"/>
          <w:szCs w:val="24"/>
          <w:highlight w:val="none"/>
        </w:rPr>
        <w:t>。</w:t>
      </w:r>
    </w:p>
    <w:p w14:paraId="57734476">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u w:val="single"/>
        </w:rPr>
      </w:pPr>
      <w:r>
        <w:rPr>
          <w:rStyle w:val="26"/>
          <w:rFonts w:hint="eastAsia" w:ascii="宋体" w:hAnsi="宋体" w:eastAsia="宋体" w:cs="宋体"/>
          <w:b/>
          <w:bCs/>
          <w:color w:val="auto"/>
          <w:kern w:val="0"/>
          <w:sz w:val="24"/>
          <w:szCs w:val="24"/>
          <w:highlight w:val="none"/>
        </w:rPr>
        <w:t>4.2.4</w:t>
      </w:r>
      <w:r>
        <w:rPr>
          <w:rStyle w:val="26"/>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不平衡报价的认定。经修正算术性错误后的中标人已标价工程量清单中，</w:t>
      </w:r>
      <w:r>
        <w:rPr>
          <w:rFonts w:hint="eastAsia" w:ascii="宋体" w:hAnsi="宋体" w:eastAsia="宋体" w:cs="宋体"/>
          <w:snapToGrid w:val="0"/>
          <w:color w:val="auto"/>
          <w:kern w:val="0"/>
          <w:sz w:val="24"/>
          <w:szCs w:val="24"/>
          <w:highlight w:val="none"/>
          <w:u w:val="single"/>
        </w:rPr>
        <w:t>对于投标报价中综合单价相对</w:t>
      </w:r>
      <w:r>
        <w:rPr>
          <w:rFonts w:hint="eastAsia" w:ascii="宋体" w:hAnsi="宋体" w:eastAsia="宋体" w:cs="宋体"/>
          <w:snapToGrid w:val="0"/>
          <w:color w:val="auto"/>
          <w:kern w:val="0"/>
          <w:sz w:val="24"/>
          <w:szCs w:val="24"/>
          <w:highlight w:val="none"/>
          <w:u w:val="single"/>
          <w:lang w:val="en-US" w:eastAsia="zh-CN"/>
        </w:rPr>
        <w:t>最高投标限价</w:t>
      </w:r>
      <w:r>
        <w:rPr>
          <w:rFonts w:hint="eastAsia" w:ascii="宋体" w:hAnsi="宋体" w:eastAsia="宋体" w:cs="宋体"/>
          <w:snapToGrid w:val="0"/>
          <w:color w:val="auto"/>
          <w:kern w:val="0"/>
          <w:sz w:val="24"/>
          <w:szCs w:val="24"/>
          <w:highlight w:val="none"/>
          <w:u w:val="single"/>
        </w:rPr>
        <w:t>《分部分项工程和单价措施项目清单与计价表》中对应综合单价的偏差大于±15%的</w:t>
      </w:r>
      <w:r>
        <w:rPr>
          <w:rFonts w:hint="eastAsia" w:ascii="宋体" w:hAnsi="宋体" w:eastAsia="宋体" w:cs="宋体"/>
          <w:snapToGrid w:val="0"/>
          <w:color w:val="auto"/>
          <w:kern w:val="0"/>
          <w:sz w:val="24"/>
          <w:szCs w:val="24"/>
          <w:highlight w:val="none"/>
        </w:rPr>
        <w:t>清单项目，视为不平衡报价项目</w:t>
      </w:r>
      <w:r>
        <w:rPr>
          <w:rStyle w:val="26"/>
          <w:rFonts w:hint="eastAsia" w:ascii="宋体" w:hAnsi="宋体" w:eastAsia="宋体" w:cs="宋体"/>
          <w:color w:val="auto"/>
          <w:kern w:val="0"/>
          <w:sz w:val="24"/>
          <w:szCs w:val="24"/>
          <w:highlight w:val="none"/>
        </w:rPr>
        <w:t>。</w:t>
      </w:r>
    </w:p>
    <w:p w14:paraId="54445328">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4.2.5</w:t>
      </w:r>
      <w:r>
        <w:rPr>
          <w:rStyle w:val="26"/>
          <w:rFonts w:hint="eastAsia" w:ascii="宋体" w:hAnsi="宋体" w:eastAsia="宋体" w:cs="宋体"/>
          <w:color w:val="auto"/>
          <w:kern w:val="0"/>
          <w:sz w:val="24"/>
          <w:szCs w:val="24"/>
          <w:highlight w:val="none"/>
        </w:rPr>
        <w:t xml:space="preserve"> </w:t>
      </w:r>
      <w:r>
        <w:rPr>
          <w:rFonts w:hint="eastAsia" w:ascii="宋体" w:hAnsi="宋体" w:eastAsia="宋体" w:cs="宋体"/>
          <w:color w:val="auto"/>
          <w:spacing w:val="2"/>
          <w:sz w:val="24"/>
          <w:szCs w:val="24"/>
          <w:highlight w:val="none"/>
        </w:rPr>
        <w:t>施工合同签订前，招标人或其授权的造价咨询单位应就发现的以上所有不平衡 报价进行修正，形成《不平衡报价修正报告》，并由招标人和中标人共同签章确认，构成施工合同的组成部分</w:t>
      </w:r>
      <w:r>
        <w:rPr>
          <w:rStyle w:val="26"/>
          <w:rFonts w:hint="eastAsia" w:ascii="宋体" w:hAnsi="宋体" w:eastAsia="宋体" w:cs="宋体"/>
          <w:color w:val="auto"/>
          <w:kern w:val="0"/>
          <w:sz w:val="24"/>
          <w:szCs w:val="24"/>
          <w:highlight w:val="none"/>
        </w:rPr>
        <w:t>。</w:t>
      </w:r>
    </w:p>
    <w:p w14:paraId="077D77BD">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b/>
          <w:bCs/>
          <w:color w:val="auto"/>
          <w:kern w:val="0"/>
          <w:sz w:val="24"/>
          <w:szCs w:val="24"/>
          <w:highlight w:val="none"/>
        </w:rPr>
      </w:pPr>
      <w:r>
        <w:rPr>
          <w:rStyle w:val="26"/>
          <w:rFonts w:hint="eastAsia" w:ascii="宋体" w:hAnsi="宋体" w:eastAsia="宋体" w:cs="宋体"/>
          <w:b/>
          <w:bCs/>
          <w:color w:val="auto"/>
          <w:kern w:val="0"/>
          <w:sz w:val="24"/>
          <w:szCs w:val="24"/>
          <w:highlight w:val="none"/>
        </w:rPr>
        <w:t>4.2.6 合同履行过程中，被认定为错漏项的清单项目，结算时按照第三章“拟签订合同的主要条款”规定处理。</w:t>
      </w:r>
    </w:p>
    <w:p w14:paraId="53F4EC50">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b/>
          <w:bCs/>
          <w:color w:val="auto"/>
          <w:kern w:val="0"/>
          <w:sz w:val="24"/>
          <w:szCs w:val="24"/>
          <w:highlight w:val="none"/>
        </w:rPr>
      </w:pPr>
      <w:r>
        <w:rPr>
          <w:rStyle w:val="26"/>
          <w:rFonts w:hint="eastAsia" w:ascii="宋体" w:hAnsi="宋体" w:eastAsia="宋体" w:cs="宋体"/>
          <w:b/>
          <w:bCs/>
          <w:color w:val="auto"/>
          <w:kern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1930C306">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4.3 </w:t>
      </w:r>
      <w:r>
        <w:rPr>
          <w:rFonts w:hint="eastAsia" w:ascii="宋体" w:hAnsi="宋体" w:eastAsia="宋体" w:cs="宋体"/>
          <w:snapToGrid w:val="0"/>
          <w:color w:val="auto"/>
          <w:kern w:val="0"/>
          <w:sz w:val="24"/>
          <w:szCs w:val="24"/>
          <w:highlight w:val="none"/>
        </w:rPr>
        <w:t>本招标项目合同计价方式为：</w:t>
      </w:r>
      <w:r>
        <w:rPr>
          <w:rFonts w:hint="eastAsia" w:ascii="宋体" w:hAnsi="宋体" w:eastAsia="宋体" w:cs="宋体"/>
          <w:b/>
          <w:bCs/>
          <w:snapToGrid w:val="0"/>
          <w:color w:val="auto"/>
          <w:kern w:val="0"/>
          <w:sz w:val="24"/>
          <w:szCs w:val="24"/>
          <w:highlight w:val="none"/>
          <w:u w:val="single"/>
        </w:rPr>
        <w:t xml:space="preserve"> 单价 </w:t>
      </w:r>
      <w:r>
        <w:rPr>
          <w:rFonts w:hint="eastAsia" w:ascii="宋体" w:hAnsi="宋体" w:eastAsia="宋体" w:cs="宋体"/>
          <w:b/>
          <w:bCs/>
          <w:snapToGrid w:val="0"/>
          <w:color w:val="auto"/>
          <w:kern w:val="0"/>
          <w:sz w:val="24"/>
          <w:szCs w:val="24"/>
          <w:highlight w:val="none"/>
        </w:rPr>
        <w:t>合同</w:t>
      </w:r>
      <w:r>
        <w:rPr>
          <w:rFonts w:hint="eastAsia" w:ascii="宋体" w:hAnsi="宋体" w:eastAsia="宋体" w:cs="宋体"/>
          <w:snapToGrid w:val="0"/>
          <w:color w:val="auto"/>
          <w:kern w:val="0"/>
          <w:sz w:val="24"/>
          <w:szCs w:val="24"/>
          <w:highlight w:val="none"/>
        </w:rPr>
        <w:t>。</w:t>
      </w:r>
    </w:p>
    <w:p w14:paraId="3EADF80F">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69364A9D">
      <w:pPr>
        <w:keepNext w:val="0"/>
        <w:keepLines w:val="0"/>
        <w:pageBreakBefore w:val="0"/>
        <w:widowControl w:val="0"/>
        <w:kinsoku/>
        <w:overflowPunct/>
        <w:topLinePunct w:val="0"/>
        <w:autoSpaceDE/>
        <w:autoSpaceDN/>
        <w:bidi w:val="0"/>
        <w:adjustRightInd/>
        <w:snapToGrid/>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4.5</w:t>
      </w:r>
      <w:r>
        <w:rPr>
          <w:rFonts w:hint="eastAsia" w:ascii="宋体" w:hAnsi="宋体" w:eastAsia="宋体" w:cs="宋体"/>
          <w:snapToGrid w:val="0"/>
          <w:color w:val="auto"/>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r>
        <w:rPr>
          <w:rStyle w:val="26"/>
          <w:rFonts w:hint="eastAsia" w:ascii="宋体" w:hAnsi="宋体" w:eastAsia="宋体" w:cs="宋体"/>
          <w:color w:val="auto"/>
          <w:kern w:val="0"/>
          <w:sz w:val="24"/>
          <w:szCs w:val="24"/>
          <w:highlight w:val="none"/>
        </w:rPr>
        <w:t>。</w:t>
      </w:r>
    </w:p>
    <w:p w14:paraId="4208D8C2">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183" w:name="_Toc12295"/>
      <w:bookmarkStart w:id="184" w:name="_Toc22104"/>
      <w:bookmarkStart w:id="185" w:name="_Toc25158"/>
      <w:bookmarkStart w:id="186" w:name="_Toc24531"/>
      <w:bookmarkStart w:id="187" w:name="_Toc19819"/>
      <w:bookmarkStart w:id="188" w:name="_Toc31754"/>
      <w:bookmarkStart w:id="189" w:name="_Toc15095"/>
      <w:bookmarkStart w:id="190" w:name="_Toc20690"/>
      <w:bookmarkStart w:id="191" w:name="_Toc26892"/>
      <w:bookmarkStart w:id="192" w:name="_Toc29872"/>
      <w:bookmarkStart w:id="193" w:name="_Toc2054"/>
      <w:bookmarkStart w:id="194" w:name="_Toc1442"/>
      <w:r>
        <w:rPr>
          <w:rFonts w:hint="eastAsia" w:ascii="宋体" w:hAnsi="宋体" w:eastAsia="宋体" w:cs="宋体"/>
          <w:color w:val="auto"/>
          <w:kern w:val="2"/>
          <w:sz w:val="28"/>
          <w:szCs w:val="24"/>
          <w:lang w:eastAsia="zh-CN"/>
        </w:rPr>
        <w:t>5．放弃中标的处理</w:t>
      </w:r>
      <w:bookmarkEnd w:id="183"/>
      <w:bookmarkEnd w:id="184"/>
      <w:bookmarkEnd w:id="185"/>
      <w:bookmarkEnd w:id="186"/>
      <w:bookmarkEnd w:id="187"/>
      <w:bookmarkEnd w:id="188"/>
      <w:bookmarkEnd w:id="189"/>
      <w:bookmarkEnd w:id="190"/>
      <w:bookmarkEnd w:id="191"/>
      <w:bookmarkEnd w:id="192"/>
      <w:bookmarkEnd w:id="193"/>
      <w:bookmarkEnd w:id="194"/>
    </w:p>
    <w:p w14:paraId="2888F002">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中标人</w:t>
      </w:r>
      <w:r>
        <w:rPr>
          <w:rFonts w:hint="eastAsia" w:ascii="宋体" w:hAnsi="宋体" w:eastAsia="宋体" w:cs="宋体"/>
          <w:snapToGrid w:val="0"/>
          <w:color w:val="auto"/>
          <w:sz w:val="24"/>
          <w:szCs w:val="24"/>
          <w:highlight w:val="none"/>
        </w:rPr>
        <w:t>无正当理由放弃中标的，</w:t>
      </w:r>
      <w:r>
        <w:rPr>
          <w:rFonts w:hint="eastAsia" w:ascii="宋体" w:hAnsi="宋体" w:eastAsia="宋体" w:cs="宋体"/>
          <w:snapToGrid w:val="0"/>
          <w:color w:val="auto"/>
          <w:kern w:val="0"/>
          <w:sz w:val="24"/>
          <w:szCs w:val="24"/>
          <w:highlight w:val="none"/>
        </w:rPr>
        <w:t>取消其中标资格，其投标保证不予退还，给招标人造成的损失超过投标保证金额的，弃标人还应当对超过部分予以赔偿。招标人可以按照定标委员会提出的中标候选人名单排序按规定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4"/>
          <w:szCs w:val="24"/>
          <w:highlight w:val="none"/>
        </w:rPr>
        <w:t>因此种情况造成招标人重新招标的</w:t>
      </w:r>
      <w:r>
        <w:rPr>
          <w:rFonts w:hint="eastAsia" w:ascii="宋体" w:hAnsi="宋体" w:eastAsia="宋体" w:cs="宋体"/>
          <w:snapToGrid w:val="0"/>
          <w:color w:val="auto"/>
          <w:kern w:val="0"/>
          <w:sz w:val="24"/>
          <w:szCs w:val="24"/>
          <w:highlight w:val="none"/>
        </w:rPr>
        <w:t>，招标人可不接受该弃标人再次投标。同时，招标人应将该弃标人的失信行为向行政监督部门报告。</w:t>
      </w:r>
    </w:p>
    <w:p w14:paraId="087E8989">
      <w:pPr>
        <w:keepNext w:val="0"/>
        <w:keepLines w:val="0"/>
        <w:pageBreakBefore w:val="0"/>
        <w:widowControl w:val="0"/>
        <w:kinsoku/>
        <w:overflowPunct/>
        <w:topLinePunct w:val="0"/>
        <w:autoSpaceDE/>
        <w:autoSpaceDN/>
        <w:bidi w:val="0"/>
        <w:adjustRightInd/>
        <w:snapToGrid/>
        <w:spacing w:line="360" w:lineRule="auto"/>
        <w:ind w:firstLine="482" w:firstLineChars="200"/>
        <w:rPr>
          <w:rStyle w:val="26"/>
          <w:rFonts w:hint="eastAsia" w:ascii="宋体" w:hAnsi="宋体" w:eastAsia="宋体" w:cs="宋体"/>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因不可抗力提出不能履行合同的，须在领取中标通知书之日起10天内提供有关证明文件或资料，其投标保证予以退还，招标人可以按照定标委员会提出的中标候选人名单排序按规定依次确定其他中标候选人为中标人，并按规定实行中标结果公示；也可以按规定重新组织招标</w:t>
      </w:r>
      <w:r>
        <w:rPr>
          <w:rStyle w:val="26"/>
          <w:rFonts w:hint="eastAsia" w:ascii="宋体" w:hAnsi="宋体" w:eastAsia="宋体" w:cs="宋体"/>
          <w:color w:val="auto"/>
          <w:kern w:val="0"/>
          <w:sz w:val="24"/>
          <w:szCs w:val="24"/>
          <w:highlight w:val="none"/>
        </w:rPr>
        <w:t>。</w:t>
      </w:r>
    </w:p>
    <w:p w14:paraId="060945CE">
      <w:pPr>
        <w:rPr>
          <w:rFonts w:hint="eastAsia" w:ascii="宋体" w:hAnsi="宋体" w:eastAsia="宋体" w:cs="宋体"/>
          <w:color w:val="auto"/>
        </w:rPr>
      </w:pPr>
    </w:p>
    <w:p w14:paraId="549AE86D">
      <w:pPr>
        <w:rPr>
          <w:rFonts w:hint="eastAsia" w:ascii="宋体" w:hAnsi="宋体" w:eastAsia="宋体" w:cs="宋体"/>
          <w:color w:val="auto"/>
        </w:rPr>
      </w:pPr>
    </w:p>
    <w:p w14:paraId="0431D0CD">
      <w:pPr>
        <w:rPr>
          <w:rFonts w:hint="eastAsia" w:ascii="宋体" w:hAnsi="宋体" w:eastAsia="宋体" w:cs="宋体"/>
          <w:color w:val="auto"/>
        </w:rPr>
      </w:pPr>
    </w:p>
    <w:p w14:paraId="76C13E2F">
      <w:pPr>
        <w:rPr>
          <w:rFonts w:hint="eastAsia" w:ascii="宋体" w:hAnsi="宋体" w:eastAsia="宋体" w:cs="宋体"/>
          <w:color w:val="auto"/>
        </w:rPr>
      </w:pPr>
    </w:p>
    <w:p w14:paraId="2EEB1EF0">
      <w:pPr>
        <w:rPr>
          <w:rFonts w:hint="eastAsia" w:ascii="宋体" w:hAnsi="宋体" w:eastAsia="宋体" w:cs="宋体"/>
          <w:color w:val="auto"/>
        </w:rPr>
      </w:pPr>
    </w:p>
    <w:p w14:paraId="71A6CCB0">
      <w:pPr>
        <w:rPr>
          <w:rFonts w:hint="eastAsia" w:ascii="宋体" w:hAnsi="宋体" w:eastAsia="宋体" w:cs="宋体"/>
          <w:color w:val="auto"/>
        </w:rPr>
      </w:pPr>
    </w:p>
    <w:p w14:paraId="5C6957F7">
      <w:pPr>
        <w:rPr>
          <w:rFonts w:hint="eastAsia" w:ascii="宋体" w:hAnsi="宋体" w:eastAsia="宋体" w:cs="宋体"/>
          <w:color w:val="auto"/>
        </w:rPr>
      </w:pPr>
    </w:p>
    <w:p w14:paraId="0039331F">
      <w:pPr>
        <w:rPr>
          <w:rFonts w:hint="eastAsia" w:ascii="宋体" w:hAnsi="宋体" w:eastAsia="宋体" w:cs="宋体"/>
          <w:color w:val="auto"/>
        </w:rPr>
      </w:pPr>
    </w:p>
    <w:p w14:paraId="3F518613">
      <w:pPr>
        <w:rPr>
          <w:rFonts w:hint="eastAsia" w:ascii="宋体" w:hAnsi="宋体" w:eastAsia="宋体" w:cs="宋体"/>
          <w:color w:val="auto"/>
        </w:rPr>
      </w:pPr>
    </w:p>
    <w:p w14:paraId="3AB127AA">
      <w:pPr>
        <w:rPr>
          <w:rFonts w:hint="eastAsia" w:ascii="宋体" w:hAnsi="宋体" w:eastAsia="宋体" w:cs="宋体"/>
          <w:color w:val="auto"/>
        </w:rPr>
      </w:pPr>
    </w:p>
    <w:p w14:paraId="1C7B5D6D">
      <w:pPr>
        <w:rPr>
          <w:rFonts w:hint="eastAsia" w:ascii="宋体" w:hAnsi="宋体" w:eastAsia="宋体" w:cs="宋体"/>
          <w:color w:val="auto"/>
        </w:rPr>
      </w:pPr>
    </w:p>
    <w:p w14:paraId="48FB0E94">
      <w:pPr>
        <w:rPr>
          <w:rFonts w:hint="eastAsia" w:ascii="宋体" w:hAnsi="宋体" w:eastAsia="宋体" w:cs="宋体"/>
          <w:color w:val="auto"/>
        </w:rPr>
      </w:pPr>
    </w:p>
    <w:p w14:paraId="2B28D078">
      <w:pPr>
        <w:rPr>
          <w:rFonts w:hint="eastAsia" w:ascii="宋体" w:hAnsi="宋体" w:eastAsia="宋体" w:cs="宋体"/>
          <w:color w:val="auto"/>
        </w:rPr>
      </w:pPr>
    </w:p>
    <w:p w14:paraId="625F01F2">
      <w:pPr>
        <w:rPr>
          <w:rFonts w:hint="eastAsia" w:ascii="宋体" w:hAnsi="宋体" w:eastAsia="宋体" w:cs="宋体"/>
          <w:color w:val="auto"/>
        </w:rPr>
      </w:pPr>
    </w:p>
    <w:p w14:paraId="7FF8EC83">
      <w:pPr>
        <w:rPr>
          <w:rFonts w:hint="eastAsia" w:ascii="宋体" w:hAnsi="宋体" w:eastAsia="宋体" w:cs="宋体"/>
          <w:color w:val="auto"/>
        </w:rPr>
      </w:pPr>
    </w:p>
    <w:p w14:paraId="1ECAC891">
      <w:pPr>
        <w:rPr>
          <w:rFonts w:hint="eastAsia" w:ascii="宋体" w:hAnsi="宋体" w:eastAsia="宋体" w:cs="宋体"/>
          <w:color w:val="auto"/>
        </w:rPr>
      </w:pPr>
    </w:p>
    <w:p w14:paraId="4137E28E">
      <w:pPr>
        <w:rPr>
          <w:rFonts w:hint="eastAsia" w:ascii="宋体" w:hAnsi="宋体" w:eastAsia="宋体" w:cs="宋体"/>
          <w:color w:val="auto"/>
        </w:rPr>
      </w:pPr>
    </w:p>
    <w:p w14:paraId="247AC0CB">
      <w:pPr>
        <w:rPr>
          <w:rFonts w:hint="eastAsia" w:ascii="宋体" w:hAnsi="宋体" w:eastAsia="宋体" w:cs="宋体"/>
          <w:color w:val="auto"/>
        </w:rPr>
      </w:pPr>
    </w:p>
    <w:p w14:paraId="5033490E">
      <w:pPr>
        <w:rPr>
          <w:rFonts w:hint="eastAsia" w:ascii="宋体" w:hAnsi="宋体" w:eastAsia="宋体" w:cs="宋体"/>
          <w:color w:val="auto"/>
        </w:rPr>
      </w:pPr>
    </w:p>
    <w:p w14:paraId="0F59DE0A">
      <w:pPr>
        <w:rPr>
          <w:rFonts w:hint="eastAsia" w:ascii="宋体" w:hAnsi="宋体" w:eastAsia="宋体" w:cs="宋体"/>
          <w:color w:val="auto"/>
        </w:rPr>
      </w:pPr>
    </w:p>
    <w:p w14:paraId="7EF22D63">
      <w:pPr>
        <w:rPr>
          <w:rFonts w:hint="eastAsia" w:ascii="宋体" w:hAnsi="宋体" w:eastAsia="宋体" w:cs="宋体"/>
          <w:color w:val="auto"/>
        </w:rPr>
      </w:pPr>
    </w:p>
    <w:p w14:paraId="7D212FB3">
      <w:pPr>
        <w:rPr>
          <w:rFonts w:hint="eastAsia" w:ascii="宋体" w:hAnsi="宋体" w:eastAsia="宋体" w:cs="宋体"/>
          <w:color w:val="auto"/>
        </w:rPr>
      </w:pPr>
    </w:p>
    <w:p w14:paraId="7C2CEB19">
      <w:pPr>
        <w:rPr>
          <w:rFonts w:hint="eastAsia" w:ascii="宋体" w:hAnsi="宋体" w:eastAsia="宋体" w:cs="宋体"/>
          <w:color w:val="auto"/>
        </w:rPr>
      </w:pPr>
    </w:p>
    <w:p w14:paraId="33AEDBE4">
      <w:pPr>
        <w:pStyle w:val="3"/>
        <w:keepLines w:val="0"/>
        <w:pageBreakBefore w:val="0"/>
        <w:widowControl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
          <w:snapToGrid w:val="0"/>
          <w:color w:val="auto"/>
          <w:sz w:val="24"/>
          <w:szCs w:val="24"/>
          <w:highlight w:val="none"/>
        </w:rPr>
      </w:pPr>
      <w:bookmarkStart w:id="195" w:name="_Toc17840"/>
      <w:bookmarkStart w:id="196" w:name="_Toc3266"/>
      <w:bookmarkStart w:id="197" w:name="_Toc4926"/>
      <w:bookmarkStart w:id="198" w:name="_Toc3494"/>
      <w:bookmarkStart w:id="199" w:name="_Toc1283"/>
      <w:bookmarkStart w:id="200" w:name="_Toc27435"/>
      <w:bookmarkStart w:id="201" w:name="_Toc32600"/>
      <w:bookmarkStart w:id="202" w:name="_Toc190"/>
      <w:bookmarkStart w:id="203" w:name="_Toc31277"/>
      <w:bookmarkStart w:id="204" w:name="_Toc25452"/>
      <w:bookmarkStart w:id="205" w:name="_Toc21448"/>
      <w:bookmarkStart w:id="206" w:name="_Toc15516"/>
      <w:r>
        <w:rPr>
          <w:rFonts w:hint="eastAsia" w:ascii="宋体" w:hAnsi="宋体" w:eastAsia="宋体" w:cs="宋体"/>
          <w:color w:val="auto"/>
          <w:sz w:val="32"/>
          <w:szCs w:val="32"/>
          <w:highlight w:val="none"/>
        </w:rPr>
        <w:t>第三章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拟签订合同的主要条款</w:t>
      </w:r>
      <w:bookmarkEnd w:id="195"/>
      <w:bookmarkEnd w:id="196"/>
      <w:bookmarkEnd w:id="197"/>
      <w:bookmarkEnd w:id="198"/>
      <w:bookmarkEnd w:id="199"/>
      <w:bookmarkEnd w:id="200"/>
      <w:bookmarkEnd w:id="201"/>
      <w:bookmarkEnd w:id="202"/>
      <w:bookmarkEnd w:id="203"/>
      <w:bookmarkEnd w:id="204"/>
      <w:bookmarkEnd w:id="205"/>
      <w:bookmarkEnd w:id="206"/>
      <w:bookmarkStart w:id="207" w:name="_Toc31151"/>
    </w:p>
    <w:p w14:paraId="1B8BD486">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208" w:name="_Toc13931"/>
      <w:r>
        <w:rPr>
          <w:rFonts w:hint="eastAsia" w:ascii="宋体" w:hAnsi="宋体" w:eastAsia="宋体" w:cs="宋体"/>
          <w:color w:val="auto"/>
          <w:kern w:val="2"/>
          <w:sz w:val="28"/>
          <w:szCs w:val="24"/>
          <w:lang w:eastAsia="zh-CN"/>
        </w:rPr>
        <w:t>1．工程承包方式</w:t>
      </w:r>
      <w:bookmarkEnd w:id="207"/>
      <w:bookmarkEnd w:id="208"/>
    </w:p>
    <w:p w14:paraId="46D4A934">
      <w:pPr>
        <w:keepNext w:val="0"/>
        <w:keepLines w:val="0"/>
        <w:pageBreakBefore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承包人以中标价按包工</w:t>
      </w:r>
      <w:bookmarkStart w:id="209" w:name="_Hlt87948212"/>
      <w:bookmarkEnd w:id="209"/>
      <w:r>
        <w:rPr>
          <w:rFonts w:hint="eastAsia" w:ascii="宋体" w:hAnsi="宋体" w:eastAsia="宋体" w:cs="宋体"/>
          <w:snapToGrid w:val="0"/>
          <w:color w:val="auto"/>
          <w:kern w:val="0"/>
          <w:sz w:val="24"/>
          <w:szCs w:val="24"/>
          <w:highlight w:val="none"/>
        </w:rPr>
        <w:t>包料、包质量、包安全包文明施工、包工期方式总承包施工，不允许转包和违法分包，如果确需分包须与发包人协商，在得到发包人和监理单位同意后报建设行政主管部门备案。</w:t>
      </w:r>
    </w:p>
    <w:p w14:paraId="4D45D617">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包工包料：材料符合招标文件要求并报验使用；办理用工保险。</w:t>
      </w:r>
    </w:p>
    <w:p w14:paraId="41D9250E">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 xml:space="preserve"> 包质量：符合招标文件要求。</w:t>
      </w:r>
    </w:p>
    <w:p w14:paraId="0675D397">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 xml:space="preserve"> 包安全包文明施工：符合招标文件要求。</w:t>
      </w:r>
    </w:p>
    <w:p w14:paraId="48B54B69">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 xml:space="preserve">1.1.4 </w:t>
      </w:r>
      <w:r>
        <w:rPr>
          <w:rFonts w:hint="eastAsia" w:ascii="宋体" w:hAnsi="宋体" w:eastAsia="宋体" w:cs="宋体"/>
          <w:snapToGrid w:val="0"/>
          <w:color w:val="auto"/>
          <w:kern w:val="0"/>
          <w:sz w:val="24"/>
          <w:szCs w:val="24"/>
          <w:highlight w:val="none"/>
        </w:rPr>
        <w:t>包工期：本招标项目施工必须在招标工期内完成。</w:t>
      </w:r>
    </w:p>
    <w:p w14:paraId="3E28C89D">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210" w:name="_2、工程结算原则"/>
      <w:bookmarkEnd w:id="210"/>
      <w:bookmarkStart w:id="211" w:name="_Toc322793289"/>
      <w:bookmarkStart w:id="212" w:name="_Toc326916630"/>
      <w:bookmarkStart w:id="213" w:name="_Toc15285"/>
      <w:bookmarkStart w:id="214" w:name="_Toc27189"/>
      <w:bookmarkStart w:id="215" w:name="_Hlt87948449"/>
      <w:bookmarkStart w:id="216" w:name="_Hlt87948447"/>
      <w:r>
        <w:rPr>
          <w:rFonts w:hint="eastAsia" w:ascii="宋体" w:hAnsi="宋体" w:eastAsia="宋体" w:cs="宋体"/>
          <w:color w:val="auto"/>
          <w:kern w:val="2"/>
          <w:sz w:val="28"/>
          <w:szCs w:val="24"/>
          <w:lang w:eastAsia="zh-CN"/>
        </w:rPr>
        <w:t>2．工程结算原则</w:t>
      </w:r>
      <w:bookmarkEnd w:id="211"/>
      <w:bookmarkEnd w:id="212"/>
      <w:bookmarkEnd w:id="213"/>
      <w:bookmarkEnd w:id="214"/>
    </w:p>
    <w:bookmarkEnd w:id="215"/>
    <w:bookmarkEnd w:id="216"/>
    <w:p w14:paraId="74BC5BBC">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4"/>
          <w:szCs w:val="24"/>
          <w:highlight w:val="none"/>
        </w:rPr>
      </w:pPr>
      <w:bookmarkStart w:id="217" w:name="_Hlt88974053"/>
      <w:bookmarkEnd w:id="217"/>
      <w:r>
        <w:rPr>
          <w:rFonts w:hint="eastAsia" w:ascii="宋体" w:hAnsi="宋体" w:eastAsia="宋体" w:cs="宋体"/>
          <w:b/>
          <w:bCs/>
          <w:snapToGrid w:val="0"/>
          <w:color w:val="auto"/>
          <w:kern w:val="0"/>
          <w:sz w:val="24"/>
          <w:szCs w:val="24"/>
          <w:highlight w:val="none"/>
        </w:rPr>
        <w:t>2.1</w:t>
      </w:r>
      <w:r>
        <w:rPr>
          <w:rFonts w:hint="eastAsia" w:ascii="宋体" w:hAnsi="宋体" w:eastAsia="宋体" w:cs="宋体"/>
          <w:snapToGrid w:val="0"/>
          <w:color w:val="auto"/>
          <w:kern w:val="0"/>
          <w:sz w:val="24"/>
          <w:szCs w:val="24"/>
          <w:highlight w:val="none"/>
        </w:rPr>
        <w:t xml:space="preserve"> 承包人的投标总价为中标价，即为签约合同价。</w:t>
      </w:r>
    </w:p>
    <w:p w14:paraId="59CBE86D">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snapToGrid w:val="0"/>
          <w:color w:val="auto"/>
          <w:kern w:val="0"/>
          <w:sz w:val="24"/>
          <w:szCs w:val="24"/>
          <w:highlight w:val="none"/>
        </w:rPr>
        <w:t xml:space="preserve"> 招标工程量清单标明的工程量是投标人投标报价的共同基础，竣工结算的工程量按《建设工程工程量清单计价规范》（</w:t>
      </w:r>
      <w:r>
        <w:rPr>
          <w:rFonts w:hint="eastAsia" w:ascii="宋体" w:hAnsi="宋体" w:eastAsia="宋体" w:cs="宋体"/>
          <w:snapToGrid w:val="0"/>
          <w:color w:val="auto"/>
          <w:kern w:val="0"/>
          <w:sz w:val="24"/>
          <w:szCs w:val="24"/>
          <w:highlight w:val="none"/>
          <w:lang w:eastAsia="zh-CN"/>
        </w:rPr>
        <w:t>GB</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eastAsia="zh-CN"/>
        </w:rPr>
        <w:t>T50500-2024</w:t>
      </w:r>
      <w:r>
        <w:rPr>
          <w:rFonts w:hint="eastAsia" w:ascii="宋体" w:hAnsi="宋体" w:eastAsia="宋体" w:cs="宋体"/>
          <w:snapToGrid w:val="0"/>
          <w:color w:val="auto"/>
          <w:kern w:val="0"/>
          <w:sz w:val="24"/>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51B976B3">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w:t>
      </w:r>
      <w:r>
        <w:rPr>
          <w:rFonts w:hint="eastAsia" w:ascii="宋体" w:hAnsi="宋体" w:eastAsia="宋体" w:cs="宋体"/>
          <w:snapToGrid w:val="0"/>
          <w:color w:val="auto"/>
          <w:kern w:val="0"/>
          <w:sz w:val="24"/>
          <w:szCs w:val="24"/>
          <w:highlight w:val="none"/>
        </w:rPr>
        <w:t xml:space="preserve"> 施工合同履行期间，若出现下列情形的，发、承包双方应当按照以下规定调整合同价款：</w:t>
      </w:r>
    </w:p>
    <w:p w14:paraId="1EF73DE9">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2.3.1</w:t>
      </w:r>
      <w:r>
        <w:rPr>
          <w:rFonts w:hint="eastAsia" w:ascii="宋体" w:hAnsi="宋体" w:eastAsia="宋体" w:cs="宋体"/>
          <w:snapToGrid w:val="0"/>
          <w:color w:val="auto"/>
          <w:kern w:val="0"/>
          <w:sz w:val="24"/>
          <w:szCs w:val="24"/>
          <w:highlight w:val="none"/>
        </w:rPr>
        <w:t xml:space="preserve"> 法律法规变化</w:t>
      </w:r>
    </w:p>
    <w:p w14:paraId="213B3F73">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2.3.1.1</w:t>
      </w:r>
      <w:r>
        <w:rPr>
          <w:rFonts w:hint="eastAsia" w:ascii="宋体" w:hAnsi="宋体" w:eastAsia="宋体" w:cs="宋体"/>
          <w:snapToGrid w:val="0"/>
          <w:color w:val="auto"/>
          <w:kern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1D221CA0">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注：本招标文件所称“基准日”，均指投标文件递交截止时间（见第一章第二节“重要事项时间地点一览表”）前28天。</w:t>
      </w:r>
    </w:p>
    <w:p w14:paraId="0CDABCC5">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2.3.1.2</w:t>
      </w:r>
      <w:r>
        <w:rPr>
          <w:rFonts w:hint="eastAsia" w:ascii="宋体" w:hAnsi="宋体" w:eastAsia="宋体" w:cs="宋体"/>
          <w:snapToGrid w:val="0"/>
          <w:color w:val="auto"/>
          <w:kern w:val="0"/>
          <w:sz w:val="24"/>
          <w:szCs w:val="24"/>
          <w:highlight w:val="none"/>
        </w:rPr>
        <w:t xml:space="preserve"> 因承包人原因导致工程延误，本章第</w:t>
      </w:r>
      <w:r>
        <w:rPr>
          <w:rFonts w:hint="eastAsia" w:ascii="宋体" w:hAnsi="宋体" w:eastAsia="宋体" w:cs="宋体"/>
          <w:b/>
          <w:bCs/>
          <w:snapToGrid w:val="0"/>
          <w:color w:val="auto"/>
          <w:kern w:val="0"/>
          <w:sz w:val="24"/>
          <w:szCs w:val="24"/>
          <w:highlight w:val="none"/>
        </w:rPr>
        <w:t>2.3.1.1</w:t>
      </w:r>
      <w:r>
        <w:rPr>
          <w:rFonts w:hint="eastAsia" w:ascii="宋体" w:hAnsi="宋体" w:eastAsia="宋体" w:cs="宋体"/>
          <w:snapToGrid w:val="0"/>
          <w:color w:val="auto"/>
          <w:kern w:val="0"/>
          <w:sz w:val="24"/>
          <w:szCs w:val="24"/>
          <w:highlight w:val="none"/>
        </w:rPr>
        <w:t>子目中的法定机构根据国家法律法规变化发布新规的时间在合同工程原定竣工时间之后的，合同价款调增的不予调整，合同价款调减的予以调整。</w:t>
      </w:r>
    </w:p>
    <w:p w14:paraId="3BEF9D95">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w:t>
      </w:r>
      <w:r>
        <w:rPr>
          <w:rFonts w:hint="eastAsia" w:ascii="宋体" w:hAnsi="宋体" w:eastAsia="宋体" w:cs="宋体"/>
          <w:snapToGrid w:val="0"/>
          <w:color w:val="auto"/>
          <w:kern w:val="0"/>
          <w:sz w:val="24"/>
          <w:szCs w:val="24"/>
          <w:highlight w:val="none"/>
        </w:rPr>
        <w:t xml:space="preserve"> 工程量偏差或变化</w:t>
      </w:r>
    </w:p>
    <w:p w14:paraId="3E35C40E">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2.3.2.1</w:t>
      </w:r>
      <w:r>
        <w:rPr>
          <w:rFonts w:hint="eastAsia" w:ascii="宋体" w:hAnsi="宋体" w:eastAsia="宋体" w:cs="宋体"/>
          <w:snapToGrid w:val="0"/>
          <w:color w:val="auto"/>
          <w:kern w:val="0"/>
          <w:sz w:val="24"/>
          <w:szCs w:val="24"/>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1C100210">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对于合理报价的清单项目，当工程量增加超过15%时，增加部分的工程量的综合单价以投标报价《分部分项工程和单价措施项目清单与计价表》中综合单价为基价调低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4"/>
          <w:szCs w:val="24"/>
          <w:highlight w:val="none"/>
          <w:lang w:eastAsia="zh-CN"/>
        </w:rPr>
        <w:t>。</w:t>
      </w:r>
    </w:p>
    <w:p w14:paraId="03A3DE3A">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对于按照第二章“中标人须知”第4.2条被认定为不平衡报价的清单项目，其综合单价按照以下方法调整：</w:t>
      </w:r>
    </w:p>
    <w:p w14:paraId="6596B34A">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b/>
          <w:bCs/>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u w:val="single"/>
        </w:rPr>
        <w:t>以</w:t>
      </w:r>
      <w:r>
        <w:rPr>
          <w:rFonts w:hint="eastAsia" w:ascii="宋体" w:hAnsi="宋体" w:eastAsia="宋体" w:cs="宋体"/>
          <w:b/>
          <w:bCs/>
          <w:snapToGrid w:val="0"/>
          <w:color w:val="auto"/>
          <w:kern w:val="0"/>
          <w:sz w:val="24"/>
          <w:szCs w:val="24"/>
          <w:highlight w:val="none"/>
          <w:u w:val="single"/>
          <w:lang w:val="en-US" w:eastAsia="zh-CN"/>
        </w:rPr>
        <w:t>最高投标限价</w:t>
      </w:r>
      <w:r>
        <w:rPr>
          <w:rFonts w:hint="eastAsia" w:ascii="宋体" w:hAnsi="宋体" w:eastAsia="宋体" w:cs="宋体"/>
          <w:b/>
          <w:bCs/>
          <w:snapToGrid w:val="0"/>
          <w:color w:val="auto"/>
          <w:kern w:val="0"/>
          <w:sz w:val="24"/>
          <w:szCs w:val="24"/>
          <w:highlight w:val="none"/>
          <w:u w:val="single"/>
        </w:rPr>
        <w:t>中的《分部分项工程和单价措施项目清单与计价表》子目相对应综合单价×（1-中标下浮率）。</w:t>
      </w:r>
    </w:p>
    <w:p w14:paraId="15F358ED">
      <w:pPr>
        <w:keepNext w:val="0"/>
        <w:keepLines w:val="0"/>
        <w:pageBreakBefore w:val="0"/>
        <w:widowControl w:val="0"/>
        <w:kinsoku/>
        <w:overflowPunct/>
        <w:topLinePunct w:val="0"/>
        <w:autoSpaceDE/>
        <w:autoSpaceDN/>
        <w:bidi w:val="0"/>
        <w:adjustRightInd/>
        <w:snapToGrid/>
        <w:spacing w:line="420" w:lineRule="exact"/>
        <w:ind w:left="0" w:right="0" w:firstLine="477"/>
        <w:textAlignment w:val="auto"/>
        <w:rPr>
          <w:rFonts w:hint="eastAsia" w:ascii="宋体" w:hAnsi="宋体" w:eastAsia="宋体" w:cs="宋体"/>
          <w:b/>
          <w:bCs/>
          <w:color w:val="auto"/>
          <w:spacing w:val="-4"/>
          <w:sz w:val="24"/>
          <w:szCs w:val="24"/>
          <w:highlight w:val="none"/>
          <w:u w:val="single"/>
        </w:rPr>
      </w:pPr>
      <w:r>
        <w:rPr>
          <w:rFonts w:hint="eastAsia" w:ascii="宋体" w:hAnsi="宋体" w:eastAsia="宋体" w:cs="宋体"/>
          <w:b/>
          <w:bCs/>
          <w:color w:val="auto"/>
          <w:spacing w:val="-4"/>
          <w:sz w:val="24"/>
          <w:szCs w:val="24"/>
          <w:highlight w:val="none"/>
          <w:u w:val="single"/>
        </w:rPr>
        <w:t>中标下浮率=[1-（中标价-中标安全</w:t>
      </w:r>
      <w:r>
        <w:rPr>
          <w:rFonts w:hint="eastAsia" w:ascii="宋体" w:hAnsi="宋体" w:eastAsia="宋体" w:cs="宋体"/>
          <w:b/>
          <w:bCs/>
          <w:color w:val="auto"/>
          <w:spacing w:val="-4"/>
          <w:sz w:val="24"/>
          <w:szCs w:val="24"/>
          <w:highlight w:val="none"/>
          <w:u w:val="single"/>
          <w:lang w:val="en-US" w:eastAsia="zh-CN"/>
        </w:rPr>
        <w:t>生产</w:t>
      </w:r>
      <w:r>
        <w:rPr>
          <w:rFonts w:hint="eastAsia" w:ascii="宋体" w:hAnsi="宋体" w:eastAsia="宋体" w:cs="宋体"/>
          <w:b/>
          <w:bCs/>
          <w:color w:val="auto"/>
          <w:spacing w:val="-4"/>
          <w:sz w:val="24"/>
          <w:szCs w:val="24"/>
          <w:highlight w:val="none"/>
          <w:u w:val="single"/>
        </w:rPr>
        <w:t>措施费-暂列金额-暂估价）</w:t>
      </w:r>
      <w:r>
        <w:rPr>
          <w:rFonts w:hint="eastAsia" w:ascii="宋体" w:hAnsi="宋体" w:eastAsia="宋体" w:cs="宋体"/>
          <w:b/>
          <w:bCs/>
          <w:snapToGrid w:val="0"/>
          <w:color w:val="auto"/>
          <w:kern w:val="0"/>
          <w:sz w:val="24"/>
          <w:szCs w:val="24"/>
          <w:highlight w:val="none"/>
          <w:u w:val="single"/>
        </w:rPr>
        <w:t>/ （</w:t>
      </w:r>
      <w:r>
        <w:rPr>
          <w:rFonts w:hint="eastAsia" w:ascii="宋体" w:hAnsi="宋体" w:eastAsia="宋体" w:cs="宋体"/>
          <w:b/>
          <w:bCs/>
          <w:snapToGrid w:val="0"/>
          <w:color w:val="auto"/>
          <w:kern w:val="0"/>
          <w:sz w:val="24"/>
          <w:szCs w:val="24"/>
          <w:highlight w:val="none"/>
          <w:u w:val="single"/>
          <w:lang w:val="en-US" w:eastAsia="zh-CN"/>
        </w:rPr>
        <w:t>最高投标限价</w:t>
      </w:r>
      <w:r>
        <w:rPr>
          <w:rFonts w:hint="eastAsia" w:ascii="宋体" w:hAnsi="宋体" w:eastAsia="宋体" w:cs="宋体"/>
          <w:b/>
          <w:bCs/>
          <w:snapToGrid w:val="0"/>
          <w:color w:val="auto"/>
          <w:kern w:val="0"/>
          <w:sz w:val="24"/>
          <w:szCs w:val="24"/>
          <w:highlight w:val="none"/>
          <w:u w:val="single"/>
        </w:rPr>
        <w:t>-控制价中标安全</w:t>
      </w:r>
      <w:r>
        <w:rPr>
          <w:rFonts w:hint="eastAsia" w:ascii="宋体" w:hAnsi="宋体" w:eastAsia="宋体" w:cs="宋体"/>
          <w:b/>
          <w:bCs/>
          <w:snapToGrid w:val="0"/>
          <w:color w:val="auto"/>
          <w:kern w:val="0"/>
          <w:sz w:val="24"/>
          <w:szCs w:val="24"/>
          <w:highlight w:val="none"/>
          <w:u w:val="single"/>
          <w:lang w:val="en-US" w:eastAsia="zh-CN"/>
        </w:rPr>
        <w:t>生产</w:t>
      </w:r>
      <w:r>
        <w:rPr>
          <w:rFonts w:hint="eastAsia" w:ascii="宋体" w:hAnsi="宋体" w:eastAsia="宋体" w:cs="宋体"/>
          <w:b/>
          <w:bCs/>
          <w:snapToGrid w:val="0"/>
          <w:color w:val="auto"/>
          <w:kern w:val="0"/>
          <w:sz w:val="24"/>
          <w:szCs w:val="24"/>
          <w:highlight w:val="none"/>
          <w:u w:val="single"/>
        </w:rPr>
        <w:t>措施费-暂列金额-暂估价）] ×100%</w:t>
      </w:r>
    </w:p>
    <w:p w14:paraId="28660CF6">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022E510F">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2.3.2.2</w:t>
      </w:r>
      <w:r>
        <w:rPr>
          <w:rFonts w:hint="eastAsia" w:ascii="宋体" w:hAnsi="宋体" w:eastAsia="宋体" w:cs="宋体"/>
          <w:snapToGrid w:val="0"/>
          <w:color w:val="auto"/>
          <w:kern w:val="0"/>
          <w:sz w:val="24"/>
          <w:szCs w:val="24"/>
          <w:highlight w:val="none"/>
        </w:rPr>
        <w:t xml:space="preserve"> 如果工程量出现本章第</w:t>
      </w:r>
      <w:r>
        <w:rPr>
          <w:rFonts w:hint="eastAsia" w:ascii="宋体" w:hAnsi="宋体" w:eastAsia="宋体" w:cs="宋体"/>
          <w:b/>
          <w:bCs/>
          <w:snapToGrid w:val="0"/>
          <w:color w:val="auto"/>
          <w:kern w:val="0"/>
          <w:sz w:val="24"/>
          <w:szCs w:val="24"/>
          <w:highlight w:val="none"/>
        </w:rPr>
        <w:t>2.3.2.1</w:t>
      </w:r>
      <w:r>
        <w:rPr>
          <w:rFonts w:hint="eastAsia" w:ascii="宋体" w:hAnsi="宋体" w:eastAsia="宋体" w:cs="宋体"/>
          <w:snapToGrid w:val="0"/>
          <w:color w:val="auto"/>
          <w:kern w:val="0"/>
          <w:sz w:val="24"/>
          <w:szCs w:val="24"/>
          <w:highlight w:val="none"/>
        </w:rPr>
        <w:t>子目的变化，且该变化引起相关措施项目相应发生变化时，按系数或单一总价方式计价的，工程量增加的措施项目费调增，工程量减少的措施项目费调减。</w:t>
      </w:r>
    </w:p>
    <w:p w14:paraId="69C24B2C">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2.3.3</w:t>
      </w:r>
      <w:r>
        <w:rPr>
          <w:rFonts w:hint="eastAsia" w:ascii="宋体" w:hAnsi="宋体" w:eastAsia="宋体" w:cs="宋体"/>
          <w:snapToGrid w:val="0"/>
          <w:color w:val="auto"/>
          <w:kern w:val="0"/>
          <w:sz w:val="24"/>
          <w:szCs w:val="24"/>
          <w:highlight w:val="none"/>
        </w:rPr>
        <w:t xml:space="preserve"> 工程变更</w:t>
      </w:r>
    </w:p>
    <w:p w14:paraId="53831F7B">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2.3.3.1</w:t>
      </w:r>
      <w:r>
        <w:rPr>
          <w:rFonts w:hint="eastAsia" w:ascii="宋体" w:hAnsi="宋体" w:eastAsia="宋体" w:cs="宋体"/>
          <w:snapToGrid w:val="0"/>
          <w:color w:val="auto"/>
          <w:kern w:val="0"/>
          <w:sz w:val="24"/>
          <w:szCs w:val="24"/>
          <w:highlight w:val="none"/>
        </w:rPr>
        <w:t xml:space="preserve"> 合同履行期间，因工程变更引起已标价工程量清单项目发生变化时，按照以下规定调整：</w:t>
      </w:r>
    </w:p>
    <w:p w14:paraId="7431CDC1">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（1）已标价工程量清单中有适用于变更工程项目的，采用该项目的单价。</w:t>
      </w:r>
      <w:r>
        <w:rPr>
          <w:rFonts w:hint="eastAsia" w:ascii="宋体" w:hAnsi="宋体" w:eastAsia="宋体" w:cs="宋体"/>
          <w:b/>
          <w:bCs/>
          <w:snapToGrid w:val="0"/>
          <w:color w:val="auto"/>
          <w:kern w:val="0"/>
          <w:sz w:val="24"/>
          <w:szCs w:val="24"/>
          <w:highlight w:val="none"/>
        </w:rPr>
        <w:t>但如果被采用的项目属于按照第二章“中标人须知”第4.2条被认定为不平衡报价的清单项目，</w:t>
      </w:r>
      <w:r>
        <w:rPr>
          <w:rFonts w:hint="eastAsia" w:ascii="宋体" w:hAnsi="宋体" w:eastAsia="宋体" w:cs="宋体"/>
          <w:b/>
          <w:bCs/>
          <w:color w:val="auto"/>
          <w:kern w:val="0"/>
          <w:sz w:val="24"/>
          <w:szCs w:val="24"/>
          <w:highlight w:val="none"/>
          <w:lang w:val="en-US" w:eastAsia="zh-CN" w:bidi="ar"/>
        </w:rPr>
        <w:t>变更工程项目的单价按照本章 2.3.2.1 的方法调整。</w:t>
      </w:r>
    </w:p>
    <w:p w14:paraId="3E458890">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 w:val="24"/>
          <w:szCs w:val="24"/>
          <w:highlight w:val="none"/>
        </w:rPr>
        <w:t>但如果被参考的类似项目属于按照第二章“中标人须知”第4.2条被认定为不平衡报价的清单项目，</w:t>
      </w:r>
      <w:r>
        <w:rPr>
          <w:rFonts w:hint="eastAsia" w:ascii="宋体" w:hAnsi="宋体" w:eastAsia="宋体" w:cs="宋体"/>
          <w:b/>
          <w:bCs/>
          <w:color w:val="auto"/>
          <w:kern w:val="0"/>
          <w:sz w:val="24"/>
          <w:szCs w:val="24"/>
          <w:highlight w:val="none"/>
          <w:lang w:val="en-US" w:eastAsia="zh-CN" w:bidi="ar"/>
        </w:rPr>
        <w:t>变更工程项目的单价按照本章 2.3.2.1 的方法调整。</w:t>
      </w:r>
    </w:p>
    <w:p w14:paraId="00F1D866">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77781FAA">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中标下浮率=[1-（中标价-中标安全生产措施费-暂列金额-暂估价）/（招标 控制价-控制价安全生产措施费-暂列金额-暂估价）]×100%</w:t>
      </w:r>
    </w:p>
    <w:p w14:paraId="69D361B4">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31259FDD">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2.3.3.2</w:t>
      </w:r>
      <w:r>
        <w:rPr>
          <w:rFonts w:hint="eastAsia" w:ascii="宋体" w:hAnsi="宋体" w:eastAsia="宋体" w:cs="宋体"/>
          <w:snapToGrid w:val="0"/>
          <w:color w:val="auto"/>
          <w:kern w:val="0"/>
          <w:sz w:val="24"/>
          <w:szCs w:val="24"/>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15005215">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安全生产措施费</w:t>
      </w:r>
      <w:r>
        <w:rPr>
          <w:rFonts w:hint="eastAsia" w:ascii="宋体" w:hAnsi="宋体" w:eastAsia="宋体" w:cs="宋体"/>
          <w:snapToGrid w:val="0"/>
          <w:color w:val="auto"/>
          <w:kern w:val="0"/>
          <w:sz w:val="24"/>
          <w:szCs w:val="24"/>
          <w:highlight w:val="none"/>
        </w:rPr>
        <w:t>应按照实际发生变化的措施项目计算。</w:t>
      </w:r>
    </w:p>
    <w:p w14:paraId="45D52D2A">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（2）采用单价计算的措施项目费，应按照实际发生变化的措施项目，按本章第</w:t>
      </w:r>
      <w:r>
        <w:rPr>
          <w:rFonts w:hint="eastAsia" w:ascii="宋体" w:hAnsi="宋体" w:eastAsia="宋体" w:cs="宋体"/>
          <w:b/>
          <w:bCs/>
          <w:snapToGrid w:val="0"/>
          <w:color w:val="auto"/>
          <w:kern w:val="0"/>
          <w:sz w:val="24"/>
          <w:szCs w:val="24"/>
          <w:highlight w:val="none"/>
        </w:rPr>
        <w:t>2.3.3.1</w:t>
      </w:r>
      <w:r>
        <w:rPr>
          <w:rFonts w:hint="eastAsia" w:ascii="宋体" w:hAnsi="宋体" w:eastAsia="宋体" w:cs="宋体"/>
          <w:snapToGrid w:val="0"/>
          <w:color w:val="auto"/>
          <w:kern w:val="0"/>
          <w:sz w:val="24"/>
          <w:szCs w:val="24"/>
          <w:highlight w:val="none"/>
        </w:rPr>
        <w:t>子目的规定确定单价。</w:t>
      </w:r>
    </w:p>
    <w:p w14:paraId="30A8C16E">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（3）按总价或系数计算的措施项目费，应按照实际发生变化的措施项目费调整并考虑中标下浮率因素，即调整金额＝按照实际变化调整后的金额×（1-中标下浮率）。</w:t>
      </w:r>
    </w:p>
    <w:p w14:paraId="54FC538F">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如果承包人未事先将拟实施的方案提交发包人确认，视为工程变更不引起措施项目费的调整或承包人放弃调整措施项目费的权利。</w:t>
      </w:r>
    </w:p>
    <w:p w14:paraId="59DA8DB5">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2.3.3.3</w:t>
      </w:r>
      <w:r>
        <w:rPr>
          <w:rFonts w:hint="eastAsia" w:ascii="宋体" w:hAnsi="宋体" w:eastAsia="宋体" w:cs="宋体"/>
          <w:snapToGrid w:val="0"/>
          <w:color w:val="auto"/>
          <w:kern w:val="0"/>
          <w:sz w:val="24"/>
          <w:szCs w:val="24"/>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42DEBD68">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2.3.4</w:t>
      </w:r>
      <w:r>
        <w:rPr>
          <w:rFonts w:hint="eastAsia" w:ascii="宋体" w:hAnsi="宋体" w:eastAsia="宋体" w:cs="宋体"/>
          <w:snapToGrid w:val="0"/>
          <w:color w:val="auto"/>
          <w:kern w:val="0"/>
          <w:sz w:val="24"/>
          <w:szCs w:val="24"/>
          <w:highlight w:val="none"/>
        </w:rPr>
        <w:t xml:space="preserve"> 项目特征不符</w:t>
      </w:r>
    </w:p>
    <w:p w14:paraId="11875062">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4"/>
          <w:szCs w:val="24"/>
          <w:highlight w:val="none"/>
        </w:rPr>
        <w:t>2.3.3</w:t>
      </w:r>
      <w:r>
        <w:rPr>
          <w:rFonts w:hint="eastAsia" w:ascii="宋体" w:hAnsi="宋体" w:eastAsia="宋体" w:cs="宋体"/>
          <w:snapToGrid w:val="0"/>
          <w:color w:val="auto"/>
          <w:kern w:val="0"/>
          <w:sz w:val="24"/>
          <w:szCs w:val="24"/>
          <w:highlight w:val="none"/>
        </w:rPr>
        <w:t>目相关条款的规定重新确定相应工程量清单项目的综合单价，并调整合同价款。</w:t>
      </w:r>
    </w:p>
    <w:p w14:paraId="24E7D451">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2.3.5</w:t>
      </w:r>
      <w:r>
        <w:rPr>
          <w:rFonts w:hint="eastAsia" w:ascii="宋体" w:hAnsi="宋体" w:eastAsia="宋体" w:cs="宋体"/>
          <w:snapToGrid w:val="0"/>
          <w:color w:val="auto"/>
          <w:kern w:val="0"/>
          <w:sz w:val="24"/>
          <w:szCs w:val="24"/>
          <w:highlight w:val="none"/>
        </w:rPr>
        <w:t xml:space="preserve"> 招标工程量清单缺项</w:t>
      </w:r>
    </w:p>
    <w:p w14:paraId="21AED20A">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2.3.5.1</w:t>
      </w:r>
      <w:r>
        <w:rPr>
          <w:rFonts w:hint="eastAsia" w:ascii="宋体" w:hAnsi="宋体" w:eastAsia="宋体" w:cs="宋体"/>
          <w:snapToGrid w:val="0"/>
          <w:color w:val="auto"/>
          <w:kern w:val="0"/>
          <w:sz w:val="24"/>
          <w:szCs w:val="24"/>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 w:val="24"/>
          <w:szCs w:val="24"/>
          <w:highlight w:val="none"/>
        </w:rPr>
        <w:t>2.3.3.1</w:t>
      </w:r>
      <w:r>
        <w:rPr>
          <w:rFonts w:hint="eastAsia" w:ascii="宋体" w:hAnsi="宋体" w:eastAsia="宋体" w:cs="宋体"/>
          <w:snapToGrid w:val="0"/>
          <w:color w:val="auto"/>
          <w:kern w:val="0"/>
          <w:sz w:val="24"/>
          <w:szCs w:val="24"/>
          <w:highlight w:val="none"/>
        </w:rPr>
        <w:t>子目的规定确定单价，并调整合同价款。</w:t>
      </w:r>
    </w:p>
    <w:p w14:paraId="437D8A22">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2.3.5.2</w:t>
      </w:r>
      <w:r>
        <w:rPr>
          <w:rFonts w:hint="eastAsia" w:ascii="宋体" w:hAnsi="宋体" w:eastAsia="宋体" w:cs="宋体"/>
          <w:snapToGrid w:val="0"/>
          <w:color w:val="auto"/>
          <w:kern w:val="0"/>
          <w:sz w:val="24"/>
          <w:szCs w:val="24"/>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 w:val="24"/>
          <w:szCs w:val="24"/>
          <w:highlight w:val="none"/>
        </w:rPr>
        <w:t>2.3.3.2</w:t>
      </w:r>
      <w:r>
        <w:rPr>
          <w:rFonts w:hint="eastAsia" w:ascii="宋体" w:hAnsi="宋体" w:eastAsia="宋体" w:cs="宋体"/>
          <w:snapToGrid w:val="0"/>
          <w:color w:val="auto"/>
          <w:kern w:val="0"/>
          <w:sz w:val="24"/>
          <w:szCs w:val="24"/>
          <w:highlight w:val="none"/>
        </w:rPr>
        <w:t>子目的规定，在承包人提交的实施方案被发包人批准后调整合同价款。</w:t>
      </w:r>
    </w:p>
    <w:p w14:paraId="3BB7AF8F">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2.3.5.3</w:t>
      </w:r>
      <w:r>
        <w:rPr>
          <w:rFonts w:hint="eastAsia" w:ascii="宋体" w:hAnsi="宋体" w:eastAsia="宋体" w:cs="宋体"/>
          <w:snapToGrid w:val="0"/>
          <w:color w:val="auto"/>
          <w:kern w:val="0"/>
          <w:sz w:val="24"/>
          <w:szCs w:val="24"/>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 w:val="24"/>
          <w:szCs w:val="24"/>
          <w:highlight w:val="none"/>
        </w:rPr>
        <w:t>2.3.3.1</w:t>
      </w:r>
      <w:r>
        <w:rPr>
          <w:rFonts w:hint="eastAsia" w:ascii="宋体" w:hAnsi="宋体" w:eastAsia="宋体" w:cs="宋体"/>
          <w:snapToGrid w:val="0"/>
          <w:color w:val="auto"/>
          <w:kern w:val="0"/>
          <w:sz w:val="24"/>
          <w:szCs w:val="24"/>
          <w:highlight w:val="none"/>
        </w:rPr>
        <w:t>子目、第</w:t>
      </w:r>
      <w:r>
        <w:rPr>
          <w:rFonts w:hint="eastAsia" w:ascii="宋体" w:hAnsi="宋体" w:eastAsia="宋体" w:cs="宋体"/>
          <w:b/>
          <w:bCs/>
          <w:snapToGrid w:val="0"/>
          <w:color w:val="auto"/>
          <w:kern w:val="0"/>
          <w:sz w:val="24"/>
          <w:szCs w:val="24"/>
          <w:highlight w:val="none"/>
        </w:rPr>
        <w:t>2.3.3.2</w:t>
      </w:r>
      <w:r>
        <w:rPr>
          <w:rFonts w:hint="eastAsia" w:ascii="宋体" w:hAnsi="宋体" w:eastAsia="宋体" w:cs="宋体"/>
          <w:snapToGrid w:val="0"/>
          <w:color w:val="auto"/>
          <w:kern w:val="0"/>
          <w:sz w:val="24"/>
          <w:szCs w:val="24"/>
          <w:highlight w:val="none"/>
        </w:rPr>
        <w:t>子目的规定调整合同价款。</w:t>
      </w:r>
    </w:p>
    <w:p w14:paraId="27D1A225">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w:t>
      </w:r>
      <w:r>
        <w:rPr>
          <w:rFonts w:hint="eastAsia" w:ascii="宋体" w:hAnsi="宋体" w:eastAsia="宋体" w:cs="宋体"/>
          <w:bCs/>
          <w:snapToGrid w:val="0"/>
          <w:color w:val="auto"/>
          <w:kern w:val="0"/>
          <w:sz w:val="24"/>
          <w:szCs w:val="24"/>
          <w:highlight w:val="none"/>
        </w:rPr>
        <w:t xml:space="preserve"> 物价变化</w:t>
      </w:r>
    </w:p>
    <w:p w14:paraId="4A117923">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2.3.6.1</w:t>
      </w:r>
      <w:r>
        <w:rPr>
          <w:rFonts w:hint="eastAsia" w:ascii="宋体" w:hAnsi="宋体" w:eastAsia="宋体" w:cs="宋体"/>
          <w:bCs/>
          <w:snapToGrid w:val="0"/>
          <w:color w:val="auto"/>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4"/>
          <w:szCs w:val="24"/>
          <w:highlight w:val="none"/>
        </w:rPr>
        <w:t>以下简称“中标人工费”</w:t>
      </w:r>
      <w:r>
        <w:rPr>
          <w:rFonts w:hint="eastAsia" w:ascii="宋体" w:hAnsi="宋体" w:eastAsia="宋体" w:cs="宋体"/>
          <w:bCs/>
          <w:snapToGrid w:val="0"/>
          <w:color w:val="auto"/>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39058E04">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结算人工费＝中标人工费×F</w:t>
      </w:r>
      <w:r>
        <w:rPr>
          <w:rFonts w:hint="eastAsia" w:ascii="宋体" w:hAnsi="宋体" w:eastAsia="宋体" w:cs="宋体"/>
          <w:bCs/>
          <w:snapToGrid w:val="0"/>
          <w:color w:val="auto"/>
          <w:kern w:val="0"/>
          <w:sz w:val="24"/>
          <w:szCs w:val="24"/>
          <w:highlight w:val="none"/>
          <w:vertAlign w:val="subscript"/>
        </w:rPr>
        <w:t>1</w:t>
      </w:r>
    </w:p>
    <w:p w14:paraId="58881265">
      <w:pPr>
        <w:keepNext w:val="0"/>
        <w:keepLines w:val="0"/>
        <w:pageBreakBefore w:val="0"/>
        <w:widowControl w:val="0"/>
        <w:kinsoku/>
        <w:wordWrap w:val="0"/>
        <w:overflowPunct/>
        <w:topLinePunct w:val="0"/>
        <w:autoSpaceDE/>
        <w:autoSpaceDN/>
        <w:bidi w:val="0"/>
        <w:adjustRightInd/>
        <w:snapToGrid/>
        <w:spacing w:line="420" w:lineRule="exact"/>
        <w:ind w:left="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式中，F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为施工当月项目所在地工程造价管理机构发布的动态人工调整系数。</w:t>
      </w:r>
    </w:p>
    <w:p w14:paraId="4722ECC1">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2.3.6.2</w:t>
      </w:r>
      <w:r>
        <w:rPr>
          <w:rFonts w:hint="eastAsia" w:ascii="宋体" w:hAnsi="宋体" w:eastAsia="宋体" w:cs="宋体"/>
          <w:snapToGrid w:val="0"/>
          <w:color w:val="auto"/>
          <w:kern w:val="0"/>
          <w:sz w:val="24"/>
          <w:szCs w:val="24"/>
          <w:highlight w:val="none"/>
        </w:rPr>
        <w:t xml:space="preserve"> 本招标项目约定，材料、工程设备单价涨跌风险幅度值A为</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1BE3429D">
      <w:pPr>
        <w:keepNext w:val="0"/>
        <w:keepLines w:val="0"/>
        <w:pageBreakBefore w:val="0"/>
        <w:widowControl w:val="0"/>
        <w:kinsoku/>
        <w:wordWrap w:val="0"/>
        <w:overflowPunct/>
        <w:topLinePunct w:val="0"/>
        <w:autoSpaceDE/>
        <w:autoSpaceDN/>
        <w:bidi w:val="0"/>
        <w:adjustRightInd/>
        <w:snapToGrid/>
        <w:spacing w:line="420" w:lineRule="exact"/>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289CFA35">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stroked="f" coordsize="21600,21600">
            <v:path/>
            <v:fill on="f" focussize="0,0"/>
            <v:stroke on="f"/>
            <v:imagedata r:id="rId9" o:title=""/>
            <o:lock v:ext="edit" grouping="f" rotation="f" text="f" aspectratio="t"/>
            <w10:wrap type="none"/>
            <w10:anchorlock/>
          </v:shape>
          <o:OLEObject Type="Embed" ProgID="Equation.KSEE3" ShapeID="_x0000_i1025" DrawAspect="Content" ObjectID="_1468075725" r:id="rId8">
            <o:LockedField>false</o:LockedField>
          </o:OLEObject>
        </w:object>
      </w:r>
    </w:p>
    <w:p w14:paraId="72379C61">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stroked="f" coordsize="21600,21600">
            <v:path/>
            <v:fill on="f" focussize="0,0"/>
            <v:stroke on="f"/>
            <v:imagedata r:id="rId11" o:title=""/>
            <o:lock v:ext="edit" grouping="f" rotation="f" text="f" aspectratio="t"/>
            <w10:wrap type="none"/>
            <w10:anchorlock/>
          </v:shape>
          <o:OLEObject Type="Embed" ProgID="Equation.KSEE3" ShapeID="_x0000_i1026" DrawAspect="Content" ObjectID="_1468075726" r:id="rId10">
            <o:LockedField>false</o:LockedField>
          </o:OLEObject>
        </w:object>
      </w:r>
    </w:p>
    <w:p w14:paraId="32A55510">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stroked="f" coordsize="21600,21600">
            <v:path/>
            <v:fill on="f" focussize="0,0"/>
            <v:stroke on="f"/>
            <v:imagedata r:id="rId13" o:title=""/>
            <o:lock v:ext="edit" grouping="f" rotation="f" text="f" aspectratio="t"/>
            <w10:wrap type="none"/>
            <w10:anchorlock/>
          </v:shape>
          <o:OLEObject Type="Embed" ProgID="Equation.KSEE3" ShapeID="_x0000_i1027" DrawAspect="Content" ObjectID="_1468075727" r:id="rId12">
            <o:LockedField>false</o:LockedField>
          </o:OLEObject>
        </w:object>
      </w:r>
    </w:p>
    <w:p w14:paraId="10D25F3B">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stroked="f" coordsize="21600,21600">
            <v:path/>
            <v:fill on="f" focussize="0,0"/>
            <v:stroke on="f"/>
            <v:imagedata r:id="rId15" o:title=""/>
            <o:lock v:ext="edit" grouping="f" rotation="f" text="f" aspectratio="t"/>
            <w10:wrap type="none"/>
            <w10:anchorlock/>
          </v:shape>
          <o:OLEObject Type="Embed" ProgID="Equation.KSEE3" ShapeID="_x0000_i1028" DrawAspect="Content" ObjectID="_1468075728" r:id="rId14">
            <o:LockedField>false</o:LockedField>
          </o:OLEObject>
        </w:object>
      </w:r>
    </w:p>
    <w:p w14:paraId="12B5740A">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stroked="f" coordsize="21600,21600">
            <v:path/>
            <v:fill on="f" focussize="0,0"/>
            <v:stroke on="f"/>
            <v:imagedata r:id="rId17" o:title=""/>
            <o:lock v:ext="edit" grouping="f" rotation="f" text="f" aspectratio="t"/>
            <w10:wrap type="none"/>
            <w10:anchorlock/>
          </v:shape>
          <o:OLEObject Type="Embed" ProgID="Equation.KSEE3" ShapeID="_x0000_i1029" DrawAspect="Content" ObjectID="_1468075729" r:id="rId16">
            <o:LockedField>false</o:LockedField>
          </o:OLEObject>
        </w:object>
      </w:r>
    </w:p>
    <w:p w14:paraId="1249E7F0">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19" o:title=""/>
            <o:lock v:ext="edit" grouping="f" rotation="f" text="f" aspectratio="t"/>
            <w10:wrap type="none"/>
            <w10:anchorlock/>
          </v:shape>
          <o:OLEObject Type="Embed" ProgID="Equation.KSEE3" ShapeID="_x0000_i1030" DrawAspect="Content" ObjectID="_1468075730" r:id="rId18">
            <o:LockedField>false</o:LockedField>
          </o:OLEObject>
        </w:object>
      </w:r>
    </w:p>
    <w:p w14:paraId="7F9C7E40">
      <w:pPr>
        <w:keepNext w:val="0"/>
        <w:keepLines w:val="0"/>
        <w:pageBreakBefore w:val="0"/>
        <w:widowControl/>
        <w:kinsoku/>
        <w:wordWrap w:val="0"/>
        <w:overflowPunct/>
        <w:topLinePunct w:val="0"/>
        <w:autoSpaceDE/>
        <w:autoSpaceDN/>
        <w:bidi w:val="0"/>
        <w:adjustRightInd/>
        <w:snapToGrid/>
        <w:spacing w:line="420" w:lineRule="exact"/>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w:t>
      </w:r>
      <w:r>
        <w:rPr>
          <w:rFonts w:hint="eastAsia" w:ascii="宋体" w:hAnsi="宋体" w:eastAsia="宋体" w:cs="宋体"/>
          <w:bCs/>
          <w:snapToGrid w:val="0"/>
          <w:color w:val="auto"/>
          <w:kern w:val="0"/>
          <w:sz w:val="24"/>
          <w:szCs w:val="24"/>
          <w:highlight w:val="none"/>
          <w:lang w:eastAsia="zh-CN"/>
        </w:rPr>
        <w:t>；</w:t>
      </w:r>
      <w:r>
        <w:rPr>
          <w:rFonts w:hint="eastAsia" w:ascii="宋体" w:hAnsi="宋体" w:eastAsia="宋体" w:cs="宋体"/>
          <w:bCs/>
          <w:snapToGrid w:val="0"/>
          <w:color w:val="auto"/>
          <w:kern w:val="0"/>
          <w:sz w:val="24"/>
          <w:szCs w:val="24"/>
          <w:highlight w:val="none"/>
        </w:rPr>
        <w:t>F2为施工当月项目所在地工程造价管理机构发布的材料、工程设备单价；A 为合同约定的材料、工程设备单价涨跌风险幅度值。</w:t>
      </w:r>
    </w:p>
    <w:p w14:paraId="1FC97074">
      <w:pPr>
        <w:keepNext w:val="0"/>
        <w:keepLines w:val="0"/>
        <w:pageBreakBefore w:val="0"/>
        <w:widowControl/>
        <w:kinsoku/>
        <w:wordWrap w:val="0"/>
        <w:overflowPunct/>
        <w:topLinePunct w:val="0"/>
        <w:autoSpaceDE/>
        <w:autoSpaceDN/>
        <w:bidi w:val="0"/>
        <w:adjustRightInd/>
        <w:snapToGrid/>
        <w:spacing w:line="420" w:lineRule="exact"/>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2.3.6.3</w:t>
      </w:r>
      <w:r>
        <w:rPr>
          <w:rFonts w:hint="eastAsia" w:ascii="宋体" w:hAnsi="宋体" w:eastAsia="宋体" w:cs="宋体"/>
          <w:snapToGrid w:val="0"/>
          <w:color w:val="auto"/>
          <w:kern w:val="0"/>
          <w:sz w:val="24"/>
          <w:szCs w:val="24"/>
          <w:highlight w:val="none"/>
        </w:rPr>
        <w:t xml:space="preserve"> 合同履行期间，当《发包人提供材料和工程设备一览表》（详见招标工程量清单）中的材料、工程设备单价发生变化时，由发包人按照实际变化调整，并列入合同价款。</w:t>
      </w:r>
    </w:p>
    <w:p w14:paraId="4835F287">
      <w:pPr>
        <w:keepNext w:val="0"/>
        <w:keepLines w:val="0"/>
        <w:pageBreakBefore w:val="0"/>
        <w:widowControl/>
        <w:kinsoku/>
        <w:wordWrap w:val="0"/>
        <w:overflowPunct/>
        <w:topLinePunct w:val="0"/>
        <w:autoSpaceDE/>
        <w:autoSpaceDN/>
        <w:bidi w:val="0"/>
        <w:adjustRightInd/>
        <w:snapToGrid/>
        <w:spacing w:line="42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2.3.6.4</w:t>
      </w:r>
      <w:r>
        <w:rPr>
          <w:rFonts w:hint="eastAsia" w:ascii="宋体" w:hAnsi="宋体" w:eastAsia="宋体" w:cs="宋体"/>
          <w:snapToGrid w:val="0"/>
          <w:color w:val="auto"/>
          <w:kern w:val="0"/>
          <w:sz w:val="24"/>
          <w:szCs w:val="24"/>
          <w:highlight w:val="none"/>
        </w:rPr>
        <w:t xml:space="preserve"> 本招标项目约定，施工机具台班单价涨跌风险幅度值B为</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607B78A9">
      <w:pPr>
        <w:keepNext w:val="0"/>
        <w:keepLines w:val="0"/>
        <w:pageBreakBefore w:val="0"/>
        <w:widowControl/>
        <w:kinsoku/>
        <w:wordWrap w:val="0"/>
        <w:overflowPunct/>
        <w:topLinePunct w:val="0"/>
        <w:autoSpaceDE/>
        <w:autoSpaceDN/>
        <w:bidi w:val="0"/>
        <w:adjustRightInd/>
        <w:snapToGrid/>
        <w:spacing w:line="42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5B0F3788">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1" DrawAspect="Content" ObjectID="_1468075731" r:id="rId20">
            <o:LockedField>false</o:LockedField>
          </o:OLEObject>
        </w:object>
      </w:r>
    </w:p>
    <w:p w14:paraId="19815550">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2" DrawAspect="Content" ObjectID="_1468075732" r:id="rId22">
            <o:LockedField>false</o:LockedField>
          </o:OLEObject>
        </w:object>
      </w:r>
    </w:p>
    <w:p w14:paraId="53BEC505">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25BF8B3D">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3" DrawAspect="Content" ObjectID="_1468075733" r:id="rId24">
            <o:LockedField>false</o:LockedField>
          </o:OLEObject>
        </w:object>
      </w:r>
    </w:p>
    <w:p w14:paraId="0CA1D3C5">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4" DrawAspect="Content" ObjectID="_1468075734" r:id="rId26">
            <o:LockedField>false</o:LockedField>
          </o:OLEObject>
        </w:object>
      </w:r>
    </w:p>
    <w:p w14:paraId="013F087F">
      <w:pPr>
        <w:keepNext w:val="0"/>
        <w:keepLines w:val="0"/>
        <w:pageBreakBefore w:val="0"/>
        <w:widowControl/>
        <w:kinsoku/>
        <w:wordWrap w:val="0"/>
        <w:overflowPunct/>
        <w:topLinePunct w:val="0"/>
        <w:autoSpaceDE/>
        <w:autoSpaceDN/>
        <w:bidi w:val="0"/>
        <w:adjustRightInd/>
        <w:snapToGrid/>
        <w:spacing w:line="44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428DECFD">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5" DrawAspect="Content" ObjectID="_1468075735" r:id="rId28">
            <o:LockedField>false</o:LockedField>
          </o:OLEObject>
        </w:object>
      </w:r>
    </w:p>
    <w:p w14:paraId="410F7F39">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6" DrawAspect="Content" ObjectID="_1468075736" r:id="rId30">
            <o:LockedField>false</o:LockedField>
          </o:OLEObject>
        </w:object>
      </w:r>
    </w:p>
    <w:p w14:paraId="1A11C132">
      <w:pPr>
        <w:keepNext w:val="0"/>
        <w:keepLines w:val="0"/>
        <w:pageBreakBefore w:val="0"/>
        <w:widowControl/>
        <w:suppressLineNumbers w:val="0"/>
        <w:kinsoku/>
        <w:overflowPunct/>
        <w:topLinePunct w:val="0"/>
        <w:autoSpaceDE/>
        <w:autoSpaceDN/>
        <w:bidi w:val="0"/>
        <w:adjustRightInd/>
        <w:snapToGrid/>
        <w:spacing w:line="360" w:lineRule="auto"/>
        <w:ind w:left="0" w:leftChars="0"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w:t>
      </w:r>
      <w:r>
        <w:rPr>
          <w:rFonts w:hint="eastAsia" w:ascii="宋体" w:hAnsi="宋体" w:eastAsia="宋体" w:cs="宋体"/>
          <w:bCs/>
          <w:snapToGrid w:val="0"/>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F2为施工当月项目所在地工程造价管理机构发布的施工机具台班单价；B 为合同约定的施工机具台班单价涨跌风险幅度值。</w:t>
      </w:r>
    </w:p>
    <w:p w14:paraId="6ED5362F">
      <w:pPr>
        <w:keepNext w:val="0"/>
        <w:keepLines w:val="0"/>
        <w:pageBreakBefore w:val="0"/>
        <w:widowControl/>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2.3.7</w:t>
      </w:r>
      <w:r>
        <w:rPr>
          <w:rFonts w:hint="eastAsia" w:ascii="宋体" w:hAnsi="宋体" w:eastAsia="宋体" w:cs="宋体"/>
          <w:bCs/>
          <w:snapToGrid w:val="0"/>
          <w:color w:val="auto"/>
          <w:kern w:val="0"/>
          <w:sz w:val="24"/>
          <w:szCs w:val="24"/>
          <w:highlight w:val="none"/>
        </w:rPr>
        <w:t xml:space="preserve"> 暂估价和暂列金额</w:t>
      </w:r>
    </w:p>
    <w:p w14:paraId="634CE772">
      <w:pPr>
        <w:keepNext w:val="0"/>
        <w:keepLines w:val="0"/>
        <w:pageBreakBefore w:val="0"/>
        <w:widowControl/>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2.3.7.1</w:t>
      </w:r>
      <w:r>
        <w:rPr>
          <w:rFonts w:hint="eastAsia" w:ascii="宋体" w:hAnsi="宋体" w:eastAsia="宋体" w:cs="宋体"/>
          <w:bCs/>
          <w:snapToGrid w:val="0"/>
          <w:color w:val="auto"/>
          <w:kern w:val="0"/>
          <w:sz w:val="24"/>
          <w:szCs w:val="24"/>
          <w:highlight w:val="none"/>
        </w:rPr>
        <w:t xml:space="preserve"> 暂估价项目按第一章第三节“投标人须知正文”第</w:t>
      </w:r>
      <w:r>
        <w:rPr>
          <w:rFonts w:hint="eastAsia" w:ascii="宋体" w:hAnsi="宋体" w:eastAsia="宋体" w:cs="宋体"/>
          <w:b/>
          <w:bCs/>
          <w:snapToGrid w:val="0"/>
          <w:color w:val="auto"/>
          <w:kern w:val="0"/>
          <w:sz w:val="24"/>
          <w:szCs w:val="24"/>
          <w:highlight w:val="none"/>
        </w:rPr>
        <w:t>8.5</w:t>
      </w:r>
      <w:r>
        <w:rPr>
          <w:rFonts w:hint="eastAsia" w:ascii="宋体" w:hAnsi="宋体" w:eastAsia="宋体" w:cs="宋体"/>
          <w:bCs/>
          <w:snapToGrid w:val="0"/>
          <w:color w:val="auto"/>
          <w:kern w:val="0"/>
          <w:sz w:val="24"/>
          <w:szCs w:val="24"/>
          <w:highlight w:val="none"/>
        </w:rPr>
        <w:t>条的规定确定专业工程承包人（或材料供应商、工程设备供应商）后，将专业工程合同价款（或材料单价、工程设备单价）取代相应暂估价，并调整合同价款。</w:t>
      </w:r>
    </w:p>
    <w:p w14:paraId="30DBAC06">
      <w:pPr>
        <w:keepNext w:val="0"/>
        <w:keepLines w:val="0"/>
        <w:pageBreakBefore w:val="0"/>
        <w:widowControl/>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2.3.7.2</w:t>
      </w:r>
      <w:r>
        <w:rPr>
          <w:rFonts w:hint="eastAsia" w:ascii="宋体" w:hAnsi="宋体" w:eastAsia="宋体" w:cs="宋体"/>
          <w:bCs/>
          <w:snapToGrid w:val="0"/>
          <w:color w:val="auto"/>
          <w:kern w:val="0"/>
          <w:sz w:val="24"/>
          <w:szCs w:val="24"/>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 w:val="24"/>
          <w:szCs w:val="24"/>
          <w:highlight w:val="none"/>
        </w:rPr>
        <w:t>8.6</w:t>
      </w:r>
      <w:r>
        <w:rPr>
          <w:rFonts w:hint="eastAsia" w:ascii="宋体" w:hAnsi="宋体" w:eastAsia="宋体" w:cs="宋体"/>
          <w:bCs/>
          <w:snapToGrid w:val="0"/>
          <w:color w:val="auto"/>
          <w:kern w:val="0"/>
          <w:sz w:val="24"/>
          <w:szCs w:val="24"/>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484EE7E5">
      <w:pPr>
        <w:keepNext w:val="0"/>
        <w:keepLines w:val="0"/>
        <w:pageBreakBefore w:val="0"/>
        <w:widowControl w:val="0"/>
        <w:suppressLineNumbers w:val="0"/>
        <w:kinsoku/>
        <w:overflowPunct/>
        <w:topLinePunct w:val="0"/>
        <w:autoSpaceDE/>
        <w:autoSpaceDN/>
        <w:bidi w:val="0"/>
        <w:adjustRightInd/>
        <w:snapToGrid/>
        <w:spacing w:line="360" w:lineRule="auto"/>
        <w:ind w:left="0" w:leftChars="0" w:firstLine="482"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 xml:space="preserve">2.3.8 </w:t>
      </w:r>
      <w:r>
        <w:rPr>
          <w:rFonts w:hint="eastAsia" w:ascii="宋体" w:hAnsi="宋体" w:eastAsia="宋体" w:cs="宋体"/>
          <w:b/>
          <w:snapToGrid w:val="0"/>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bidi="ar"/>
        </w:rPr>
        <w:t>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已完成工程及设备保护等。</w:t>
      </w:r>
    </w:p>
    <w:p w14:paraId="35C6E504">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2.3.9</w:t>
      </w:r>
      <w:r>
        <w:rPr>
          <w:rFonts w:hint="eastAsia" w:ascii="宋体" w:hAnsi="宋体" w:eastAsia="宋体" w:cs="宋体"/>
          <w:snapToGrid w:val="0"/>
          <w:color w:val="auto"/>
          <w:kern w:val="0"/>
          <w:sz w:val="24"/>
          <w:szCs w:val="24"/>
          <w:highlight w:val="none"/>
        </w:rPr>
        <w:t>其余事项（如不可抗力、索赔、现场签证等）的调整原则按照《建设工程工程量清单计价规范》（</w:t>
      </w:r>
      <w:r>
        <w:rPr>
          <w:rFonts w:hint="eastAsia" w:ascii="宋体" w:hAnsi="宋体" w:eastAsia="宋体" w:cs="宋体"/>
          <w:snapToGrid w:val="0"/>
          <w:color w:val="auto"/>
          <w:kern w:val="0"/>
          <w:sz w:val="24"/>
          <w:szCs w:val="24"/>
          <w:highlight w:val="none"/>
          <w:lang w:eastAsia="zh-CN"/>
        </w:rPr>
        <w:t>GB</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eastAsia="zh-CN"/>
        </w:rPr>
        <w:t>T50500-2024</w:t>
      </w:r>
      <w:r>
        <w:rPr>
          <w:rFonts w:hint="eastAsia" w:ascii="宋体" w:hAnsi="宋体" w:eastAsia="宋体" w:cs="宋体"/>
          <w:snapToGrid w:val="0"/>
          <w:color w:val="auto"/>
          <w:kern w:val="0"/>
          <w:sz w:val="24"/>
          <w:szCs w:val="24"/>
          <w:highlight w:val="none"/>
        </w:rPr>
        <w:t>）有关规定执行。</w:t>
      </w:r>
    </w:p>
    <w:p w14:paraId="39C24220">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 xml:space="preserve"> </w:t>
      </w:r>
      <w:bookmarkStart w:id="218" w:name="_Hlt112206782"/>
      <w:bookmarkEnd w:id="218"/>
      <w:r>
        <w:rPr>
          <w:rFonts w:hint="eastAsia" w:ascii="宋体" w:hAnsi="宋体" w:eastAsia="宋体" w:cs="宋体"/>
          <w:snapToGrid w:val="0"/>
          <w:color w:val="auto"/>
          <w:kern w:val="0"/>
          <w:sz w:val="24"/>
          <w:szCs w:val="24"/>
          <w:highlight w:val="none"/>
        </w:rPr>
        <w:t>凡将引起合同价款调增的事项，承包人必须于拟实施14天前，将详细的报价书（含拟实施项目名称、变更部位、理由、预计造价等）报监理单位审核和发包人批准后方可实施。</w:t>
      </w:r>
    </w:p>
    <w:p w14:paraId="5AD4C463">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承包人不得以不完全了解现场情况为理由，提出额外付款或延长工期等要求。对此类要求，发包人不作任何考虑及答复。</w:t>
      </w:r>
    </w:p>
    <w:p w14:paraId="3C2E79CF">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2.6</w:t>
      </w:r>
      <w:r>
        <w:rPr>
          <w:rFonts w:hint="eastAsia" w:ascii="宋体" w:hAnsi="宋体" w:eastAsia="宋体" w:cs="宋体"/>
          <w:snapToGrid w:val="0"/>
          <w:color w:val="auto"/>
          <w:kern w:val="0"/>
          <w:sz w:val="24"/>
          <w:szCs w:val="24"/>
          <w:highlight w:val="none"/>
        </w:rPr>
        <w:t xml:space="preserve"> 承包人已标价工程量清单中漏报、错报或少报的清单项目，其价格均视为已经包含在其它清单项目中，竣工结算时不得重新组价和调整。</w:t>
      </w:r>
    </w:p>
    <w:p w14:paraId="0F2FED07">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2.7</w:t>
      </w:r>
      <w:r>
        <w:rPr>
          <w:rFonts w:hint="eastAsia" w:ascii="宋体" w:hAnsi="宋体" w:eastAsia="宋体" w:cs="宋体"/>
          <w:snapToGrid w:val="0"/>
          <w:color w:val="auto"/>
          <w:kern w:val="0"/>
          <w:sz w:val="24"/>
          <w:szCs w:val="24"/>
          <w:highlight w:val="none"/>
        </w:rPr>
        <w:t xml:space="preserve"> 工程完工后，发、承包双方和受其委托具备相应资质的工程造价咨询单位必须按照《建设工程工程量清单计价规范》（</w:t>
      </w:r>
      <w:r>
        <w:rPr>
          <w:rFonts w:hint="eastAsia" w:ascii="宋体" w:hAnsi="宋体" w:eastAsia="宋体" w:cs="宋体"/>
          <w:snapToGrid w:val="0"/>
          <w:color w:val="auto"/>
          <w:kern w:val="0"/>
          <w:sz w:val="24"/>
          <w:szCs w:val="24"/>
          <w:highlight w:val="none"/>
          <w:lang w:eastAsia="zh-CN"/>
        </w:rPr>
        <w:t>GB</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eastAsia="zh-CN"/>
        </w:rPr>
        <w:t>T50500-2024</w:t>
      </w:r>
      <w:r>
        <w:rPr>
          <w:rFonts w:hint="eastAsia" w:ascii="宋体" w:hAnsi="宋体" w:eastAsia="宋体" w:cs="宋体"/>
          <w:snapToGrid w:val="0"/>
          <w:color w:val="auto"/>
          <w:kern w:val="0"/>
          <w:sz w:val="24"/>
          <w:szCs w:val="24"/>
          <w:highlight w:val="none"/>
        </w:rPr>
        <w:t>）和国家、省、市的有关规定办理竣工结算。</w:t>
      </w:r>
    </w:p>
    <w:p w14:paraId="2CB342A4">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2.8</w:t>
      </w:r>
      <w:r>
        <w:rPr>
          <w:rFonts w:hint="eastAsia" w:ascii="宋体" w:hAnsi="宋体" w:eastAsia="宋体" w:cs="宋体"/>
          <w:snapToGrid w:val="0"/>
          <w:color w:val="auto"/>
          <w:kern w:val="0"/>
          <w:sz w:val="24"/>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16679E01">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baseline"/>
        <w:rPr>
          <w:rFonts w:hint="eastAsia" w:ascii="宋体" w:hAnsi="宋体" w:eastAsia="宋体" w:cs="宋体"/>
          <w:b/>
          <w:snapToGrid w:val="0"/>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2.9 </w:t>
      </w:r>
      <w:r>
        <w:rPr>
          <w:rFonts w:hint="eastAsia" w:ascii="宋体" w:hAnsi="宋体" w:eastAsia="宋体" w:cs="宋体"/>
          <w:color w:val="auto"/>
          <w:kern w:val="0"/>
          <w:sz w:val="24"/>
          <w:szCs w:val="24"/>
          <w:highlight w:val="none"/>
          <w:lang w:val="en-US" w:eastAsia="zh-CN" w:bidi="ar"/>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r>
        <w:rPr>
          <w:rFonts w:hint="eastAsia" w:ascii="宋体" w:hAnsi="宋体" w:eastAsia="宋体" w:cs="宋体"/>
          <w:b w:val="0"/>
          <w:bCs/>
          <w:snapToGrid w:val="0"/>
          <w:color w:val="auto"/>
          <w:kern w:val="0"/>
          <w:sz w:val="24"/>
          <w:szCs w:val="24"/>
          <w:highlight w:val="none"/>
          <w:lang w:eastAsia="zh-CN"/>
        </w:rPr>
        <w:t>。</w:t>
      </w:r>
      <w:bookmarkStart w:id="219" w:name="_Toc27842"/>
    </w:p>
    <w:p w14:paraId="7510C0E2">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220" w:name="_Toc547"/>
      <w:r>
        <w:rPr>
          <w:rFonts w:hint="eastAsia" w:ascii="宋体" w:hAnsi="宋体" w:eastAsia="宋体" w:cs="宋体"/>
          <w:color w:val="auto"/>
          <w:kern w:val="2"/>
          <w:sz w:val="28"/>
          <w:szCs w:val="24"/>
          <w:lang w:eastAsia="zh-CN"/>
        </w:rPr>
        <w:t>3．工程付款办法</w:t>
      </w:r>
      <w:bookmarkEnd w:id="219"/>
      <w:bookmarkEnd w:id="220"/>
      <w:bookmarkStart w:id="221" w:name="_Hlt88976467"/>
      <w:bookmarkEnd w:id="221"/>
      <w:bookmarkStart w:id="222" w:name="_Hlt69114106"/>
      <w:bookmarkEnd w:id="222"/>
      <w:bookmarkStart w:id="223" w:name="_Hlt66608388"/>
      <w:bookmarkEnd w:id="223"/>
      <w:bookmarkStart w:id="224" w:name="_Hlt70150985"/>
      <w:bookmarkEnd w:id="224"/>
      <w:bookmarkStart w:id="225" w:name="_Hlt69700007"/>
      <w:bookmarkEnd w:id="225"/>
      <w:bookmarkStart w:id="226" w:name="_Hlt66591689"/>
      <w:bookmarkEnd w:id="226"/>
      <w:bookmarkStart w:id="227" w:name="_Hlt69669774"/>
      <w:bookmarkEnd w:id="227"/>
      <w:bookmarkStart w:id="228" w:name="_Hlt66593437"/>
      <w:bookmarkEnd w:id="228"/>
    </w:p>
    <w:p w14:paraId="7DA887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rPr>
      </w:pPr>
      <w:bookmarkStart w:id="229" w:name="_Toc21828"/>
      <w:bookmarkStart w:id="230" w:name="_Toc18877"/>
      <w:r>
        <w:rPr>
          <w:rFonts w:hint="eastAsia" w:ascii="宋体" w:hAnsi="宋体" w:eastAsia="宋体" w:cs="宋体"/>
          <w:color w:val="auto"/>
          <w:sz w:val="24"/>
          <w:szCs w:val="24"/>
        </w:rPr>
        <w:t>3.1本项目支付施工预付款。</w:t>
      </w:r>
    </w:p>
    <w:p w14:paraId="5C092E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3.2施工预付款必须专用于合同工程，并按以下原则支付和抵扣：</w:t>
      </w:r>
    </w:p>
    <w:p w14:paraId="32BD07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3.2.1施工预付款支付比例为：按施工合同价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扣除安全生产措施费、暂估价、暂列金）30</w:t>
      </w:r>
      <w:r>
        <w:rPr>
          <w:rFonts w:hint="eastAsia" w:ascii="宋体" w:hAnsi="宋体" w:eastAsia="宋体" w:cs="宋体"/>
          <w:color w:val="auto"/>
          <w:sz w:val="24"/>
          <w:szCs w:val="24"/>
        </w:rPr>
        <w:t>%支付。</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en-US"/>
        </w:rPr>
        <w:t>本项目资金来源为财政资金，预付款支付比例及拨付时间视财政情况统筹决定，财政资金不足时，可降低预付款支付比率</w:t>
      </w:r>
      <w:r>
        <w:rPr>
          <w:rFonts w:hint="eastAsia" w:ascii="宋体" w:hAnsi="宋体" w:eastAsia="宋体" w:cs="宋体"/>
          <w:color w:val="auto"/>
          <w:sz w:val="24"/>
          <w:szCs w:val="24"/>
          <w:lang w:val="en-US" w:eastAsia="zh-CN"/>
        </w:rPr>
        <w:t>或分批支付</w:t>
      </w:r>
      <w:r>
        <w:rPr>
          <w:rFonts w:hint="eastAsia" w:ascii="宋体" w:hAnsi="宋体" w:eastAsia="宋体" w:cs="宋体"/>
          <w:color w:val="auto"/>
          <w:sz w:val="24"/>
          <w:szCs w:val="24"/>
          <w:lang w:val="en-US" w:eastAsia="en-US"/>
        </w:rPr>
        <w:t>以及延缓拨付时间，具体以财政</w:t>
      </w:r>
      <w:r>
        <w:rPr>
          <w:rFonts w:hint="eastAsia" w:ascii="宋体" w:hAnsi="宋体" w:eastAsia="宋体" w:cs="宋体"/>
          <w:color w:val="auto"/>
          <w:sz w:val="24"/>
          <w:szCs w:val="24"/>
          <w:lang w:val="en-US" w:eastAsia="zh-CN"/>
        </w:rPr>
        <w:t>部门</w:t>
      </w:r>
      <w:r>
        <w:rPr>
          <w:rFonts w:hint="eastAsia" w:ascii="宋体" w:hAnsi="宋体" w:eastAsia="宋体" w:cs="宋体"/>
          <w:color w:val="auto"/>
          <w:sz w:val="24"/>
          <w:szCs w:val="24"/>
          <w:lang w:val="en-US" w:eastAsia="en-US"/>
        </w:rPr>
        <w:t>和建设单位意见为准</w:t>
      </w:r>
      <w:r>
        <w:rPr>
          <w:rFonts w:hint="eastAsia" w:ascii="宋体" w:hAnsi="宋体" w:eastAsia="宋体" w:cs="宋体"/>
          <w:color w:val="auto"/>
          <w:sz w:val="24"/>
          <w:szCs w:val="24"/>
          <w:lang w:val="en-US" w:eastAsia="zh-CN"/>
        </w:rPr>
        <w:t>，其中70%支付给工程账户，30%支付给工人工资专用账户。）</w:t>
      </w:r>
    </w:p>
    <w:p w14:paraId="18F89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3.2.2本招标项目</w:t>
      </w:r>
      <w:r>
        <w:rPr>
          <w:rFonts w:hint="eastAsia" w:ascii="宋体" w:hAnsi="宋体" w:eastAsia="宋体" w:cs="宋体"/>
          <w:color w:val="auto"/>
          <w:sz w:val="24"/>
          <w:szCs w:val="24"/>
          <w:lang w:val="en-US" w:eastAsia="zh-CN"/>
        </w:rPr>
        <w:t>要求</w:t>
      </w:r>
      <w:r>
        <w:rPr>
          <w:rFonts w:hint="eastAsia" w:ascii="宋体" w:hAnsi="宋体" w:eastAsia="宋体" w:cs="宋体"/>
          <w:color w:val="auto"/>
          <w:sz w:val="24"/>
          <w:szCs w:val="24"/>
        </w:rPr>
        <w:t>承包人提供与预付款等额的预付款保函。</w:t>
      </w:r>
    </w:p>
    <w:p w14:paraId="7654FC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en-US"/>
        </w:rPr>
        <w:t>3.2.3承包人应在签订合同后，在提供符合要求的预付款保函或预付款保险及在具备施工条件的前提下，向发包人提交预付款支付申请。凡未签订合同或不具备施工条件的工程，发包人不得预付工程款。</w:t>
      </w:r>
    </w:p>
    <w:p w14:paraId="66007C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3.2.4预付款应从每支付期应支付给承包人的工程进度款中扣回，</w:t>
      </w:r>
      <w:r>
        <w:rPr>
          <w:rFonts w:hint="eastAsia" w:ascii="宋体" w:hAnsi="宋体" w:eastAsia="宋体" w:cs="宋体"/>
          <w:color w:val="auto"/>
          <w:sz w:val="24"/>
          <w:szCs w:val="24"/>
          <w:lang w:val="en-US" w:eastAsia="zh-CN"/>
        </w:rPr>
        <w:t>每次扣回实际支付预付款比例的50%，</w:t>
      </w:r>
      <w:r>
        <w:rPr>
          <w:rFonts w:hint="eastAsia" w:ascii="宋体" w:hAnsi="宋体" w:eastAsia="宋体" w:cs="宋体"/>
          <w:color w:val="auto"/>
          <w:sz w:val="24"/>
          <w:szCs w:val="24"/>
        </w:rPr>
        <w:t>直到扣回的金额达到合同约定的预付款金额为止。</w:t>
      </w:r>
    </w:p>
    <w:p w14:paraId="169DB8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3.3施工过程中按月申报工程进度款：承包人每月按工程实际完成工程量（含变更及增加工程）申报，承包人必须将已完成工程量和工程付款申请书</w:t>
      </w:r>
      <w:r>
        <w:rPr>
          <w:rFonts w:hint="eastAsia" w:ascii="宋体" w:hAnsi="宋体" w:eastAsia="宋体" w:cs="宋体"/>
          <w:color w:val="auto"/>
          <w:sz w:val="24"/>
          <w:szCs w:val="24"/>
          <w:lang w:val="en-US" w:eastAsia="zh-CN"/>
        </w:rPr>
        <w:t>等相关资料，</w:t>
      </w:r>
      <w:r>
        <w:rPr>
          <w:rFonts w:hint="eastAsia" w:ascii="宋体" w:hAnsi="宋体" w:eastAsia="宋体" w:cs="宋体"/>
          <w:color w:val="auto"/>
          <w:sz w:val="24"/>
          <w:szCs w:val="24"/>
        </w:rPr>
        <w:t>于当月26日前报监理单位核</w:t>
      </w:r>
      <w:bookmarkStart w:id="231" w:name="_Hlt127094354"/>
      <w:bookmarkEnd w:id="231"/>
      <w:r>
        <w:rPr>
          <w:rFonts w:hint="eastAsia" w:ascii="宋体" w:hAnsi="宋体" w:eastAsia="宋体" w:cs="宋体"/>
          <w:color w:val="auto"/>
          <w:sz w:val="24"/>
          <w:szCs w:val="24"/>
        </w:rPr>
        <w:t>实。经监理单位审核、发包人审定后的工程进度款（指已经按照合同约定，扣除该支付期内因承包人违约而应扣除的管理费），申报后按</w:t>
      </w:r>
      <w:r>
        <w:rPr>
          <w:rFonts w:hint="eastAsia" w:ascii="宋体" w:hAnsi="宋体" w:eastAsia="宋体" w:cs="宋体"/>
          <w:color w:val="auto"/>
          <w:sz w:val="24"/>
          <w:szCs w:val="24"/>
          <w:lang w:eastAsia="zh-CN"/>
        </w:rPr>
        <w:t>资金</w:t>
      </w:r>
      <w:r>
        <w:rPr>
          <w:rFonts w:hint="eastAsia" w:ascii="宋体" w:hAnsi="宋体" w:eastAsia="宋体" w:cs="宋体"/>
          <w:color w:val="auto"/>
          <w:sz w:val="24"/>
          <w:szCs w:val="24"/>
        </w:rPr>
        <w:t>拨付到位实际情况进行支付。</w:t>
      </w:r>
    </w:p>
    <w:p w14:paraId="1047EE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3.4每月的工程进度款按工程实际完成工程量的</w:t>
      </w:r>
      <w:r>
        <w:rPr>
          <w:rFonts w:hint="eastAsia" w:ascii="宋体" w:hAnsi="宋体" w:eastAsia="宋体" w:cs="宋体"/>
          <w:color w:val="auto"/>
          <w:sz w:val="24"/>
          <w:szCs w:val="24"/>
          <w:lang w:val="en-US" w:eastAsia="zh-CN"/>
        </w:rPr>
        <w:t>80</w:t>
      </w:r>
      <w:r>
        <w:rPr>
          <w:rFonts w:hint="eastAsia" w:ascii="宋体" w:hAnsi="宋体" w:eastAsia="宋体" w:cs="宋体"/>
          <w:color w:val="auto"/>
          <w:sz w:val="24"/>
          <w:szCs w:val="24"/>
        </w:rPr>
        <w:t>%申请支付（其中70%支付</w:t>
      </w:r>
      <w:r>
        <w:rPr>
          <w:rFonts w:hint="eastAsia" w:ascii="宋体" w:hAnsi="宋体" w:eastAsia="宋体" w:cs="宋体"/>
          <w:color w:val="auto"/>
          <w:sz w:val="24"/>
          <w:szCs w:val="24"/>
          <w:lang w:val="en-US" w:eastAsia="zh-CN"/>
        </w:rPr>
        <w:t>给工程账户</w:t>
      </w:r>
      <w:r>
        <w:rPr>
          <w:rFonts w:hint="eastAsia" w:ascii="宋体" w:hAnsi="宋体" w:eastAsia="宋体" w:cs="宋体"/>
          <w:color w:val="auto"/>
          <w:sz w:val="24"/>
          <w:szCs w:val="24"/>
        </w:rPr>
        <w:t>，30%支付</w:t>
      </w:r>
      <w:r>
        <w:rPr>
          <w:rFonts w:hint="eastAsia" w:ascii="宋体" w:hAnsi="宋体" w:eastAsia="宋体" w:cs="宋体"/>
          <w:color w:val="auto"/>
          <w:sz w:val="24"/>
          <w:szCs w:val="24"/>
          <w:lang w:val="en-US" w:eastAsia="zh-CN"/>
        </w:rPr>
        <w:t>给</w:t>
      </w:r>
      <w:r>
        <w:rPr>
          <w:rFonts w:hint="eastAsia" w:ascii="宋体" w:hAnsi="宋体" w:eastAsia="宋体" w:cs="宋体"/>
          <w:color w:val="auto"/>
          <w:sz w:val="24"/>
          <w:szCs w:val="24"/>
        </w:rPr>
        <w:t>工人工资</w:t>
      </w:r>
      <w:r>
        <w:rPr>
          <w:rFonts w:hint="eastAsia" w:ascii="宋体" w:hAnsi="宋体" w:eastAsia="宋体" w:cs="宋体"/>
          <w:color w:val="auto"/>
          <w:sz w:val="24"/>
          <w:szCs w:val="24"/>
          <w:lang w:eastAsia="zh-CN"/>
        </w:rPr>
        <w:t>专用账户</w:t>
      </w:r>
      <w:r>
        <w:rPr>
          <w:rFonts w:hint="eastAsia" w:ascii="宋体" w:hAnsi="宋体" w:eastAsia="宋体" w:cs="宋体"/>
          <w:color w:val="auto"/>
          <w:sz w:val="24"/>
          <w:szCs w:val="24"/>
        </w:rPr>
        <w:t>），工程进度款中的作业工人工资款项由发包人单独足额拨付到承包人的工资专户。</w:t>
      </w:r>
    </w:p>
    <w:p w14:paraId="1C94EC4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措施项目费中的“</w:t>
      </w:r>
      <w:r>
        <w:rPr>
          <w:rFonts w:hint="eastAsia" w:ascii="宋体" w:hAnsi="宋体" w:eastAsia="宋体" w:cs="宋体"/>
          <w:color w:val="auto"/>
          <w:sz w:val="24"/>
          <w:szCs w:val="24"/>
          <w:lang w:val="en-US" w:eastAsia="zh-CN"/>
        </w:rPr>
        <w:t>安全生产措施费</w:t>
      </w:r>
      <w:r>
        <w:rPr>
          <w:rFonts w:hint="eastAsia" w:ascii="宋体" w:hAnsi="宋体" w:eastAsia="宋体" w:cs="宋体"/>
          <w:color w:val="auto"/>
          <w:sz w:val="24"/>
          <w:szCs w:val="24"/>
        </w:rPr>
        <w:t>”拨付按照《广东省建设工程计价依据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2024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》执行，按照项目所在地的建设行政主管部门有关规定支付。发生一般事故及以上等级重大安全事故的，发包人可扣除承包人金额相当于所有“安全生产措施费”的工程管理费。</w:t>
      </w:r>
    </w:p>
    <w:p w14:paraId="3B2941D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变更工程造价必须经监理单位核实，并经发包人核定后方可支付。</w:t>
      </w:r>
    </w:p>
    <w:p w14:paraId="0A611E1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结算审核完成后，于次月支付至</w:t>
      </w:r>
      <w:r>
        <w:rPr>
          <w:rFonts w:hint="eastAsia" w:ascii="宋体" w:hAnsi="宋体" w:eastAsia="宋体" w:cs="宋体"/>
          <w:color w:val="auto"/>
          <w:sz w:val="24"/>
          <w:szCs w:val="24"/>
          <w:lang w:val="en-US" w:eastAsia="zh-CN"/>
        </w:rPr>
        <w:t>审核</w:t>
      </w:r>
      <w:r>
        <w:rPr>
          <w:rFonts w:hint="eastAsia" w:ascii="宋体" w:hAnsi="宋体" w:eastAsia="宋体" w:cs="宋体"/>
          <w:color w:val="auto"/>
          <w:sz w:val="24"/>
          <w:szCs w:val="24"/>
        </w:rPr>
        <w:t>价格的97%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以</w:t>
      </w:r>
      <w:r>
        <w:rPr>
          <w:rFonts w:hint="eastAsia" w:ascii="宋体" w:hAnsi="宋体" w:eastAsia="宋体" w:cs="宋体"/>
          <w:color w:val="auto"/>
          <w:sz w:val="24"/>
          <w:szCs w:val="24"/>
          <w:lang w:val="en-US"/>
        </w:rPr>
        <w:t>财政</w:t>
      </w:r>
      <w:r>
        <w:rPr>
          <w:rFonts w:hint="eastAsia" w:ascii="宋体" w:hAnsi="宋体" w:eastAsia="宋体" w:cs="宋体"/>
          <w:color w:val="auto"/>
          <w:sz w:val="24"/>
          <w:szCs w:val="24"/>
          <w:lang w:val="en-US" w:eastAsia="zh-CN"/>
        </w:rPr>
        <w:t>部门</w:t>
      </w:r>
      <w:r>
        <w:rPr>
          <w:rFonts w:hint="eastAsia" w:ascii="宋体" w:hAnsi="宋体" w:eastAsia="宋体" w:cs="宋体"/>
          <w:color w:val="auto"/>
          <w:sz w:val="24"/>
          <w:szCs w:val="24"/>
          <w:lang w:val="en-US"/>
        </w:rPr>
        <w:t>审定后的价格为准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，剩余3%转为质量保证金；承包人提交了等额质量保证担保或质量保证保险的，于次月一次性结清合同价格。</w:t>
      </w:r>
    </w:p>
    <w:p w14:paraId="254F7B5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本招标项目缺陷责任期为</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年（自通过竣工验收之日起计）。缺陷责任期到期后，承包人向发包人申请退还质量保证。发包人收到退还申请后，于14天内会同承包人进行核实。经双方核实且均无异议后，发包人在核实之日起14天内将应返保证金（或银行保函）退还承包人。</w:t>
      </w:r>
    </w:p>
    <w:p w14:paraId="17799A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发包人每次支付工程款前，承包人均应提供有效的增值税</w:t>
      </w:r>
      <w:r>
        <w:rPr>
          <w:rFonts w:hint="eastAsia" w:ascii="宋体" w:hAnsi="宋体" w:eastAsia="宋体" w:cs="宋体"/>
          <w:color w:val="auto"/>
          <w:sz w:val="24"/>
          <w:szCs w:val="24"/>
          <w:lang w:val="en-US" w:eastAsia="zh-CN"/>
        </w:rPr>
        <w:t>专用</w:t>
      </w:r>
      <w:r>
        <w:rPr>
          <w:rFonts w:hint="eastAsia" w:ascii="宋体" w:hAnsi="宋体" w:eastAsia="宋体" w:cs="宋体"/>
          <w:color w:val="auto"/>
          <w:sz w:val="24"/>
          <w:szCs w:val="24"/>
        </w:rPr>
        <w:t>发票。如果承包人无法提供符合要求的发票，由此造成的相应损失由承包人承担。</w:t>
      </w:r>
    </w:p>
    <w:p w14:paraId="535581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3.10暂列金额支付方式：承包人需根据相关管理办法进行办理相关程序后，与次月的工程进度款一并报送；若承包人原因未按上述办法在规定时间内完善工程变更签证相关程序的，次月工程进度款暂停拨付。在暂列金额的范围内，最终经发包人确认后支付至该部分实际完成工程量的50%，其余部分待最终结算完成审核后支付至97%，剩余3%为工程质量保修金。在承包人提供了等额的质量保证金保函后，支付至审核价的100%。</w:t>
      </w:r>
    </w:p>
    <w:p w14:paraId="35B117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3.11材料暂估价、专业工程暂估价支付方式：材料暂估价、专业工程暂估价与每个月的工程进度款一并报送，但需要列明详细项目内容，该部分材料暂估价、专业工程暂估价按该部分实际完成工程量的50%支付，剩余部分待最终结算完成后支付至97%，剩余3%为工程质量保修金。</w:t>
      </w:r>
    </w:p>
    <w:p w14:paraId="3A84A8DC">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eastAsia="zh-CN"/>
        </w:rPr>
      </w:pPr>
      <w:bookmarkStart w:id="232" w:name="_Toc18854"/>
      <w:r>
        <w:rPr>
          <w:rFonts w:hint="eastAsia" w:ascii="宋体" w:hAnsi="宋体" w:eastAsia="宋体" w:cs="宋体"/>
          <w:color w:val="auto"/>
          <w:kern w:val="2"/>
          <w:sz w:val="28"/>
          <w:szCs w:val="24"/>
          <w:lang w:eastAsia="zh-CN"/>
        </w:rPr>
        <w:t>4．专用合同条款</w:t>
      </w:r>
      <w:bookmarkEnd w:id="229"/>
      <w:bookmarkEnd w:id="232"/>
      <w:bookmarkStart w:id="233" w:name="_Toc8254"/>
      <w:bookmarkStart w:id="234" w:name="_Toc16839"/>
    </w:p>
    <w:p w14:paraId="4A50794F">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eastAsia="zh-CN"/>
        </w:rPr>
      </w:pPr>
      <w:r>
        <w:rPr>
          <w:rFonts w:hint="eastAsia" w:ascii="宋体" w:hAnsi="宋体" w:eastAsia="宋体" w:cs="宋体"/>
          <w:b/>
          <w:bCs w:val="0"/>
          <w:snapToGrid w:val="0"/>
          <w:color w:val="auto"/>
          <w:kern w:val="0"/>
          <w:highlight w:val="none"/>
          <w:lang w:eastAsia="zh-CN"/>
        </w:rPr>
        <w:t>4.1</w:t>
      </w:r>
      <w:r>
        <w:rPr>
          <w:rFonts w:hint="eastAsia" w:ascii="宋体" w:hAnsi="宋体" w:eastAsia="宋体" w:cs="宋体"/>
          <w:b/>
          <w:bCs w:val="0"/>
          <w:snapToGrid w:val="0"/>
          <w:color w:val="auto"/>
          <w:kern w:val="0"/>
          <w:highlight w:val="none"/>
          <w:lang w:val="en-US" w:eastAsia="zh-CN"/>
        </w:rPr>
        <w:t xml:space="preserve"> </w:t>
      </w:r>
      <w:r>
        <w:rPr>
          <w:rFonts w:hint="eastAsia" w:ascii="宋体" w:hAnsi="宋体" w:eastAsia="宋体" w:cs="宋体"/>
          <w:b/>
          <w:bCs w:val="0"/>
          <w:snapToGrid w:val="0"/>
          <w:color w:val="auto"/>
          <w:kern w:val="0"/>
          <w:highlight w:val="none"/>
          <w:lang w:eastAsia="zh-CN"/>
        </w:rPr>
        <w:t>专业工程分包</w:t>
      </w:r>
    </w:p>
    <w:p w14:paraId="0B0B42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eastAsia="zh-CN"/>
        </w:rPr>
      </w:pPr>
      <w:r>
        <w:rPr>
          <w:rFonts w:hint="eastAsia" w:ascii="宋体" w:hAnsi="宋体" w:eastAsia="宋体" w:cs="宋体"/>
          <w:b w:val="0"/>
          <w:bCs/>
          <w:snapToGrid w:val="0"/>
          <w:color w:val="auto"/>
          <w:kern w:val="0"/>
          <w:highlight w:val="none"/>
          <w:lang w:eastAsia="zh-CN"/>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69DAE32">
      <w:pPr>
        <w:keepNext w:val="0"/>
        <w:keepLines w:val="0"/>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4.2 工程移交延误违约</w:t>
      </w:r>
    </w:p>
    <w:p w14:paraId="0AAC339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4.2.1因承包人原因，工程没有按期竣工时（除自然灾害、流行疾病、业主方通知停工造成的工期顺延外），承包人须在逾期第一天起每天按合同价的</w:t>
      </w:r>
      <w:r>
        <w:rPr>
          <w:rFonts w:hint="eastAsia" w:ascii="宋体" w:hAnsi="宋体" w:eastAsia="宋体" w:cs="宋体"/>
          <w:b w:val="0"/>
          <w:bCs/>
          <w:snapToGrid w:val="0"/>
          <w:color w:val="auto"/>
          <w:kern w:val="0"/>
          <w:highlight w:val="none"/>
          <w:u w:val="single"/>
          <w:lang w:val="en-US" w:eastAsia="zh-CN"/>
        </w:rPr>
        <w:t>3‰</w:t>
      </w:r>
      <w:r>
        <w:rPr>
          <w:rFonts w:hint="eastAsia" w:ascii="宋体" w:hAnsi="宋体" w:eastAsia="宋体" w:cs="宋体"/>
          <w:b w:val="0"/>
          <w:bCs/>
          <w:snapToGrid w:val="0"/>
          <w:color w:val="auto"/>
          <w:kern w:val="0"/>
          <w:highlight w:val="none"/>
          <w:lang w:val="en-US" w:eastAsia="zh-CN"/>
        </w:rPr>
        <w:t>向发包人返纳逾期竣工违约金。逾期竣工违约金的最高限额为合同总价的5%。（开工时间具体以监理发出开工通知为准）</w:t>
      </w:r>
    </w:p>
    <w:p w14:paraId="78E769B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4.2.2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人民币10000元支付违约金给发包人，在结算中一并扣除。</w:t>
      </w:r>
    </w:p>
    <w:p w14:paraId="55CE940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4.2.3</w:t>
      </w:r>
      <w:r>
        <w:rPr>
          <w:rFonts w:hint="eastAsia" w:ascii="宋体" w:hAnsi="宋体" w:eastAsia="宋体" w:cs="宋体"/>
          <w:b w:val="0"/>
          <w:bCs w:val="0"/>
          <w:color w:val="auto"/>
          <w:highlight w:val="none"/>
        </w:rPr>
        <w:t>投标报价应充分考虑在施工中由于发包人造成停工或工期延误等因素所产生的相关费用，发包人不予另计费；停工发生后，若可复工时，承包人应在收到发包人或监理单位发出的复工通知书后3日内复工，否则，逾期第壹天起每天按合同价款的</w:t>
      </w:r>
      <w:r>
        <w:rPr>
          <w:rFonts w:hint="eastAsia" w:ascii="宋体" w:hAnsi="宋体" w:eastAsia="宋体" w:cs="宋体"/>
          <w:b w:val="0"/>
          <w:bCs w:val="0"/>
          <w:color w:val="auto"/>
          <w:highlight w:val="none"/>
          <w:lang w:val="en-US" w:eastAsia="zh-CN"/>
        </w:rPr>
        <w:t>3</w:t>
      </w:r>
      <w:r>
        <w:rPr>
          <w:rFonts w:hint="eastAsia" w:ascii="宋体" w:hAnsi="宋体" w:eastAsia="宋体" w:cs="宋体"/>
          <w:b w:val="0"/>
          <w:bCs w:val="0"/>
          <w:color w:val="auto"/>
          <w:highlight w:val="none"/>
        </w:rPr>
        <w:t>‰作误工违约处理。自该项目开工后，中标单位因自身原因导致停工（具体停工日期由发包人现场管理人员确定）累计超过3天，每月的工程进度款调整为按工程实际完成工程量的70%支付，剩余工程款结算审核定案后支付到97%</w:t>
      </w:r>
      <w:r>
        <w:rPr>
          <w:rFonts w:hint="eastAsia" w:ascii="宋体" w:hAnsi="宋体" w:eastAsia="宋体" w:cs="宋体"/>
          <w:b w:val="0"/>
          <w:bCs w:val="0"/>
          <w:color w:val="auto"/>
          <w:highlight w:val="none"/>
          <w:lang w:eastAsia="zh-CN"/>
        </w:rPr>
        <w:t>。</w:t>
      </w:r>
    </w:p>
    <w:p w14:paraId="530A72D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4.2.4承包人在进场后7天内提交施工进度计划，并注明主要施工节点时间，送监理单位及发包人审核后，作为工期考核的阶段性指标，若因承包人原因无法按进度节点完成的，逾期第</w:t>
      </w:r>
      <w:r>
        <w:rPr>
          <w:rFonts w:hint="eastAsia" w:ascii="宋体" w:hAnsi="宋体" w:eastAsia="宋体" w:cs="宋体"/>
          <w:b w:val="0"/>
          <w:bCs w:val="0"/>
          <w:color w:val="auto"/>
          <w:highlight w:val="none"/>
        </w:rPr>
        <w:t>壹</w:t>
      </w:r>
      <w:r>
        <w:rPr>
          <w:rFonts w:hint="eastAsia" w:ascii="宋体" w:hAnsi="宋体" w:eastAsia="宋体" w:cs="宋体"/>
          <w:b w:val="0"/>
          <w:bCs/>
          <w:snapToGrid w:val="0"/>
          <w:color w:val="auto"/>
          <w:kern w:val="0"/>
          <w:highlight w:val="none"/>
          <w:lang w:val="en-US" w:eastAsia="zh-CN"/>
        </w:rPr>
        <w:t>天起每天按</w:t>
      </w:r>
      <w:r>
        <w:rPr>
          <w:rFonts w:hint="eastAsia" w:ascii="宋体" w:hAnsi="宋体" w:eastAsia="宋体" w:cs="宋体"/>
          <w:b w:val="0"/>
          <w:bCs/>
          <w:snapToGrid w:val="0"/>
          <w:color w:val="auto"/>
          <w:kern w:val="0"/>
          <w:highlight w:val="none"/>
          <w:u w:val="single"/>
          <w:lang w:val="en-US" w:eastAsia="zh-CN"/>
        </w:rPr>
        <w:t>2万元</w:t>
      </w:r>
      <w:r>
        <w:rPr>
          <w:rFonts w:hint="eastAsia" w:ascii="宋体" w:hAnsi="宋体" w:eastAsia="宋体" w:cs="宋体"/>
          <w:b w:val="0"/>
          <w:bCs/>
          <w:snapToGrid w:val="0"/>
          <w:color w:val="auto"/>
          <w:kern w:val="0"/>
          <w:highlight w:val="none"/>
          <w:lang w:val="en-US" w:eastAsia="zh-CN"/>
        </w:rPr>
        <w:t>向发包人返纳逾期违约金。</w:t>
      </w:r>
    </w:p>
    <w:p w14:paraId="447DDD64">
      <w:pPr>
        <w:keepNext w:val="0"/>
        <w:keepLines w:val="0"/>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4.3 质量违约</w:t>
      </w:r>
    </w:p>
    <w:p w14:paraId="6265DBB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w:t>
      </w:r>
      <w:r>
        <w:rPr>
          <w:rFonts w:hint="eastAsia" w:ascii="宋体" w:hAnsi="宋体" w:eastAsia="宋体" w:cs="宋体"/>
          <w:b w:val="0"/>
          <w:bCs w:val="0"/>
          <w:snapToGrid w:val="0"/>
          <w:color w:val="auto"/>
          <w:kern w:val="0"/>
          <w:highlight w:val="none"/>
          <w:lang w:val="en-US" w:eastAsia="zh-CN"/>
        </w:rPr>
        <w:t>3</w:t>
      </w:r>
      <w:r>
        <w:rPr>
          <w:rFonts w:hint="eastAsia" w:ascii="宋体" w:hAnsi="宋体" w:eastAsia="宋体" w:cs="宋体"/>
          <w:b w:val="0"/>
          <w:bCs/>
          <w:snapToGrid w:val="0"/>
          <w:color w:val="auto"/>
          <w:kern w:val="0"/>
          <w:highlight w:val="none"/>
          <w:lang w:val="en-US" w:eastAsia="zh-CN"/>
        </w:rPr>
        <w:t>.1材料违约处理：若发现材料不符合国家标准或发包人在技术规范中规定的标准，视为承包人违约，按现行《建设工程质量管理条例》处理。</w:t>
      </w:r>
    </w:p>
    <w:p w14:paraId="7BBA5E1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w:t>
      </w:r>
      <w:r>
        <w:rPr>
          <w:rFonts w:hint="eastAsia" w:ascii="宋体" w:hAnsi="宋体" w:eastAsia="宋体" w:cs="宋体"/>
          <w:b w:val="0"/>
          <w:bCs w:val="0"/>
          <w:snapToGrid w:val="0"/>
          <w:color w:val="auto"/>
          <w:kern w:val="0"/>
          <w:highlight w:val="none"/>
          <w:lang w:val="en-US" w:eastAsia="zh-CN"/>
        </w:rPr>
        <w:t>3</w:t>
      </w:r>
      <w:r>
        <w:rPr>
          <w:rFonts w:hint="eastAsia" w:ascii="宋体" w:hAnsi="宋体" w:eastAsia="宋体" w:cs="宋体"/>
          <w:b w:val="0"/>
          <w:bCs/>
          <w:snapToGrid w:val="0"/>
          <w:color w:val="auto"/>
          <w:kern w:val="0"/>
          <w:highlight w:val="none"/>
          <w:lang w:val="en-US" w:eastAsia="zh-CN"/>
        </w:rPr>
        <w:t>.2工程质量违约</w:t>
      </w:r>
    </w:p>
    <w:p w14:paraId="799C48C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w:t>
      </w:r>
      <w:r>
        <w:rPr>
          <w:rFonts w:hint="eastAsia" w:ascii="宋体" w:hAnsi="宋体" w:eastAsia="宋体" w:cs="宋体"/>
          <w:b w:val="0"/>
          <w:bCs w:val="0"/>
          <w:snapToGrid w:val="0"/>
          <w:color w:val="auto"/>
          <w:kern w:val="0"/>
          <w:highlight w:val="none"/>
          <w:lang w:val="en-US" w:eastAsia="zh-CN"/>
        </w:rPr>
        <w:t>3</w:t>
      </w:r>
      <w:r>
        <w:rPr>
          <w:rFonts w:hint="eastAsia" w:ascii="宋体" w:hAnsi="宋体" w:eastAsia="宋体" w:cs="宋体"/>
          <w:b w:val="0"/>
          <w:bCs/>
          <w:snapToGrid w:val="0"/>
          <w:color w:val="auto"/>
          <w:kern w:val="0"/>
          <w:highlight w:val="none"/>
          <w:lang w:val="en-US" w:eastAsia="zh-CN"/>
        </w:rPr>
        <w:t>.2.1在施工过程中经监理单位日常巡查或抽检发现未达到合格标准，责令承包人进行整改，如未按规定时间进行整改或整改不到位的，每次按10000元缴纳违约金给发包人，在进度款或结算款中一并扣除。</w:t>
      </w:r>
    </w:p>
    <w:p w14:paraId="77A4CE7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w:t>
      </w:r>
      <w:r>
        <w:rPr>
          <w:rFonts w:hint="eastAsia" w:ascii="宋体" w:hAnsi="宋体" w:eastAsia="宋体" w:cs="宋体"/>
          <w:b w:val="0"/>
          <w:bCs w:val="0"/>
          <w:snapToGrid w:val="0"/>
          <w:color w:val="auto"/>
          <w:kern w:val="0"/>
          <w:highlight w:val="none"/>
          <w:lang w:val="en-US" w:eastAsia="zh-CN"/>
        </w:rPr>
        <w:t>3</w:t>
      </w:r>
      <w:r>
        <w:rPr>
          <w:rFonts w:hint="eastAsia" w:ascii="宋体" w:hAnsi="宋体" w:eastAsia="宋体" w:cs="宋体"/>
          <w:b w:val="0"/>
          <w:bCs/>
          <w:snapToGrid w:val="0"/>
          <w:color w:val="auto"/>
          <w:kern w:val="0"/>
          <w:highlight w:val="none"/>
          <w:lang w:val="en-US" w:eastAsia="zh-CN"/>
        </w:rPr>
        <w:t>.2.2如工程在竣工验收时未达到合格标准，则按合同价款的5%向发包人缴纳质量违约金。</w:t>
      </w:r>
    </w:p>
    <w:p w14:paraId="761527D3">
      <w:pPr>
        <w:keepNext w:val="0"/>
        <w:keepLines w:val="0"/>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4.4重大责任事故违约</w:t>
      </w:r>
    </w:p>
    <w:p w14:paraId="75B1CDA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4.4.1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同时，每出现一次重大责任事故， 承包人应同时缴纳惩罚性违约金10万元。</w:t>
      </w:r>
    </w:p>
    <w:p w14:paraId="1EDA7509">
      <w:pPr>
        <w:keepNext w:val="0"/>
        <w:keepLines w:val="0"/>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4.5用工违约</w:t>
      </w:r>
    </w:p>
    <w:p w14:paraId="036BC71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4.5.1在合同履行期间，如经查实承包人拖欠或克扣农民工或劳务工工资，导致劳资纠纷或发生危及公共安全或正常社会秩序的事件的，按承包人违约处理，承包人应按拖欠或克扣农民工或劳务工工资总金额3倍的标准向发包人缴纳惩罚性违约金。</w:t>
      </w:r>
    </w:p>
    <w:p w14:paraId="2FFCDCCF">
      <w:pPr>
        <w:keepNext w:val="0"/>
        <w:keepLines w:val="0"/>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4.6 安全文明施工违约</w:t>
      </w:r>
    </w:p>
    <w:p w14:paraId="1F8F8DC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4.6.1如承包人违反国家、广东省、发包人及合同关于安全文明施工的规定，但尚未造成安全责任事故，承包人应及时改正行为并赔偿相关方的损失，如未及时整改，针对每一违约行为每持续一天应缴纳违约金4000元。</w:t>
      </w:r>
    </w:p>
    <w:p w14:paraId="0417CAB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4.6.2承包人现场施工人员存在野蛮施工行为，经现场发包人（含监理单位）管理人员确认后，首次发现责令承包人进行整改，如未按规定时间进行整改或整改不到位的，承包人须按1万元/次缴纳违约金；如因野蛮施工行为，引起投诉或网络问政的，承包人须按1万元/次缴纳违约金；并承担因野蛮施工行为所造成的全部责任。</w:t>
      </w:r>
    </w:p>
    <w:p w14:paraId="5EF1DF4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4.6.3承包人必须接受发包人及监理单位组织的安全、文明施工的检查，检查中的不合格项目、安全隐患必须在规定的时间内整改完成，否则每拖延一天处以1万元人民币违约金，直至整改合格。</w:t>
      </w:r>
    </w:p>
    <w:p w14:paraId="44FF787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4.6.4承包人在施工现场发生工伤或其他责任事故的，承包人按下列标准缴纳违约金：</w:t>
      </w:r>
    </w:p>
    <w:p w14:paraId="6B5256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①一次事故或全年累计死亡3人及以上：安全第一责任人在韶关市地区建设范围内公开检查；项目部必须撤换项目经理、主管安全副经理和安全主管，一次或全年累计缴纳违约金10万元至12万元；</w:t>
      </w:r>
    </w:p>
    <w:p w14:paraId="48DF11A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②一次事故或全年累计死亡2人：安全第一责任人在韶关市地区建设范围内公开检查；承包人必须撤换项目主管安全副经理或安全主管；一次或全年累计缴纳违约金7万元至10万元人民币；</w:t>
      </w:r>
    </w:p>
    <w:p w14:paraId="68F6D9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③全年死亡1人：安全第一责任人在韶关市地区建设范围内公开检查，并报其上级单位；建议承包人撤换项目安全主管；缴纳违约金5万元至7万元人民币。</w:t>
      </w:r>
    </w:p>
    <w:p w14:paraId="1ED5113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④重伤事故、造成10人及以上集体中毒住院、经济损失重大的火灾、设备及交通事故，缴纳违约金3万元人民币。</w:t>
      </w:r>
    </w:p>
    <w:p w14:paraId="633FC57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⑤因施工造成的道路交通中断、通讯中断、管线漏水漏气等全部责任事故，由承包人承担责任，并缴纳违约金2万元人民币。</w:t>
      </w:r>
    </w:p>
    <w:p w14:paraId="11FE0F0C">
      <w:pPr>
        <w:keepNext w:val="0"/>
        <w:keepLines w:val="0"/>
        <w:pageBreakBefore w:val="0"/>
        <w:widowControl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4.7 其他违约</w:t>
      </w:r>
    </w:p>
    <w:p w14:paraId="7620B78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考勤指模打卡每月累计不到位次数超过10天，按1万元/人/天缴纳违约金给发包人。</w:t>
      </w:r>
    </w:p>
    <w:p w14:paraId="4ED0E36B">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4.7.2 中标人施工资料必须与形象进度同步，如招标人在日常检查中发现不同步的现象的，视为违约并扣除违约金5000元/次。</w:t>
      </w:r>
    </w:p>
    <w:p w14:paraId="791E1FD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4.7.3发包人要求承包人替换项目部中不称职人员，而承包人不予替换，视为承包人违约，承包人须按承包人项目部主要管理人员（主要指项目经理、项目技术负责人和专职安全生产管理人员）10万元/人次缴纳违约金给发包人。</w:t>
      </w:r>
    </w:p>
    <w:p w14:paraId="4D593CD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4.7.4发包人根据项目实施进度情况要求承包人增派项目管理人员，而承包人不予增派的，视为承包人违约，承包人须按5万元/人次缴纳违约金给发包人。</w:t>
      </w:r>
    </w:p>
    <w:p w14:paraId="5CFD53C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4.7.5发包人对上述约定中的规定并不免除承包人接受国家、地方政府相关部门依法对承包人的处罚。</w:t>
      </w:r>
    </w:p>
    <w:p w14:paraId="1D54FF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4.7.6承包人没有正当合理的理由中途退场，可扣除承包人已递交的所有履约风险保证金。</w:t>
      </w:r>
    </w:p>
    <w:p w14:paraId="167C833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4.7.7有下列情况之一的，承包人在一年内不得参与发包人的任何工程任务，并勒令从现施工的工地退场，同时缴纳10万元违约金：</w:t>
      </w:r>
    </w:p>
    <w:p w14:paraId="3EC4D9C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A.路面沉降、开裂超过规范要求并造成不良社会影响的；</w:t>
      </w:r>
    </w:p>
    <w:p w14:paraId="784876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B.发生重大责任安全事故的；</w:t>
      </w:r>
    </w:p>
    <w:p w14:paraId="0267B4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C.不能在合同规定的期限内竣工的；</w:t>
      </w:r>
    </w:p>
    <w:p w14:paraId="5638EBD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D.承包人所承担的施工任务在施工期间，由于工程质量或工程进度原因，监理单位发出10个以上（含10个）停工令的；</w:t>
      </w:r>
    </w:p>
    <w:p w14:paraId="61DC7C8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E.质量监督部门在抽检时发出5个以上（含5个）由于工程质量原因通报的；</w:t>
      </w:r>
    </w:p>
    <w:p w14:paraId="46272F6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F.业主组织的质量大检查发现由于工程质量原因而通报两次以上（含两次）的；</w:t>
      </w:r>
    </w:p>
    <w:p w14:paraId="79CB4F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4.7.8承包人必须严格塔吊、起重机等机械设备及货梯、提升机等机电设备的安装、拆卸和使用运行管理。必须落实持证上岗、专人操作、专人检查，严格落实每天操作前和操作后的检查，检查发现未落实相关措施和规定的，承包人须按人民币5000元/次缴纳违约金给发包人。</w:t>
      </w:r>
    </w:p>
    <w:p w14:paraId="4DEFE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4.7.9承包人必须加强施工组织管理。严格落实高支模、深基坑防护措施，做到严密组织、严格检查，严防重大风险。检查发现未落实相关措施和规定的，承包人须按人民币5000元/处缴纳违约金给发包人。</w:t>
      </w:r>
    </w:p>
    <w:p w14:paraId="26D2207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4.7.10承包人应加强生活用电管理，检查发现私拉乱接电线的，责令承包人进行整改，如未按规定时间进行整改或整改不到位的，承包人须按人民币2000元/次缴纳违约金给发包人。</w:t>
      </w:r>
    </w:p>
    <w:p w14:paraId="38A2794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4.7.11承包人应加强建设范围内因雨季造成临时积水部位的管理，防止发生淹亡、溺亡事故，若因措施不严造成的后果全部由承包人承担。</w:t>
      </w:r>
    </w:p>
    <w:p w14:paraId="5114520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4.7.12承包人不落实人车分流措施，责令承包人进行整改，如未按规定时间进行整改或整改不到位的，承包人须按人民币30万元缴纳违约金给发包人。</w:t>
      </w:r>
    </w:p>
    <w:p w14:paraId="734DF38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4.7.13承包人应严格工地管理。不戴安全帽或穿拖鞋上岗的，首次发现责令承包人进行整改，如未按规定时间进行整改或整改不到位的，承包人须按人民币1000元/人/次缴纳违约金给发包人；应系安全带作业而没有系安全带的、饮酒或醉酒进行现场作业的，承包人须按人民币10000元/人/次缴纳违约金给发包人。</w:t>
      </w:r>
    </w:p>
    <w:p w14:paraId="24511D1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4.7.14承包人必须加强现场临边维护，检查发现临边维护不到位的，首次发现责令承包人进行整改，如未按规定时间进行整改或整改不到位的，承包人须按人民币2000元/处缴纳违约金给发包人。</w:t>
      </w:r>
    </w:p>
    <w:p w14:paraId="5037E84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4.7.15承包人不落实农民工工资专户及实名用工的，承包人须按人民币2000元/人/次缴纳违约金给发包人。</w:t>
      </w:r>
    </w:p>
    <w:p w14:paraId="79F43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4.7.16国家发生重大风险期间，承包人不执行有关部门关于特殊时期管控规定、不落实相关措施的，承包人须按人民币5000元/人/次缴纳违约金给发包人。</w:t>
      </w:r>
    </w:p>
    <w:p w14:paraId="428BF46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4.7.17承包人必须在中标通知书发出之日起一个月内完成现场临时设施（施工用水用电、围蔽、板房、洗车槽、相关公示牌等）施工，因承包人原因导致逾期的，逾期第壹天起按2000元/天缴纳违约金给发包人。</w:t>
      </w:r>
    </w:p>
    <w:p w14:paraId="1647FFC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4.7.18中标单位在施工期间应严格遵守国家、省、市有关防火、爆破和施工安全以及文明施工、夜间施工、环卫城管等规定，建立规章制度和防护措施。否则，由此造成的经济损失和法律责任，均由中标人负责。中标人应按安全施工的要求，采取严格科学的安全措施，确保施工安全和第三者的安全，承担由于自身安全措施不力所造成的事故责任和发生的费用。</w:t>
      </w:r>
    </w:p>
    <w:p w14:paraId="7A4BF24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4.7.19投标人的投标报价已包含本工程所必须的所有材料费用及转运人工费用，招标人不另行支付。</w:t>
      </w:r>
    </w:p>
    <w:p w14:paraId="5EC992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4.7.20中标单位在该工程施工过程中，如与农村村民以及地方发生任何纠纷，中标单位都必须和农村村民以及地方进行有效的协调工作并作出承诺。</w:t>
      </w:r>
    </w:p>
    <w:p w14:paraId="15D2831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4.7.21除项目经理外的其他主要管理人员需离开施工现场3日以上（含3日）须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发包人审核。国家法定节假日期间及夜间施工期间所产生的相关费用，投标人在投标报价时综合考虑在报价内，招标人不另行支付。</w:t>
      </w:r>
    </w:p>
    <w:p w14:paraId="5443BB0F">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4.8工人工资支付专用账户</w:t>
      </w:r>
    </w:p>
    <w:p w14:paraId="4A02302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4.8.1承包人必须依照相关规定做好工人工资支付保证金、工人工资支付专用账户、用工实名制管理工作。</w:t>
      </w:r>
    </w:p>
    <w:p w14:paraId="5A2AF9A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4.8.2 施工预付款中已包括施工合同价的5%专用于承包人办理工人工资支付保证金，承包人必须于合同签订后5个工作日内办理完成保证金缴交或免缴手续。</w:t>
      </w:r>
    </w:p>
    <w:p w14:paraId="281C234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Style w:val="26"/>
          <w:rFonts w:hint="eastAsia" w:ascii="宋体" w:hAnsi="宋体" w:eastAsia="宋体" w:cs="宋体"/>
          <w:color w:val="auto"/>
          <w:kern w:val="0"/>
          <w:highlight w:val="none"/>
        </w:rPr>
      </w:pPr>
      <w:r>
        <w:rPr>
          <w:rFonts w:hint="eastAsia" w:ascii="宋体" w:hAnsi="宋体" w:eastAsia="宋体" w:cs="宋体"/>
          <w:b w:val="0"/>
          <w:bCs/>
          <w:snapToGrid w:val="0"/>
          <w:color w:val="auto"/>
          <w:kern w:val="0"/>
          <w:highlight w:val="none"/>
          <w:lang w:val="en-US" w:eastAsia="zh-CN"/>
        </w:rPr>
        <w:t>（1）承包人已依照相关规定开立工人工资支付专用账户，发包人支付工程进度款时，其中70%支付进入本合同协议书载明的承包人账户、其中30%支付进入本款载明的工人工资支付专用账户。</w:t>
      </w:r>
    </w:p>
    <w:p w14:paraId="2EDA109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（2）承包人应在开工前编制用工实名管理专项方案以及费用使用计划，经监理单位审批后，作为施工合同的组成部分，并依照相关规定做好用工实名信息化管理。</w:t>
      </w:r>
    </w:p>
    <w:p w14:paraId="4CBEDAC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4.8.3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33DE43E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按韶关市人力资源和社会保障局韶关市住房和城乡建设管理局韶关市交通运输局 韶关市水务局韶关市金融工作局国家金融监督管理总局韶关监管分局关于印发《韶关市工程建设领域农民工工资保证金管理实施细则》的通知（韶人社规〔2023〕2号）及《韶关市工程建设领域农民工工资保证金管理实施细则》（韶法审〔2023〕19 号）规定执行。承包人在签订工程施工承包合同后一个月内必须办妥该事项，并将办妥回执交发包人。如发生承包人拖欠民工工资并且向政府或发包人索要承包人拖欠工资的，发包人有权使用工人工资保证金或在剩余进度款范围内代承包人向民工支付工资，承包人对发包人垫付工资的人员范围和工资数额均不得提出异议。发包人代支的工资除了从当期工程款内直接扣除外，承包人须按照发包人所垫付的民工工资2倍向发包人支付违约金。</w:t>
      </w:r>
    </w:p>
    <w:p w14:paraId="1C62502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4.9</w:t>
      </w:r>
      <w:r>
        <w:rPr>
          <w:rFonts w:hint="eastAsia" w:ascii="宋体" w:hAnsi="宋体" w:eastAsia="宋体" w:cs="宋体"/>
          <w:b w:val="0"/>
          <w:bCs/>
          <w:snapToGrid w:val="0"/>
          <w:color w:val="auto"/>
          <w:kern w:val="0"/>
          <w:highlight w:val="none"/>
          <w:lang w:val="en-US" w:eastAsia="zh-CN"/>
        </w:rPr>
        <w:t>工期进度</w:t>
      </w:r>
    </w:p>
    <w:p w14:paraId="571B4E2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trike w:val="0"/>
          <w:dstrike w:val="0"/>
          <w:snapToGrid w:val="0"/>
          <w:color w:val="auto"/>
          <w:kern w:val="0"/>
          <w:highlight w:val="none"/>
          <w:lang w:val="en-US" w:eastAsia="zh-CN"/>
        </w:rPr>
      </w:pPr>
      <w:r>
        <w:rPr>
          <w:rFonts w:hint="eastAsia" w:ascii="宋体" w:hAnsi="宋体" w:eastAsia="宋体" w:cs="宋体"/>
          <w:b w:val="0"/>
          <w:bCs/>
          <w:strike w:val="0"/>
          <w:dstrike w:val="0"/>
          <w:snapToGrid w:val="0"/>
          <w:color w:val="auto"/>
          <w:kern w:val="0"/>
          <w:highlight w:val="none"/>
          <w:lang w:val="en-US" w:eastAsia="zh-CN"/>
        </w:rPr>
        <w:t>4.9.1</w:t>
      </w:r>
      <w:r>
        <w:rPr>
          <w:rFonts w:hint="eastAsia" w:ascii="宋体" w:hAnsi="宋体" w:eastAsia="宋体" w:cs="宋体"/>
          <w:b/>
          <w:bCs w:val="0"/>
          <w:strike w:val="0"/>
          <w:dstrike w:val="0"/>
          <w:snapToGrid w:val="0"/>
          <w:color w:val="auto"/>
          <w:kern w:val="0"/>
          <w:highlight w:val="none"/>
          <w:lang w:val="en-US" w:eastAsia="zh-CN"/>
        </w:rPr>
        <w:t xml:space="preserve"> </w:t>
      </w:r>
      <w:r>
        <w:rPr>
          <w:rFonts w:hint="eastAsia" w:ascii="宋体" w:hAnsi="宋体" w:eastAsia="宋体" w:cs="宋体"/>
          <w:b w:val="0"/>
          <w:bCs/>
          <w:strike w:val="0"/>
          <w:dstrike w:val="0"/>
          <w:snapToGrid w:val="0"/>
          <w:color w:val="auto"/>
          <w:kern w:val="0"/>
          <w:highlight w:val="none"/>
          <w:lang w:val="en-US" w:eastAsia="zh-CN"/>
        </w:rPr>
        <w:t>本招标项目施工标准工期为</w:t>
      </w:r>
      <w:r>
        <w:rPr>
          <w:rFonts w:hint="eastAsia" w:ascii="宋体" w:hAnsi="宋体" w:eastAsia="宋体" w:cs="宋体"/>
          <w:b w:val="0"/>
          <w:bCs/>
          <w:strike w:val="0"/>
          <w:dstrike w:val="0"/>
          <w:snapToGrid w:val="0"/>
          <w:color w:val="auto"/>
          <w:kern w:val="0"/>
          <w:highlight w:val="none"/>
          <w:u w:val="single"/>
          <w:lang w:val="en-US" w:eastAsia="zh-CN"/>
        </w:rPr>
        <w:t>120</w:t>
      </w:r>
      <w:r>
        <w:rPr>
          <w:rFonts w:hint="eastAsia" w:ascii="宋体" w:hAnsi="宋体" w:eastAsia="宋体" w:cs="宋体"/>
          <w:b w:val="0"/>
          <w:bCs/>
          <w:strike w:val="0"/>
          <w:dstrike w:val="0"/>
          <w:snapToGrid w:val="0"/>
          <w:color w:val="auto"/>
          <w:kern w:val="0"/>
          <w:highlight w:val="none"/>
          <w:lang w:val="en-US" w:eastAsia="zh-CN"/>
        </w:rPr>
        <w:t>个日历天，招标工期为</w:t>
      </w:r>
      <w:r>
        <w:rPr>
          <w:rFonts w:hint="eastAsia" w:ascii="宋体" w:hAnsi="宋体" w:eastAsia="宋体" w:cs="宋体"/>
          <w:b w:val="0"/>
          <w:bCs/>
          <w:strike w:val="0"/>
          <w:dstrike w:val="0"/>
          <w:snapToGrid w:val="0"/>
          <w:color w:val="auto"/>
          <w:kern w:val="0"/>
          <w:highlight w:val="none"/>
          <w:u w:val="single"/>
          <w:lang w:val="en-US" w:eastAsia="zh-CN"/>
        </w:rPr>
        <w:t>120</w:t>
      </w:r>
      <w:r>
        <w:rPr>
          <w:rFonts w:hint="eastAsia" w:ascii="宋体" w:hAnsi="宋体" w:eastAsia="宋体" w:cs="宋体"/>
          <w:b w:val="0"/>
          <w:bCs/>
          <w:strike w:val="0"/>
          <w:dstrike w:val="0"/>
          <w:snapToGrid w:val="0"/>
          <w:color w:val="auto"/>
          <w:kern w:val="0"/>
          <w:highlight w:val="none"/>
          <w:lang w:val="en-US" w:eastAsia="zh-CN"/>
        </w:rPr>
        <w:t>个日历天，承包人必须在招标工期内完成招标范围内的全部内容。</w:t>
      </w:r>
    </w:p>
    <w:p w14:paraId="0D57B4F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trike w:val="0"/>
          <w:dstrike w:val="0"/>
          <w:snapToGrid w:val="0"/>
          <w:color w:val="auto"/>
          <w:kern w:val="0"/>
          <w:highlight w:val="none"/>
          <w:lang w:val="en-US" w:eastAsia="zh-CN"/>
        </w:rPr>
      </w:pPr>
      <w:r>
        <w:rPr>
          <w:rFonts w:hint="eastAsia" w:ascii="宋体" w:hAnsi="宋体" w:eastAsia="宋体" w:cs="宋体"/>
          <w:b w:val="0"/>
          <w:bCs/>
          <w:strike w:val="0"/>
          <w:dstrike w:val="0"/>
          <w:snapToGrid w:val="0"/>
          <w:color w:val="auto"/>
          <w:kern w:val="0"/>
          <w:highlight w:val="none"/>
          <w:lang w:val="en-US" w:eastAsia="zh-CN"/>
        </w:rPr>
        <w:t>4.9.2 施工工期从承包人收到监理单位签发的开工令之日起计，至竣工验收合格之日止。</w:t>
      </w:r>
    </w:p>
    <w:p w14:paraId="2E93E60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trike w:val="0"/>
          <w:dstrike w:val="0"/>
          <w:snapToGrid w:val="0"/>
          <w:color w:val="auto"/>
          <w:kern w:val="0"/>
          <w:highlight w:val="none"/>
          <w:lang w:val="en-US" w:eastAsia="zh-CN"/>
        </w:rPr>
      </w:pPr>
      <w:r>
        <w:rPr>
          <w:rFonts w:hint="eastAsia" w:ascii="宋体" w:hAnsi="宋体" w:eastAsia="宋体" w:cs="宋体"/>
          <w:b w:val="0"/>
          <w:bCs/>
          <w:strike w:val="0"/>
          <w:dstrike w:val="0"/>
          <w:snapToGrid w:val="0"/>
          <w:color w:val="auto"/>
          <w:kern w:val="0"/>
          <w:highlight w:val="none"/>
          <w:lang w:val="en-US" w:eastAsia="zh-CN"/>
        </w:rPr>
        <w:t>4.9.3 工期奖惩</w:t>
      </w:r>
    </w:p>
    <w:p w14:paraId="6E8E1F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trike w:val="0"/>
          <w:dstrike w:val="0"/>
          <w:snapToGrid w:val="0"/>
          <w:color w:val="auto"/>
          <w:kern w:val="0"/>
          <w:highlight w:val="none"/>
          <w:lang w:val="en-US" w:eastAsia="zh-CN"/>
        </w:rPr>
      </w:pPr>
      <w:r>
        <w:rPr>
          <w:rFonts w:hint="eastAsia" w:ascii="宋体" w:hAnsi="宋体" w:eastAsia="宋体" w:cs="宋体"/>
          <w:b w:val="0"/>
          <w:bCs/>
          <w:strike w:val="0"/>
          <w:dstrike w:val="0"/>
          <w:snapToGrid w:val="0"/>
          <w:color w:val="auto"/>
          <w:kern w:val="0"/>
          <w:highlight w:val="none"/>
          <w:lang w:val="en-US" w:eastAsia="zh-CN"/>
        </w:rPr>
        <w:t>☑按施工合同期约定，每延误1天竣工，罚款中标金额的3‰。处罚金额不超过合同价款的5%，累计延误工期达到5天，报请建设行政主管部门做不良行为记录，非承包方原因或不可抗力造成延误的除外。</w:t>
      </w:r>
    </w:p>
    <w:p w14:paraId="13C0D17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trike w:val="0"/>
          <w:dstrike w:val="0"/>
          <w:snapToGrid w:val="0"/>
          <w:color w:val="auto"/>
          <w:kern w:val="0"/>
          <w:highlight w:val="none"/>
          <w:lang w:val="en-US" w:eastAsia="zh-CN"/>
        </w:rPr>
        <w:t xml:space="preserve">□其他说明：/ </w:t>
      </w:r>
    </w:p>
    <w:p w14:paraId="1A92589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4.10 项目管理机构</w:t>
      </w:r>
    </w:p>
    <w:p w14:paraId="67E4DA6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4.10.1 承包人派驻的项目管理班子成员必须为其投标文件确定的人员，否则发包人有权终止合同。</w:t>
      </w:r>
    </w:p>
    <w:p w14:paraId="0151D24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4.10.2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580E3EA9">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4.11现场管理</w:t>
      </w:r>
    </w:p>
    <w:p w14:paraId="0AE5045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4.11.1 承包人在施工期间应严格遵守国家、广东省、韶关市有关绿色施工、文明施工、噪声扬尘、消防爆破、环境卫生、渣土清运、治安保卫等方面的规定，并建立相应规章制度和保障措施。否则由此造成的经济损失和法律责任，均由承包人承担。</w:t>
      </w:r>
    </w:p>
    <w:p w14:paraId="55ED1F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4.11.2 承包人应按安全施工有关规定，采取严格、科学的安全防护措施，确保施工和人员（包括第三者）的安全，承担由自身安全防护措施不力所造成的安全事故责任和发生的费用。</w:t>
      </w:r>
    </w:p>
    <w:p w14:paraId="32948A5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4.11.3 为保证施工现场的环境卫生，承包人在本招标项目施工过程中，所有的车辆必须按发包人规定的行车路线行驶。</w:t>
      </w:r>
    </w:p>
    <w:p w14:paraId="092C8ED4">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4.12 监督实施</w:t>
      </w:r>
    </w:p>
    <w:p w14:paraId="709B76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4FB499D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4.13主材的采购和使用</w:t>
      </w:r>
    </w:p>
    <w:p w14:paraId="088C22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0767EDD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4.14竣工资料移交</w:t>
      </w:r>
    </w:p>
    <w:p w14:paraId="3782E7E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项目竣工验收时，承包人应向监理单位和发包人提供符合国家档案部门备案要求的，编制成册的竣工图及有关的技术档案资料（含声像档案）一式四份。</w:t>
      </w:r>
    </w:p>
    <w:p w14:paraId="7EB27D3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4.15质量保证</w:t>
      </w:r>
    </w:p>
    <w:p w14:paraId="5D2B627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4.15.1 本招标项目缺陷责任期为两年（自通过竣工验收之日起计），在此期间预留金额为结算价3%的质量保证。</w:t>
      </w:r>
    </w:p>
    <w:p w14:paraId="5DC84D7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4.15.2 质量保证的形式包括质量保证金、质量保证担保、质量保证保险三种，由承包人自主选择。</w:t>
      </w:r>
    </w:p>
    <w:p w14:paraId="69E331B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（1）采用质量保证金形式的，在结清审定总造价时一次性扣留相应金额作为质量保证金。</w:t>
      </w:r>
    </w:p>
    <w:p w14:paraId="1E44F8B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2）采用质量保证担保或质量保证保险的，承包人应在竣工验收时向发包人提交有效的商业保函、银行保函或保险合同（或保险单）原件，商业保函、银行保函或保险合同（或保险单）的有效期不得短于缺陷责任期。</w:t>
      </w:r>
    </w:p>
    <w:p w14:paraId="617896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4.15.3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1610D74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由他人原因造成的缺陷，发包人负责组织维修，承包人不承担费用，且发包人不得从质量保证中扣除费用。</w:t>
      </w:r>
    </w:p>
    <w:p w14:paraId="0792FF2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4.15.4 缺陷责任期内，承包人应认真履行合同约定的责任。缺陷责任期到期后，承包人向发包人申请退还质量保证金，发包人应按照《建设工程质量保证金管理办法》有关规定将质量保证金退还给承包人。</w:t>
      </w:r>
    </w:p>
    <w:p w14:paraId="79C4595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4.16不良行为处理</w:t>
      </w:r>
    </w:p>
    <w:p w14:paraId="2FF22B7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Cs/>
          <w:snapToGrid w:val="0"/>
          <w:color w:val="auto"/>
          <w:kern w:val="0"/>
          <w:sz w:val="24"/>
          <w:szCs w:val="24"/>
          <w:highlight w:val="none"/>
          <w:lang w:val="en-US" w:eastAsia="zh-CN"/>
        </w:rPr>
        <w:t>承包人及其有关人员有下列行为之一的，发包人应及时向建设行政主管部门报告。</w:t>
      </w:r>
    </w:p>
    <w:p w14:paraId="31A235D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（1）转包、违法分包或违反投标承诺分包工程的；</w:t>
      </w:r>
    </w:p>
    <w:p w14:paraId="5CD72E3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（2）非原参加投标中标的项目经理负责组织施工或在实施过程中擅自更换项目经理的、项目的其他主要管理人员与中标文件确定的人员不相符的；</w:t>
      </w:r>
    </w:p>
    <w:p w14:paraId="6B14670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（3）投标文件确定的大型机械设备没有进入施工现场的；</w:t>
      </w:r>
    </w:p>
    <w:p w14:paraId="22D891B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（4）与建设单位、监理单位串通，签认虚假工程量或工程造价的；</w:t>
      </w:r>
    </w:p>
    <w:p w14:paraId="4EC641B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（5）项目经理施工现场管理不到位的；</w:t>
      </w:r>
    </w:p>
    <w:p w14:paraId="6E4508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（6）项目经理在非本人资格证书注册单位从事工程项目施工管理的；</w:t>
      </w:r>
    </w:p>
    <w:p w14:paraId="707D0CD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（7）项目经理同时承担超过一项工程项目的；</w:t>
      </w:r>
    </w:p>
    <w:p w14:paraId="0C4495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（8）违反有关法律、法规、规章规定的其它行为。</w:t>
      </w:r>
    </w:p>
    <w:p w14:paraId="3810236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4.17 信用评价条款内容</w:t>
      </w:r>
    </w:p>
    <w:p w14:paraId="0B58ACC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由发包人决定是否对施工单位的履约情况进行信用评价。若进行信用评价，评价条款由发包人自拟，条款内容可参考人员到位情况、服务配合程度、服务成果质量、项目后期服务及信用评价结果的运用等。</w:t>
      </w:r>
    </w:p>
    <w:p w14:paraId="3994E860">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 xml:space="preserve">4.18 </w:t>
      </w:r>
      <w:r>
        <w:rPr>
          <w:rFonts w:hint="eastAsia" w:ascii="宋体" w:hAnsi="宋体" w:eastAsia="宋体" w:cs="宋体"/>
          <w:b w:val="0"/>
          <w:bCs/>
          <w:snapToGrid w:val="0"/>
          <w:color w:val="auto"/>
          <w:kern w:val="0"/>
          <w:highlight w:val="none"/>
          <w:lang w:val="en-US" w:eastAsia="zh-CN"/>
        </w:rPr>
        <w:t>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14:paraId="07D0970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val="0"/>
          <w:bCs/>
          <w:snapToGrid w:val="0"/>
          <w:color w:val="auto"/>
          <w:kern w:val="0"/>
          <w:highlight w:val="none"/>
          <w:lang w:val="en-US" w:eastAsia="zh-CN"/>
        </w:rPr>
        <w:t>承包人应根据《危险性较大的分部分项工程安全管理规定》（住房城乡建设部令第37号）、《住房城乡建设部办公厅关于实施〈危险性较大的分部分项工程安全管理规定〉有关问题的通知》（建办质〔2018〕31号）、《广东省住房和城乡建设厅关于房屋市政工程危险性较大的分部分项工程安全管理的实施细则的通知》（粤建规范〔2019〕2号）和《广东省安全生产委员会办公室 广东省住房和城乡建设厅关于〈严格落实危险性较大的分部分项工程“六不施工”要求的通知》（粤安办〔2020〕151号）等有关危险性较大的分部分项工程的法规规定通知，履行建设工程安全生产管理职责。</w:t>
      </w:r>
    </w:p>
    <w:p w14:paraId="68A4AE2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4.19</w:t>
      </w:r>
      <w:r>
        <w:rPr>
          <w:rFonts w:hint="eastAsia" w:ascii="宋体" w:hAnsi="宋体" w:eastAsia="宋体" w:cs="宋体"/>
          <w:b w:val="0"/>
          <w:bCs/>
          <w:snapToGrid w:val="0"/>
          <w:color w:val="auto"/>
          <w:kern w:val="0"/>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w:t>
      </w:r>
    </w:p>
    <w:p w14:paraId="1DCDD16C">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4.20</w:t>
      </w:r>
      <w:r>
        <w:rPr>
          <w:rFonts w:hint="eastAsia" w:ascii="宋体" w:hAnsi="宋体" w:eastAsia="宋体" w:cs="宋体"/>
          <w:b w:val="0"/>
          <w:bCs/>
          <w:snapToGrid w:val="0"/>
          <w:color w:val="auto"/>
          <w:kern w:val="0"/>
          <w:highlight w:val="none"/>
          <w:lang w:val="en-US" w:eastAsia="zh-CN"/>
        </w:rPr>
        <w:t xml:space="preserve"> 承包人须按照《韶关市建筑垃圾管理条例》（2021年5月1日起施行），将弃土运至发包人指定的场所，否则发包人有权要求承包人无条件将弃土从违约弃土点运至发包人指定的场所并扣除违约金人民币1万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p>
    <w:p w14:paraId="6B90DE2A">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4.21</w:t>
      </w:r>
      <w:r>
        <w:rPr>
          <w:rFonts w:hint="eastAsia" w:ascii="宋体" w:hAnsi="宋体" w:eastAsia="宋体" w:cs="宋体"/>
          <w:b w:val="0"/>
          <w:bCs/>
          <w:snapToGrid w:val="0"/>
          <w:color w:val="auto"/>
          <w:kern w:val="0"/>
          <w:highlight w:val="none"/>
          <w:lang w:val="en-US" w:eastAsia="zh-CN"/>
        </w:rPr>
        <w:t xml:space="preserve"> 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p>
    <w:p w14:paraId="204DE6A4">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4.22</w:t>
      </w:r>
      <w:r>
        <w:rPr>
          <w:rFonts w:hint="eastAsia" w:ascii="宋体" w:hAnsi="宋体" w:eastAsia="宋体" w:cs="宋体"/>
          <w:b w:val="0"/>
          <w:bCs/>
          <w:snapToGrid w:val="0"/>
          <w:color w:val="auto"/>
          <w:kern w:val="0"/>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1A8AAF1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4.23</w:t>
      </w:r>
      <w:r>
        <w:rPr>
          <w:rFonts w:hint="eastAsia" w:ascii="宋体" w:hAnsi="宋体" w:eastAsia="宋体" w:cs="宋体"/>
          <w:b w:val="0"/>
          <w:bCs/>
          <w:snapToGrid w:val="0"/>
          <w:color w:val="auto"/>
          <w:kern w:val="0"/>
          <w:highlight w:val="none"/>
          <w:lang w:val="en-US" w:eastAsia="zh-CN"/>
        </w:rPr>
        <w:t xml:space="preserve"> 承包人中标后必须按规定及时缴交工人工资保证金、环境噪声排污费等。</w:t>
      </w:r>
    </w:p>
    <w:p w14:paraId="3DB9E688">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 xml:space="preserve">4.24 </w:t>
      </w:r>
      <w:r>
        <w:rPr>
          <w:rFonts w:hint="eastAsia" w:ascii="宋体" w:hAnsi="宋体" w:eastAsia="宋体" w:cs="宋体"/>
          <w:b w:val="0"/>
          <w:bCs/>
          <w:snapToGrid w:val="0"/>
          <w:color w:val="auto"/>
          <w:kern w:val="0"/>
          <w:highlight w:val="none"/>
          <w:lang w:val="en-US" w:eastAsia="zh-CN"/>
        </w:rPr>
        <w:t>工程质量保修期按《中华人民共和国建筑法》、《建设工程质量管理条例》等相关规定实施。</w:t>
      </w:r>
    </w:p>
    <w:p w14:paraId="4DBFBF80">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4.25</w:t>
      </w:r>
      <w:r>
        <w:rPr>
          <w:rFonts w:hint="eastAsia" w:ascii="宋体" w:hAnsi="宋体" w:eastAsia="宋体" w:cs="宋体"/>
          <w:b w:val="0"/>
          <w:bCs/>
          <w:snapToGrid w:val="0"/>
          <w:color w:val="auto"/>
          <w:kern w:val="0"/>
          <w:highlight w:val="none"/>
          <w:lang w:val="en-US" w:eastAsia="zh-CN"/>
        </w:rPr>
        <w:t xml:space="preserve"> 如项目实施过程中发生了工程变更及工程签证，承包人需根据发包人发布的工程变更管理办法和工程签证管理办法完善工程变更签证相关程序。</w:t>
      </w:r>
    </w:p>
    <w:p w14:paraId="494FB71A">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4.26</w:t>
      </w:r>
      <w:r>
        <w:rPr>
          <w:rFonts w:hint="eastAsia" w:ascii="宋体" w:hAnsi="宋体" w:eastAsia="宋体" w:cs="宋体"/>
          <w:b w:val="0"/>
          <w:bCs/>
          <w:snapToGrid w:val="0"/>
          <w:color w:val="auto"/>
          <w:kern w:val="0"/>
          <w:highlight w:val="none"/>
          <w:lang w:val="en-US" w:eastAsia="zh-CN"/>
        </w:rPr>
        <w:t xml:space="preserve"> 承包人需按相关规定要求，设置本工程符合相关要求的永久性标牌及规划公示牌，投标人在投标报价时综合考虑在报价内，发包人不另行支付该部分费用。</w:t>
      </w:r>
    </w:p>
    <w:p w14:paraId="57E6A72D">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snapToGrid w:val="0"/>
          <w:color w:val="auto"/>
          <w:kern w:val="0"/>
          <w:highlight w:val="none"/>
          <w:lang w:val="en-US" w:eastAsia="zh-CN"/>
        </w:rPr>
      </w:pPr>
      <w:r>
        <w:rPr>
          <w:rFonts w:hint="eastAsia" w:ascii="宋体" w:hAnsi="宋体" w:eastAsia="宋体" w:cs="宋体"/>
          <w:b/>
          <w:bCs w:val="0"/>
          <w:snapToGrid w:val="0"/>
          <w:color w:val="auto"/>
          <w:kern w:val="0"/>
          <w:highlight w:val="none"/>
          <w:lang w:val="en-US" w:eastAsia="zh-CN"/>
        </w:rPr>
        <w:t xml:space="preserve">4.27 </w:t>
      </w:r>
      <w:r>
        <w:rPr>
          <w:rFonts w:hint="eastAsia" w:ascii="宋体" w:hAnsi="宋体" w:eastAsia="宋体" w:cs="宋体"/>
          <w:b w:val="0"/>
          <w:bCs/>
          <w:snapToGrid w:val="0"/>
          <w:color w:val="auto"/>
          <w:kern w:val="0"/>
          <w:highlight w:val="none"/>
          <w:lang w:val="en-US" w:eastAsia="zh-CN"/>
        </w:rPr>
        <w:t>承包人应按韶关市住房和城乡建设管理局、韶关市人力资源和社会保障局等职能部门对用工实名制的相关规定，落实工人及相关软硬件设施要求。</w:t>
      </w:r>
    </w:p>
    <w:p w14:paraId="77949634">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val="0"/>
          <w:snapToGrid w:val="0"/>
          <w:color w:val="auto"/>
          <w:kern w:val="0"/>
          <w:highlight w:val="none"/>
        </w:rPr>
      </w:pPr>
      <w:r>
        <w:rPr>
          <w:rFonts w:hint="eastAsia" w:ascii="宋体" w:hAnsi="宋体" w:eastAsia="宋体" w:cs="宋体"/>
          <w:b/>
          <w:bCs w:val="0"/>
          <w:snapToGrid w:val="0"/>
          <w:color w:val="auto"/>
          <w:kern w:val="0"/>
          <w:highlight w:val="none"/>
          <w:lang w:val="en-US" w:eastAsia="zh-CN"/>
        </w:rPr>
        <w:t>其他相关条款</w:t>
      </w:r>
      <w:r>
        <w:rPr>
          <w:rFonts w:hint="eastAsia" w:ascii="宋体" w:hAnsi="宋体" w:eastAsia="宋体" w:cs="宋体"/>
          <w:b/>
          <w:bCs w:val="0"/>
          <w:snapToGrid w:val="0"/>
          <w:color w:val="auto"/>
          <w:kern w:val="0"/>
          <w:highlight w:val="none"/>
        </w:rPr>
        <w:t>由招标人根据本工程实际</w:t>
      </w:r>
      <w:r>
        <w:rPr>
          <w:rFonts w:hint="eastAsia" w:ascii="宋体" w:hAnsi="宋体" w:eastAsia="宋体" w:cs="宋体"/>
          <w:b/>
          <w:bCs w:val="0"/>
          <w:snapToGrid w:val="0"/>
          <w:color w:val="auto"/>
          <w:kern w:val="0"/>
          <w:highlight w:val="none"/>
          <w:lang w:eastAsia="zh-CN"/>
        </w:rPr>
        <w:t>情况和地方政策</w:t>
      </w:r>
      <w:r>
        <w:rPr>
          <w:rFonts w:hint="eastAsia" w:ascii="宋体" w:hAnsi="宋体" w:eastAsia="宋体" w:cs="宋体"/>
          <w:b/>
          <w:bCs w:val="0"/>
          <w:snapToGrid w:val="0"/>
          <w:color w:val="auto"/>
          <w:kern w:val="0"/>
          <w:highlight w:val="none"/>
        </w:rPr>
        <w:t>与中标人自行协商</w:t>
      </w:r>
      <w:r>
        <w:rPr>
          <w:rFonts w:hint="eastAsia" w:ascii="宋体" w:hAnsi="宋体" w:eastAsia="宋体" w:cs="宋体"/>
          <w:b/>
          <w:bCs w:val="0"/>
          <w:snapToGrid w:val="0"/>
          <w:color w:val="auto"/>
          <w:kern w:val="0"/>
          <w:highlight w:val="none"/>
          <w:lang w:eastAsia="zh-CN"/>
        </w:rPr>
        <w:t>签订</w:t>
      </w:r>
      <w:r>
        <w:rPr>
          <w:rFonts w:hint="eastAsia" w:ascii="宋体" w:hAnsi="宋体" w:eastAsia="宋体" w:cs="宋体"/>
          <w:b/>
          <w:bCs w:val="0"/>
          <w:snapToGrid w:val="0"/>
          <w:color w:val="auto"/>
          <w:kern w:val="0"/>
          <w:highlight w:val="none"/>
        </w:rPr>
        <w:t>。</w:t>
      </w:r>
    </w:p>
    <w:p w14:paraId="50F53837">
      <w:pPr>
        <w:rPr>
          <w:rFonts w:hint="eastAsia" w:ascii="宋体" w:hAnsi="宋体" w:eastAsia="宋体" w:cs="宋体"/>
          <w:color w:val="auto"/>
          <w:kern w:val="2"/>
          <w:sz w:val="28"/>
          <w:szCs w:val="24"/>
          <w:lang w:eastAsia="zh-CN"/>
        </w:rPr>
      </w:pPr>
    </w:p>
    <w:p w14:paraId="0BF3CF33">
      <w:pPr>
        <w:rPr>
          <w:rFonts w:hint="eastAsia" w:ascii="宋体" w:hAnsi="宋体" w:eastAsia="宋体" w:cs="宋体"/>
          <w:color w:val="auto"/>
          <w:lang w:eastAsia="zh-CN"/>
        </w:rPr>
      </w:pPr>
    </w:p>
    <w:p w14:paraId="3193BBE6">
      <w:pPr>
        <w:rPr>
          <w:rFonts w:hint="eastAsia" w:ascii="宋体" w:hAnsi="宋体" w:eastAsia="宋体" w:cs="宋体"/>
          <w:color w:val="auto"/>
          <w:lang w:eastAsia="zh-CN"/>
        </w:rPr>
      </w:pPr>
    </w:p>
    <w:p w14:paraId="64B35585">
      <w:pPr>
        <w:rPr>
          <w:rFonts w:hint="eastAsia" w:ascii="宋体" w:hAnsi="宋体" w:eastAsia="宋体" w:cs="宋体"/>
          <w:color w:val="auto"/>
        </w:rPr>
      </w:pPr>
    </w:p>
    <w:p w14:paraId="48F75C72">
      <w:pPr>
        <w:rPr>
          <w:rFonts w:hint="eastAsia" w:ascii="宋体" w:hAnsi="宋体" w:eastAsia="宋体" w:cs="宋体"/>
          <w:color w:val="auto"/>
        </w:rPr>
      </w:pPr>
    </w:p>
    <w:p w14:paraId="0C3188C5">
      <w:pPr>
        <w:rPr>
          <w:rFonts w:hint="eastAsia" w:ascii="宋体" w:hAnsi="宋体" w:eastAsia="宋体" w:cs="宋体"/>
          <w:color w:val="auto"/>
        </w:rPr>
      </w:pPr>
    </w:p>
    <w:p w14:paraId="53144623">
      <w:pPr>
        <w:rPr>
          <w:rFonts w:hint="eastAsia" w:ascii="宋体" w:hAnsi="宋体" w:eastAsia="宋体" w:cs="宋体"/>
          <w:color w:val="auto"/>
        </w:rPr>
      </w:pPr>
    </w:p>
    <w:p w14:paraId="6BBC4AF6">
      <w:pPr>
        <w:rPr>
          <w:rFonts w:hint="eastAsia" w:ascii="宋体" w:hAnsi="宋体" w:eastAsia="宋体" w:cs="宋体"/>
          <w:color w:val="auto"/>
        </w:rPr>
      </w:pPr>
    </w:p>
    <w:p w14:paraId="00672DCD">
      <w:pPr>
        <w:rPr>
          <w:rFonts w:hint="eastAsia" w:ascii="宋体" w:hAnsi="宋体" w:eastAsia="宋体" w:cs="宋体"/>
          <w:color w:val="auto"/>
        </w:rPr>
      </w:pPr>
    </w:p>
    <w:p w14:paraId="46412247">
      <w:pPr>
        <w:rPr>
          <w:rFonts w:hint="eastAsia" w:ascii="宋体" w:hAnsi="宋体" w:eastAsia="宋体" w:cs="宋体"/>
          <w:color w:val="auto"/>
        </w:rPr>
      </w:pPr>
    </w:p>
    <w:p w14:paraId="3ACEB1B9">
      <w:pPr>
        <w:rPr>
          <w:rFonts w:hint="eastAsia" w:ascii="宋体" w:hAnsi="宋体" w:eastAsia="宋体" w:cs="宋体"/>
          <w:color w:val="auto"/>
        </w:rPr>
      </w:pPr>
    </w:p>
    <w:p w14:paraId="48582D91">
      <w:pPr>
        <w:rPr>
          <w:rFonts w:hint="eastAsia" w:ascii="宋体" w:hAnsi="宋体" w:eastAsia="宋体" w:cs="宋体"/>
          <w:color w:val="auto"/>
        </w:rPr>
      </w:pPr>
    </w:p>
    <w:p w14:paraId="508633A3">
      <w:pPr>
        <w:rPr>
          <w:rFonts w:hint="eastAsia" w:ascii="宋体" w:hAnsi="宋体" w:eastAsia="宋体" w:cs="宋体"/>
          <w:color w:val="auto"/>
        </w:rPr>
      </w:pPr>
    </w:p>
    <w:bookmarkEnd w:id="233"/>
    <w:bookmarkEnd w:id="234"/>
    <w:p w14:paraId="42B36EC3">
      <w:pPr>
        <w:rPr>
          <w:rFonts w:hint="eastAsia" w:ascii="宋体" w:hAnsi="宋体" w:eastAsia="宋体" w:cs="宋体"/>
          <w:color w:val="auto"/>
        </w:rPr>
      </w:pPr>
      <w:bookmarkStart w:id="235" w:name="_Toc22365"/>
      <w:bookmarkStart w:id="236" w:name="_Toc23902"/>
      <w:bookmarkStart w:id="237" w:name="_Toc23893"/>
      <w:bookmarkStart w:id="238" w:name="_Toc25616"/>
      <w:bookmarkStart w:id="239" w:name="_Toc28086"/>
      <w:bookmarkStart w:id="240" w:name="_Toc23090"/>
      <w:bookmarkStart w:id="241" w:name="_Toc17509"/>
      <w:bookmarkStart w:id="242" w:name="_Toc24572"/>
      <w:bookmarkStart w:id="243" w:name="_Toc24640"/>
      <w:bookmarkStart w:id="244" w:name="_Toc18368"/>
    </w:p>
    <w:p w14:paraId="4BB57E00">
      <w:pPr>
        <w:rPr>
          <w:rFonts w:hint="eastAsia" w:ascii="宋体" w:hAnsi="宋体" w:eastAsia="宋体" w:cs="宋体"/>
          <w:color w:val="auto"/>
        </w:rPr>
      </w:pPr>
    </w:p>
    <w:p w14:paraId="604E0DDC">
      <w:pPr>
        <w:rPr>
          <w:rFonts w:hint="eastAsia" w:ascii="宋体" w:hAnsi="宋体" w:eastAsia="宋体" w:cs="宋体"/>
          <w:color w:val="auto"/>
        </w:rPr>
      </w:pPr>
    </w:p>
    <w:p w14:paraId="1B78FD24">
      <w:pPr>
        <w:rPr>
          <w:rFonts w:hint="eastAsia" w:ascii="宋体" w:hAnsi="宋体" w:eastAsia="宋体" w:cs="宋体"/>
          <w:color w:val="auto"/>
        </w:rPr>
      </w:pPr>
    </w:p>
    <w:p w14:paraId="38126628">
      <w:pPr>
        <w:rPr>
          <w:rFonts w:hint="eastAsia" w:ascii="宋体" w:hAnsi="宋体" w:eastAsia="宋体" w:cs="宋体"/>
          <w:color w:val="auto"/>
        </w:rPr>
      </w:pPr>
    </w:p>
    <w:p w14:paraId="29430170">
      <w:pPr>
        <w:rPr>
          <w:rFonts w:hint="eastAsia" w:ascii="宋体" w:hAnsi="宋体" w:eastAsia="宋体" w:cs="宋体"/>
          <w:color w:val="auto"/>
        </w:rPr>
      </w:pPr>
    </w:p>
    <w:p w14:paraId="5783455D">
      <w:pPr>
        <w:rPr>
          <w:rFonts w:hint="eastAsia" w:ascii="宋体" w:hAnsi="宋体" w:eastAsia="宋体" w:cs="宋体"/>
          <w:color w:val="auto"/>
        </w:rPr>
      </w:pPr>
    </w:p>
    <w:p w14:paraId="7C81D37B">
      <w:pPr>
        <w:rPr>
          <w:rFonts w:hint="eastAsia" w:ascii="宋体" w:hAnsi="宋体" w:eastAsia="宋体" w:cs="宋体"/>
          <w:color w:val="auto"/>
        </w:rPr>
      </w:pPr>
    </w:p>
    <w:p w14:paraId="0F36A2E1">
      <w:pPr>
        <w:rPr>
          <w:rFonts w:hint="eastAsia" w:ascii="宋体" w:hAnsi="宋体" w:eastAsia="宋体" w:cs="宋体"/>
          <w:color w:val="auto"/>
        </w:rPr>
      </w:pPr>
    </w:p>
    <w:p w14:paraId="0AA11563">
      <w:pPr>
        <w:rPr>
          <w:rFonts w:hint="eastAsia" w:ascii="宋体" w:hAnsi="宋体" w:eastAsia="宋体" w:cs="宋体"/>
          <w:color w:val="auto"/>
        </w:rPr>
      </w:pPr>
    </w:p>
    <w:p w14:paraId="21522AB9">
      <w:pPr>
        <w:rPr>
          <w:rFonts w:hint="eastAsia" w:ascii="宋体" w:hAnsi="宋体" w:eastAsia="宋体" w:cs="宋体"/>
          <w:color w:val="auto"/>
        </w:rPr>
      </w:pPr>
    </w:p>
    <w:p w14:paraId="33AD548F">
      <w:pPr>
        <w:rPr>
          <w:rFonts w:hint="eastAsia" w:ascii="宋体" w:hAnsi="宋体" w:eastAsia="宋体" w:cs="宋体"/>
          <w:color w:val="auto"/>
        </w:rPr>
      </w:pPr>
    </w:p>
    <w:p w14:paraId="1C830926">
      <w:pPr>
        <w:rPr>
          <w:rFonts w:hint="eastAsia" w:ascii="宋体" w:hAnsi="宋体" w:eastAsia="宋体" w:cs="宋体"/>
          <w:color w:val="auto"/>
        </w:rPr>
      </w:pPr>
    </w:p>
    <w:p w14:paraId="4C0C649D">
      <w:pPr>
        <w:rPr>
          <w:rFonts w:hint="eastAsia" w:ascii="宋体" w:hAnsi="宋体" w:eastAsia="宋体" w:cs="宋体"/>
          <w:color w:val="auto"/>
        </w:rPr>
      </w:pPr>
    </w:p>
    <w:p w14:paraId="2A5E7B55">
      <w:pPr>
        <w:rPr>
          <w:rFonts w:hint="eastAsia" w:ascii="宋体" w:hAnsi="宋体" w:eastAsia="宋体" w:cs="宋体"/>
          <w:color w:val="auto"/>
        </w:rPr>
      </w:pPr>
    </w:p>
    <w:p w14:paraId="03C28F65">
      <w:pPr>
        <w:pStyle w:val="3"/>
        <w:keepLines w:val="0"/>
        <w:pageBreakBefore w:val="0"/>
        <w:widowControl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Style w:val="26"/>
          <w:rFonts w:hint="eastAsia" w:ascii="宋体" w:hAnsi="宋体" w:eastAsia="宋体" w:cs="宋体"/>
          <w:b/>
          <w:bCs/>
          <w:color w:val="auto"/>
          <w:highlight w:val="none"/>
        </w:rPr>
      </w:pPr>
      <w:bookmarkStart w:id="245" w:name="_Toc2470"/>
      <w:r>
        <w:rPr>
          <w:rFonts w:hint="eastAsia" w:ascii="宋体" w:hAnsi="宋体" w:eastAsia="宋体" w:cs="宋体"/>
          <w:color w:val="auto"/>
          <w:sz w:val="32"/>
          <w:szCs w:val="32"/>
          <w:highlight w:val="none"/>
        </w:rPr>
        <w:t>第四章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技术要求</w:t>
      </w:r>
      <w:bookmarkEnd w:id="230"/>
      <w:bookmarkEnd w:id="235"/>
      <w:bookmarkEnd w:id="236"/>
      <w:bookmarkEnd w:id="237"/>
      <w:bookmarkEnd w:id="238"/>
      <w:bookmarkEnd w:id="239"/>
      <w:bookmarkEnd w:id="240"/>
      <w:bookmarkEnd w:id="241"/>
      <w:bookmarkEnd w:id="242"/>
      <w:bookmarkEnd w:id="243"/>
      <w:bookmarkEnd w:id="244"/>
      <w:bookmarkEnd w:id="245"/>
    </w:p>
    <w:p w14:paraId="0DB6B6D3">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246" w:name="_Hlt69670335"/>
      <w:bookmarkEnd w:id="246"/>
      <w:bookmarkStart w:id="247" w:name="_Toc28606"/>
      <w:bookmarkStart w:id="248" w:name="_Toc4412"/>
      <w:r>
        <w:rPr>
          <w:rFonts w:hint="eastAsia" w:ascii="宋体" w:hAnsi="宋体" w:eastAsia="宋体" w:cs="宋体"/>
          <w:color w:val="auto"/>
          <w:kern w:val="2"/>
          <w:sz w:val="28"/>
          <w:szCs w:val="24"/>
          <w:lang w:val="en-US" w:eastAsia="zh-CN"/>
        </w:rPr>
        <w:t>1．房屋建筑工程建设项目</w:t>
      </w:r>
      <w:bookmarkEnd w:id="247"/>
      <w:bookmarkEnd w:id="248"/>
    </w:p>
    <w:p w14:paraId="229D24EB">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bookmarkStart w:id="249" w:name="_Hlt69359245"/>
      <w:bookmarkEnd w:id="249"/>
      <w:bookmarkStart w:id="250" w:name="_Hlt69635252"/>
      <w:bookmarkEnd w:id="250"/>
      <w:bookmarkStart w:id="251" w:name="_Hlt69358458"/>
      <w:bookmarkEnd w:id="251"/>
      <w:bookmarkStart w:id="252" w:name="_Hlt69359086"/>
      <w:bookmarkEnd w:id="252"/>
      <w:bookmarkStart w:id="253" w:name="_Hlt78709799"/>
      <w:bookmarkEnd w:id="253"/>
      <w:bookmarkStart w:id="254" w:name="_Hlt69116858"/>
      <w:bookmarkEnd w:id="254"/>
      <w:bookmarkStart w:id="255" w:name="_Hlt69359243"/>
      <w:bookmarkEnd w:id="255"/>
      <w:r>
        <w:rPr>
          <w:rFonts w:hint="eastAsia" w:ascii="宋体" w:hAnsi="宋体" w:eastAsia="宋体" w:cs="宋体"/>
          <w:bCs/>
          <w:snapToGrid w:val="0"/>
          <w:color w:val="auto"/>
          <w:kern w:val="0"/>
          <w:sz w:val="24"/>
          <w:szCs w:val="24"/>
          <w:highlight w:val="none"/>
        </w:rPr>
        <w:t>房屋建筑工程建设项目必须执行的现行技术规范，包括且不限于：</w:t>
      </w:r>
    </w:p>
    <w:p w14:paraId="148BECE4">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（1）《建筑工程施工质量验收统一标准》；</w:t>
      </w:r>
    </w:p>
    <w:p w14:paraId="05189E60">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（2）《建筑地基基础工程施工质量验收规范》；</w:t>
      </w:r>
    </w:p>
    <w:p w14:paraId="6337B864">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（3）《砌体工程施工质量验收规范》；</w:t>
      </w:r>
    </w:p>
    <w:p w14:paraId="5552DFEA">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（4）《混凝土结构工程施工质量验收规范》；</w:t>
      </w:r>
    </w:p>
    <w:p w14:paraId="11FC865A">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（5）《屋面工程质量验收规范》；</w:t>
      </w:r>
    </w:p>
    <w:p w14:paraId="5A206436">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（6）《地下防水工程质量验收规范》；</w:t>
      </w:r>
    </w:p>
    <w:p w14:paraId="292AB7E5">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w:t>
      </w:r>
      <w:bookmarkStart w:id="256" w:name="_Hlt78795211"/>
      <w:bookmarkEnd w:id="256"/>
      <w:r>
        <w:rPr>
          <w:rFonts w:hint="eastAsia" w:ascii="宋体" w:hAnsi="宋体" w:eastAsia="宋体" w:cs="宋体"/>
          <w:bCs/>
          <w:snapToGrid w:val="0"/>
          <w:color w:val="auto"/>
          <w:kern w:val="0"/>
          <w:sz w:val="24"/>
          <w:szCs w:val="24"/>
          <w:highlight w:val="none"/>
        </w:rPr>
        <w:t>《建筑地面工程施工质量验收规范》；</w:t>
      </w:r>
    </w:p>
    <w:p w14:paraId="1864BD4D">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（8）《建筑装饰装修工程施工质量验收规范》；</w:t>
      </w:r>
    </w:p>
    <w:p w14:paraId="75B07531">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（9）《建筑给排水及采暖工程施工质量验收规范》；</w:t>
      </w:r>
    </w:p>
    <w:p w14:paraId="5072D1DC">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（10）《建筑电气工程施工质量验收规范》；</w:t>
      </w:r>
    </w:p>
    <w:p w14:paraId="39369A3D">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（11）《住建部绿色建筑评价标准》；</w:t>
      </w:r>
    </w:p>
    <w:p w14:paraId="5AA50A68">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（12）《建筑节能与可再生能源利用通用规范》（GB55015-2021）；</w:t>
      </w:r>
    </w:p>
    <w:p w14:paraId="4B967864">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（13）《建筑环境通用规范》；</w:t>
      </w:r>
    </w:p>
    <w:p w14:paraId="62EA2DB8">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（14）《建筑与市政工程无障碍通用规范》 GB 55019-2021；</w:t>
      </w:r>
    </w:p>
    <w:p w14:paraId="4371ECF5">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（15）《建筑防火通用规范》GB 55037-2022;</w:t>
      </w:r>
    </w:p>
    <w:p w14:paraId="7BD3245B">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（16）《建筑与市政工程抗震通用规范》GB55002-2001;</w:t>
      </w:r>
    </w:p>
    <w:p w14:paraId="00ADB6FB">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（17）《建筑与市政地基基础通用规范》GB55003-2001;</w:t>
      </w:r>
    </w:p>
    <w:p w14:paraId="254DDDFD">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（18）《广东省住房和城乡建设厅绿色施工导则》；</w:t>
      </w:r>
    </w:p>
    <w:p w14:paraId="794359FA">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（19）《广东省建筑工程绿色施工评价标准》；</w:t>
      </w:r>
    </w:p>
    <w:p w14:paraId="4A3D81D1">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（20）《广东省建筑节能与绿色建筑工程施工质量验收规范》</w:t>
      </w:r>
    </w:p>
    <w:p w14:paraId="11D0A5B8">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（21）其他现行国家、广东省关于房建工程的施工及验收规范、定额、规程、标准。</w:t>
      </w:r>
    </w:p>
    <w:p w14:paraId="20E6CA74">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257" w:name="_Toc2532"/>
      <w:bookmarkStart w:id="258" w:name="_Toc16940"/>
      <w:bookmarkStart w:id="259" w:name="_Toc18760"/>
      <w:bookmarkStart w:id="260" w:name="_Toc21871"/>
      <w:r>
        <w:rPr>
          <w:rFonts w:hint="eastAsia" w:ascii="宋体" w:hAnsi="宋体" w:eastAsia="宋体" w:cs="宋体"/>
          <w:color w:val="auto"/>
          <w:kern w:val="2"/>
          <w:sz w:val="28"/>
          <w:szCs w:val="24"/>
          <w:lang w:val="en-US" w:eastAsia="zh-CN"/>
        </w:rPr>
        <w:t>2．市政基础设施工程建设项目</w:t>
      </w:r>
      <w:bookmarkEnd w:id="257"/>
      <w:bookmarkEnd w:id="258"/>
      <w:bookmarkEnd w:id="259"/>
      <w:bookmarkEnd w:id="260"/>
    </w:p>
    <w:p w14:paraId="471BE1B1">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市政基础设施工程建设项目必须执行的现行技术规范，包括且不限于：</w:t>
      </w:r>
    </w:p>
    <w:p w14:paraId="6F4C5B98">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（1）《公路路基施工技术规范》；</w:t>
      </w:r>
    </w:p>
    <w:p w14:paraId="245DD4B6">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（2）《市政道路工程质量检验评定标准》；</w:t>
      </w:r>
    </w:p>
    <w:p w14:paraId="7349848D">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（3）《市政排水管渠工程质量检验评定标准》；</w:t>
      </w:r>
    </w:p>
    <w:p w14:paraId="3D62AB6B">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（4）《给水排水管道工程施工及验收规范》；</w:t>
      </w:r>
    </w:p>
    <w:p w14:paraId="33DDD550">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（5）《城市道路路基工程施工及验收规范》；</w:t>
      </w:r>
    </w:p>
    <w:p w14:paraId="450ED933">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（6）《水泥砼路面施工及验收规范》；</w:t>
      </w:r>
    </w:p>
    <w:p w14:paraId="1ECFAF08">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（7）《公路水泥砼路面施工技术规范》；</w:t>
      </w:r>
    </w:p>
    <w:p w14:paraId="02226B78">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（8）《埋地硬聚氯乙烯排水管道工程技术规程》；</w:t>
      </w:r>
    </w:p>
    <w:p w14:paraId="74220EBB">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（9）《沥青路面施工及验收规范》；</w:t>
      </w:r>
    </w:p>
    <w:p w14:paraId="76F35EA6">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（10）《广东省市政工程施工质量技术资料统一用表》。</w:t>
      </w:r>
    </w:p>
    <w:p w14:paraId="7FCFC536">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（11）《建筑与市政工程无障碍通用规范》 GB 55019-2021；</w:t>
      </w:r>
    </w:p>
    <w:p w14:paraId="2B2A66E4">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（12）《建筑防火通用规范》GB 55037-2022;</w:t>
      </w:r>
    </w:p>
    <w:p w14:paraId="46BD6007">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（13）《建筑与市政工程抗震通用规范》GB55002-2001;</w:t>
      </w:r>
    </w:p>
    <w:p w14:paraId="7392B48D">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（14）《建筑与市政地基基础通用规范》GB55003-2001;</w:t>
      </w:r>
    </w:p>
    <w:p w14:paraId="232B3A10">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（15）《城市道路照明设计标准》（CJJ45-2015）；</w:t>
      </w:r>
    </w:p>
    <w:p w14:paraId="260452D0">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（16）《低压配电设计规范》（GB50054-2011）；</w:t>
      </w:r>
    </w:p>
    <w:p w14:paraId="1F25BD95">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（17）《城市道路照明工程施工及验收规程》（CJJ89-2012）；</w:t>
      </w:r>
    </w:p>
    <w:p w14:paraId="7400CC6E">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（18）《LED 道路照明工程技术规范》（DB44/T 1898-2016）；</w:t>
      </w:r>
    </w:p>
    <w:p w14:paraId="4E9AA8C7">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（19）《灯具第 1 部分：一般要求与试验》（GB7000.1-2015）；</w:t>
      </w:r>
    </w:p>
    <w:p w14:paraId="3C598DAE">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（20）《电缆工程电缆设计标准》（GB50217-2018）；</w:t>
      </w:r>
    </w:p>
    <w:p w14:paraId="6A6F8CE5">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rPr>
      </w:pPr>
      <w:r>
        <w:rPr>
          <w:rFonts w:hint="eastAsia" w:ascii="宋体" w:hAnsi="宋体" w:eastAsia="宋体" w:cs="宋体"/>
          <w:bCs/>
          <w:snapToGrid w:val="0"/>
          <w:color w:val="auto"/>
          <w:kern w:val="0"/>
          <w:sz w:val="24"/>
          <w:szCs w:val="24"/>
          <w:highlight w:val="none"/>
        </w:rPr>
        <w:t>（21）其他现行国家、广东省关于市政工程的技术及验收规范、定额、规程、标准。</w:t>
      </w:r>
      <w:bookmarkStart w:id="261" w:name="_Toc23373"/>
      <w:bookmarkStart w:id="262" w:name="_Toc29846"/>
      <w:bookmarkStart w:id="263" w:name="_Toc641"/>
    </w:p>
    <w:p w14:paraId="7C6DEB14">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264" w:name="_Toc15606"/>
      <w:bookmarkStart w:id="265" w:name="_Toc11332"/>
      <w:r>
        <w:rPr>
          <w:rFonts w:hint="eastAsia" w:ascii="宋体" w:hAnsi="宋体" w:eastAsia="宋体" w:cs="宋体"/>
          <w:color w:val="auto"/>
          <w:kern w:val="2"/>
          <w:sz w:val="28"/>
          <w:szCs w:val="24"/>
          <w:lang w:val="en-US" w:eastAsia="zh-CN"/>
        </w:rPr>
        <w:t>3．备查要求</w:t>
      </w:r>
      <w:bookmarkEnd w:id="261"/>
      <w:bookmarkEnd w:id="262"/>
      <w:bookmarkEnd w:id="263"/>
      <w:bookmarkEnd w:id="264"/>
      <w:bookmarkEnd w:id="265"/>
    </w:p>
    <w:p w14:paraId="15F86A85">
      <w:pPr>
        <w:pageBreakBefore w:val="0"/>
        <w:widowControl/>
        <w:shd w:val="clear" w:color="auto" w:fill="auto"/>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人必须在施工现场准备至少一套上述规范，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人和监理单位可随时检查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p>
    <w:p w14:paraId="06E5DBD1">
      <w:pPr>
        <w:rPr>
          <w:rFonts w:hint="eastAsia" w:ascii="宋体" w:hAnsi="宋体" w:eastAsia="宋体" w:cs="宋体"/>
          <w:color w:val="auto"/>
        </w:rPr>
      </w:pPr>
    </w:p>
    <w:p w14:paraId="3F5F7AF8">
      <w:pPr>
        <w:rPr>
          <w:rFonts w:hint="eastAsia" w:ascii="宋体" w:hAnsi="宋体" w:eastAsia="宋体" w:cs="宋体"/>
          <w:color w:val="auto"/>
        </w:rPr>
      </w:pPr>
    </w:p>
    <w:p w14:paraId="4D329FB6">
      <w:pPr>
        <w:rPr>
          <w:rFonts w:hint="eastAsia" w:ascii="宋体" w:hAnsi="宋体" w:eastAsia="宋体" w:cs="宋体"/>
          <w:color w:val="auto"/>
        </w:rPr>
      </w:pPr>
    </w:p>
    <w:p w14:paraId="0A753951">
      <w:pPr>
        <w:rPr>
          <w:rFonts w:hint="eastAsia" w:ascii="宋体" w:hAnsi="宋体" w:eastAsia="宋体" w:cs="宋体"/>
          <w:color w:val="auto"/>
        </w:rPr>
      </w:pPr>
    </w:p>
    <w:p w14:paraId="7567FD7C">
      <w:pPr>
        <w:rPr>
          <w:rFonts w:hint="eastAsia" w:ascii="宋体" w:hAnsi="宋体" w:eastAsia="宋体" w:cs="宋体"/>
          <w:color w:val="auto"/>
        </w:rPr>
      </w:pPr>
    </w:p>
    <w:p w14:paraId="12191B4E">
      <w:pPr>
        <w:rPr>
          <w:rFonts w:hint="eastAsia" w:ascii="宋体" w:hAnsi="宋体" w:eastAsia="宋体" w:cs="宋体"/>
          <w:color w:val="auto"/>
        </w:rPr>
      </w:pPr>
    </w:p>
    <w:p w14:paraId="05C9C55D">
      <w:pPr>
        <w:rPr>
          <w:rFonts w:hint="eastAsia" w:ascii="宋体" w:hAnsi="宋体" w:eastAsia="宋体" w:cs="宋体"/>
          <w:color w:val="auto"/>
        </w:rPr>
      </w:pPr>
    </w:p>
    <w:p w14:paraId="25078F31">
      <w:pPr>
        <w:rPr>
          <w:rFonts w:hint="eastAsia" w:ascii="宋体" w:hAnsi="宋体" w:eastAsia="宋体" w:cs="宋体"/>
          <w:color w:val="auto"/>
        </w:rPr>
      </w:pPr>
    </w:p>
    <w:p w14:paraId="1C49A6F0">
      <w:pPr>
        <w:rPr>
          <w:rFonts w:hint="eastAsia" w:ascii="宋体" w:hAnsi="宋体" w:eastAsia="宋体" w:cs="宋体"/>
          <w:color w:val="auto"/>
        </w:rPr>
      </w:pPr>
    </w:p>
    <w:p w14:paraId="427388D0">
      <w:pPr>
        <w:rPr>
          <w:rFonts w:hint="eastAsia" w:ascii="宋体" w:hAnsi="宋体" w:eastAsia="宋体" w:cs="宋体"/>
          <w:color w:val="auto"/>
        </w:rPr>
      </w:pPr>
    </w:p>
    <w:p w14:paraId="36DA6DA7">
      <w:pPr>
        <w:rPr>
          <w:rFonts w:hint="eastAsia" w:ascii="宋体" w:hAnsi="宋体" w:eastAsia="宋体" w:cs="宋体"/>
          <w:color w:val="auto"/>
        </w:rPr>
      </w:pPr>
    </w:p>
    <w:p w14:paraId="3A1D1C4A">
      <w:pPr>
        <w:rPr>
          <w:rFonts w:hint="eastAsia" w:ascii="宋体" w:hAnsi="宋体" w:eastAsia="宋体" w:cs="宋体"/>
          <w:color w:val="auto"/>
        </w:rPr>
      </w:pPr>
    </w:p>
    <w:p w14:paraId="06B36701">
      <w:pPr>
        <w:pStyle w:val="3"/>
        <w:keepLines w:val="0"/>
        <w:pageBreakBefore w:val="0"/>
        <w:widowControl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color w:val="auto"/>
        </w:rPr>
      </w:pPr>
      <w:bookmarkStart w:id="266" w:name="_Toc26762"/>
      <w:bookmarkStart w:id="267" w:name="_Toc8569"/>
      <w:bookmarkStart w:id="268" w:name="_Toc9956"/>
      <w:bookmarkStart w:id="269" w:name="_Toc2426"/>
      <w:bookmarkStart w:id="270" w:name="_Toc13751"/>
      <w:bookmarkStart w:id="271" w:name="_Toc20376"/>
      <w:bookmarkStart w:id="272" w:name="_Toc30591"/>
      <w:bookmarkStart w:id="273" w:name="_Toc26068"/>
      <w:bookmarkStart w:id="274" w:name="_Toc2224"/>
      <w:bookmarkStart w:id="275" w:name="_Toc29718"/>
      <w:bookmarkStart w:id="276" w:name="_Toc11187"/>
      <w:bookmarkStart w:id="277" w:name="_Toc27255"/>
      <w:r>
        <w:rPr>
          <w:rFonts w:hint="eastAsia" w:ascii="宋体" w:hAnsi="宋体" w:eastAsia="宋体" w:cs="宋体"/>
          <w:color w:val="auto"/>
          <w:sz w:val="32"/>
          <w:szCs w:val="32"/>
          <w:highlight w:val="none"/>
        </w:rPr>
        <w:t>第五章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图纸和招标工程量清单</w:t>
      </w:r>
      <w:bookmarkEnd w:id="266"/>
      <w:bookmarkEnd w:id="267"/>
      <w:bookmarkEnd w:id="268"/>
      <w:bookmarkEnd w:id="269"/>
      <w:bookmarkEnd w:id="270"/>
      <w:bookmarkEnd w:id="271"/>
      <w:bookmarkEnd w:id="272"/>
      <w:bookmarkEnd w:id="273"/>
      <w:bookmarkEnd w:id="274"/>
      <w:bookmarkEnd w:id="275"/>
      <w:bookmarkEnd w:id="276"/>
      <w:bookmarkEnd w:id="277"/>
    </w:p>
    <w:p w14:paraId="18FFA09E">
      <w:pPr>
        <w:keepNext w:val="0"/>
        <w:keepLines w:val="0"/>
        <w:pageBreakBefore w:val="0"/>
        <w:widowControl/>
        <w:suppressLineNumbers w:val="0"/>
        <w:kinsoku/>
        <w:wordWrap/>
        <w:overflowPunct/>
        <w:topLinePunct w:val="0"/>
        <w:autoSpaceDE/>
        <w:autoSpaceDN/>
        <w:bidi w:val="0"/>
        <w:adjustRightInd/>
        <w:snapToGrid/>
        <w:spacing w:after="328" w:afterLines="10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□有，另附复印件 ☑有，自行网上下载（浏览）  □无</w:t>
      </w:r>
    </w:p>
    <w:p w14:paraId="3F322190">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278" w:name="_Toc6732"/>
      <w:r>
        <w:rPr>
          <w:rFonts w:hint="eastAsia" w:ascii="宋体" w:hAnsi="宋体" w:eastAsia="宋体" w:cs="宋体"/>
          <w:color w:val="auto"/>
          <w:kern w:val="2"/>
          <w:sz w:val="28"/>
          <w:szCs w:val="24"/>
          <w:lang w:val="en-US" w:eastAsia="zh-CN"/>
        </w:rPr>
        <w:t>1．图纸</w:t>
      </w:r>
      <w:bookmarkEnd w:id="278"/>
    </w:p>
    <w:p w14:paraId="7BA4C5D8">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highlight w:val="none"/>
        </w:rPr>
        <w:t>本工程</w:t>
      </w:r>
      <w:r>
        <w:rPr>
          <w:rFonts w:hint="eastAsia" w:ascii="宋体" w:hAnsi="宋体" w:eastAsia="宋体" w:cs="宋体"/>
          <w:snapToGrid w:val="0"/>
          <w:color w:val="auto"/>
          <w:kern w:val="0"/>
          <w:highlight w:val="none"/>
          <w:lang w:val="en-US" w:eastAsia="zh-CN"/>
        </w:rPr>
        <w:t>图纸</w:t>
      </w:r>
      <w:r>
        <w:rPr>
          <w:rFonts w:hint="eastAsia" w:ascii="宋体" w:hAnsi="宋体" w:eastAsia="宋体" w:cs="宋体"/>
          <w:snapToGrid w:val="0"/>
          <w:color w:val="auto"/>
          <w:kern w:val="0"/>
          <w:highlight w:val="none"/>
        </w:rPr>
        <w:t>在投标截止时间前15天以补充公告的形式在广东省招标投标监管网（http://zbtb.gd.gov.cn/login）、全国公共资源交易平台（广东省·韶关市）（https://ygp.gdzwfw.gov.cn/ggzy-portal/#/440200/index）网站公布，各投标人可在上述网站上自行下载。</w:t>
      </w:r>
    </w:p>
    <w:p w14:paraId="658D0D87">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279" w:name="_Toc8559"/>
      <w:r>
        <w:rPr>
          <w:rFonts w:hint="eastAsia" w:ascii="宋体" w:hAnsi="宋体" w:eastAsia="宋体" w:cs="宋体"/>
          <w:color w:val="auto"/>
          <w:kern w:val="2"/>
          <w:sz w:val="28"/>
          <w:szCs w:val="24"/>
          <w:lang w:val="en-US" w:eastAsia="zh-CN"/>
        </w:rPr>
        <w:t>2．招标工程量清单</w:t>
      </w:r>
      <w:bookmarkEnd w:id="279"/>
    </w:p>
    <w:p w14:paraId="40E1A063">
      <w:pPr>
        <w:pageBreakBefore w:val="0"/>
        <w:kinsoku/>
        <w:wordWrap w:val="0"/>
        <w:overflowPunct/>
        <w:topLinePunct w:val="0"/>
        <w:autoSpaceDE/>
        <w:autoSpaceDN/>
        <w:bidi w:val="0"/>
        <w:adjustRightInd w:val="0"/>
        <w:snapToGrid w:val="0"/>
        <w:spacing w:line="430" w:lineRule="exact"/>
        <w:ind w:firstLine="482" w:firstLineChars="200"/>
        <w:textAlignment w:val="auto"/>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highlight w:val="none"/>
        </w:rPr>
        <w:t>2.1</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lang w:val="en-US" w:eastAsia="zh-CN"/>
        </w:rPr>
        <w:t>本工程招标工程量清单在投标截止时间前15天以补充公告的形式在广东省招标投标监管网（http://zbtb.gd.gov.cn/login）、全国公共资源交易平台（广东省·韶关市）（https://ygp.gdzwfw.gov.cn/ggzy-portal/#/440200/index）网站公布，各投标人可在上述网站上自行下载。</w:t>
      </w:r>
    </w:p>
    <w:p w14:paraId="6ACCE8D9">
      <w:pPr>
        <w:keepNext w:val="0"/>
        <w:keepLines w:val="0"/>
        <w:pageBreakBefore w:val="0"/>
        <w:widowControl w:val="0"/>
        <w:kinsoku/>
        <w:wordWrap w:val="0"/>
        <w:overflowPunct/>
        <w:topLinePunct w:val="0"/>
        <w:autoSpaceDE/>
        <w:autoSpaceDN/>
        <w:bidi w:val="0"/>
        <w:adjustRightInd w:val="0"/>
        <w:snapToGrid w:val="0"/>
        <w:spacing w:line="43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2.2</w:t>
      </w:r>
      <w:r>
        <w:rPr>
          <w:rFonts w:hint="eastAsia" w:ascii="宋体" w:hAnsi="宋体" w:eastAsia="宋体" w:cs="宋体"/>
          <w:snapToGrid w:val="0"/>
          <w:color w:val="auto"/>
          <w:kern w:val="0"/>
          <w:highlight w:val="none"/>
        </w:rPr>
        <w:t xml:space="preserve"> 本招标项目按照以下依据编制招标工程量清单</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完整</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软件版</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w:t>
      </w:r>
    </w:p>
    <w:p w14:paraId="62DA5493">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（1）《建设工程工程量清单计价标准》（GB50500—2024）；</w:t>
      </w:r>
    </w:p>
    <w:p w14:paraId="19ED9F03">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清的其他问题一起提交给招标人，招标人将根据实际情况决定是否颁发工程量清单的补充和</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或</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修改文件。</w:t>
      </w:r>
    </w:p>
    <w:p w14:paraId="290A4FCF">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（3）本招标工程量清单措施项目中的暂列金额、暂估价不得作为竞争性费用，投标报价必须按本招标工程量清单规定的金额填报。</w:t>
      </w:r>
    </w:p>
    <w:p w14:paraId="5198259E">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（4）投标报价使用的表格格式须按照《建设工程工程量清单计价标准》（GB50500—2024）。</w:t>
      </w:r>
    </w:p>
    <w:p w14:paraId="3213B230">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（5）《广东省建设工程计价依据</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2024</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》。具体包括</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《房屋建筑与装饰工程工程量计算标准》</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GB/T·50854-2024</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《市政工程工程量计算标准》</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GB/T·50857-2024</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《通用安装工程工程量计算标准》</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GB/T·50856-2024</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《园林绿化工程工程量计算标准》</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CB/T50858-2024</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等；</w:t>
      </w:r>
    </w:p>
    <w:p w14:paraId="13044B68">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）施工图及相关资料；</w:t>
      </w:r>
    </w:p>
    <w:p w14:paraId="330B97D0">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）招标文件；</w:t>
      </w:r>
    </w:p>
    <w:p w14:paraId="3B8E4BC5">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8</w:t>
      </w:r>
      <w:r>
        <w:rPr>
          <w:rFonts w:hint="eastAsia" w:ascii="宋体" w:hAnsi="宋体" w:eastAsia="宋体" w:cs="宋体"/>
          <w:snapToGrid w:val="0"/>
          <w:color w:val="auto"/>
          <w:kern w:val="0"/>
          <w:highlight w:val="none"/>
        </w:rPr>
        <w:t>）施工现场情况、地勘水文资料、工程特点及常规施工方案；</w:t>
      </w:r>
    </w:p>
    <w:p w14:paraId="210CFB08">
      <w:pPr>
        <w:rPr>
          <w:rFonts w:hint="eastAsia" w:ascii="宋体" w:hAnsi="宋体" w:eastAsia="宋体" w:cs="宋体"/>
          <w:color w:val="auto"/>
          <w:lang w:val="en-US" w:eastAsia="zh-CN"/>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9</w:t>
      </w:r>
      <w:r>
        <w:rPr>
          <w:rFonts w:hint="eastAsia" w:ascii="宋体" w:hAnsi="宋体" w:eastAsia="宋体" w:cs="宋体"/>
          <w:snapToGrid w:val="0"/>
          <w:color w:val="auto"/>
          <w:kern w:val="0"/>
          <w:highlight w:val="none"/>
        </w:rPr>
        <w:t>）与建设工程有关的标准、规范、技术资料、材料设备信息价或市场价格等。</w:t>
      </w:r>
    </w:p>
    <w:p w14:paraId="5DBE4AAB">
      <w:pPr>
        <w:pStyle w:val="3"/>
        <w:keepLines w:val="0"/>
        <w:pageBreakBefore w:val="0"/>
        <w:widowControl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Style w:val="26"/>
          <w:rFonts w:hint="eastAsia" w:ascii="宋体" w:hAnsi="宋体" w:eastAsia="宋体" w:cs="宋体"/>
          <w:b/>
          <w:bCs/>
          <w:color w:val="auto"/>
          <w:sz w:val="21"/>
          <w:szCs w:val="21"/>
          <w:highlight w:val="none"/>
        </w:rPr>
      </w:pPr>
      <w:bookmarkStart w:id="280" w:name="_Toc22611"/>
      <w:bookmarkStart w:id="281" w:name="_Toc20486"/>
      <w:bookmarkStart w:id="282" w:name="_Toc3301"/>
      <w:bookmarkStart w:id="283" w:name="_Toc23235"/>
      <w:bookmarkStart w:id="284" w:name="_Toc20961"/>
      <w:bookmarkStart w:id="285" w:name="_Toc18703"/>
      <w:bookmarkStart w:id="286" w:name="_Toc23933"/>
      <w:bookmarkStart w:id="287" w:name="_Toc27783"/>
      <w:bookmarkStart w:id="288" w:name="_Toc5605"/>
      <w:bookmarkStart w:id="289" w:name="_Toc11483"/>
      <w:bookmarkStart w:id="290" w:name="_Toc2024"/>
      <w:bookmarkStart w:id="291" w:name="_Toc23861"/>
      <w:r>
        <w:rPr>
          <w:rFonts w:hint="eastAsia" w:ascii="宋体" w:hAnsi="宋体" w:eastAsia="宋体" w:cs="宋体"/>
          <w:color w:val="auto"/>
          <w:sz w:val="32"/>
          <w:szCs w:val="32"/>
          <w:highlight w:val="none"/>
        </w:rPr>
        <w:t>第六章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投标文件格式</w:t>
      </w:r>
      <w:bookmarkEnd w:id="280"/>
      <w:bookmarkEnd w:id="281"/>
      <w:bookmarkEnd w:id="282"/>
      <w:bookmarkEnd w:id="283"/>
      <w:bookmarkEnd w:id="284"/>
      <w:bookmarkEnd w:id="285"/>
      <w:bookmarkEnd w:id="286"/>
      <w:bookmarkEnd w:id="287"/>
      <w:bookmarkEnd w:id="288"/>
      <w:bookmarkEnd w:id="289"/>
      <w:bookmarkEnd w:id="290"/>
      <w:bookmarkEnd w:id="291"/>
    </w:p>
    <w:p w14:paraId="62282AED">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292" w:name="_Toc18444"/>
      <w:bookmarkStart w:id="293" w:name="_Toc27729"/>
      <w:bookmarkStart w:id="294" w:name="_Toc319"/>
      <w:bookmarkStart w:id="295" w:name="_Toc8250"/>
      <w:bookmarkStart w:id="296" w:name="_Toc22593"/>
      <w:bookmarkStart w:id="297" w:name="_Toc8025"/>
      <w:bookmarkStart w:id="298" w:name="_Toc7724"/>
      <w:bookmarkStart w:id="299" w:name="_Toc2924"/>
      <w:bookmarkStart w:id="300" w:name="_Toc15531"/>
      <w:bookmarkStart w:id="301" w:name="_Toc26040"/>
      <w:bookmarkStart w:id="302" w:name="_Toc16570"/>
      <w:bookmarkStart w:id="303" w:name="_Toc16168"/>
      <w:r>
        <w:rPr>
          <w:rFonts w:hint="eastAsia" w:ascii="宋体" w:hAnsi="宋体" w:eastAsia="宋体" w:cs="宋体"/>
          <w:color w:val="auto"/>
          <w:kern w:val="2"/>
          <w:sz w:val="28"/>
          <w:szCs w:val="24"/>
          <w:lang w:val="en-US" w:eastAsia="zh-CN"/>
        </w:rPr>
        <w:t>格式一   封面</w:t>
      </w:r>
      <w:bookmarkEnd w:id="292"/>
      <w:bookmarkEnd w:id="293"/>
      <w:bookmarkEnd w:id="294"/>
      <w:bookmarkEnd w:id="295"/>
      <w:bookmarkEnd w:id="296"/>
      <w:bookmarkEnd w:id="297"/>
      <w:bookmarkEnd w:id="298"/>
      <w:bookmarkEnd w:id="299"/>
      <w:bookmarkEnd w:id="300"/>
      <w:bookmarkEnd w:id="301"/>
      <w:bookmarkEnd w:id="302"/>
      <w:bookmarkEnd w:id="303"/>
    </w:p>
    <w:p w14:paraId="7734159E">
      <w:pPr>
        <w:rPr>
          <w:rFonts w:hint="eastAsia" w:ascii="宋体" w:hAnsi="宋体" w:eastAsia="宋体" w:cs="宋体"/>
          <w:color w:val="auto"/>
        </w:rPr>
      </w:pPr>
    </w:p>
    <w:p w14:paraId="2BF943DF">
      <w:pPr>
        <w:rPr>
          <w:rFonts w:hint="eastAsia" w:ascii="宋体" w:hAnsi="宋体" w:eastAsia="宋体" w:cs="宋体"/>
          <w:color w:val="auto"/>
        </w:rPr>
      </w:pPr>
    </w:p>
    <w:p w14:paraId="326FC9D5">
      <w:pPr>
        <w:rPr>
          <w:rFonts w:hint="eastAsia" w:ascii="宋体" w:hAnsi="宋体" w:eastAsia="宋体" w:cs="宋体"/>
          <w:color w:val="auto"/>
        </w:rPr>
      </w:pPr>
    </w:p>
    <w:p w14:paraId="0722FB7C">
      <w:pPr>
        <w:rPr>
          <w:rFonts w:hint="eastAsia" w:ascii="宋体" w:hAnsi="宋体" w:eastAsia="宋体" w:cs="宋体"/>
          <w:color w:val="auto"/>
        </w:rPr>
      </w:pPr>
    </w:p>
    <w:p w14:paraId="3B83FCD0">
      <w:pPr>
        <w:rPr>
          <w:rFonts w:hint="eastAsia" w:ascii="宋体" w:hAnsi="宋体" w:eastAsia="宋体" w:cs="宋体"/>
          <w:color w:val="auto"/>
        </w:rPr>
      </w:pPr>
    </w:p>
    <w:p w14:paraId="73D642A3">
      <w:pPr>
        <w:rPr>
          <w:rFonts w:hint="eastAsia" w:ascii="宋体" w:hAnsi="宋体" w:eastAsia="宋体" w:cs="宋体"/>
          <w:color w:val="auto"/>
        </w:rPr>
      </w:pPr>
    </w:p>
    <w:p w14:paraId="77FAA63E">
      <w:pPr>
        <w:pStyle w:val="50"/>
        <w:snapToGrid w:val="0"/>
        <w:spacing w:line="240" w:lineRule="auto"/>
        <w:ind w:firstLine="0"/>
        <w:jc w:val="center"/>
        <w:rPr>
          <w:rStyle w:val="26"/>
          <w:rFonts w:hint="eastAsia" w:ascii="宋体" w:hAnsi="宋体" w:eastAsia="宋体" w:cs="宋体"/>
          <w:b/>
          <w:bCs/>
          <w:color w:val="auto"/>
          <w:sz w:val="44"/>
          <w:szCs w:val="44"/>
          <w:highlight w:val="none"/>
        </w:rPr>
      </w:pPr>
      <w:r>
        <w:rPr>
          <w:rStyle w:val="26"/>
          <w:rFonts w:hint="eastAsia" w:ascii="宋体" w:hAnsi="宋体" w:eastAsia="宋体" w:cs="宋体"/>
          <w:color w:val="auto"/>
          <w:sz w:val="44"/>
          <w:szCs w:val="44"/>
          <w:highlight w:val="none"/>
          <w:u w:val="single"/>
        </w:rPr>
        <w:t xml:space="preserve">             </w:t>
      </w:r>
      <w:bookmarkStart w:id="304" w:name="_Toc23835"/>
      <w:bookmarkStart w:id="305" w:name="_Toc21235"/>
      <w:bookmarkStart w:id="306" w:name="_Toc17128"/>
      <w:bookmarkStart w:id="307" w:name="_Toc30993"/>
      <w:r>
        <w:rPr>
          <w:rStyle w:val="26"/>
          <w:rFonts w:hint="eastAsia" w:ascii="宋体" w:hAnsi="宋体" w:eastAsia="宋体" w:cs="宋体"/>
          <w:b/>
          <w:bCs/>
          <w:color w:val="auto"/>
          <w:sz w:val="44"/>
          <w:szCs w:val="44"/>
          <w:highlight w:val="none"/>
        </w:rPr>
        <w:t>（工程名称）招标</w:t>
      </w:r>
      <w:bookmarkEnd w:id="304"/>
      <w:bookmarkEnd w:id="305"/>
      <w:bookmarkEnd w:id="306"/>
      <w:bookmarkEnd w:id="307"/>
      <w:r>
        <w:rPr>
          <w:rStyle w:val="26"/>
          <w:rFonts w:hint="eastAsia" w:ascii="宋体" w:hAnsi="宋体" w:eastAsia="宋体" w:cs="宋体"/>
          <w:b/>
          <w:bCs/>
          <w:color w:val="auto"/>
          <w:sz w:val="44"/>
          <w:szCs w:val="44"/>
          <w:highlight w:val="none"/>
        </w:rPr>
        <w:t xml:space="preserve"> </w:t>
      </w:r>
    </w:p>
    <w:p w14:paraId="229795BD">
      <w:pPr>
        <w:rPr>
          <w:rFonts w:hint="eastAsia" w:ascii="宋体" w:hAnsi="宋体" w:eastAsia="宋体" w:cs="宋体"/>
          <w:color w:val="auto"/>
        </w:rPr>
      </w:pPr>
    </w:p>
    <w:p w14:paraId="5C2325B3">
      <w:pPr>
        <w:rPr>
          <w:rFonts w:hint="eastAsia" w:ascii="宋体" w:hAnsi="宋体" w:eastAsia="宋体" w:cs="宋体"/>
          <w:color w:val="auto"/>
        </w:rPr>
      </w:pPr>
    </w:p>
    <w:p w14:paraId="02541C50">
      <w:pPr>
        <w:pStyle w:val="50"/>
        <w:snapToGrid w:val="0"/>
        <w:spacing w:line="240" w:lineRule="auto"/>
        <w:ind w:firstLine="0"/>
        <w:jc w:val="center"/>
        <w:rPr>
          <w:rStyle w:val="26"/>
          <w:rFonts w:hint="eastAsia" w:ascii="宋体" w:hAnsi="宋体" w:eastAsia="宋体" w:cs="宋体"/>
          <w:b/>
          <w:bCs/>
          <w:color w:val="auto"/>
          <w:sz w:val="44"/>
          <w:szCs w:val="44"/>
          <w:highlight w:val="none"/>
        </w:rPr>
      </w:pPr>
      <w:r>
        <w:rPr>
          <w:rStyle w:val="26"/>
          <w:rFonts w:hint="eastAsia" w:ascii="宋体" w:hAnsi="宋体" w:eastAsia="宋体" w:cs="宋体"/>
          <w:b/>
          <w:bCs/>
          <w:color w:val="auto"/>
          <w:sz w:val="44"/>
          <w:szCs w:val="44"/>
          <w:highlight w:val="none"/>
        </w:rPr>
        <w:t>投  标  文  件</w:t>
      </w:r>
    </w:p>
    <w:p w14:paraId="4A8FE0CA">
      <w:pPr>
        <w:rPr>
          <w:rFonts w:hint="eastAsia" w:ascii="宋体" w:hAnsi="宋体" w:eastAsia="宋体" w:cs="宋体"/>
          <w:color w:val="auto"/>
        </w:rPr>
      </w:pPr>
    </w:p>
    <w:p w14:paraId="51419D59">
      <w:pPr>
        <w:rPr>
          <w:rFonts w:hint="eastAsia" w:ascii="宋体" w:hAnsi="宋体" w:eastAsia="宋体" w:cs="宋体"/>
          <w:color w:val="auto"/>
        </w:rPr>
      </w:pPr>
    </w:p>
    <w:p w14:paraId="342AEB83">
      <w:pPr>
        <w:pStyle w:val="50"/>
        <w:snapToGrid w:val="0"/>
        <w:spacing w:line="240" w:lineRule="auto"/>
        <w:ind w:firstLine="0"/>
        <w:jc w:val="center"/>
        <w:rPr>
          <w:rStyle w:val="26"/>
          <w:rFonts w:hint="eastAsia" w:ascii="宋体" w:hAnsi="宋体" w:eastAsia="宋体" w:cs="宋体"/>
          <w:b/>
          <w:bCs/>
          <w:color w:val="auto"/>
          <w:sz w:val="44"/>
          <w:szCs w:val="44"/>
          <w:highlight w:val="none"/>
        </w:rPr>
      </w:pPr>
      <w:bookmarkStart w:id="308" w:name="_Toc10939"/>
      <w:bookmarkStart w:id="309" w:name="_Toc23170"/>
      <w:bookmarkStart w:id="310" w:name="_Toc25717"/>
      <w:bookmarkStart w:id="311" w:name="_Toc14202"/>
      <w:r>
        <w:rPr>
          <w:rStyle w:val="26"/>
          <w:rFonts w:hint="eastAsia" w:ascii="宋体" w:hAnsi="宋体" w:eastAsia="宋体" w:cs="宋体"/>
          <w:b/>
          <w:bCs/>
          <w:color w:val="auto"/>
          <w:sz w:val="44"/>
          <w:szCs w:val="44"/>
          <w:highlight w:val="none"/>
        </w:rPr>
        <w:t>（商务标书／经济标书／施工组织设计</w:t>
      </w:r>
      <w:r>
        <w:rPr>
          <w:rStyle w:val="26"/>
          <w:rFonts w:hint="eastAsia" w:ascii="宋体" w:hAnsi="宋体" w:eastAsia="宋体" w:cs="宋体"/>
          <w:b/>
          <w:bCs/>
          <w:color w:val="auto"/>
          <w:sz w:val="44"/>
          <w:szCs w:val="44"/>
          <w:highlight w:val="none"/>
          <w:lang w:val="en-US" w:eastAsia="zh-CN"/>
        </w:rPr>
        <w:t>/定标文件</w:t>
      </w:r>
      <w:r>
        <w:rPr>
          <w:rStyle w:val="26"/>
          <w:rFonts w:hint="eastAsia" w:ascii="宋体" w:hAnsi="宋体" w:eastAsia="宋体" w:cs="宋体"/>
          <w:b/>
          <w:bCs/>
          <w:color w:val="auto"/>
          <w:sz w:val="44"/>
          <w:szCs w:val="44"/>
          <w:highlight w:val="none"/>
        </w:rPr>
        <w:t>）</w:t>
      </w:r>
      <w:bookmarkEnd w:id="308"/>
      <w:bookmarkEnd w:id="309"/>
      <w:bookmarkEnd w:id="310"/>
      <w:bookmarkEnd w:id="311"/>
    </w:p>
    <w:p w14:paraId="503C862B">
      <w:pPr>
        <w:rPr>
          <w:rFonts w:hint="eastAsia" w:ascii="宋体" w:hAnsi="宋体" w:eastAsia="宋体" w:cs="宋体"/>
          <w:color w:val="auto"/>
        </w:rPr>
      </w:pPr>
    </w:p>
    <w:p w14:paraId="4DDB1EF6">
      <w:pPr>
        <w:rPr>
          <w:rFonts w:hint="eastAsia" w:ascii="宋体" w:hAnsi="宋体" w:eastAsia="宋体" w:cs="宋体"/>
          <w:color w:val="auto"/>
        </w:rPr>
      </w:pPr>
    </w:p>
    <w:p w14:paraId="5DC449CE">
      <w:pPr>
        <w:rPr>
          <w:rFonts w:hint="eastAsia" w:ascii="宋体" w:hAnsi="宋体" w:eastAsia="宋体" w:cs="宋体"/>
          <w:color w:val="auto"/>
        </w:rPr>
      </w:pPr>
    </w:p>
    <w:p w14:paraId="62D777DC">
      <w:pPr>
        <w:rPr>
          <w:rFonts w:hint="eastAsia" w:ascii="宋体" w:hAnsi="宋体" w:eastAsia="宋体" w:cs="宋体"/>
          <w:color w:val="auto"/>
        </w:rPr>
      </w:pPr>
    </w:p>
    <w:p w14:paraId="19722DA4">
      <w:pPr>
        <w:rPr>
          <w:rFonts w:hint="eastAsia" w:ascii="宋体" w:hAnsi="宋体" w:eastAsia="宋体" w:cs="宋体"/>
          <w:color w:val="auto"/>
        </w:rPr>
      </w:pPr>
    </w:p>
    <w:p w14:paraId="0001EBC3">
      <w:pPr>
        <w:rPr>
          <w:rFonts w:hint="eastAsia" w:ascii="宋体" w:hAnsi="宋体" w:eastAsia="宋体" w:cs="宋体"/>
          <w:color w:val="auto"/>
        </w:rPr>
      </w:pPr>
    </w:p>
    <w:p w14:paraId="3D3D1992">
      <w:pPr>
        <w:pStyle w:val="50"/>
        <w:snapToGrid w:val="0"/>
        <w:spacing w:line="240" w:lineRule="auto"/>
        <w:ind w:firstLine="0"/>
        <w:jc w:val="center"/>
        <w:rPr>
          <w:rStyle w:val="26"/>
          <w:rFonts w:hint="eastAsia" w:ascii="宋体" w:hAnsi="宋体" w:eastAsia="宋体" w:cs="宋体"/>
          <w:color w:val="auto"/>
          <w:sz w:val="30"/>
          <w:szCs w:val="30"/>
          <w:highlight w:val="none"/>
        </w:rPr>
      </w:pPr>
      <w:bookmarkStart w:id="312" w:name="_Toc753"/>
      <w:bookmarkStart w:id="313" w:name="_Toc11118"/>
      <w:bookmarkStart w:id="314" w:name="_Toc8126"/>
      <w:bookmarkStart w:id="315" w:name="_Toc18522"/>
      <w:r>
        <w:rPr>
          <w:rStyle w:val="26"/>
          <w:rFonts w:hint="eastAsia" w:ascii="宋体" w:hAnsi="宋体" w:eastAsia="宋体" w:cs="宋体"/>
          <w:color w:val="auto"/>
          <w:sz w:val="30"/>
          <w:szCs w:val="30"/>
          <w:highlight w:val="none"/>
        </w:rPr>
        <w:t>投标人：</w:t>
      </w:r>
      <w:r>
        <w:rPr>
          <w:rStyle w:val="26"/>
          <w:rFonts w:hint="eastAsia" w:ascii="宋体" w:hAnsi="宋体" w:eastAsia="宋体" w:cs="宋体"/>
          <w:color w:val="auto"/>
          <w:sz w:val="30"/>
          <w:szCs w:val="30"/>
          <w:highlight w:val="none"/>
          <w:u w:val="single"/>
        </w:rPr>
        <w:t xml:space="preserve">                                   </w:t>
      </w:r>
      <w:r>
        <w:rPr>
          <w:rStyle w:val="26"/>
          <w:rFonts w:hint="eastAsia" w:ascii="宋体" w:hAnsi="宋体" w:eastAsia="宋体" w:cs="宋体"/>
          <w:color w:val="auto"/>
          <w:sz w:val="30"/>
          <w:szCs w:val="30"/>
          <w:highlight w:val="none"/>
        </w:rPr>
        <w:t>（盖单位章）</w:t>
      </w:r>
      <w:bookmarkEnd w:id="312"/>
      <w:bookmarkEnd w:id="313"/>
      <w:bookmarkEnd w:id="314"/>
      <w:bookmarkEnd w:id="315"/>
    </w:p>
    <w:p w14:paraId="5F7AE029">
      <w:pPr>
        <w:rPr>
          <w:rFonts w:hint="eastAsia" w:ascii="宋体" w:hAnsi="宋体" w:eastAsia="宋体" w:cs="宋体"/>
          <w:color w:val="auto"/>
        </w:rPr>
      </w:pPr>
    </w:p>
    <w:p w14:paraId="060CEDEE">
      <w:pPr>
        <w:rPr>
          <w:rFonts w:hint="eastAsia" w:ascii="宋体" w:hAnsi="宋体" w:eastAsia="宋体" w:cs="宋体"/>
          <w:color w:val="auto"/>
        </w:rPr>
      </w:pPr>
    </w:p>
    <w:p w14:paraId="28683B0A">
      <w:pPr>
        <w:pStyle w:val="50"/>
        <w:snapToGrid w:val="0"/>
        <w:spacing w:line="240" w:lineRule="auto"/>
        <w:ind w:firstLine="0"/>
        <w:jc w:val="center"/>
        <w:rPr>
          <w:rStyle w:val="26"/>
          <w:rFonts w:hint="eastAsia" w:ascii="宋体" w:hAnsi="宋体" w:eastAsia="宋体" w:cs="宋体"/>
          <w:color w:val="auto"/>
          <w:sz w:val="30"/>
          <w:szCs w:val="30"/>
          <w:highlight w:val="none"/>
        </w:rPr>
      </w:pPr>
      <w:bookmarkStart w:id="316" w:name="_Toc28339"/>
      <w:bookmarkStart w:id="317" w:name="_Toc19176"/>
      <w:bookmarkStart w:id="318" w:name="_Toc501"/>
      <w:bookmarkStart w:id="319" w:name="_Toc12062"/>
      <w:r>
        <w:rPr>
          <w:rStyle w:val="26"/>
          <w:rFonts w:hint="eastAsia" w:ascii="宋体" w:hAnsi="宋体" w:eastAsia="宋体" w:cs="宋体"/>
          <w:color w:val="auto"/>
          <w:sz w:val="30"/>
          <w:szCs w:val="30"/>
          <w:highlight w:val="none"/>
        </w:rPr>
        <w:t>法定代表人或其委托代理人：</w:t>
      </w:r>
      <w:r>
        <w:rPr>
          <w:rStyle w:val="26"/>
          <w:rFonts w:hint="eastAsia" w:ascii="宋体" w:hAnsi="宋体" w:eastAsia="宋体" w:cs="宋体"/>
          <w:color w:val="auto"/>
          <w:sz w:val="30"/>
          <w:szCs w:val="30"/>
          <w:highlight w:val="none"/>
          <w:u w:val="single"/>
        </w:rPr>
        <w:t xml:space="preserve">               </w:t>
      </w:r>
      <w:r>
        <w:rPr>
          <w:rStyle w:val="26"/>
          <w:rFonts w:hint="eastAsia" w:ascii="宋体" w:hAnsi="宋体" w:eastAsia="宋体" w:cs="宋体"/>
          <w:color w:val="auto"/>
          <w:sz w:val="30"/>
          <w:szCs w:val="30"/>
          <w:highlight w:val="none"/>
        </w:rPr>
        <w:t>（签字或盖章）</w:t>
      </w:r>
      <w:bookmarkEnd w:id="316"/>
      <w:bookmarkEnd w:id="317"/>
      <w:bookmarkEnd w:id="318"/>
      <w:bookmarkEnd w:id="319"/>
    </w:p>
    <w:p w14:paraId="29230D4F">
      <w:pPr>
        <w:rPr>
          <w:rFonts w:hint="eastAsia" w:ascii="宋体" w:hAnsi="宋体" w:eastAsia="宋体" w:cs="宋体"/>
          <w:color w:val="auto"/>
        </w:rPr>
      </w:pPr>
    </w:p>
    <w:p w14:paraId="3360A6E0">
      <w:pPr>
        <w:rPr>
          <w:rFonts w:hint="eastAsia" w:ascii="宋体" w:hAnsi="宋体" w:eastAsia="宋体" w:cs="宋体"/>
          <w:color w:val="auto"/>
        </w:rPr>
      </w:pPr>
    </w:p>
    <w:p w14:paraId="75E49D0C">
      <w:pPr>
        <w:pStyle w:val="50"/>
        <w:snapToGrid w:val="0"/>
        <w:spacing w:line="240" w:lineRule="auto"/>
        <w:ind w:firstLine="0"/>
        <w:jc w:val="center"/>
        <w:rPr>
          <w:rStyle w:val="26"/>
          <w:rFonts w:hint="eastAsia" w:ascii="宋体" w:hAnsi="宋体" w:eastAsia="宋体" w:cs="宋体"/>
          <w:b/>
          <w:bCs/>
          <w:color w:val="auto"/>
          <w:sz w:val="30"/>
          <w:szCs w:val="30"/>
          <w:highlight w:val="none"/>
        </w:rPr>
      </w:pPr>
      <w:r>
        <w:rPr>
          <w:rStyle w:val="26"/>
          <w:rFonts w:hint="eastAsia" w:ascii="宋体" w:hAnsi="宋体" w:eastAsia="宋体" w:cs="宋体"/>
          <w:color w:val="auto"/>
          <w:sz w:val="30"/>
          <w:szCs w:val="30"/>
          <w:highlight w:val="none"/>
          <w:u w:val="single"/>
        </w:rPr>
        <w:t xml:space="preserve">         </w:t>
      </w:r>
      <w:bookmarkStart w:id="320" w:name="_Toc23099"/>
      <w:bookmarkStart w:id="321" w:name="_Toc24812"/>
      <w:bookmarkStart w:id="322" w:name="_Toc19304"/>
      <w:bookmarkStart w:id="323" w:name="_Toc29803"/>
      <w:bookmarkStart w:id="324" w:name="_Toc27315"/>
      <w:r>
        <w:rPr>
          <w:rStyle w:val="26"/>
          <w:rFonts w:hint="eastAsia" w:ascii="宋体" w:hAnsi="宋体" w:eastAsia="宋体" w:cs="宋体"/>
          <w:color w:val="auto"/>
          <w:sz w:val="30"/>
          <w:szCs w:val="30"/>
          <w:highlight w:val="none"/>
        </w:rPr>
        <w:t>年</w:t>
      </w:r>
      <w:r>
        <w:rPr>
          <w:rStyle w:val="26"/>
          <w:rFonts w:hint="eastAsia" w:ascii="宋体" w:hAnsi="宋体" w:eastAsia="宋体" w:cs="宋体"/>
          <w:color w:val="auto"/>
          <w:sz w:val="30"/>
          <w:szCs w:val="30"/>
          <w:highlight w:val="none"/>
          <w:u w:val="single"/>
        </w:rPr>
        <w:t xml:space="preserve">      </w:t>
      </w:r>
      <w:r>
        <w:rPr>
          <w:rStyle w:val="26"/>
          <w:rFonts w:hint="eastAsia" w:ascii="宋体" w:hAnsi="宋体" w:eastAsia="宋体" w:cs="宋体"/>
          <w:color w:val="auto"/>
          <w:sz w:val="30"/>
          <w:szCs w:val="30"/>
          <w:highlight w:val="none"/>
        </w:rPr>
        <w:t>月</w:t>
      </w:r>
      <w:r>
        <w:rPr>
          <w:rStyle w:val="26"/>
          <w:rFonts w:hint="eastAsia" w:ascii="宋体" w:hAnsi="宋体" w:eastAsia="宋体" w:cs="宋体"/>
          <w:color w:val="auto"/>
          <w:sz w:val="30"/>
          <w:szCs w:val="30"/>
          <w:highlight w:val="none"/>
          <w:u w:val="single"/>
        </w:rPr>
        <w:t xml:space="preserve">      </w:t>
      </w:r>
      <w:r>
        <w:rPr>
          <w:rStyle w:val="26"/>
          <w:rFonts w:hint="eastAsia" w:ascii="宋体" w:hAnsi="宋体" w:eastAsia="宋体" w:cs="宋体"/>
          <w:color w:val="auto"/>
          <w:sz w:val="30"/>
          <w:szCs w:val="30"/>
          <w:highlight w:val="none"/>
        </w:rPr>
        <w:t>日</w:t>
      </w:r>
      <w:bookmarkEnd w:id="320"/>
      <w:bookmarkEnd w:id="321"/>
      <w:bookmarkEnd w:id="322"/>
      <w:bookmarkEnd w:id="323"/>
      <w:bookmarkEnd w:id="324"/>
    </w:p>
    <w:p w14:paraId="59E3B350">
      <w:pPr>
        <w:rPr>
          <w:rFonts w:hint="eastAsia" w:ascii="宋体" w:hAnsi="宋体" w:eastAsia="宋体" w:cs="宋体"/>
          <w:color w:val="auto"/>
        </w:rPr>
      </w:pPr>
      <w:bookmarkStart w:id="325" w:name="_Toc27916"/>
      <w:bookmarkStart w:id="326" w:name="_Toc10385"/>
      <w:bookmarkStart w:id="327" w:name="_Toc5509"/>
      <w:bookmarkStart w:id="328" w:name="_Toc23624"/>
      <w:bookmarkStart w:id="329" w:name="_Toc30213"/>
      <w:bookmarkStart w:id="330" w:name="_Toc28278"/>
      <w:bookmarkStart w:id="331" w:name="_Toc28797"/>
      <w:bookmarkStart w:id="332" w:name="_Toc30854"/>
      <w:bookmarkStart w:id="333" w:name="_Toc15168"/>
      <w:bookmarkStart w:id="334" w:name="_Toc5547"/>
      <w:bookmarkStart w:id="335" w:name="_Toc21399"/>
    </w:p>
    <w:p w14:paraId="01E4DBCF">
      <w:pPr>
        <w:rPr>
          <w:rFonts w:hint="eastAsia" w:ascii="宋体" w:hAnsi="宋体" w:eastAsia="宋体" w:cs="宋体"/>
          <w:color w:val="auto"/>
        </w:rPr>
      </w:pPr>
    </w:p>
    <w:p w14:paraId="36E710BB">
      <w:pPr>
        <w:rPr>
          <w:rFonts w:hint="eastAsia" w:ascii="宋体" w:hAnsi="宋体" w:eastAsia="宋体" w:cs="宋体"/>
          <w:color w:val="auto"/>
        </w:rPr>
      </w:pPr>
    </w:p>
    <w:p w14:paraId="4DBBCFC6">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336" w:name="_Toc8879"/>
      <w:r>
        <w:rPr>
          <w:rFonts w:hint="eastAsia" w:ascii="宋体" w:hAnsi="宋体" w:eastAsia="宋体" w:cs="宋体"/>
          <w:color w:val="auto"/>
          <w:kern w:val="2"/>
          <w:sz w:val="28"/>
          <w:szCs w:val="24"/>
          <w:lang w:val="en-US" w:eastAsia="zh-CN"/>
        </w:rPr>
        <w:t>格式二   投标函</w:t>
      </w:r>
      <w:bookmarkEnd w:id="325"/>
      <w:bookmarkEnd w:id="326"/>
      <w:bookmarkEnd w:id="327"/>
      <w:bookmarkEnd w:id="328"/>
      <w:bookmarkEnd w:id="329"/>
      <w:bookmarkEnd w:id="330"/>
      <w:bookmarkEnd w:id="331"/>
      <w:bookmarkEnd w:id="332"/>
      <w:bookmarkEnd w:id="333"/>
      <w:bookmarkEnd w:id="334"/>
      <w:bookmarkEnd w:id="335"/>
      <w:bookmarkEnd w:id="336"/>
    </w:p>
    <w:p w14:paraId="0C92EBEB">
      <w:pPr>
        <w:pStyle w:val="40"/>
        <w:widowControl w:val="0"/>
        <w:wordWrap w:val="0"/>
        <w:adjustRightInd w:val="0"/>
        <w:snapToGrid w:val="0"/>
        <w:spacing w:before="240" w:after="240" w:line="440" w:lineRule="exact"/>
        <w:ind w:firstLine="0"/>
        <w:jc w:val="center"/>
        <w:rPr>
          <w:rStyle w:val="26"/>
          <w:rFonts w:hint="eastAsia" w:ascii="宋体" w:hAnsi="宋体" w:eastAsia="宋体" w:cs="宋体"/>
          <w:b/>
          <w:bCs/>
          <w:color w:val="auto"/>
          <w:kern w:val="0"/>
          <w:sz w:val="21"/>
          <w:szCs w:val="21"/>
          <w:highlight w:val="none"/>
        </w:rPr>
      </w:pPr>
      <w:r>
        <w:rPr>
          <w:rFonts w:hint="eastAsia" w:ascii="宋体" w:hAnsi="宋体" w:eastAsia="宋体" w:cs="宋体"/>
          <w:b/>
          <w:snapToGrid w:val="0"/>
          <w:color w:val="auto"/>
          <w:sz w:val="24"/>
          <w:szCs w:val="24"/>
          <w:highlight w:val="none"/>
        </w:rPr>
        <w:t>投  标  函</w:t>
      </w:r>
    </w:p>
    <w:p w14:paraId="3607E24A">
      <w:pPr>
        <w:snapToGrid w:val="0"/>
        <w:spacing w:line="360" w:lineRule="auto"/>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致：</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（招标人名称）</w:t>
      </w:r>
    </w:p>
    <w:p w14:paraId="0B1C5013">
      <w:pPr>
        <w:numPr>
          <w:ilvl w:val="0"/>
          <w:numId w:val="1"/>
        </w:numPr>
        <w:snapToGrid w:val="0"/>
        <w:spacing w:line="360" w:lineRule="auto"/>
        <w:ind w:firstLine="57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我方考察现场并充分研究</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（工程名称）（以下简称“本工程”）招标文件所有内容后，结合自身资质、能力和特点，愿意接受招标文件的全部内容和条件，兹以人民币（大写）：</w:t>
      </w:r>
    </w:p>
    <w:p w14:paraId="3B140A69">
      <w:pPr>
        <w:numPr>
          <w:ilvl w:val="0"/>
          <w:numId w:val="0"/>
        </w:numPr>
        <w:snapToGrid w:val="0"/>
        <w:spacing w:line="360" w:lineRule="auto"/>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）的投标总价竞投本工程施工。</w:t>
      </w:r>
    </w:p>
    <w:p w14:paraId="01C0C0AC">
      <w:pPr>
        <w:snapToGrid w:val="0"/>
        <w:spacing w:line="360" w:lineRule="auto"/>
        <w:ind w:firstLine="570"/>
        <w:rPr>
          <w:rStyle w:val="26"/>
          <w:rFonts w:hint="eastAsia" w:ascii="宋体" w:hAnsi="宋体" w:eastAsia="宋体" w:cs="宋体"/>
          <w:color w:val="auto"/>
          <w:kern w:val="0"/>
          <w:sz w:val="24"/>
          <w:szCs w:val="24"/>
          <w:highlight w:val="none"/>
          <w:lang w:val="en-US"/>
        </w:rPr>
      </w:pPr>
      <w:r>
        <w:rPr>
          <w:rStyle w:val="26"/>
          <w:rFonts w:hint="eastAsia" w:ascii="宋体" w:hAnsi="宋体" w:eastAsia="宋体" w:cs="宋体"/>
          <w:color w:val="auto"/>
          <w:kern w:val="0"/>
          <w:sz w:val="24"/>
          <w:szCs w:val="24"/>
          <w:highlight w:val="none"/>
        </w:rPr>
        <w:t>在我方的上述投标总价中，包括：安全生产措施费</w:t>
      </w:r>
      <w:r>
        <w:rPr>
          <w:rStyle w:val="26"/>
          <w:rFonts w:hint="eastAsia" w:ascii="宋体" w:hAnsi="宋体" w:eastAsia="宋体" w:cs="宋体"/>
          <w:color w:val="auto"/>
          <w:kern w:val="0"/>
          <w:sz w:val="24"/>
          <w:szCs w:val="24"/>
          <w:highlight w:val="none"/>
          <w:lang w:eastAsia="zh-CN"/>
        </w:rPr>
        <w:t>：</w:t>
      </w:r>
      <w:r>
        <w:rPr>
          <w:rStyle w:val="26"/>
          <w:rFonts w:hint="eastAsia" w:ascii="宋体" w:hAnsi="宋体" w:eastAsia="宋体" w:cs="宋体"/>
          <w:color w:val="auto"/>
          <w:kern w:val="0"/>
          <w:sz w:val="24"/>
          <w:szCs w:val="24"/>
          <w:highlight w:val="none"/>
        </w:rPr>
        <w:t>¥</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u w:val="none"/>
          <w:lang w:val="en-US" w:eastAsia="zh-CN"/>
        </w:rPr>
        <w:t xml:space="preserve"> </w:t>
      </w:r>
      <w:r>
        <w:rPr>
          <w:rStyle w:val="26"/>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lang w:val="en-US" w:eastAsia="zh-CN"/>
        </w:rPr>
        <w:t>暂列金额：</w:t>
      </w:r>
      <w:r>
        <w:rPr>
          <w:rStyle w:val="26"/>
          <w:rFonts w:hint="eastAsia" w:ascii="宋体" w:hAnsi="宋体" w:eastAsia="宋体" w:cs="宋体"/>
          <w:color w:val="auto"/>
          <w:kern w:val="0"/>
          <w:sz w:val="24"/>
          <w:szCs w:val="24"/>
          <w:highlight w:val="none"/>
        </w:rPr>
        <w:t>¥</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u w:val="none"/>
          <w:lang w:eastAsia="zh-CN"/>
        </w:rPr>
        <w:t>，</w:t>
      </w:r>
      <w:r>
        <w:rPr>
          <w:rFonts w:hint="eastAsia" w:ascii="宋体" w:hAnsi="宋体" w:eastAsia="宋体" w:cs="宋体"/>
          <w:color w:val="auto"/>
          <w:sz w:val="24"/>
          <w:szCs w:val="24"/>
          <w:highlight w:val="none"/>
          <w:lang w:val="en-US" w:eastAsia="zh-CN"/>
        </w:rPr>
        <w:t>暂估价：</w:t>
      </w:r>
      <w:r>
        <w:rPr>
          <w:rStyle w:val="26"/>
          <w:rFonts w:hint="eastAsia" w:ascii="宋体" w:hAnsi="宋体" w:eastAsia="宋体" w:cs="宋体"/>
          <w:color w:val="auto"/>
          <w:kern w:val="0"/>
          <w:sz w:val="24"/>
          <w:szCs w:val="24"/>
          <w:highlight w:val="none"/>
        </w:rPr>
        <w:t>¥</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u w:val="none"/>
          <w:lang w:eastAsia="zh-CN"/>
        </w:rPr>
        <w:t>。</w:t>
      </w:r>
    </w:p>
    <w:p w14:paraId="606C9DDB">
      <w:pPr>
        <w:snapToGrid w:val="0"/>
        <w:spacing w:line="360" w:lineRule="auto"/>
        <w:ind w:firstLine="57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2.如果我方中标，我方保证按照合同约定的开工日期开始本工程的施工，</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u w:val="single"/>
          <w:lang w:val="en-US" w:eastAsia="zh-CN"/>
        </w:rPr>
        <w:t xml:space="preserve">  </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个日历天内竣工，并确保工程质量达到</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标准和维修其中的任何缺陷。</w:t>
      </w:r>
    </w:p>
    <w:p w14:paraId="10F82FC6">
      <w:pPr>
        <w:snapToGrid w:val="0"/>
        <w:spacing w:line="360" w:lineRule="auto"/>
        <w:ind w:firstLine="57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3.本投标函在你方接收我方递交的投标文件之日起、到招标文件规定的投标有效期期满前对我方具有约束力。我方随时准备接受你方发出的中标通知书。</w:t>
      </w:r>
    </w:p>
    <w:p w14:paraId="120DFB96">
      <w:pPr>
        <w:snapToGrid w:val="0"/>
        <w:spacing w:line="360" w:lineRule="auto"/>
        <w:ind w:firstLine="57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lang w:eastAsia="zh-CN"/>
        </w:rPr>
        <w:t>4.</w:t>
      </w:r>
      <w:r>
        <w:rPr>
          <w:rStyle w:val="26"/>
          <w:rFonts w:hint="eastAsia" w:ascii="宋体" w:hAnsi="宋体" w:eastAsia="宋体" w:cs="宋体"/>
          <w:color w:val="auto"/>
          <w:kern w:val="0"/>
          <w:sz w:val="24"/>
          <w:szCs w:val="24"/>
          <w:highlight w:val="none"/>
        </w:rPr>
        <w:t>我方在此声明，我方不存在本工程招标文件第一章第三节第</w:t>
      </w:r>
      <w:r>
        <w:rPr>
          <w:rStyle w:val="26"/>
          <w:rFonts w:hint="eastAsia" w:ascii="宋体" w:hAnsi="宋体" w:eastAsia="宋体" w:cs="宋体"/>
          <w:b/>
          <w:bCs/>
          <w:color w:val="auto"/>
          <w:kern w:val="0"/>
          <w:sz w:val="24"/>
          <w:szCs w:val="24"/>
          <w:highlight w:val="none"/>
        </w:rPr>
        <w:t>2.4</w:t>
      </w:r>
      <w:r>
        <w:rPr>
          <w:rStyle w:val="26"/>
          <w:rFonts w:hint="eastAsia" w:ascii="宋体" w:hAnsi="宋体" w:eastAsia="宋体" w:cs="宋体"/>
          <w:color w:val="auto"/>
          <w:kern w:val="0"/>
          <w:sz w:val="24"/>
          <w:szCs w:val="24"/>
          <w:highlight w:val="none"/>
        </w:rPr>
        <w:t>条“禁止投标条款”所列出的任何一种情形，并愿意承担因我方就此弄虚作假所引起的一切法律后果。</w:t>
      </w:r>
    </w:p>
    <w:p w14:paraId="0E1EADA7">
      <w:pPr>
        <w:snapToGrid w:val="0"/>
        <w:spacing w:line="360" w:lineRule="auto"/>
        <w:ind w:firstLine="57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lang w:eastAsia="zh-CN"/>
        </w:rPr>
        <w:t>5.</w:t>
      </w:r>
      <w:r>
        <w:rPr>
          <w:rStyle w:val="26"/>
          <w:rFonts w:hint="eastAsia" w:ascii="宋体" w:hAnsi="宋体" w:eastAsia="宋体" w:cs="宋体"/>
          <w:color w:val="auto"/>
          <w:kern w:val="0"/>
          <w:sz w:val="24"/>
          <w:szCs w:val="24"/>
          <w:highlight w:val="none"/>
        </w:rPr>
        <w:t>我方在此承诺，所递交投标文件的全部内容均为真实、有效、准确的，并愿意承担因我方就此弄虚作假所引起的一切法律后果，同时理解和同意有可能被要求提供更多的资料。</w:t>
      </w:r>
    </w:p>
    <w:p w14:paraId="70E35F1F">
      <w:pPr>
        <w:snapToGrid w:val="0"/>
        <w:spacing w:line="360" w:lineRule="auto"/>
        <w:ind w:firstLine="57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6. 我方理解你方不一定要接纳收到的最低投标总价或任何投标总价的投标人中标，也不要求你方解释我方是否中标的原因。</w:t>
      </w:r>
    </w:p>
    <w:p w14:paraId="7A45D4F7">
      <w:pPr>
        <w:snapToGrid w:val="0"/>
        <w:spacing w:line="360" w:lineRule="auto"/>
        <w:rPr>
          <w:rStyle w:val="26"/>
          <w:rFonts w:hint="eastAsia" w:ascii="宋体" w:hAnsi="宋体" w:eastAsia="宋体" w:cs="宋体"/>
          <w:color w:val="auto"/>
          <w:kern w:val="0"/>
          <w:sz w:val="24"/>
          <w:szCs w:val="24"/>
          <w:highlight w:val="none"/>
        </w:rPr>
      </w:pPr>
    </w:p>
    <w:p w14:paraId="5590BBF0">
      <w:pPr>
        <w:snapToGrid w:val="0"/>
        <w:spacing w:line="440" w:lineRule="exact"/>
        <w:jc w:val="right"/>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xml:space="preserve">    投标人：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（盖单位章）</w:t>
      </w:r>
    </w:p>
    <w:p w14:paraId="7420DBDF">
      <w:pPr>
        <w:rPr>
          <w:rFonts w:hint="eastAsia" w:ascii="宋体" w:hAnsi="宋体" w:eastAsia="宋体" w:cs="宋体"/>
          <w:color w:val="auto"/>
        </w:rPr>
      </w:pPr>
    </w:p>
    <w:p w14:paraId="0D3BDE2A">
      <w:pPr>
        <w:snapToGrid w:val="0"/>
        <w:spacing w:line="440" w:lineRule="exact"/>
        <w:ind w:firstLine="480" w:firstLineChars="200"/>
        <w:jc w:val="right"/>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法定代表人或其委托代理人：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（签字或盖章）</w:t>
      </w:r>
    </w:p>
    <w:p w14:paraId="4BF1C921">
      <w:pPr>
        <w:snapToGrid w:val="0"/>
        <w:spacing w:line="440" w:lineRule="exact"/>
        <w:jc w:val="both"/>
        <w:rPr>
          <w:rStyle w:val="26"/>
          <w:rFonts w:hint="eastAsia" w:ascii="宋体" w:hAnsi="宋体" w:eastAsia="宋体" w:cs="宋体"/>
          <w:color w:val="auto"/>
          <w:kern w:val="0"/>
          <w:sz w:val="24"/>
          <w:szCs w:val="24"/>
          <w:highlight w:val="none"/>
        </w:rPr>
      </w:pPr>
    </w:p>
    <w:p w14:paraId="34D3A73A">
      <w:pPr>
        <w:snapToGrid w:val="0"/>
        <w:spacing w:line="440" w:lineRule="exact"/>
        <w:jc w:val="right"/>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xml:space="preserve">                                       </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年</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月</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日</w:t>
      </w:r>
    </w:p>
    <w:p w14:paraId="3FFD2416">
      <w:pPr>
        <w:rPr>
          <w:rFonts w:hint="eastAsia" w:ascii="宋体" w:hAnsi="宋体" w:eastAsia="宋体" w:cs="宋体"/>
          <w:color w:val="auto"/>
        </w:rPr>
      </w:pPr>
    </w:p>
    <w:p w14:paraId="0FE280B9">
      <w:pPr>
        <w:rPr>
          <w:rFonts w:hint="eastAsia" w:ascii="宋体" w:hAnsi="宋体" w:eastAsia="宋体" w:cs="宋体"/>
          <w:color w:val="auto"/>
        </w:rPr>
      </w:pPr>
    </w:p>
    <w:p w14:paraId="4BA705F7">
      <w:pPr>
        <w:rPr>
          <w:rFonts w:hint="eastAsia" w:ascii="宋体" w:hAnsi="宋体" w:eastAsia="宋体" w:cs="宋体"/>
          <w:color w:val="auto"/>
        </w:rPr>
      </w:pPr>
    </w:p>
    <w:p w14:paraId="34E7B0E3">
      <w:pPr>
        <w:rPr>
          <w:rFonts w:hint="eastAsia" w:ascii="宋体" w:hAnsi="宋体" w:eastAsia="宋体" w:cs="宋体"/>
          <w:color w:val="auto"/>
        </w:rPr>
      </w:pPr>
    </w:p>
    <w:p w14:paraId="566163BD">
      <w:pPr>
        <w:rPr>
          <w:rFonts w:hint="eastAsia" w:ascii="宋体" w:hAnsi="宋体" w:eastAsia="宋体" w:cs="宋体"/>
          <w:color w:val="auto"/>
        </w:rPr>
      </w:pPr>
    </w:p>
    <w:p w14:paraId="3D95126D">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337" w:name="_Toc32320"/>
      <w:bookmarkStart w:id="338" w:name="_Toc5519"/>
      <w:bookmarkStart w:id="339" w:name="_Toc5017"/>
      <w:bookmarkStart w:id="340" w:name="_Toc8294"/>
      <w:bookmarkStart w:id="341" w:name="_Toc12440"/>
      <w:bookmarkStart w:id="342" w:name="_Toc12375"/>
      <w:bookmarkStart w:id="343" w:name="_Toc4375"/>
      <w:bookmarkStart w:id="344" w:name="_Toc1615"/>
      <w:bookmarkStart w:id="345" w:name="_Toc14714"/>
      <w:bookmarkStart w:id="346" w:name="_Toc13340"/>
      <w:bookmarkStart w:id="347" w:name="_Toc7329"/>
      <w:bookmarkStart w:id="348" w:name="_Toc21578"/>
      <w:bookmarkStart w:id="349" w:name="_Toc23704"/>
      <w:r>
        <w:rPr>
          <w:rFonts w:hint="eastAsia" w:ascii="宋体" w:hAnsi="宋体" w:eastAsia="宋体" w:cs="宋体"/>
          <w:color w:val="auto"/>
          <w:kern w:val="2"/>
          <w:sz w:val="28"/>
          <w:szCs w:val="24"/>
          <w:lang w:val="en-US" w:eastAsia="zh-CN"/>
        </w:rPr>
        <w:t>格式三   各项承诺一览表</w:t>
      </w:r>
      <w:bookmarkEnd w:id="337"/>
      <w:bookmarkEnd w:id="338"/>
      <w:bookmarkEnd w:id="339"/>
      <w:bookmarkEnd w:id="340"/>
      <w:bookmarkEnd w:id="341"/>
      <w:bookmarkEnd w:id="342"/>
      <w:bookmarkEnd w:id="343"/>
      <w:bookmarkEnd w:id="344"/>
      <w:bookmarkEnd w:id="345"/>
    </w:p>
    <w:p w14:paraId="09963830">
      <w:pPr>
        <w:pStyle w:val="40"/>
        <w:widowControl w:val="0"/>
        <w:wordWrap w:val="0"/>
        <w:adjustRightInd w:val="0"/>
        <w:snapToGrid w:val="0"/>
        <w:spacing w:before="240" w:after="240" w:line="440" w:lineRule="exact"/>
        <w:ind w:firstLine="0"/>
        <w:jc w:val="center"/>
        <w:rPr>
          <w:rFonts w:hint="eastAsia" w:ascii="宋体" w:hAnsi="宋体" w:eastAsia="宋体" w:cs="宋体"/>
          <w:b/>
          <w:snapToGrid w:val="0"/>
          <w:color w:val="auto"/>
          <w:sz w:val="24"/>
          <w:szCs w:val="24"/>
          <w:highlight w:val="none"/>
        </w:rPr>
      </w:pPr>
      <w:bookmarkStart w:id="350" w:name="_Toc14261300"/>
      <w:r>
        <w:rPr>
          <w:rFonts w:hint="eastAsia" w:ascii="宋体" w:hAnsi="宋体" w:eastAsia="宋体" w:cs="宋体"/>
          <w:b/>
          <w:snapToGrid w:val="0"/>
          <w:color w:val="auto"/>
          <w:sz w:val="24"/>
          <w:szCs w:val="24"/>
          <w:highlight w:val="none"/>
        </w:rPr>
        <w:t>各项承诺一览表</w:t>
      </w:r>
      <w:bookmarkEnd w:id="350"/>
    </w:p>
    <w:tbl>
      <w:tblPr>
        <w:tblStyle w:val="21"/>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256"/>
      </w:tblGrid>
      <w:tr w14:paraId="7F26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7FF56520">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序号</w:t>
            </w:r>
          </w:p>
        </w:tc>
        <w:tc>
          <w:tcPr>
            <w:tcW w:w="1573" w:type="dxa"/>
            <w:noWrap w:val="0"/>
            <w:vAlign w:val="center"/>
          </w:tcPr>
          <w:p w14:paraId="64C0F768">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承诺事项</w:t>
            </w:r>
          </w:p>
        </w:tc>
        <w:tc>
          <w:tcPr>
            <w:tcW w:w="2923" w:type="dxa"/>
            <w:noWrap w:val="0"/>
            <w:vAlign w:val="center"/>
          </w:tcPr>
          <w:p w14:paraId="7E4C6117">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承诺内容</w:t>
            </w:r>
          </w:p>
        </w:tc>
        <w:tc>
          <w:tcPr>
            <w:tcW w:w="4256" w:type="dxa"/>
            <w:noWrap w:val="0"/>
            <w:vAlign w:val="center"/>
          </w:tcPr>
          <w:p w14:paraId="3AD5DBB7">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违约承诺</w:t>
            </w:r>
          </w:p>
        </w:tc>
      </w:tr>
      <w:tr w14:paraId="49F8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7" w:hRule="atLeast"/>
          <w:jc w:val="center"/>
        </w:trPr>
        <w:tc>
          <w:tcPr>
            <w:tcW w:w="716" w:type="dxa"/>
            <w:noWrap w:val="0"/>
            <w:vAlign w:val="center"/>
          </w:tcPr>
          <w:p w14:paraId="307BBEAF">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73" w:type="dxa"/>
            <w:noWrap w:val="0"/>
            <w:vAlign w:val="center"/>
          </w:tcPr>
          <w:p w14:paraId="479DEDC1">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自愿接受招标</w:t>
            </w:r>
          </w:p>
          <w:p w14:paraId="7D21E449">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文件条款的承诺</w:t>
            </w:r>
          </w:p>
        </w:tc>
        <w:tc>
          <w:tcPr>
            <w:tcW w:w="2923" w:type="dxa"/>
            <w:noWrap w:val="0"/>
            <w:vAlign w:val="center"/>
          </w:tcPr>
          <w:p w14:paraId="56E8A6CE">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我方自愿接受招标文件的所有条款，所递交的投标文件已经充分响应招标文件的实质性要求。</w:t>
            </w:r>
          </w:p>
        </w:tc>
        <w:tc>
          <w:tcPr>
            <w:tcW w:w="4256" w:type="dxa"/>
            <w:noWrap w:val="0"/>
            <w:vAlign w:val="center"/>
          </w:tcPr>
          <w:p w14:paraId="5F0A930F">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如果我方的投标文件未响应、违反、偏离招标文件的实质性要求，我方接受招标人或其授权的招标代理机构或其组建的评标委员会依据招标文件作出的相应处理，包括否决投标。</w:t>
            </w:r>
          </w:p>
        </w:tc>
      </w:tr>
      <w:tr w14:paraId="2D66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2" w:hRule="atLeast"/>
          <w:jc w:val="center"/>
        </w:trPr>
        <w:tc>
          <w:tcPr>
            <w:tcW w:w="716" w:type="dxa"/>
            <w:noWrap w:val="0"/>
            <w:vAlign w:val="center"/>
          </w:tcPr>
          <w:p w14:paraId="70060353">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73" w:type="dxa"/>
            <w:noWrap w:val="0"/>
            <w:vAlign w:val="center"/>
          </w:tcPr>
          <w:p w14:paraId="3F7516A6">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无禁止投标</w:t>
            </w:r>
          </w:p>
          <w:p w14:paraId="19099F88">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情形的承诺</w:t>
            </w:r>
          </w:p>
        </w:tc>
        <w:tc>
          <w:tcPr>
            <w:tcW w:w="2923" w:type="dxa"/>
            <w:noWrap w:val="0"/>
            <w:vAlign w:val="center"/>
          </w:tcPr>
          <w:p w14:paraId="4F3E5CC4">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我方不存在招标文件第一章第三节第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条“禁止投标条款”规定的任何一种情形。</w:t>
            </w:r>
          </w:p>
        </w:tc>
        <w:tc>
          <w:tcPr>
            <w:tcW w:w="4256" w:type="dxa"/>
            <w:noWrap w:val="0"/>
            <w:vAlign w:val="center"/>
          </w:tcPr>
          <w:p w14:paraId="33493C11">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如果我方有招标文件第一章第三节第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A72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8" w:hRule="atLeast"/>
          <w:jc w:val="center"/>
        </w:trPr>
        <w:tc>
          <w:tcPr>
            <w:tcW w:w="716" w:type="dxa"/>
            <w:noWrap w:val="0"/>
            <w:vAlign w:val="center"/>
          </w:tcPr>
          <w:p w14:paraId="3141E5D0">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573" w:type="dxa"/>
            <w:noWrap w:val="0"/>
            <w:vAlign w:val="center"/>
          </w:tcPr>
          <w:p w14:paraId="382B2F6D">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自觉抵制围标</w:t>
            </w:r>
          </w:p>
          <w:p w14:paraId="668B3E81">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串标和弄虚</w:t>
            </w:r>
          </w:p>
          <w:p w14:paraId="12512AE6">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作假行为的承诺</w:t>
            </w:r>
          </w:p>
        </w:tc>
        <w:tc>
          <w:tcPr>
            <w:tcW w:w="2923" w:type="dxa"/>
            <w:noWrap w:val="0"/>
            <w:vAlign w:val="center"/>
          </w:tcPr>
          <w:p w14:paraId="16CC3EC5">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我方合法正当、诚实守信地参与投标，不组织、不参加围标串标违法行为，不通过弄虚作假行为骗取中标。</w:t>
            </w:r>
          </w:p>
        </w:tc>
        <w:tc>
          <w:tcPr>
            <w:tcW w:w="4256" w:type="dxa"/>
            <w:noWrap w:val="0"/>
            <w:vAlign w:val="center"/>
          </w:tcPr>
          <w:p w14:paraId="392F9D67">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734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5" w:hRule="atLeast"/>
          <w:jc w:val="center"/>
        </w:trPr>
        <w:tc>
          <w:tcPr>
            <w:tcW w:w="716" w:type="dxa"/>
            <w:noWrap w:val="0"/>
            <w:vAlign w:val="center"/>
          </w:tcPr>
          <w:p w14:paraId="75D96684">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573" w:type="dxa"/>
            <w:noWrap w:val="0"/>
            <w:vAlign w:val="center"/>
          </w:tcPr>
          <w:p w14:paraId="038DB9F9">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66C2DE97">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任职承诺</w:t>
            </w:r>
          </w:p>
        </w:tc>
        <w:tc>
          <w:tcPr>
            <w:tcW w:w="2923" w:type="dxa"/>
            <w:noWrap w:val="0"/>
            <w:vAlign w:val="center"/>
          </w:tcPr>
          <w:p w14:paraId="54DA4F55">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我方拟派项目经理现阶段没有担任任何在施（包括已中标未开工、已开工未竣工）建设工程项目的项目经理。</w:t>
            </w:r>
          </w:p>
        </w:tc>
        <w:tc>
          <w:tcPr>
            <w:tcW w:w="4256" w:type="dxa"/>
            <w:noWrap w:val="0"/>
            <w:vAlign w:val="center"/>
          </w:tcPr>
          <w:p w14:paraId="48A50563">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EB4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5" w:hRule="atLeast"/>
          <w:jc w:val="center"/>
        </w:trPr>
        <w:tc>
          <w:tcPr>
            <w:tcW w:w="716" w:type="dxa"/>
            <w:noWrap w:val="0"/>
            <w:vAlign w:val="center"/>
          </w:tcPr>
          <w:p w14:paraId="4EDABC00">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573" w:type="dxa"/>
            <w:noWrap w:val="0"/>
            <w:vAlign w:val="center"/>
          </w:tcPr>
          <w:p w14:paraId="7C34E12A">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14:paraId="070D1D24">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真实性承诺</w:t>
            </w:r>
          </w:p>
        </w:tc>
        <w:tc>
          <w:tcPr>
            <w:tcW w:w="2923" w:type="dxa"/>
            <w:noWrap w:val="0"/>
            <w:vAlign w:val="center"/>
          </w:tcPr>
          <w:p w14:paraId="05A1647B">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我方所递交投标文件的全部内容均为真实、有效、准确的。</w:t>
            </w:r>
          </w:p>
        </w:tc>
        <w:tc>
          <w:tcPr>
            <w:tcW w:w="4256" w:type="dxa"/>
            <w:noWrap w:val="0"/>
            <w:vAlign w:val="center"/>
          </w:tcPr>
          <w:p w14:paraId="6166712F">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如果我方递交的投标文件任何内容不真实或无效或不准确，我方接受招标人或其授权的招标代理机构或其组建的评标委员会依据招标文件作出的相应处理，包括否决投标。</w:t>
            </w:r>
          </w:p>
        </w:tc>
      </w:tr>
      <w:tr w14:paraId="3092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2E6E1209">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573" w:type="dxa"/>
            <w:noWrap w:val="0"/>
            <w:vAlign w:val="center"/>
          </w:tcPr>
          <w:p w14:paraId="7DEFB2F5">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14:paraId="69B4EEC1">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信息公开承诺</w:t>
            </w:r>
          </w:p>
        </w:tc>
        <w:tc>
          <w:tcPr>
            <w:tcW w:w="2923" w:type="dxa"/>
            <w:noWrap w:val="0"/>
            <w:vAlign w:val="center"/>
          </w:tcPr>
          <w:p w14:paraId="1A13002D">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我方提供完整的电子文件。如果我方成为本项目中标候选人，我方同意并授权招标人在评标结果公示期内公开我方商务标书的全部内容。</w:t>
            </w:r>
          </w:p>
        </w:tc>
        <w:tc>
          <w:tcPr>
            <w:tcW w:w="4256" w:type="dxa"/>
            <w:tcBorders>
              <w:bottom w:val="single" w:color="auto" w:sz="4" w:space="0"/>
              <w:tr2bl w:val="single" w:color="auto" w:sz="4" w:space="0"/>
            </w:tcBorders>
            <w:noWrap w:val="0"/>
            <w:vAlign w:val="center"/>
          </w:tcPr>
          <w:p w14:paraId="6C910419">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tc>
      </w:tr>
      <w:tr w14:paraId="03CE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7FADA9BD">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573" w:type="dxa"/>
            <w:noWrap w:val="0"/>
            <w:vAlign w:val="center"/>
          </w:tcPr>
          <w:p w14:paraId="17D2FD2B">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对不正常报价</w:t>
            </w:r>
          </w:p>
          <w:p w14:paraId="5E5F1E3F">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的确认承诺</w:t>
            </w:r>
          </w:p>
        </w:tc>
        <w:tc>
          <w:tcPr>
            <w:tcW w:w="2923" w:type="dxa"/>
            <w:noWrap w:val="0"/>
            <w:vAlign w:val="center"/>
          </w:tcPr>
          <w:p w14:paraId="6A619D13">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如果我方中标，我方接受招标人在合同订立期间依据招标文件有关条款约定对我方已标价工程量清单中不正常报价的修正或认定，并按要求签署《不正常报价清单》加以确认。</w:t>
            </w:r>
          </w:p>
        </w:tc>
        <w:tc>
          <w:tcPr>
            <w:tcW w:w="4256" w:type="dxa"/>
            <w:tcBorders>
              <w:tr2bl w:val="single" w:color="auto" w:sz="4" w:space="0"/>
            </w:tcBorders>
            <w:noWrap w:val="0"/>
            <w:vAlign w:val="center"/>
          </w:tcPr>
          <w:p w14:paraId="3200B7FB">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4"/>
                <w:szCs w:val="24"/>
                <w:highlight w:val="none"/>
              </w:rPr>
            </w:pPr>
          </w:p>
          <w:p w14:paraId="289BECED">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4"/>
                <w:szCs w:val="24"/>
                <w:highlight w:val="none"/>
              </w:rPr>
            </w:pPr>
          </w:p>
        </w:tc>
      </w:tr>
      <w:tr w14:paraId="2923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37CF1AF4">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573" w:type="dxa"/>
            <w:noWrap w:val="0"/>
            <w:vAlign w:val="center"/>
          </w:tcPr>
          <w:p w14:paraId="6E2F8218">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按时提交履约</w:t>
            </w:r>
          </w:p>
          <w:p w14:paraId="1907617C">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保证的承诺</w:t>
            </w:r>
          </w:p>
        </w:tc>
        <w:tc>
          <w:tcPr>
            <w:tcW w:w="2923" w:type="dxa"/>
            <w:noWrap w:val="0"/>
            <w:vAlign w:val="center"/>
          </w:tcPr>
          <w:p w14:paraId="125C78F4">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如果我方中标，我方保证在招标文件规定的时限内全额提交履约保证。</w:t>
            </w:r>
          </w:p>
        </w:tc>
        <w:tc>
          <w:tcPr>
            <w:tcW w:w="4256" w:type="dxa"/>
            <w:noWrap w:val="0"/>
            <w:vAlign w:val="center"/>
          </w:tcPr>
          <w:p w14:paraId="0BA02E67">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78E0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165FD5BE">
            <w:pPr>
              <w:pStyle w:val="41"/>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573" w:type="dxa"/>
            <w:noWrap w:val="0"/>
            <w:vAlign w:val="center"/>
          </w:tcPr>
          <w:p w14:paraId="53F9492D">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按时签订合同</w:t>
            </w:r>
          </w:p>
          <w:p w14:paraId="7284DE49">
            <w:pPr>
              <w:pStyle w:val="5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的承诺</w:t>
            </w:r>
          </w:p>
        </w:tc>
        <w:tc>
          <w:tcPr>
            <w:tcW w:w="2923" w:type="dxa"/>
            <w:noWrap w:val="0"/>
            <w:vAlign w:val="center"/>
          </w:tcPr>
          <w:p w14:paraId="66C73FDD">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如果我方中标，我方保证在招标文件规定的时限内与招标人签订合同，不提出违背或超出招标文件、中标文件的要求。</w:t>
            </w:r>
          </w:p>
        </w:tc>
        <w:tc>
          <w:tcPr>
            <w:tcW w:w="4256" w:type="dxa"/>
            <w:noWrap w:val="0"/>
            <w:vAlign w:val="center"/>
          </w:tcPr>
          <w:p w14:paraId="3812CEBC">
            <w:pPr>
              <w:pStyle w:val="5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323C3B98">
      <w:pPr>
        <w:rPr>
          <w:rFonts w:hint="eastAsia" w:ascii="宋体" w:hAnsi="宋体" w:eastAsia="宋体" w:cs="宋体"/>
          <w:color w:val="auto"/>
        </w:rPr>
      </w:pPr>
    </w:p>
    <w:p w14:paraId="63A82D9C">
      <w:pPr>
        <w:rPr>
          <w:rFonts w:hint="eastAsia" w:ascii="宋体" w:hAnsi="宋体" w:eastAsia="宋体" w:cs="宋体"/>
          <w:color w:val="auto"/>
        </w:rPr>
      </w:pPr>
    </w:p>
    <w:p w14:paraId="7E6DB24B">
      <w:pPr>
        <w:rPr>
          <w:rFonts w:hint="eastAsia" w:ascii="宋体" w:hAnsi="宋体" w:eastAsia="宋体" w:cs="宋体"/>
          <w:color w:val="auto"/>
        </w:rPr>
      </w:pPr>
    </w:p>
    <w:p w14:paraId="17F417AE">
      <w:pPr>
        <w:rPr>
          <w:rFonts w:hint="eastAsia" w:ascii="宋体" w:hAnsi="宋体" w:eastAsia="宋体" w:cs="宋体"/>
          <w:color w:val="auto"/>
        </w:rPr>
      </w:pPr>
    </w:p>
    <w:p w14:paraId="17D7B049">
      <w:pPr>
        <w:pStyle w:val="12"/>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48D06ED9">
      <w:pPr>
        <w:rPr>
          <w:rFonts w:hint="eastAsia" w:ascii="宋体" w:hAnsi="宋体" w:eastAsia="宋体" w:cs="宋体"/>
          <w:color w:val="auto"/>
        </w:rPr>
      </w:pPr>
    </w:p>
    <w:p w14:paraId="0707CBE6">
      <w:pPr>
        <w:pStyle w:val="12"/>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690F04E5">
      <w:pPr>
        <w:rPr>
          <w:rFonts w:hint="eastAsia" w:ascii="宋体" w:hAnsi="宋体" w:eastAsia="宋体" w:cs="宋体"/>
          <w:color w:val="auto"/>
        </w:rPr>
      </w:pPr>
    </w:p>
    <w:p w14:paraId="5F29ABD6">
      <w:pPr>
        <w:pStyle w:val="12"/>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44C8AFA8">
      <w:pPr>
        <w:rPr>
          <w:rFonts w:hint="eastAsia" w:ascii="宋体" w:hAnsi="宋体" w:eastAsia="宋体" w:cs="宋体"/>
          <w:color w:val="auto"/>
        </w:rPr>
      </w:pPr>
    </w:p>
    <w:p w14:paraId="46E99E3E">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351" w:name="_Toc22"/>
      <w:bookmarkStart w:id="352" w:name="_Toc25154"/>
      <w:bookmarkStart w:id="353" w:name="_Toc30144"/>
      <w:bookmarkStart w:id="354" w:name="_Toc4663"/>
      <w:bookmarkStart w:id="355" w:name="_Toc4092"/>
      <w:bookmarkStart w:id="356" w:name="_Toc270"/>
      <w:bookmarkStart w:id="357" w:name="_Toc1495"/>
      <w:bookmarkStart w:id="358" w:name="_Toc14045"/>
      <w:r>
        <w:rPr>
          <w:rFonts w:hint="eastAsia" w:ascii="宋体" w:hAnsi="宋体" w:eastAsia="宋体" w:cs="宋体"/>
          <w:color w:val="auto"/>
          <w:kern w:val="2"/>
          <w:sz w:val="28"/>
          <w:szCs w:val="24"/>
          <w:lang w:val="en-US" w:eastAsia="zh-CN"/>
        </w:rPr>
        <w:t>格式四   授权委托书</w:t>
      </w:r>
      <w:bookmarkEnd w:id="346"/>
      <w:bookmarkEnd w:id="347"/>
      <w:bookmarkEnd w:id="348"/>
      <w:bookmarkEnd w:id="349"/>
      <w:bookmarkEnd w:id="351"/>
      <w:bookmarkEnd w:id="352"/>
      <w:bookmarkEnd w:id="353"/>
      <w:bookmarkEnd w:id="354"/>
      <w:bookmarkEnd w:id="355"/>
      <w:bookmarkEnd w:id="356"/>
      <w:bookmarkEnd w:id="357"/>
      <w:bookmarkEnd w:id="358"/>
    </w:p>
    <w:p w14:paraId="5FF8F0C9">
      <w:pPr>
        <w:snapToGrid w:val="0"/>
        <w:spacing w:before="260" w:after="260" w:line="440" w:lineRule="exact"/>
        <w:jc w:val="center"/>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授权委托书</w:t>
      </w:r>
    </w:p>
    <w:p w14:paraId="263EA2B2">
      <w:pPr>
        <w:snapToGrid w:val="0"/>
        <w:spacing w:line="360" w:lineRule="auto"/>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xml:space="preserve">    本人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（姓名）系</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（投标人名称）的法定代表人，现委托</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（姓名）为我方代理人。代理人根据授权，以我方名义签署、澄清、说明、补正、递交、撤回、修改</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（工程名称）投标文件、签订合同和处理有关事宜，其法律后果由我方承担。</w:t>
      </w:r>
    </w:p>
    <w:p w14:paraId="079A756C">
      <w:pPr>
        <w:snapToGrid w:val="0"/>
        <w:spacing w:line="360" w:lineRule="auto"/>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委托期限：</w:t>
      </w:r>
      <w:r>
        <w:rPr>
          <w:rFonts w:hint="eastAsia" w:ascii="宋体" w:hAnsi="宋体" w:eastAsia="宋体" w:cs="宋体"/>
          <w:snapToGrid w:val="0"/>
          <w:color w:val="auto"/>
          <w:kern w:val="0"/>
          <w:sz w:val="24"/>
          <w:szCs w:val="24"/>
          <w:highlight w:val="none"/>
          <w:u w:val="single"/>
        </w:rPr>
        <w:t>至投标有效期的期满之日止</w:t>
      </w:r>
      <w:r>
        <w:rPr>
          <w:rStyle w:val="26"/>
          <w:rFonts w:hint="eastAsia" w:ascii="宋体" w:hAnsi="宋体" w:eastAsia="宋体" w:cs="宋体"/>
          <w:color w:val="auto"/>
          <w:kern w:val="0"/>
          <w:sz w:val="24"/>
          <w:szCs w:val="24"/>
          <w:highlight w:val="none"/>
        </w:rPr>
        <w:t>。</w:t>
      </w:r>
    </w:p>
    <w:p w14:paraId="23E745EC">
      <w:pPr>
        <w:snapToGrid w:val="0"/>
        <w:spacing w:line="360" w:lineRule="auto"/>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xml:space="preserve">    代理人无转委托权。</w:t>
      </w:r>
    </w:p>
    <w:p w14:paraId="375137B2">
      <w:pPr>
        <w:rPr>
          <w:rFonts w:hint="eastAsia" w:ascii="宋体" w:hAnsi="宋体" w:eastAsia="宋体" w:cs="宋体"/>
          <w:color w:val="auto"/>
        </w:rPr>
      </w:pPr>
    </w:p>
    <w:p w14:paraId="60D9D10B">
      <w:pPr>
        <w:rPr>
          <w:rFonts w:hint="eastAsia" w:ascii="宋体" w:hAnsi="宋体" w:eastAsia="宋体" w:cs="宋体"/>
          <w:color w:val="auto"/>
        </w:rPr>
      </w:pPr>
    </w:p>
    <w:p w14:paraId="3C601395">
      <w:pPr>
        <w:rPr>
          <w:rFonts w:hint="eastAsia" w:ascii="宋体" w:hAnsi="宋体" w:eastAsia="宋体" w:cs="宋体"/>
          <w:color w:val="auto"/>
        </w:rPr>
      </w:pPr>
    </w:p>
    <w:p w14:paraId="1E84C777">
      <w:pPr>
        <w:snapToGrid w:val="0"/>
        <w:spacing w:line="440" w:lineRule="exact"/>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投  标  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（盖单位章）</w:t>
      </w:r>
    </w:p>
    <w:p w14:paraId="2E0B3C3B">
      <w:pPr>
        <w:rPr>
          <w:rFonts w:hint="eastAsia" w:ascii="宋体" w:hAnsi="宋体" w:eastAsia="宋体" w:cs="宋体"/>
          <w:color w:val="auto"/>
        </w:rPr>
      </w:pPr>
    </w:p>
    <w:p w14:paraId="23A8440E">
      <w:pPr>
        <w:rPr>
          <w:rFonts w:hint="eastAsia" w:ascii="宋体" w:hAnsi="宋体" w:eastAsia="宋体" w:cs="宋体"/>
          <w:color w:val="auto"/>
        </w:rPr>
      </w:pPr>
    </w:p>
    <w:p w14:paraId="5F4C6746">
      <w:pPr>
        <w:snapToGrid w:val="0"/>
        <w:spacing w:line="440" w:lineRule="exact"/>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w:t>
      </w:r>
      <w:r>
        <w:rPr>
          <w:rStyle w:val="26"/>
          <w:rFonts w:hint="eastAsia" w:ascii="宋体" w:hAnsi="宋体" w:eastAsia="宋体" w:cs="宋体"/>
          <w:color w:val="auto"/>
          <w:kern w:val="0"/>
          <w:sz w:val="24"/>
          <w:szCs w:val="24"/>
          <w:highlight w:val="none"/>
          <w:lang w:val="en-US" w:eastAsia="zh-CN"/>
        </w:rPr>
        <w:t xml:space="preserve">  </w:t>
      </w:r>
      <w:r>
        <w:rPr>
          <w:rStyle w:val="26"/>
          <w:rFonts w:hint="eastAsia" w:ascii="宋体" w:hAnsi="宋体" w:eastAsia="宋体" w:cs="宋体"/>
          <w:color w:val="auto"/>
          <w:kern w:val="0"/>
          <w:sz w:val="24"/>
          <w:szCs w:val="24"/>
          <w:highlight w:val="none"/>
        </w:rPr>
        <w:t>法定代表人：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（签字或盖章）</w:t>
      </w:r>
    </w:p>
    <w:p w14:paraId="03600267">
      <w:pPr>
        <w:snapToGrid w:val="0"/>
        <w:spacing w:line="440" w:lineRule="exact"/>
        <w:rPr>
          <w:rStyle w:val="26"/>
          <w:rFonts w:hint="eastAsia" w:ascii="宋体" w:hAnsi="宋体" w:eastAsia="宋体" w:cs="宋体"/>
          <w:color w:val="auto"/>
          <w:kern w:val="0"/>
          <w:sz w:val="24"/>
          <w:szCs w:val="24"/>
          <w:highlight w:val="none"/>
        </w:rPr>
      </w:pPr>
    </w:p>
    <w:p w14:paraId="344C53AA">
      <w:pPr>
        <w:snapToGrid w:val="0"/>
        <w:spacing w:line="440" w:lineRule="exact"/>
        <w:rPr>
          <w:rStyle w:val="26"/>
          <w:rFonts w:hint="eastAsia" w:ascii="宋体" w:hAnsi="宋体" w:eastAsia="宋体" w:cs="宋体"/>
          <w:color w:val="auto"/>
          <w:kern w:val="0"/>
          <w:sz w:val="24"/>
          <w:szCs w:val="24"/>
          <w:highlight w:val="none"/>
        </w:rPr>
      </w:pPr>
    </w:p>
    <w:p w14:paraId="10F047DA">
      <w:pPr>
        <w:snapToGrid w:val="0"/>
        <w:spacing w:line="440" w:lineRule="exact"/>
        <w:ind w:left="2640" w:leftChars="200" w:hanging="2160" w:hangingChars="9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w:t>
      </w:r>
      <w:r>
        <w:rPr>
          <w:rStyle w:val="26"/>
          <w:rFonts w:hint="eastAsia" w:ascii="宋体" w:hAnsi="宋体" w:eastAsia="宋体" w:cs="宋体"/>
          <w:color w:val="auto"/>
          <w:kern w:val="0"/>
          <w:sz w:val="24"/>
          <w:szCs w:val="24"/>
          <w:highlight w:val="none"/>
          <w:lang w:val="en-US" w:eastAsia="zh-CN"/>
        </w:rPr>
        <w:t xml:space="preserve">  </w:t>
      </w:r>
      <w:r>
        <w:rPr>
          <w:rStyle w:val="26"/>
          <w:rFonts w:hint="eastAsia" w:ascii="宋体" w:hAnsi="宋体" w:eastAsia="宋体" w:cs="宋体"/>
          <w:color w:val="auto"/>
          <w:kern w:val="0"/>
          <w:sz w:val="24"/>
          <w:szCs w:val="24"/>
          <w:highlight w:val="none"/>
        </w:rPr>
        <w:t>　　委托代理人：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（签字或盖章）</w:t>
      </w:r>
    </w:p>
    <w:p w14:paraId="5988A793">
      <w:pPr>
        <w:snapToGrid w:val="0"/>
        <w:spacing w:line="440" w:lineRule="exact"/>
        <w:rPr>
          <w:rStyle w:val="26"/>
          <w:rFonts w:hint="eastAsia" w:ascii="宋体" w:hAnsi="宋体" w:eastAsia="宋体" w:cs="宋体"/>
          <w:color w:val="auto"/>
          <w:kern w:val="0"/>
          <w:sz w:val="24"/>
          <w:szCs w:val="24"/>
          <w:highlight w:val="none"/>
        </w:rPr>
      </w:pPr>
    </w:p>
    <w:p w14:paraId="02CD916B">
      <w:pPr>
        <w:snapToGrid w:val="0"/>
        <w:spacing w:line="440" w:lineRule="exact"/>
        <w:rPr>
          <w:rStyle w:val="26"/>
          <w:rFonts w:hint="eastAsia" w:ascii="宋体" w:hAnsi="宋体" w:eastAsia="宋体" w:cs="宋体"/>
          <w:color w:val="auto"/>
          <w:kern w:val="0"/>
          <w:sz w:val="24"/>
          <w:szCs w:val="24"/>
          <w:highlight w:val="none"/>
        </w:rPr>
      </w:pPr>
    </w:p>
    <w:p w14:paraId="73E37D72">
      <w:pPr>
        <w:snapToGrid w:val="0"/>
        <w:spacing w:line="440" w:lineRule="exact"/>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年</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月</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日</w:t>
      </w:r>
    </w:p>
    <w:p w14:paraId="0DB87D0A">
      <w:pPr>
        <w:rPr>
          <w:rFonts w:hint="eastAsia" w:ascii="宋体" w:hAnsi="宋体" w:eastAsia="宋体" w:cs="宋体"/>
          <w:color w:val="auto"/>
        </w:rPr>
      </w:pPr>
    </w:p>
    <w:p w14:paraId="44D0E457">
      <w:pPr>
        <w:rPr>
          <w:rFonts w:hint="eastAsia" w:ascii="宋体" w:hAnsi="宋体" w:eastAsia="宋体" w:cs="宋体"/>
          <w:color w:val="auto"/>
        </w:rPr>
      </w:pPr>
      <w:r>
        <w:rPr>
          <w:rFonts w:hint="eastAsia" w:ascii="宋体" w:hAnsi="宋体" w:eastAsia="宋体" w:cs="宋体"/>
          <w:color w:val="auto"/>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4" name="流程图: 可选过程 4" hidden="1"/>
                <wp:cNvGraphicFramePr/>
                <a:graphic xmlns:a="http://schemas.openxmlformats.org/drawingml/2006/main">
                  <a:graphicData uri="http://schemas.microsoft.com/office/word/2010/wordprocessingShape">
                    <wps:wsp>
                      <wps:cNvSpPr/>
                      <wps:spPr>
                        <a:xfrm>
                          <a:off x="0" y="0"/>
                          <a:ext cx="635000" cy="635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420FE1B">
                            <w:pPr>
                              <w:rPr>
                                <w:rFonts w:cs="Times New Roman"/>
                              </w:rPr>
                            </w:pPr>
                          </w:p>
                        </w:txbxContent>
                      </wps:txbx>
                      <wps:bodyPr upright="1"/>
                    </wps:wsp>
                  </a:graphicData>
                </a:graphic>
              </wp:anchor>
            </w:drawing>
          </mc:Choice>
          <mc:Fallback>
            <w:pict>
              <v:shape id="_x0000_s1026" o:spid="_x0000_s1026" o:spt="176" type="#_x0000_t176" style="position:absolute;left:0pt;margin-left:0pt;margin-top:0pt;height:50pt;width:50pt;visibility:hidden;z-index:251659264;mso-width-relative:page;mso-height-relative:page;" fillcolor="#FFFFFF" filled="t" stroked="t" coordsize="21600,21600" o:gfxdata="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bZ&#10;PMLRAAAABQEAAA8AAAAAAAAAAQAgAAAAIgAAAGRycy9kb3ducmV2LnhtbFBLAQIUABQAAAAIAIdO&#10;4kC01MxAKgIAAFkEAAAOAAAAAAAAAAEAIAAAACABAABkcnMvZTJvRG9jLnhtbFBLBQYAAAAABgAG&#10;AFkBAAC8BQAAAAA=&#10;">
                <v:fill on="t" focussize="0,0"/>
                <v:stroke color="#000000" joinstyle="miter"/>
                <v:imagedata o:title=""/>
                <o:lock v:ext="edit" aspectratio="f"/>
                <v:textbox>
                  <w:txbxContent>
                    <w:p w14:paraId="3420FE1B">
                      <w:pPr>
                        <w:rPr>
                          <w:rFonts w:cs="Times New Roman"/>
                        </w:rPr>
                      </w:pPr>
                    </w:p>
                  </w:txbxContent>
                </v:textbox>
              </v:shape>
            </w:pict>
          </mc:Fallback>
        </mc:AlternateContent>
      </w:r>
      <w:r>
        <w:rPr>
          <w:rFonts w:hint="eastAsia" w:ascii="宋体" w:hAnsi="宋体" w:eastAsia="宋体" w:cs="宋体"/>
          <w:color w:val="auto"/>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0B4FDF3">
                            <w:pPr>
                              <w:jc w:val="center"/>
                              <w:rPr>
                                <w:rStyle w:val="26"/>
                                <w:rFonts w:cs="Times New Roman"/>
                              </w:rPr>
                            </w:pPr>
                          </w:p>
                          <w:p w14:paraId="2199C9AB">
                            <w:pPr>
                              <w:jc w:val="center"/>
                              <w:rPr>
                                <w:rStyle w:val="26"/>
                                <w:rFonts w:cs="Times New Roman"/>
                              </w:rPr>
                            </w:pPr>
                          </w:p>
                          <w:p w14:paraId="181BB574">
                            <w:pPr>
                              <w:jc w:val="center"/>
                              <w:rPr>
                                <w:rStyle w:val="26"/>
                                <w:rFonts w:cs="Times New Roman"/>
                              </w:rPr>
                            </w:pPr>
                          </w:p>
                          <w:p w14:paraId="4749CA96">
                            <w:pPr>
                              <w:jc w:val="center"/>
                              <w:rPr>
                                <w:rStyle w:val="26"/>
                                <w:rFonts w:hint="eastAsia" w:ascii="Times New Roman" w:hAnsi="Times New Roman" w:cs="Times New Roman"/>
                              </w:rPr>
                            </w:pPr>
                            <w:r>
                              <w:rPr>
                                <w:rStyle w:val="26"/>
                                <w:rFonts w:hint="eastAsia" w:ascii="Times New Roman" w:hAnsi="Times New Roman" w:cs="Times New Roman"/>
                              </w:rPr>
                              <w:t>委托代理人身份证复印件正、反面</w:t>
                            </w:r>
                          </w:p>
                          <w:p w14:paraId="69F50813">
                            <w:pPr>
                              <w:rPr>
                                <w:rStyle w:val="26"/>
                                <w:rFonts w:cs="Times New Roman"/>
                              </w:rPr>
                            </w:pP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zAfFSoCAABQBAAADgAAAAAAAAABACAAAAAnAQAAZHJzL2Uyb0RvYy54bWxQSwUG&#10;AAAAAAYABgBZAQAAwwUAAAAA&#10;">
                <v:fill on="t" focussize="0,0"/>
                <v:stroke color="#000000" joinstyle="miter"/>
                <v:imagedata o:title=""/>
                <o:lock v:ext="edit" aspectratio="f"/>
                <v:textbox>
                  <w:txbxContent>
                    <w:p w14:paraId="40B4FDF3">
                      <w:pPr>
                        <w:jc w:val="center"/>
                        <w:rPr>
                          <w:rStyle w:val="26"/>
                          <w:rFonts w:cs="Times New Roman"/>
                        </w:rPr>
                      </w:pPr>
                    </w:p>
                    <w:p w14:paraId="2199C9AB">
                      <w:pPr>
                        <w:jc w:val="center"/>
                        <w:rPr>
                          <w:rStyle w:val="26"/>
                          <w:rFonts w:cs="Times New Roman"/>
                        </w:rPr>
                      </w:pPr>
                    </w:p>
                    <w:p w14:paraId="181BB574">
                      <w:pPr>
                        <w:jc w:val="center"/>
                        <w:rPr>
                          <w:rStyle w:val="26"/>
                          <w:rFonts w:cs="Times New Roman"/>
                        </w:rPr>
                      </w:pPr>
                    </w:p>
                    <w:p w14:paraId="4749CA96">
                      <w:pPr>
                        <w:jc w:val="center"/>
                        <w:rPr>
                          <w:rStyle w:val="26"/>
                          <w:rFonts w:hint="eastAsia" w:ascii="Times New Roman" w:hAnsi="Times New Roman" w:cs="Times New Roman"/>
                        </w:rPr>
                      </w:pPr>
                      <w:r>
                        <w:rPr>
                          <w:rStyle w:val="26"/>
                          <w:rFonts w:hint="eastAsia" w:ascii="Times New Roman" w:hAnsi="Times New Roman" w:cs="Times New Roman"/>
                        </w:rPr>
                        <w:t>委托代理人身份证复印件正、反面</w:t>
                      </w:r>
                    </w:p>
                    <w:p w14:paraId="69F50813">
                      <w:pPr>
                        <w:rPr>
                          <w:rStyle w:val="26"/>
                          <w:rFonts w:cs="Times New Roman"/>
                        </w:rPr>
                      </w:pPr>
                    </w:p>
                  </w:txbxContent>
                </v:textbox>
              </v:shape>
            </w:pict>
          </mc:Fallback>
        </mc:AlternateContent>
      </w:r>
    </w:p>
    <w:p w14:paraId="4977EBB6">
      <w:pPr>
        <w:rPr>
          <w:rFonts w:hint="eastAsia" w:ascii="宋体" w:hAnsi="宋体" w:eastAsia="宋体" w:cs="宋体"/>
          <w:color w:val="auto"/>
        </w:rPr>
      </w:pPr>
    </w:p>
    <w:p w14:paraId="5342A0F7">
      <w:pPr>
        <w:rPr>
          <w:rFonts w:hint="eastAsia" w:ascii="宋体" w:hAnsi="宋体" w:eastAsia="宋体" w:cs="宋体"/>
          <w:color w:val="auto"/>
        </w:rPr>
      </w:pPr>
    </w:p>
    <w:p w14:paraId="7F42A6EF">
      <w:pPr>
        <w:rPr>
          <w:rFonts w:hint="eastAsia" w:ascii="宋体" w:hAnsi="宋体" w:eastAsia="宋体" w:cs="宋体"/>
          <w:color w:val="auto"/>
        </w:rPr>
      </w:pPr>
    </w:p>
    <w:p w14:paraId="457D63B0">
      <w:pPr>
        <w:rPr>
          <w:rFonts w:hint="eastAsia" w:ascii="宋体" w:hAnsi="宋体" w:eastAsia="宋体" w:cs="宋体"/>
          <w:color w:val="auto"/>
        </w:rPr>
      </w:pPr>
    </w:p>
    <w:p w14:paraId="3862A264">
      <w:pPr>
        <w:rPr>
          <w:rFonts w:hint="eastAsia" w:ascii="宋体" w:hAnsi="宋体" w:eastAsia="宋体" w:cs="宋体"/>
          <w:color w:val="auto"/>
        </w:rPr>
      </w:pPr>
    </w:p>
    <w:p w14:paraId="21CED16A">
      <w:pPr>
        <w:rPr>
          <w:rFonts w:hint="eastAsia" w:ascii="宋体" w:hAnsi="宋体" w:eastAsia="宋体" w:cs="宋体"/>
          <w:color w:val="auto"/>
        </w:rPr>
      </w:pPr>
    </w:p>
    <w:p w14:paraId="4657B1EA">
      <w:pPr>
        <w:pStyle w:val="53"/>
        <w:snapToGrid w:val="0"/>
        <w:rPr>
          <w:rStyle w:val="26"/>
          <w:rFonts w:hint="eastAsia" w:ascii="宋体" w:hAnsi="宋体" w:eastAsia="宋体" w:cs="宋体"/>
          <w:color w:val="auto"/>
          <w:kern w:val="0"/>
          <w:highlight w:val="none"/>
        </w:rPr>
      </w:pPr>
    </w:p>
    <w:p w14:paraId="56CFEC4A">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Style w:val="26"/>
          <w:rFonts w:hint="eastAsia" w:ascii="宋体" w:hAnsi="宋体" w:eastAsia="宋体" w:cs="宋体"/>
          <w:b/>
          <w:bCs/>
          <w:color w:val="auto"/>
          <w:kern w:val="0"/>
          <w:highlight w:val="none"/>
        </w:rPr>
      </w:pPr>
      <w:bookmarkStart w:id="359" w:name="_Toc2463"/>
      <w:bookmarkStart w:id="360" w:name="_Toc25505"/>
      <w:bookmarkStart w:id="361" w:name="_Toc19982"/>
      <w:bookmarkStart w:id="362" w:name="_Toc2417"/>
      <w:bookmarkStart w:id="363" w:name="_Toc17587"/>
      <w:bookmarkStart w:id="364" w:name="_Toc18342"/>
      <w:bookmarkStart w:id="365" w:name="_Toc1326"/>
      <w:bookmarkStart w:id="366" w:name="_Toc31156"/>
      <w:bookmarkStart w:id="367" w:name="_Toc11066"/>
      <w:bookmarkStart w:id="368" w:name="_Toc2433"/>
      <w:bookmarkStart w:id="369" w:name="_Toc3305"/>
      <w:bookmarkStart w:id="370" w:name="_Toc4433"/>
      <w:r>
        <w:rPr>
          <w:rFonts w:hint="eastAsia" w:ascii="宋体" w:hAnsi="宋体" w:eastAsia="宋体" w:cs="宋体"/>
          <w:color w:val="auto"/>
          <w:kern w:val="2"/>
          <w:sz w:val="28"/>
          <w:szCs w:val="24"/>
          <w:lang w:val="en-US" w:eastAsia="zh-CN"/>
        </w:rPr>
        <w:t>格式五   法定代表人身份证明</w:t>
      </w:r>
      <w:bookmarkEnd w:id="359"/>
    </w:p>
    <w:p w14:paraId="39D5019F">
      <w:pPr>
        <w:snapToGrid w:val="0"/>
        <w:spacing w:before="260" w:after="260" w:line="440" w:lineRule="exact"/>
        <w:jc w:val="center"/>
        <w:rPr>
          <w:rStyle w:val="26"/>
          <w:rFonts w:hint="eastAsia" w:ascii="宋体" w:hAnsi="宋体" w:eastAsia="宋体" w:cs="宋体"/>
          <w:color w:val="auto"/>
          <w:kern w:val="0"/>
          <w:sz w:val="24"/>
          <w:szCs w:val="24"/>
          <w:highlight w:val="none"/>
        </w:rPr>
      </w:pPr>
      <w:r>
        <w:rPr>
          <w:rStyle w:val="26"/>
          <w:rFonts w:hint="eastAsia" w:ascii="宋体" w:hAnsi="宋体" w:eastAsia="宋体" w:cs="宋体"/>
          <w:b/>
          <w:bCs/>
          <w:color w:val="auto"/>
          <w:kern w:val="0"/>
          <w:sz w:val="24"/>
          <w:szCs w:val="24"/>
          <w:highlight w:val="none"/>
        </w:rPr>
        <w:t>法定代表人身份证明</w:t>
      </w:r>
    </w:p>
    <w:p w14:paraId="07B141B8">
      <w:pPr>
        <w:snapToGrid w:val="0"/>
        <w:spacing w:line="440" w:lineRule="exact"/>
        <w:ind w:firstLine="480" w:firstLineChars="200"/>
        <w:rPr>
          <w:rStyle w:val="26"/>
          <w:rFonts w:hint="eastAsia" w:ascii="宋体" w:hAnsi="宋体" w:eastAsia="宋体" w:cs="宋体"/>
          <w:color w:val="auto"/>
          <w:kern w:val="0"/>
          <w:sz w:val="24"/>
          <w:szCs w:val="24"/>
          <w:highlight w:val="none"/>
          <w:u w:val="single"/>
        </w:rPr>
      </w:pPr>
      <w:r>
        <w:rPr>
          <w:rStyle w:val="26"/>
          <w:rFonts w:hint="eastAsia" w:ascii="宋体" w:hAnsi="宋体" w:eastAsia="宋体" w:cs="宋体"/>
          <w:color w:val="auto"/>
          <w:kern w:val="0"/>
          <w:sz w:val="24"/>
          <w:szCs w:val="24"/>
          <w:highlight w:val="none"/>
        </w:rPr>
        <w:t>投标人名称：</w:t>
      </w:r>
      <w:r>
        <w:rPr>
          <w:rStyle w:val="26"/>
          <w:rFonts w:hint="eastAsia" w:ascii="宋体" w:hAnsi="宋体" w:eastAsia="宋体" w:cs="宋体"/>
          <w:color w:val="auto"/>
          <w:kern w:val="0"/>
          <w:sz w:val="24"/>
          <w:szCs w:val="24"/>
          <w:highlight w:val="none"/>
          <w:u w:val="single"/>
        </w:rPr>
        <w:t xml:space="preserve">                  </w:t>
      </w:r>
    </w:p>
    <w:p w14:paraId="52FD7F45">
      <w:pPr>
        <w:snapToGrid w:val="0"/>
        <w:spacing w:line="440" w:lineRule="exact"/>
        <w:ind w:firstLine="480" w:firstLineChars="200"/>
        <w:rPr>
          <w:rStyle w:val="26"/>
          <w:rFonts w:hint="eastAsia" w:ascii="宋体" w:hAnsi="宋体" w:eastAsia="宋体" w:cs="宋体"/>
          <w:color w:val="auto"/>
          <w:kern w:val="0"/>
          <w:sz w:val="24"/>
          <w:szCs w:val="24"/>
          <w:highlight w:val="none"/>
          <w:u w:val="single"/>
        </w:rPr>
      </w:pPr>
      <w:r>
        <w:rPr>
          <w:rStyle w:val="26"/>
          <w:rFonts w:hint="eastAsia" w:ascii="宋体" w:hAnsi="宋体" w:eastAsia="宋体" w:cs="宋体"/>
          <w:color w:val="auto"/>
          <w:kern w:val="0"/>
          <w:sz w:val="24"/>
          <w:szCs w:val="24"/>
          <w:highlight w:val="none"/>
        </w:rPr>
        <w:t>姓名：</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性别：</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年龄：</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职务：</w:t>
      </w:r>
      <w:r>
        <w:rPr>
          <w:rStyle w:val="26"/>
          <w:rFonts w:hint="eastAsia" w:ascii="宋体" w:hAnsi="宋体" w:eastAsia="宋体" w:cs="宋体"/>
          <w:color w:val="auto"/>
          <w:kern w:val="0"/>
          <w:sz w:val="24"/>
          <w:szCs w:val="24"/>
          <w:highlight w:val="none"/>
          <w:u w:val="single"/>
        </w:rPr>
        <w:t xml:space="preserve">           </w:t>
      </w:r>
    </w:p>
    <w:p w14:paraId="75A96C90">
      <w:pPr>
        <w:snapToGrid w:val="0"/>
        <w:spacing w:line="440" w:lineRule="exact"/>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系</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（投标人名称）的法定代表人。</w:t>
      </w:r>
    </w:p>
    <w:p w14:paraId="4A230523">
      <w:pPr>
        <w:snapToGrid w:val="0"/>
        <w:spacing w:line="440" w:lineRule="exact"/>
        <w:ind w:firstLine="480" w:firstLineChars="200"/>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特此证明。</w:t>
      </w:r>
    </w:p>
    <w:p w14:paraId="21FE2602">
      <w:pPr>
        <w:rPr>
          <w:rFonts w:hint="eastAsia" w:ascii="宋体" w:hAnsi="宋体" w:eastAsia="宋体" w:cs="宋体"/>
          <w:color w:val="auto"/>
        </w:rPr>
      </w:pPr>
    </w:p>
    <w:p w14:paraId="29AEC12E">
      <w:pPr>
        <w:rPr>
          <w:rFonts w:hint="eastAsia" w:ascii="宋体" w:hAnsi="宋体" w:eastAsia="宋体" w:cs="宋体"/>
          <w:color w:val="auto"/>
        </w:rPr>
      </w:pPr>
    </w:p>
    <w:p w14:paraId="59273DA7">
      <w:pPr>
        <w:snapToGrid w:val="0"/>
        <w:spacing w:line="440" w:lineRule="exact"/>
        <w:jc w:val="right"/>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投标人：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（盖单位章）</w:t>
      </w:r>
    </w:p>
    <w:p w14:paraId="3AAADE41">
      <w:pPr>
        <w:rPr>
          <w:rFonts w:hint="eastAsia" w:ascii="宋体" w:hAnsi="宋体" w:eastAsia="宋体" w:cs="宋体"/>
          <w:color w:val="auto"/>
        </w:rPr>
      </w:pPr>
    </w:p>
    <w:p w14:paraId="1E1350DD">
      <w:pPr>
        <w:rPr>
          <w:rFonts w:hint="eastAsia" w:ascii="宋体" w:hAnsi="宋体" w:eastAsia="宋体" w:cs="宋体"/>
          <w:color w:val="auto"/>
        </w:rPr>
      </w:pPr>
    </w:p>
    <w:p w14:paraId="7F526556">
      <w:pPr>
        <w:snapToGrid w:val="0"/>
        <w:spacing w:line="440" w:lineRule="exact"/>
        <w:jc w:val="right"/>
        <w:rPr>
          <w:rStyle w:val="26"/>
          <w:rFonts w:hint="eastAsia" w:ascii="宋体" w:hAnsi="宋体" w:eastAsia="宋体" w:cs="宋体"/>
          <w:color w:val="auto"/>
          <w:kern w:val="0"/>
          <w:sz w:val="24"/>
          <w:szCs w:val="24"/>
          <w:highlight w:val="none"/>
        </w:rPr>
      </w:pPr>
      <w:r>
        <w:rPr>
          <w:rStyle w:val="26"/>
          <w:rFonts w:hint="eastAsia" w:ascii="宋体" w:hAnsi="宋体" w:eastAsia="宋体" w:cs="宋体"/>
          <w:color w:val="auto"/>
          <w:kern w:val="0"/>
          <w:sz w:val="24"/>
          <w:szCs w:val="24"/>
          <w:highlight w:val="none"/>
        </w:rPr>
        <w:t xml:space="preserve">                        法定代表人：</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（签字或盖章）</w:t>
      </w:r>
    </w:p>
    <w:p w14:paraId="680FAEF5">
      <w:pPr>
        <w:rPr>
          <w:rFonts w:hint="eastAsia" w:ascii="宋体" w:hAnsi="宋体" w:eastAsia="宋体" w:cs="宋体"/>
          <w:color w:val="auto"/>
        </w:rPr>
      </w:pPr>
    </w:p>
    <w:p w14:paraId="33169D79">
      <w:pPr>
        <w:snapToGrid w:val="0"/>
        <w:spacing w:line="440" w:lineRule="exact"/>
        <w:jc w:val="right"/>
        <w:rPr>
          <w:rStyle w:val="26"/>
          <w:rFonts w:hint="eastAsia" w:ascii="宋体" w:hAnsi="宋体" w:eastAsia="宋体" w:cs="宋体"/>
          <w:color w:val="auto"/>
          <w:kern w:val="0"/>
          <w:sz w:val="21"/>
          <w:szCs w:val="21"/>
          <w:highlight w:val="none"/>
        </w:rPr>
      </w:pPr>
      <w:r>
        <w:rPr>
          <w:rStyle w:val="26"/>
          <w:rFonts w:hint="eastAsia" w:ascii="宋体" w:hAnsi="宋体" w:eastAsia="宋体" w:cs="宋体"/>
          <w:color w:val="auto"/>
          <w:kern w:val="0"/>
          <w:sz w:val="24"/>
          <w:szCs w:val="24"/>
          <w:highlight w:val="none"/>
        </w:rPr>
        <w:t xml:space="preserve">                            </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年</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月</w:t>
      </w:r>
      <w:r>
        <w:rPr>
          <w:rStyle w:val="26"/>
          <w:rFonts w:hint="eastAsia" w:ascii="宋体" w:hAnsi="宋体" w:eastAsia="宋体" w:cs="宋体"/>
          <w:color w:val="auto"/>
          <w:kern w:val="0"/>
          <w:sz w:val="24"/>
          <w:szCs w:val="24"/>
          <w:highlight w:val="none"/>
          <w:u w:val="single"/>
        </w:rPr>
        <w:t xml:space="preserve">      </w:t>
      </w:r>
      <w:r>
        <w:rPr>
          <w:rStyle w:val="26"/>
          <w:rFonts w:hint="eastAsia" w:ascii="宋体" w:hAnsi="宋体" w:eastAsia="宋体" w:cs="宋体"/>
          <w:color w:val="auto"/>
          <w:kern w:val="0"/>
          <w:sz w:val="24"/>
          <w:szCs w:val="24"/>
          <w:highlight w:val="none"/>
        </w:rPr>
        <w:t>日</w:t>
      </w:r>
    </w:p>
    <w:p w14:paraId="28959CD3">
      <w:pPr>
        <w:rPr>
          <w:rFonts w:hint="eastAsia" w:ascii="宋体" w:hAnsi="宋体" w:eastAsia="宋体" w:cs="宋体"/>
          <w:color w:val="auto"/>
        </w:rPr>
      </w:pPr>
    </w:p>
    <w:p w14:paraId="0D15938E">
      <w:pPr>
        <w:rPr>
          <w:rFonts w:hint="eastAsia" w:ascii="宋体" w:hAnsi="宋体" w:eastAsia="宋体" w:cs="宋体"/>
          <w:color w:val="auto"/>
        </w:rPr>
      </w:pPr>
    </w:p>
    <w:p w14:paraId="37F6E448">
      <w:pPr>
        <w:rPr>
          <w:rFonts w:hint="eastAsia" w:ascii="宋体" w:hAnsi="宋体" w:eastAsia="宋体" w:cs="宋体"/>
          <w:color w:val="auto"/>
        </w:rPr>
      </w:pPr>
    </w:p>
    <w:p w14:paraId="78EE3903">
      <w:pPr>
        <w:rPr>
          <w:rFonts w:hint="eastAsia" w:ascii="宋体" w:hAnsi="宋体" w:eastAsia="宋体" w:cs="宋体"/>
          <w:color w:val="auto"/>
        </w:rPr>
      </w:pPr>
      <w:r>
        <w:rPr>
          <w:rFonts w:hint="eastAsia" w:ascii="宋体" w:hAnsi="宋体" w:eastAsia="宋体" w:cs="宋体"/>
          <w:color w:val="auto"/>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5" name="流程图: 可选过程 5"/>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42781A8">
                            <w:pPr>
                              <w:jc w:val="center"/>
                              <w:rPr>
                                <w:rStyle w:val="26"/>
                                <w:rFonts w:cs="Times New Roman"/>
                              </w:rPr>
                            </w:pPr>
                          </w:p>
                          <w:p w14:paraId="79350FD2">
                            <w:pPr>
                              <w:jc w:val="center"/>
                              <w:rPr>
                                <w:rStyle w:val="26"/>
                                <w:rFonts w:cs="Times New Roman"/>
                              </w:rPr>
                            </w:pPr>
                          </w:p>
                          <w:p w14:paraId="3B832BD8">
                            <w:pPr>
                              <w:jc w:val="center"/>
                              <w:rPr>
                                <w:rStyle w:val="26"/>
                                <w:rFonts w:cs="Times New Roman"/>
                              </w:rPr>
                            </w:pPr>
                          </w:p>
                          <w:p w14:paraId="77BC77F1">
                            <w:pPr>
                              <w:jc w:val="center"/>
                              <w:rPr>
                                <w:rStyle w:val="26"/>
                                <w:rFonts w:cs="Times New Roman"/>
                              </w:rPr>
                            </w:pPr>
                            <w:r>
                              <w:rPr>
                                <w:rStyle w:val="26"/>
                                <w:rFonts w:hint="eastAsia"/>
                              </w:rPr>
                              <w:t>法定代表人身份证复印件正、反面</w:t>
                            </w:r>
                          </w:p>
                          <w:p w14:paraId="4352EAF1">
                            <w:pPr>
                              <w:rPr>
                                <w:rStyle w:val="26"/>
                                <w:rFonts w:cs="Times New Roman"/>
                              </w:rPr>
                            </w:pPr>
                          </w:p>
                        </w:txbxContent>
                      </wps:txbx>
                      <wps:bodyPr upright="1"/>
                    </wps:wsp>
                  </a:graphicData>
                </a:graphic>
              </wp:anchor>
            </w:drawing>
          </mc:Choice>
          <mc:Fallback>
            <w:pict>
              <v:shape id="_x0000_s1026"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4V1KbYAAAACQEAAA8AAAAAAAAAAQAgAAAAIgAAAGRycy9kb3ducmV2LnhtbFBLAQIUABQA&#10;AAAIAIdO4kD832UEKQIAAFAEAAAOAAAAAAAAAAEAIAAAACcBAABkcnMvZTJvRG9jLnhtbFBLBQYA&#10;AAAABgAGAFkBAADCBQAAAAA=&#10;">
                <v:fill on="t" focussize="0,0"/>
                <v:stroke color="#000000" joinstyle="miter"/>
                <v:imagedata o:title=""/>
                <o:lock v:ext="edit" aspectratio="f"/>
                <v:textbox>
                  <w:txbxContent>
                    <w:p w14:paraId="742781A8">
                      <w:pPr>
                        <w:jc w:val="center"/>
                        <w:rPr>
                          <w:rStyle w:val="26"/>
                          <w:rFonts w:cs="Times New Roman"/>
                        </w:rPr>
                      </w:pPr>
                    </w:p>
                    <w:p w14:paraId="79350FD2">
                      <w:pPr>
                        <w:jc w:val="center"/>
                        <w:rPr>
                          <w:rStyle w:val="26"/>
                          <w:rFonts w:cs="Times New Roman"/>
                        </w:rPr>
                      </w:pPr>
                    </w:p>
                    <w:p w14:paraId="3B832BD8">
                      <w:pPr>
                        <w:jc w:val="center"/>
                        <w:rPr>
                          <w:rStyle w:val="26"/>
                          <w:rFonts w:cs="Times New Roman"/>
                        </w:rPr>
                      </w:pPr>
                    </w:p>
                    <w:p w14:paraId="77BC77F1">
                      <w:pPr>
                        <w:jc w:val="center"/>
                        <w:rPr>
                          <w:rStyle w:val="26"/>
                          <w:rFonts w:cs="Times New Roman"/>
                        </w:rPr>
                      </w:pPr>
                      <w:r>
                        <w:rPr>
                          <w:rStyle w:val="26"/>
                          <w:rFonts w:hint="eastAsia"/>
                        </w:rPr>
                        <w:t>法定代表人身份证复印件正、反面</w:t>
                      </w:r>
                    </w:p>
                    <w:p w14:paraId="4352EAF1">
                      <w:pPr>
                        <w:rPr>
                          <w:rStyle w:val="26"/>
                          <w:rFonts w:cs="Times New Roman"/>
                        </w:rPr>
                      </w:pPr>
                    </w:p>
                  </w:txbxContent>
                </v:textbox>
              </v:shape>
            </w:pict>
          </mc:Fallback>
        </mc:AlternateContent>
      </w:r>
    </w:p>
    <w:p w14:paraId="0B62CE95">
      <w:pPr>
        <w:rPr>
          <w:rFonts w:hint="eastAsia" w:ascii="宋体" w:hAnsi="宋体" w:eastAsia="宋体" w:cs="宋体"/>
          <w:color w:val="auto"/>
        </w:rPr>
      </w:pPr>
    </w:p>
    <w:p w14:paraId="2F90217F">
      <w:pPr>
        <w:rPr>
          <w:rFonts w:hint="eastAsia" w:ascii="宋体" w:hAnsi="宋体" w:eastAsia="宋体" w:cs="宋体"/>
          <w:color w:val="auto"/>
        </w:rPr>
      </w:pPr>
    </w:p>
    <w:p w14:paraId="14E18C2B">
      <w:pPr>
        <w:rPr>
          <w:rFonts w:hint="eastAsia" w:ascii="宋体" w:hAnsi="宋体" w:eastAsia="宋体" w:cs="宋体"/>
          <w:color w:val="auto"/>
        </w:rPr>
      </w:pPr>
    </w:p>
    <w:p w14:paraId="218D349C">
      <w:pPr>
        <w:rPr>
          <w:rFonts w:hint="eastAsia" w:ascii="宋体" w:hAnsi="宋体" w:eastAsia="宋体" w:cs="宋体"/>
          <w:color w:val="auto"/>
        </w:rPr>
      </w:pPr>
    </w:p>
    <w:p w14:paraId="48EB4B82">
      <w:pPr>
        <w:rPr>
          <w:rFonts w:hint="eastAsia" w:ascii="宋体" w:hAnsi="宋体" w:eastAsia="宋体" w:cs="宋体"/>
          <w:color w:val="auto"/>
        </w:rPr>
      </w:pPr>
    </w:p>
    <w:p w14:paraId="30515501">
      <w:pPr>
        <w:rPr>
          <w:rFonts w:hint="eastAsia" w:ascii="宋体" w:hAnsi="宋体" w:eastAsia="宋体" w:cs="宋体"/>
          <w:color w:val="auto"/>
        </w:rPr>
      </w:pPr>
    </w:p>
    <w:p w14:paraId="30EC0386">
      <w:pPr>
        <w:rPr>
          <w:rFonts w:hint="eastAsia" w:ascii="宋体" w:hAnsi="宋体" w:eastAsia="宋体" w:cs="宋体"/>
          <w:color w:val="auto"/>
        </w:rPr>
      </w:pPr>
    </w:p>
    <w:p w14:paraId="772040FE">
      <w:pPr>
        <w:rPr>
          <w:rFonts w:hint="eastAsia" w:ascii="宋体" w:hAnsi="宋体" w:eastAsia="宋体" w:cs="宋体"/>
          <w:color w:val="auto"/>
        </w:rPr>
      </w:pPr>
    </w:p>
    <w:p w14:paraId="0AFF4F8C">
      <w:pPr>
        <w:rPr>
          <w:rFonts w:hint="eastAsia" w:ascii="宋体" w:hAnsi="宋体" w:eastAsia="宋体" w:cs="宋体"/>
          <w:color w:val="auto"/>
        </w:rPr>
      </w:pPr>
    </w:p>
    <w:p w14:paraId="6111DA43">
      <w:pPr>
        <w:rPr>
          <w:rFonts w:hint="eastAsia" w:ascii="宋体" w:hAnsi="宋体" w:eastAsia="宋体" w:cs="宋体"/>
          <w:color w:val="auto"/>
        </w:rPr>
      </w:pPr>
    </w:p>
    <w:p w14:paraId="0802FB8B">
      <w:pPr>
        <w:rPr>
          <w:rFonts w:hint="eastAsia" w:ascii="宋体" w:hAnsi="宋体" w:eastAsia="宋体" w:cs="宋体"/>
          <w:color w:val="auto"/>
        </w:rPr>
      </w:pPr>
    </w:p>
    <w:p w14:paraId="668FB1C5">
      <w:pPr>
        <w:tabs>
          <w:tab w:val="left" w:pos="654"/>
          <w:tab w:val="left" w:pos="1734"/>
          <w:tab w:val="left" w:pos="2814"/>
          <w:tab w:val="left" w:pos="3894"/>
          <w:tab w:val="left" w:pos="5334"/>
          <w:tab w:val="left" w:pos="6414"/>
          <w:tab w:val="left" w:pos="7254"/>
          <w:tab w:val="left" w:pos="8574"/>
          <w:tab w:val="left" w:pos="9654"/>
        </w:tabs>
        <w:snapToGrid w:val="0"/>
        <w:rPr>
          <w:rStyle w:val="26"/>
          <w:rFonts w:hint="eastAsia" w:ascii="宋体" w:hAnsi="宋体" w:eastAsia="宋体" w:cs="宋体"/>
          <w:color w:val="auto"/>
          <w:kern w:val="0"/>
          <w:sz w:val="28"/>
          <w:szCs w:val="28"/>
          <w:highlight w:val="none"/>
        </w:rPr>
      </w:pPr>
    </w:p>
    <w:p w14:paraId="4C036F42">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371" w:name="_Toc2177"/>
      <w:r>
        <w:rPr>
          <w:rFonts w:hint="eastAsia" w:ascii="宋体" w:hAnsi="宋体" w:eastAsia="宋体" w:cs="宋体"/>
          <w:color w:val="auto"/>
          <w:kern w:val="2"/>
          <w:sz w:val="28"/>
          <w:szCs w:val="24"/>
          <w:lang w:val="en-US" w:eastAsia="zh-CN"/>
        </w:rPr>
        <w:t>格式六</w:t>
      </w:r>
      <w:bookmarkEnd w:id="360"/>
      <w:bookmarkEnd w:id="361"/>
      <w:bookmarkEnd w:id="362"/>
      <w:bookmarkEnd w:id="363"/>
      <w:bookmarkEnd w:id="364"/>
      <w:bookmarkEnd w:id="365"/>
      <w:bookmarkEnd w:id="366"/>
      <w:bookmarkEnd w:id="367"/>
      <w:bookmarkEnd w:id="368"/>
      <w:bookmarkEnd w:id="369"/>
      <w:bookmarkEnd w:id="370"/>
      <w:r>
        <w:rPr>
          <w:rFonts w:hint="eastAsia" w:ascii="宋体" w:hAnsi="宋体" w:eastAsia="宋体" w:cs="宋体"/>
          <w:color w:val="auto"/>
          <w:kern w:val="2"/>
          <w:sz w:val="28"/>
          <w:szCs w:val="24"/>
          <w:lang w:val="en-US" w:eastAsia="zh-CN"/>
        </w:rPr>
        <w:t xml:space="preserve">   联合体协议书</w:t>
      </w:r>
      <w:bookmarkEnd w:id="371"/>
    </w:p>
    <w:p w14:paraId="0B699A6E">
      <w:pPr>
        <w:pStyle w:val="40"/>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4"/>
          <w:highlight w:val="none"/>
        </w:rPr>
      </w:pPr>
      <w:bookmarkStart w:id="372" w:name="_Toc31837"/>
      <w:bookmarkStart w:id="373" w:name="_Toc18314"/>
      <w:bookmarkStart w:id="374" w:name="_Toc2633"/>
      <w:bookmarkStart w:id="375" w:name="_Toc32195"/>
      <w:r>
        <w:rPr>
          <w:rFonts w:hint="eastAsia" w:ascii="宋体" w:hAnsi="宋体" w:eastAsia="宋体" w:cs="宋体"/>
          <w:b/>
          <w:snapToGrid w:val="0"/>
          <w:color w:val="auto"/>
          <w:sz w:val="24"/>
          <w:szCs w:val="24"/>
          <w:highlight w:val="none"/>
        </w:rPr>
        <w:t>联合体协议书</w:t>
      </w:r>
    </w:p>
    <w:p w14:paraId="2E4B6829">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14:paraId="727B70B1">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4AFE846C">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21350C64">
      <w:pPr>
        <w:rPr>
          <w:rFonts w:hint="eastAsia" w:ascii="宋体" w:hAnsi="宋体" w:eastAsia="宋体" w:cs="宋体"/>
          <w:color w:val="auto"/>
        </w:rPr>
      </w:pPr>
    </w:p>
    <w:p w14:paraId="466A8BD8">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成员二名称：</w:t>
      </w:r>
      <w:r>
        <w:rPr>
          <w:rFonts w:hint="eastAsia" w:ascii="宋体" w:hAnsi="宋体" w:eastAsia="宋体" w:cs="宋体"/>
          <w:snapToGrid w:val="0"/>
          <w:color w:val="auto"/>
          <w:sz w:val="24"/>
          <w:szCs w:val="24"/>
          <w:highlight w:val="none"/>
          <w:u w:val="single"/>
        </w:rPr>
        <w:t xml:space="preserve">                                                  </w:t>
      </w:r>
    </w:p>
    <w:p w14:paraId="2C4ED6E1">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6CA2069E">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33252233">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6164F0B2">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（项目名称）（以下简称“本项目”）的施工投标并争取赢得本项目施工承包合同（以下简称合同）。现就联合体投标事宜订立如下协议：</w:t>
      </w:r>
    </w:p>
    <w:p w14:paraId="49AEFEB6">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14:paraId="7DE177AD">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5D81897">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eastAsia="zh-CN"/>
        </w:rPr>
        <w:t>3.</w:t>
      </w:r>
      <w:r>
        <w:rPr>
          <w:rFonts w:hint="eastAsia" w:ascii="宋体" w:hAnsi="宋体" w:eastAsia="宋体" w:cs="宋体"/>
          <w:snapToGrid w:val="0"/>
          <w:color w:val="auto"/>
          <w:sz w:val="24"/>
          <w:szCs w:val="24"/>
          <w:highlight w:val="none"/>
        </w:rPr>
        <w:t>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3565CF44">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eastAsia="zh-CN"/>
        </w:rPr>
        <w:t>4.</w:t>
      </w:r>
      <w:r>
        <w:rPr>
          <w:rFonts w:hint="eastAsia" w:ascii="宋体" w:hAnsi="宋体" w:eastAsia="宋体" w:cs="宋体"/>
          <w:snapToGrid w:val="0"/>
          <w:color w:val="auto"/>
          <w:sz w:val="24"/>
          <w:szCs w:val="24"/>
          <w:highlight w:val="none"/>
        </w:rPr>
        <w:t>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。按照本条上述分工，联合体成员单位各自所承担的合同工作量比例如下：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313FCB3C">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eastAsia="zh-CN"/>
        </w:rPr>
        <w:t>5.</w:t>
      </w:r>
      <w:r>
        <w:rPr>
          <w:rFonts w:hint="eastAsia" w:ascii="宋体" w:hAnsi="宋体" w:eastAsia="宋体" w:cs="宋体"/>
          <w:snapToGrid w:val="0"/>
          <w:color w:val="auto"/>
          <w:sz w:val="24"/>
          <w:szCs w:val="24"/>
          <w:highlight w:val="none"/>
        </w:rPr>
        <w:t>投标工作和联合体在中标后工程实施过程中的有关费用按各自承担的工作量分摊。</w:t>
      </w:r>
    </w:p>
    <w:p w14:paraId="71EAD528">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eastAsia="zh-CN"/>
        </w:rPr>
        <w:t>6.</w:t>
      </w:r>
      <w:r>
        <w:rPr>
          <w:rFonts w:hint="eastAsia" w:ascii="宋体" w:hAnsi="宋体" w:eastAsia="宋体" w:cs="宋体"/>
          <w:snapToGrid w:val="0"/>
          <w:color w:val="auto"/>
          <w:sz w:val="24"/>
          <w:szCs w:val="24"/>
          <w:highlight w:val="none"/>
        </w:rPr>
        <w:t>联合体中标后，本联合体协议是合同的附件，对联合体各成员单位有合同约束力。</w:t>
      </w:r>
    </w:p>
    <w:p w14:paraId="10FFB00C">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eastAsia="zh-CN"/>
        </w:rPr>
        <w:t>7.</w:t>
      </w:r>
      <w:r>
        <w:rPr>
          <w:rFonts w:hint="eastAsia" w:ascii="宋体" w:hAnsi="宋体" w:eastAsia="宋体" w:cs="宋体"/>
          <w:snapToGrid w:val="0"/>
          <w:color w:val="auto"/>
          <w:sz w:val="24"/>
          <w:szCs w:val="24"/>
          <w:highlight w:val="none"/>
        </w:rPr>
        <w:t>本协议书自签署之日起生效，联合体未中标或者中标时合同履行完毕后自动失效。</w:t>
      </w:r>
    </w:p>
    <w:p w14:paraId="66886F5F">
      <w:pPr>
        <w:pStyle w:val="40"/>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eastAsia="zh-CN"/>
        </w:rPr>
        <w:t>8.</w:t>
      </w:r>
      <w:r>
        <w:rPr>
          <w:rFonts w:hint="eastAsia" w:ascii="宋体" w:hAnsi="宋体" w:eastAsia="宋体" w:cs="宋体"/>
          <w:snapToGrid w:val="0"/>
          <w:color w:val="auto"/>
          <w:sz w:val="24"/>
          <w:szCs w:val="24"/>
          <w:highlight w:val="none"/>
        </w:rPr>
        <w:t>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30EDD66C">
      <w:pPr>
        <w:rPr>
          <w:rFonts w:hint="eastAsia" w:ascii="宋体" w:hAnsi="宋体" w:eastAsia="宋体" w:cs="宋体"/>
          <w:color w:val="auto"/>
        </w:rPr>
      </w:pPr>
    </w:p>
    <w:p w14:paraId="4B0B16C2">
      <w:pPr>
        <w:pStyle w:val="4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7FB6DBD2">
      <w:pPr>
        <w:rPr>
          <w:rFonts w:hint="eastAsia" w:ascii="宋体" w:hAnsi="宋体" w:eastAsia="宋体" w:cs="宋体"/>
          <w:color w:val="auto"/>
        </w:rPr>
      </w:pPr>
    </w:p>
    <w:p w14:paraId="6CC59F5B">
      <w:pPr>
        <w:pStyle w:val="4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7296890A">
      <w:pPr>
        <w:rPr>
          <w:rFonts w:hint="eastAsia" w:ascii="宋体" w:hAnsi="宋体" w:eastAsia="宋体" w:cs="宋体"/>
          <w:color w:val="auto"/>
        </w:rPr>
      </w:pPr>
    </w:p>
    <w:p w14:paraId="68A4392A">
      <w:pPr>
        <w:rPr>
          <w:rFonts w:hint="eastAsia" w:ascii="宋体" w:hAnsi="宋体" w:eastAsia="宋体" w:cs="宋体"/>
          <w:color w:val="auto"/>
        </w:rPr>
      </w:pPr>
    </w:p>
    <w:p w14:paraId="6B663772">
      <w:pPr>
        <w:pStyle w:val="4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成员二名称：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19154B28">
      <w:pPr>
        <w:rPr>
          <w:rFonts w:hint="eastAsia" w:ascii="宋体" w:hAnsi="宋体" w:eastAsia="宋体" w:cs="宋体"/>
          <w:color w:val="auto"/>
        </w:rPr>
      </w:pPr>
    </w:p>
    <w:p w14:paraId="0DE7ECF1">
      <w:pPr>
        <w:rPr>
          <w:rFonts w:hint="eastAsia" w:ascii="宋体" w:hAnsi="宋体" w:eastAsia="宋体" w:cs="宋体"/>
          <w:color w:val="auto"/>
        </w:rPr>
      </w:pPr>
    </w:p>
    <w:p w14:paraId="10EA608A">
      <w:pPr>
        <w:pStyle w:val="4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3C4EAA7F">
      <w:pPr>
        <w:rPr>
          <w:rFonts w:hint="eastAsia" w:ascii="宋体" w:hAnsi="宋体" w:eastAsia="宋体" w:cs="宋体"/>
          <w:color w:val="auto"/>
        </w:rPr>
      </w:pPr>
    </w:p>
    <w:p w14:paraId="37A3E262">
      <w:pPr>
        <w:rPr>
          <w:rFonts w:hint="eastAsia" w:ascii="宋体" w:hAnsi="宋体" w:eastAsia="宋体" w:cs="宋体"/>
          <w:color w:val="auto"/>
        </w:rPr>
      </w:pPr>
    </w:p>
    <w:p w14:paraId="21AAD331">
      <w:pPr>
        <w:pStyle w:val="40"/>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2FF3B481">
      <w:pPr>
        <w:rPr>
          <w:rFonts w:hint="eastAsia" w:ascii="宋体" w:hAnsi="宋体" w:eastAsia="宋体" w:cs="宋体"/>
          <w:color w:val="auto"/>
        </w:rPr>
      </w:pPr>
    </w:p>
    <w:p w14:paraId="12E77094">
      <w:pPr>
        <w:pStyle w:val="40"/>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2F845504">
      <w:pPr>
        <w:rPr>
          <w:rFonts w:hint="eastAsia" w:ascii="宋体" w:hAnsi="宋体" w:eastAsia="宋体" w:cs="宋体"/>
          <w:color w:val="auto"/>
        </w:rPr>
      </w:pPr>
    </w:p>
    <w:p w14:paraId="5A676E91">
      <w:pPr>
        <w:rPr>
          <w:rFonts w:hint="eastAsia" w:ascii="宋体" w:hAnsi="宋体" w:eastAsia="宋体" w:cs="宋体"/>
          <w:color w:val="auto"/>
        </w:rPr>
      </w:pPr>
    </w:p>
    <w:p w14:paraId="5582B421">
      <w:pPr>
        <w:rPr>
          <w:rFonts w:hint="eastAsia" w:ascii="宋体" w:hAnsi="宋体" w:eastAsia="宋体" w:cs="宋体"/>
          <w:color w:val="auto"/>
        </w:rPr>
      </w:pPr>
    </w:p>
    <w:p w14:paraId="39907BC0">
      <w:pPr>
        <w:rPr>
          <w:rFonts w:hint="eastAsia" w:ascii="宋体" w:hAnsi="宋体" w:eastAsia="宋体" w:cs="宋体"/>
          <w:color w:val="auto"/>
        </w:rPr>
      </w:pPr>
    </w:p>
    <w:p w14:paraId="0BE7123E">
      <w:pPr>
        <w:rPr>
          <w:rFonts w:hint="eastAsia" w:ascii="宋体" w:hAnsi="宋体" w:eastAsia="宋体" w:cs="宋体"/>
          <w:color w:val="auto"/>
        </w:rPr>
      </w:pPr>
    </w:p>
    <w:p w14:paraId="352FAA72">
      <w:pPr>
        <w:rPr>
          <w:rFonts w:hint="eastAsia" w:ascii="宋体" w:hAnsi="宋体" w:eastAsia="宋体" w:cs="宋体"/>
          <w:color w:val="auto"/>
        </w:rPr>
      </w:pPr>
    </w:p>
    <w:p w14:paraId="182AFCA3">
      <w:pPr>
        <w:rPr>
          <w:rFonts w:hint="eastAsia" w:ascii="宋体" w:hAnsi="宋体" w:eastAsia="宋体" w:cs="宋体"/>
          <w:color w:val="auto"/>
        </w:rPr>
      </w:pPr>
    </w:p>
    <w:p w14:paraId="707341D4">
      <w:pPr>
        <w:rPr>
          <w:rFonts w:hint="eastAsia" w:ascii="宋体" w:hAnsi="宋体" w:eastAsia="宋体" w:cs="宋体"/>
          <w:color w:val="auto"/>
        </w:rPr>
      </w:pPr>
    </w:p>
    <w:p w14:paraId="75EA2D53">
      <w:pPr>
        <w:rPr>
          <w:rFonts w:hint="eastAsia" w:ascii="宋体" w:hAnsi="宋体" w:eastAsia="宋体" w:cs="宋体"/>
          <w:color w:val="auto"/>
        </w:rPr>
      </w:pPr>
    </w:p>
    <w:p w14:paraId="66B34C0D">
      <w:pPr>
        <w:rPr>
          <w:rFonts w:hint="eastAsia" w:ascii="宋体" w:hAnsi="宋体" w:eastAsia="宋体" w:cs="宋体"/>
          <w:color w:val="auto"/>
        </w:rPr>
      </w:pPr>
    </w:p>
    <w:p w14:paraId="4EBDB48C">
      <w:pPr>
        <w:rPr>
          <w:rFonts w:hint="eastAsia" w:ascii="宋体" w:hAnsi="宋体" w:eastAsia="宋体" w:cs="宋体"/>
          <w:color w:val="auto"/>
        </w:rPr>
      </w:pPr>
    </w:p>
    <w:p w14:paraId="7D45D07B">
      <w:pPr>
        <w:rPr>
          <w:rFonts w:hint="eastAsia" w:ascii="宋体" w:hAnsi="宋体" w:eastAsia="宋体" w:cs="宋体"/>
          <w:color w:val="auto"/>
        </w:rPr>
      </w:pPr>
    </w:p>
    <w:p w14:paraId="1BEF0BB6">
      <w:pPr>
        <w:rPr>
          <w:rFonts w:hint="eastAsia" w:ascii="宋体" w:hAnsi="宋体" w:eastAsia="宋体" w:cs="宋体"/>
          <w:color w:val="auto"/>
        </w:rPr>
      </w:pPr>
    </w:p>
    <w:p w14:paraId="3BF8D3E1">
      <w:pPr>
        <w:rPr>
          <w:rFonts w:hint="eastAsia" w:ascii="宋体" w:hAnsi="宋体" w:eastAsia="宋体" w:cs="宋体"/>
          <w:color w:val="auto"/>
        </w:rPr>
      </w:pPr>
    </w:p>
    <w:p w14:paraId="0D9BA508">
      <w:pPr>
        <w:rPr>
          <w:rFonts w:hint="eastAsia" w:ascii="宋体" w:hAnsi="宋体" w:eastAsia="宋体" w:cs="宋体"/>
          <w:color w:val="auto"/>
        </w:rPr>
      </w:pPr>
    </w:p>
    <w:p w14:paraId="6F38D9F9">
      <w:pPr>
        <w:rPr>
          <w:rFonts w:hint="eastAsia" w:ascii="宋体" w:hAnsi="宋体" w:eastAsia="宋体" w:cs="宋体"/>
          <w:color w:val="auto"/>
        </w:rPr>
      </w:pPr>
    </w:p>
    <w:p w14:paraId="6337A6C5">
      <w:pPr>
        <w:rPr>
          <w:rFonts w:hint="eastAsia" w:ascii="宋体" w:hAnsi="宋体" w:eastAsia="宋体" w:cs="宋体"/>
          <w:color w:val="auto"/>
        </w:rPr>
      </w:pPr>
    </w:p>
    <w:p w14:paraId="0DD6E690">
      <w:pPr>
        <w:rPr>
          <w:rFonts w:hint="eastAsia" w:ascii="宋体" w:hAnsi="宋体" w:eastAsia="宋体" w:cs="宋体"/>
          <w:color w:val="auto"/>
        </w:rPr>
      </w:pPr>
    </w:p>
    <w:p w14:paraId="3F390832">
      <w:pPr>
        <w:rPr>
          <w:rFonts w:hint="eastAsia" w:ascii="宋体" w:hAnsi="宋体" w:eastAsia="宋体" w:cs="宋体"/>
          <w:color w:val="auto"/>
        </w:rPr>
      </w:pPr>
    </w:p>
    <w:p w14:paraId="0D8E3244">
      <w:pPr>
        <w:rPr>
          <w:rFonts w:hint="eastAsia" w:ascii="宋体" w:hAnsi="宋体" w:eastAsia="宋体" w:cs="宋体"/>
          <w:color w:val="auto"/>
        </w:rPr>
      </w:pPr>
    </w:p>
    <w:p w14:paraId="5281CF9D">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376" w:name="_Toc18643"/>
      <w:bookmarkStart w:id="377" w:name="_Toc14726"/>
      <w:bookmarkStart w:id="378" w:name="_Toc16429"/>
      <w:bookmarkStart w:id="379" w:name="_Toc1116"/>
      <w:bookmarkStart w:id="380" w:name="_Toc6145"/>
      <w:bookmarkStart w:id="381" w:name="_Toc5313"/>
      <w:bookmarkStart w:id="382" w:name="_Toc5097"/>
      <w:bookmarkStart w:id="383" w:name="_Toc15973"/>
      <w:r>
        <w:rPr>
          <w:rFonts w:hint="eastAsia" w:ascii="宋体" w:hAnsi="宋体" w:eastAsia="宋体" w:cs="宋体"/>
          <w:color w:val="auto"/>
          <w:kern w:val="2"/>
          <w:sz w:val="28"/>
          <w:szCs w:val="24"/>
          <w:lang w:val="en-US" w:eastAsia="zh-CN"/>
        </w:rPr>
        <w:t>格式七   投标人基本情况表</w:t>
      </w:r>
      <w:bookmarkEnd w:id="372"/>
      <w:bookmarkEnd w:id="373"/>
      <w:bookmarkEnd w:id="374"/>
      <w:bookmarkEnd w:id="375"/>
      <w:bookmarkEnd w:id="376"/>
      <w:bookmarkEnd w:id="377"/>
      <w:bookmarkEnd w:id="378"/>
      <w:bookmarkEnd w:id="379"/>
      <w:bookmarkEnd w:id="380"/>
      <w:bookmarkEnd w:id="381"/>
      <w:bookmarkEnd w:id="382"/>
      <w:bookmarkEnd w:id="383"/>
    </w:p>
    <w:p w14:paraId="1D0AB530">
      <w:pPr>
        <w:bidi w:val="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969"/>
        <w:gridCol w:w="1826"/>
        <w:gridCol w:w="870"/>
        <w:gridCol w:w="307"/>
        <w:gridCol w:w="1040"/>
        <w:gridCol w:w="278"/>
        <w:gridCol w:w="766"/>
        <w:gridCol w:w="1538"/>
      </w:tblGrid>
      <w:tr w14:paraId="55B1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389A7E29">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投标人名称</w:t>
            </w:r>
          </w:p>
        </w:tc>
        <w:tc>
          <w:tcPr>
            <w:tcW w:w="7594" w:type="dxa"/>
            <w:gridSpan w:val="8"/>
            <w:noWrap w:val="0"/>
            <w:vAlign w:val="center"/>
          </w:tcPr>
          <w:p w14:paraId="2E2AB25B">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66EA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527917C7">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注册地址</w:t>
            </w:r>
          </w:p>
        </w:tc>
        <w:tc>
          <w:tcPr>
            <w:tcW w:w="3665" w:type="dxa"/>
            <w:gridSpan w:val="3"/>
            <w:noWrap w:val="0"/>
            <w:vAlign w:val="center"/>
          </w:tcPr>
          <w:p w14:paraId="0ADEC4E3">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004862E0">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邮政编码</w:t>
            </w:r>
          </w:p>
        </w:tc>
        <w:tc>
          <w:tcPr>
            <w:tcW w:w="2582" w:type="dxa"/>
            <w:gridSpan w:val="3"/>
            <w:noWrap w:val="0"/>
            <w:vAlign w:val="center"/>
          </w:tcPr>
          <w:p w14:paraId="57E73EF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43C8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vMerge w:val="restart"/>
            <w:noWrap w:val="0"/>
            <w:vAlign w:val="center"/>
          </w:tcPr>
          <w:p w14:paraId="56A302CC">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969" w:type="dxa"/>
            <w:noWrap w:val="0"/>
            <w:vAlign w:val="center"/>
          </w:tcPr>
          <w:p w14:paraId="5C3EE54B">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w:t>
            </w:r>
          </w:p>
        </w:tc>
        <w:tc>
          <w:tcPr>
            <w:tcW w:w="2696" w:type="dxa"/>
            <w:gridSpan w:val="2"/>
            <w:noWrap w:val="0"/>
            <w:vAlign w:val="center"/>
          </w:tcPr>
          <w:p w14:paraId="5C92A685">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4B9DCBBB">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  话</w:t>
            </w:r>
          </w:p>
        </w:tc>
        <w:tc>
          <w:tcPr>
            <w:tcW w:w="2582" w:type="dxa"/>
            <w:gridSpan w:val="3"/>
            <w:noWrap w:val="0"/>
            <w:vAlign w:val="center"/>
          </w:tcPr>
          <w:p w14:paraId="6859EFDE">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92F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vMerge w:val="continue"/>
            <w:noWrap w:val="0"/>
            <w:vAlign w:val="center"/>
          </w:tcPr>
          <w:p w14:paraId="63EC4A0E">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69" w:type="dxa"/>
            <w:noWrap w:val="0"/>
            <w:vAlign w:val="center"/>
          </w:tcPr>
          <w:p w14:paraId="3B3FD7C2">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传  真</w:t>
            </w:r>
          </w:p>
        </w:tc>
        <w:tc>
          <w:tcPr>
            <w:tcW w:w="2696" w:type="dxa"/>
            <w:gridSpan w:val="2"/>
            <w:noWrap w:val="0"/>
            <w:vAlign w:val="center"/>
          </w:tcPr>
          <w:p w14:paraId="75272FA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766D3D15">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电子邮箱</w:t>
            </w:r>
          </w:p>
        </w:tc>
        <w:tc>
          <w:tcPr>
            <w:tcW w:w="2582" w:type="dxa"/>
            <w:gridSpan w:val="3"/>
            <w:noWrap w:val="0"/>
            <w:vAlign w:val="center"/>
          </w:tcPr>
          <w:p w14:paraId="2430A569">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110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78E266E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单位性质</w:t>
            </w:r>
          </w:p>
        </w:tc>
        <w:tc>
          <w:tcPr>
            <w:tcW w:w="7594" w:type="dxa"/>
            <w:gridSpan w:val="8"/>
            <w:noWrap w:val="0"/>
            <w:vAlign w:val="center"/>
          </w:tcPr>
          <w:p w14:paraId="33638F4B">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478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26AE09BA">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w:t>
            </w:r>
          </w:p>
        </w:tc>
        <w:tc>
          <w:tcPr>
            <w:tcW w:w="969" w:type="dxa"/>
            <w:noWrap w:val="0"/>
            <w:vAlign w:val="center"/>
          </w:tcPr>
          <w:p w14:paraId="7E301B19">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1826" w:type="dxa"/>
            <w:noWrap w:val="0"/>
            <w:vAlign w:val="center"/>
          </w:tcPr>
          <w:p w14:paraId="5474ADE2">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noWrap w:val="0"/>
            <w:vAlign w:val="center"/>
          </w:tcPr>
          <w:p w14:paraId="035B886F">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技术职称</w:t>
            </w:r>
          </w:p>
        </w:tc>
        <w:tc>
          <w:tcPr>
            <w:tcW w:w="1318" w:type="dxa"/>
            <w:gridSpan w:val="2"/>
            <w:noWrap w:val="0"/>
            <w:vAlign w:val="center"/>
          </w:tcPr>
          <w:p w14:paraId="38E1F5E4">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766" w:type="dxa"/>
            <w:noWrap w:val="0"/>
            <w:vAlign w:val="center"/>
          </w:tcPr>
          <w:p w14:paraId="6604024E">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电话</w:t>
            </w:r>
          </w:p>
        </w:tc>
        <w:tc>
          <w:tcPr>
            <w:tcW w:w="1538" w:type="dxa"/>
            <w:noWrap w:val="0"/>
            <w:vAlign w:val="center"/>
          </w:tcPr>
          <w:p w14:paraId="6DB70C56">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666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56CCE893">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成立时间</w:t>
            </w:r>
          </w:p>
        </w:tc>
        <w:tc>
          <w:tcPr>
            <w:tcW w:w="2795" w:type="dxa"/>
            <w:gridSpan w:val="2"/>
            <w:noWrap w:val="0"/>
            <w:vAlign w:val="center"/>
          </w:tcPr>
          <w:p w14:paraId="7EE03FDE">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4799" w:type="dxa"/>
            <w:gridSpan w:val="6"/>
            <w:noWrap w:val="0"/>
            <w:vAlign w:val="center"/>
          </w:tcPr>
          <w:p w14:paraId="72A8AF27">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员工总人数（个）：</w:t>
            </w:r>
          </w:p>
        </w:tc>
      </w:tr>
      <w:tr w14:paraId="5D64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jc w:val="center"/>
        </w:trPr>
        <w:tc>
          <w:tcPr>
            <w:tcW w:w="1605" w:type="dxa"/>
            <w:noWrap w:val="0"/>
            <w:vAlign w:val="center"/>
          </w:tcPr>
          <w:p w14:paraId="1741FE6B">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企业资质</w:t>
            </w:r>
          </w:p>
          <w:p w14:paraId="1E096849">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类型和等级</w:t>
            </w:r>
          </w:p>
        </w:tc>
        <w:tc>
          <w:tcPr>
            <w:tcW w:w="2795" w:type="dxa"/>
            <w:gridSpan w:val="2"/>
            <w:noWrap w:val="0"/>
            <w:vAlign w:val="center"/>
          </w:tcPr>
          <w:p w14:paraId="3DB7243A">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restart"/>
            <w:noWrap w:val="0"/>
            <w:vAlign w:val="center"/>
          </w:tcPr>
          <w:p w14:paraId="4A249D6F">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其中</w:t>
            </w:r>
          </w:p>
        </w:tc>
        <w:tc>
          <w:tcPr>
            <w:tcW w:w="2084" w:type="dxa"/>
            <w:gridSpan w:val="3"/>
            <w:noWrap w:val="0"/>
            <w:vAlign w:val="center"/>
          </w:tcPr>
          <w:p w14:paraId="7C7BD88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538" w:type="dxa"/>
            <w:noWrap w:val="0"/>
            <w:vAlign w:val="center"/>
          </w:tcPr>
          <w:p w14:paraId="2E8E454E">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4CE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jc w:val="center"/>
        </w:trPr>
        <w:tc>
          <w:tcPr>
            <w:tcW w:w="1605" w:type="dxa"/>
            <w:noWrap w:val="0"/>
            <w:vAlign w:val="center"/>
          </w:tcPr>
          <w:p w14:paraId="24A7CA7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营业执照号</w:t>
            </w:r>
          </w:p>
        </w:tc>
        <w:tc>
          <w:tcPr>
            <w:tcW w:w="2795" w:type="dxa"/>
            <w:gridSpan w:val="2"/>
            <w:noWrap w:val="0"/>
            <w:vAlign w:val="center"/>
          </w:tcPr>
          <w:p w14:paraId="5EF52B90">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37DEB2E4">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31A23F70">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高级职称人员</w:t>
            </w:r>
          </w:p>
        </w:tc>
        <w:tc>
          <w:tcPr>
            <w:tcW w:w="1538" w:type="dxa"/>
            <w:noWrap w:val="0"/>
            <w:vAlign w:val="center"/>
          </w:tcPr>
          <w:p w14:paraId="5C5CDB83">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573D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jc w:val="center"/>
        </w:trPr>
        <w:tc>
          <w:tcPr>
            <w:tcW w:w="1605" w:type="dxa"/>
            <w:noWrap w:val="0"/>
            <w:vAlign w:val="center"/>
          </w:tcPr>
          <w:p w14:paraId="35E7BB54">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注册资金</w:t>
            </w:r>
          </w:p>
        </w:tc>
        <w:tc>
          <w:tcPr>
            <w:tcW w:w="2795" w:type="dxa"/>
            <w:gridSpan w:val="2"/>
            <w:noWrap w:val="0"/>
            <w:vAlign w:val="center"/>
          </w:tcPr>
          <w:p w14:paraId="16F7D4CF">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693FA0F3">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2E6E6EFC">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中级职称人员</w:t>
            </w:r>
          </w:p>
        </w:tc>
        <w:tc>
          <w:tcPr>
            <w:tcW w:w="1538" w:type="dxa"/>
            <w:noWrap w:val="0"/>
            <w:vAlign w:val="center"/>
          </w:tcPr>
          <w:p w14:paraId="71EAB540">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8F4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jc w:val="center"/>
        </w:trPr>
        <w:tc>
          <w:tcPr>
            <w:tcW w:w="1605" w:type="dxa"/>
            <w:noWrap w:val="0"/>
            <w:vAlign w:val="center"/>
          </w:tcPr>
          <w:p w14:paraId="6FBC0966">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0F7051C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开户银行</w:t>
            </w:r>
          </w:p>
        </w:tc>
        <w:tc>
          <w:tcPr>
            <w:tcW w:w="2795" w:type="dxa"/>
            <w:gridSpan w:val="2"/>
            <w:noWrap w:val="0"/>
            <w:vAlign w:val="center"/>
          </w:tcPr>
          <w:p w14:paraId="4EB8899E">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73A064C4">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119AC8ED">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初级职称人员</w:t>
            </w:r>
          </w:p>
        </w:tc>
        <w:tc>
          <w:tcPr>
            <w:tcW w:w="1538" w:type="dxa"/>
            <w:noWrap w:val="0"/>
            <w:vAlign w:val="center"/>
          </w:tcPr>
          <w:p w14:paraId="7582246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1A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1605" w:type="dxa"/>
            <w:noWrap w:val="0"/>
            <w:vAlign w:val="center"/>
          </w:tcPr>
          <w:p w14:paraId="6F02986F">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41B29BFE">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银行账号</w:t>
            </w:r>
          </w:p>
        </w:tc>
        <w:tc>
          <w:tcPr>
            <w:tcW w:w="2795" w:type="dxa"/>
            <w:gridSpan w:val="2"/>
            <w:noWrap w:val="0"/>
            <w:vAlign w:val="center"/>
          </w:tcPr>
          <w:p w14:paraId="402155B8">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132A3F90">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44FD29D2">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技术员</w:t>
            </w:r>
          </w:p>
        </w:tc>
        <w:tc>
          <w:tcPr>
            <w:tcW w:w="1538" w:type="dxa"/>
            <w:noWrap w:val="0"/>
            <w:vAlign w:val="center"/>
          </w:tcPr>
          <w:p w14:paraId="530284C3">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6704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1605" w:type="dxa"/>
            <w:noWrap w:val="0"/>
            <w:vAlign w:val="center"/>
          </w:tcPr>
          <w:p w14:paraId="720409D4">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经营范围</w:t>
            </w:r>
          </w:p>
        </w:tc>
        <w:tc>
          <w:tcPr>
            <w:tcW w:w="7594" w:type="dxa"/>
            <w:gridSpan w:val="8"/>
            <w:noWrap w:val="0"/>
            <w:vAlign w:val="center"/>
          </w:tcPr>
          <w:p w14:paraId="2BF4E941">
            <w:pPr>
              <w:pStyle w:val="54"/>
              <w:keepNext w:val="0"/>
              <w:keepLines w:val="0"/>
              <w:suppressLineNumbers w:val="0"/>
              <w:wordWrap w:val="0"/>
              <w:adjustRightInd w:val="0"/>
              <w:snapToGrid w:val="0"/>
              <w:spacing w:before="0" w:beforeAutospacing="0" w:after="0" w:afterAutospacing="0"/>
              <w:ind w:left="0" w:right="0"/>
              <w:jc w:val="left"/>
              <w:rPr>
                <w:rFonts w:hint="eastAsia" w:ascii="宋体" w:hAnsi="宋体" w:eastAsia="宋体" w:cs="宋体"/>
                <w:snapToGrid w:val="0"/>
                <w:color w:val="auto"/>
                <w:kern w:val="0"/>
                <w:sz w:val="21"/>
                <w:szCs w:val="21"/>
                <w:highlight w:val="none"/>
              </w:rPr>
            </w:pPr>
          </w:p>
        </w:tc>
      </w:tr>
      <w:tr w14:paraId="70F2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605" w:type="dxa"/>
            <w:noWrap w:val="0"/>
            <w:vAlign w:val="center"/>
          </w:tcPr>
          <w:p w14:paraId="6B97C2CF">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关联企业情况</w:t>
            </w:r>
          </w:p>
        </w:tc>
        <w:tc>
          <w:tcPr>
            <w:tcW w:w="7594" w:type="dxa"/>
            <w:gridSpan w:val="8"/>
            <w:noWrap w:val="0"/>
            <w:vAlign w:val="center"/>
          </w:tcPr>
          <w:p w14:paraId="43E47A12">
            <w:pPr>
              <w:pStyle w:val="54"/>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包括但不限于与投标人存在以下关系的不同单位：</w:t>
            </w:r>
          </w:p>
          <w:p w14:paraId="3BB786D1">
            <w:pPr>
              <w:pStyle w:val="54"/>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1.</w:t>
            </w:r>
            <w:r>
              <w:rPr>
                <w:rFonts w:hint="eastAsia" w:ascii="宋体" w:hAnsi="宋体" w:eastAsia="宋体" w:cs="宋体"/>
                <w:snapToGrid w:val="0"/>
                <w:color w:val="auto"/>
                <w:kern w:val="0"/>
                <w:sz w:val="21"/>
                <w:szCs w:val="21"/>
                <w:highlight w:val="none"/>
              </w:rPr>
              <w:t>法定代表人为同一人的。</w:t>
            </w:r>
          </w:p>
          <w:p w14:paraId="65B75F00">
            <w:pPr>
              <w:pStyle w:val="54"/>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2.</w:t>
            </w:r>
            <w:r>
              <w:rPr>
                <w:rFonts w:hint="eastAsia" w:ascii="宋体" w:hAnsi="宋体" w:eastAsia="宋体" w:cs="宋体"/>
                <w:snapToGrid w:val="0"/>
                <w:color w:val="auto"/>
                <w:kern w:val="0"/>
                <w:sz w:val="21"/>
                <w:szCs w:val="21"/>
                <w:highlight w:val="none"/>
              </w:rPr>
              <w:t>存在控股、管理关系的。</w:t>
            </w:r>
          </w:p>
          <w:p w14:paraId="43D2F22F">
            <w:pPr>
              <w:pStyle w:val="54"/>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3.</w:t>
            </w:r>
            <w:r>
              <w:rPr>
                <w:rFonts w:hint="eastAsia" w:ascii="宋体" w:hAnsi="宋体" w:eastAsia="宋体" w:cs="宋体"/>
                <w:snapToGrid w:val="0"/>
                <w:color w:val="auto"/>
                <w:kern w:val="0"/>
                <w:sz w:val="21"/>
                <w:szCs w:val="21"/>
                <w:highlight w:val="none"/>
              </w:rPr>
              <w:t>主要人员相互任职的。</w:t>
            </w:r>
          </w:p>
        </w:tc>
      </w:tr>
      <w:tr w14:paraId="7D2C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605" w:type="dxa"/>
            <w:noWrap w:val="0"/>
            <w:vAlign w:val="center"/>
          </w:tcPr>
          <w:p w14:paraId="5EEFCECD">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c>
          <w:tcPr>
            <w:tcW w:w="7594" w:type="dxa"/>
            <w:gridSpan w:val="8"/>
            <w:noWrap w:val="0"/>
            <w:vAlign w:val="center"/>
          </w:tcPr>
          <w:p w14:paraId="1E6B2180">
            <w:pPr>
              <w:pStyle w:val="54"/>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bl>
    <w:p w14:paraId="2A2272AA">
      <w:pPr>
        <w:pStyle w:val="54"/>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p>
    <w:p w14:paraId="3FDE691B">
      <w:pPr>
        <w:pStyle w:val="54"/>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1.</w:t>
      </w:r>
      <w:r>
        <w:rPr>
          <w:rFonts w:hint="eastAsia" w:ascii="宋体" w:hAnsi="宋体" w:eastAsia="宋体" w:cs="宋体"/>
          <w:snapToGrid w:val="0"/>
          <w:color w:val="auto"/>
          <w:kern w:val="0"/>
          <w:sz w:val="21"/>
          <w:szCs w:val="21"/>
          <w:highlight w:val="none"/>
        </w:rPr>
        <w:t>《投标人基本情况表》后应附以下资料：</w:t>
      </w:r>
    </w:p>
    <w:p w14:paraId="22E10E42">
      <w:pPr>
        <w:pStyle w:val="54"/>
        <w:wordWrap w:val="0"/>
        <w:adjustRightInd w:val="0"/>
        <w:snapToGrid w:val="0"/>
        <w:spacing w:line="40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（1）企业营业执照、资质证书、安全生产许可证的证书彩色扫描件；</w:t>
      </w:r>
      <w:r>
        <w:rPr>
          <w:rFonts w:hint="eastAsia" w:ascii="宋体" w:hAnsi="宋体" w:eastAsia="宋体" w:cs="宋体"/>
          <w:b/>
          <w:bCs/>
          <w:snapToGrid w:val="0"/>
          <w:color w:val="auto"/>
          <w:kern w:val="0"/>
          <w:sz w:val="21"/>
          <w:szCs w:val="21"/>
          <w:highlight w:val="none"/>
        </w:rPr>
        <w:t>（因推行电子证照，企业的营业执照、资质证书等可以提供电子证照。为实时掌握项目投标单位的是否具备企业安全生产条件，企业的安全生 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w:t>
      </w:r>
      <w:r>
        <w:rPr>
          <w:rFonts w:hint="eastAsia" w:ascii="宋体" w:hAnsi="宋体" w:eastAsia="宋体" w:cs="宋体"/>
          <w:b/>
          <w:bCs/>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snapToGrid w:val="0"/>
          <w:color w:val="auto"/>
          <w:kern w:val="0"/>
          <w:sz w:val="21"/>
          <w:szCs w:val="21"/>
          <w:highlight w:val="none"/>
          <w:lang w:eastAsia="zh-CN"/>
        </w:rPr>
        <w:t>；</w:t>
      </w:r>
    </w:p>
    <w:p w14:paraId="2696DEE7">
      <w:pPr>
        <w:pStyle w:val="54"/>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（2）“进粤企业和人员诚信信息登记平台”企业信息情况。（适用于省外建筑企业）；</w:t>
      </w:r>
    </w:p>
    <w:p w14:paraId="7F9C29E6">
      <w:pPr>
        <w:pStyle w:val="54"/>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（3）《法人和非法人组织公共信用信息报告》（在“信用中国”网站企业查询界面中下载）。</w:t>
      </w:r>
    </w:p>
    <w:p w14:paraId="0B4F67F2">
      <w:pPr>
        <w:pStyle w:val="54"/>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8"/>
          <w:highlight w:val="none"/>
        </w:rPr>
        <w:t xml:space="preserve"> </w:t>
      </w:r>
      <w:r>
        <w:rPr>
          <w:rFonts w:hint="eastAsia" w:ascii="宋体" w:hAnsi="宋体" w:eastAsia="宋体" w:cs="宋体"/>
          <w:snapToGrid w:val="0"/>
          <w:color w:val="auto"/>
          <w:kern w:val="0"/>
          <w:sz w:val="22"/>
          <w:szCs w:val="28"/>
          <w:highlight w:val="none"/>
          <w:lang w:eastAsia="zh-CN"/>
        </w:rPr>
        <w:t>2.</w:t>
      </w:r>
      <w:r>
        <w:rPr>
          <w:rFonts w:hint="eastAsia" w:ascii="宋体" w:hAnsi="宋体" w:eastAsia="宋体" w:cs="宋体"/>
          <w:snapToGrid w:val="0"/>
          <w:color w:val="auto"/>
          <w:kern w:val="0"/>
          <w:sz w:val="22"/>
          <w:szCs w:val="22"/>
          <w:highlight w:val="none"/>
        </w:rPr>
        <w:t>联合体投标的，联合体成员单位均应填写《投标人基本情况表》并提供以上所需资料。</w:t>
      </w:r>
    </w:p>
    <w:p w14:paraId="6E478D3B">
      <w:pPr>
        <w:pStyle w:val="54"/>
        <w:wordWrap w:val="0"/>
        <w:adjustRightInd w:val="0"/>
        <w:snapToGrid w:val="0"/>
        <w:spacing w:line="400" w:lineRule="exact"/>
        <w:rPr>
          <w:rFonts w:hint="eastAsia" w:ascii="宋体" w:hAnsi="宋体" w:eastAsia="宋体" w:cs="宋体"/>
          <w:snapToGrid w:val="0"/>
          <w:color w:val="auto"/>
          <w:kern w:val="0"/>
          <w:sz w:val="22"/>
          <w:szCs w:val="22"/>
          <w:highlight w:val="none"/>
        </w:rPr>
      </w:pPr>
    </w:p>
    <w:p w14:paraId="1B8D1B31">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highlight w:val="none"/>
        </w:rPr>
      </w:pPr>
      <w:bookmarkStart w:id="384" w:name="_Toc1272"/>
      <w:bookmarkStart w:id="385" w:name="_Toc30505"/>
      <w:r>
        <w:rPr>
          <w:rFonts w:hint="eastAsia" w:ascii="宋体" w:hAnsi="宋体" w:eastAsia="宋体" w:cs="宋体"/>
          <w:color w:val="auto"/>
          <w:kern w:val="2"/>
          <w:sz w:val="28"/>
          <w:szCs w:val="24"/>
          <w:lang w:val="en-US" w:eastAsia="zh-CN"/>
        </w:rPr>
        <w:t>格式八   项目经理简历表</w:t>
      </w:r>
      <w:bookmarkEnd w:id="384"/>
      <w:bookmarkEnd w:id="385"/>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9512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AAE294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38DC2C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A1F72F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99F705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D3362F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976442B">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42670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BE4391E">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7A8278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466689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38716A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F33879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B949C86">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637708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5BCE09E">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2F9F626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DBE3DC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81251B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669F1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805D31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7DF20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C41E2B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985506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D4B4C3B">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07B306C">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D72D7A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48AD856">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35E2D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9355C0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D62D1F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DFCFDD3">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341C363">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D4511C3">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D27A4C8">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37B6C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EF6C20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4F4852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A9E0CB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B0A64F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512C56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4837B9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30BC3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1F9C2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4A11C3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E646820">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3852C4C">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9ED25A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111636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4DE98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4AAA0D8">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D7011F6">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C1743F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0C8659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A862C0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0E0F0E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bl>
    <w:p w14:paraId="092BDE3F">
      <w:pPr>
        <w:spacing w:before="98" w:line="360" w:lineRule="auto"/>
        <w:jc w:val="center"/>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项目经理简历表</w:t>
      </w:r>
    </w:p>
    <w:p w14:paraId="14049813">
      <w:pPr>
        <w:wordWrap w:val="0"/>
        <w:adjustRightInd w:val="0"/>
        <w:snapToGrid w:val="0"/>
        <w:spacing w:line="440" w:lineRule="exact"/>
        <w:rPr>
          <w:rFonts w:hint="eastAsia" w:ascii="宋体" w:hAnsi="宋体" w:eastAsia="宋体" w:cs="宋体"/>
          <w:snapToGrid w:val="0"/>
          <w:color w:val="auto"/>
          <w:kern w:val="0"/>
          <w:szCs w:val="28"/>
          <w:highlight w:val="none"/>
        </w:rPr>
      </w:pPr>
    </w:p>
    <w:p w14:paraId="541071BA">
      <w:pPr>
        <w:rPr>
          <w:rFonts w:hint="eastAsia" w:ascii="宋体" w:hAnsi="宋体" w:eastAsia="宋体" w:cs="宋体"/>
          <w:color w:val="auto"/>
        </w:rPr>
      </w:pPr>
    </w:p>
    <w:p w14:paraId="1BFC7375">
      <w:pPr>
        <w:pStyle w:val="41"/>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065BEF3A">
      <w:pPr>
        <w:rPr>
          <w:rFonts w:hint="eastAsia" w:ascii="宋体" w:hAnsi="宋体" w:eastAsia="宋体" w:cs="宋体"/>
          <w:color w:val="auto"/>
        </w:rPr>
      </w:pPr>
    </w:p>
    <w:p w14:paraId="6714DA57">
      <w:pPr>
        <w:pStyle w:val="41"/>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40717EAC">
      <w:pPr>
        <w:rPr>
          <w:rFonts w:hint="eastAsia" w:ascii="宋体" w:hAnsi="宋体" w:eastAsia="宋体" w:cs="宋体"/>
          <w:color w:val="auto"/>
        </w:rPr>
      </w:pPr>
    </w:p>
    <w:p w14:paraId="4E647775">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说明：《项目经理简历表》后应附拟派项目经理以下资料：</w:t>
      </w:r>
    </w:p>
    <w:p w14:paraId="516FB162">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8"/>
          <w:highlight w:val="none"/>
          <w:lang w:eastAsia="zh-CN"/>
        </w:rPr>
        <w:t>1.</w:t>
      </w:r>
      <w:r>
        <w:rPr>
          <w:rFonts w:hint="eastAsia" w:ascii="宋体" w:hAnsi="宋体" w:eastAsia="宋体" w:cs="宋体"/>
          <w:snapToGrid w:val="0"/>
          <w:color w:val="auto"/>
          <w:kern w:val="0"/>
          <w:sz w:val="21"/>
          <w:szCs w:val="28"/>
          <w:highlight w:val="none"/>
        </w:rPr>
        <w:t>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5C48634D">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2.</w:t>
      </w:r>
      <w:r>
        <w:rPr>
          <w:rFonts w:hint="eastAsia" w:ascii="宋体" w:hAnsi="宋体" w:eastAsia="宋体" w:cs="宋体"/>
          <w:snapToGrid w:val="0"/>
          <w:color w:val="auto"/>
          <w:kern w:val="0"/>
          <w:sz w:val="21"/>
          <w:szCs w:val="21"/>
          <w:highlight w:val="none"/>
        </w:rPr>
        <w:t>建造师电子注册证书（在使用有效期内的有效电子证书）彩色扫描件；</w:t>
      </w:r>
    </w:p>
    <w:p w14:paraId="72B37A7A">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8"/>
          <w:highlight w:val="none"/>
          <w:lang w:eastAsia="zh-CN"/>
        </w:rPr>
        <w:t>3.</w:t>
      </w:r>
      <w:r>
        <w:rPr>
          <w:rFonts w:hint="eastAsia" w:ascii="宋体" w:hAnsi="宋体" w:eastAsia="宋体" w:cs="宋体"/>
          <w:snapToGrid w:val="0"/>
          <w:color w:val="auto"/>
          <w:kern w:val="0"/>
          <w:sz w:val="21"/>
          <w:szCs w:val="28"/>
          <w:highlight w:val="none"/>
        </w:rPr>
        <w:t>B类安全生产考核合格证书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或广东省建筑施工企业管理人员安全生产考核系统考核合格信息彩色扫描件；</w:t>
      </w:r>
    </w:p>
    <w:p w14:paraId="6F53CBB4">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eastAsia="zh-CN"/>
        </w:rPr>
        <w:t>4.</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至少连续三个月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其中必须有2026年</w:t>
      </w:r>
      <w:r>
        <w:rPr>
          <w:rFonts w:hint="eastAsia" w:ascii="宋体" w:hAnsi="宋体" w:eastAsia="宋体" w:cs="宋体"/>
          <w:snapToGrid w:val="0"/>
          <w:color w:val="auto"/>
          <w:kern w:val="0"/>
          <w:sz w:val="21"/>
          <w:szCs w:val="28"/>
          <w:highlight w:val="none"/>
          <w:lang w:val="en-US" w:eastAsia="zh-CN"/>
        </w:rPr>
        <w:t>5</w:t>
      </w:r>
      <w:r>
        <w:rPr>
          <w:rFonts w:hint="eastAsia" w:ascii="宋体" w:hAnsi="宋体" w:eastAsia="宋体" w:cs="宋体"/>
          <w:snapToGrid w:val="0"/>
          <w:color w:val="auto"/>
          <w:kern w:val="0"/>
          <w:sz w:val="21"/>
          <w:szCs w:val="28"/>
          <w:highlight w:val="none"/>
          <w:lang w:eastAsia="zh-CN"/>
        </w:rPr>
        <w:t>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。拟派项目经理为退休返聘人员无法提供社保证明的，提供退休证和劳动合同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72F1B29A">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lang w:val="en-US" w:eastAsia="zh-CN"/>
        </w:rPr>
      </w:pPr>
      <w:r>
        <w:rPr>
          <w:rFonts w:hint="eastAsia" w:ascii="宋体" w:hAnsi="宋体" w:eastAsia="宋体" w:cs="宋体"/>
          <w:snapToGrid w:val="0"/>
          <w:color w:val="auto"/>
          <w:kern w:val="0"/>
          <w:sz w:val="21"/>
          <w:szCs w:val="28"/>
          <w:highlight w:val="none"/>
          <w:lang w:val="en-US" w:eastAsia="zh-CN"/>
        </w:rPr>
        <w:t>5.“进粤企业和人员诚信信息登记平台”个人（项目经理等）信息情况截图。（适用于省外建筑企业）。</w:t>
      </w:r>
    </w:p>
    <w:p w14:paraId="6012B4CD">
      <w:pPr>
        <w:rPr>
          <w:rFonts w:hint="eastAsia" w:ascii="宋体" w:hAnsi="宋体" w:eastAsia="宋体" w:cs="宋体"/>
          <w:color w:val="auto"/>
          <w:lang w:val="en-US" w:eastAsia="zh-CN"/>
        </w:rPr>
      </w:pPr>
    </w:p>
    <w:p w14:paraId="548FE738">
      <w:pPr>
        <w:rPr>
          <w:rFonts w:hint="eastAsia" w:ascii="宋体" w:hAnsi="宋体" w:eastAsia="宋体" w:cs="宋体"/>
          <w:color w:val="auto"/>
          <w:lang w:val="en-US" w:eastAsia="zh-CN"/>
        </w:rPr>
      </w:pPr>
    </w:p>
    <w:p w14:paraId="64F86476">
      <w:pPr>
        <w:rPr>
          <w:rFonts w:hint="eastAsia" w:ascii="宋体" w:hAnsi="宋体" w:eastAsia="宋体" w:cs="宋体"/>
          <w:color w:val="auto"/>
          <w:lang w:val="en-US" w:eastAsia="zh-CN"/>
        </w:rPr>
      </w:pPr>
    </w:p>
    <w:p w14:paraId="6D283D66">
      <w:pPr>
        <w:rPr>
          <w:rFonts w:hint="eastAsia" w:ascii="宋体" w:hAnsi="宋体" w:eastAsia="宋体" w:cs="宋体"/>
          <w:color w:val="auto"/>
          <w:lang w:val="en-US" w:eastAsia="zh-CN"/>
        </w:rPr>
      </w:pPr>
    </w:p>
    <w:p w14:paraId="681CEA3B">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386" w:name="_Toc31193"/>
      <w:bookmarkStart w:id="387" w:name="_Toc13202"/>
      <w:bookmarkStart w:id="388" w:name="_Toc22871"/>
      <w:bookmarkStart w:id="389" w:name="_Toc22848"/>
      <w:bookmarkStart w:id="390" w:name="_Toc32542"/>
      <w:bookmarkStart w:id="391" w:name="_Toc11605"/>
      <w:bookmarkStart w:id="392" w:name="_Toc4071"/>
      <w:bookmarkStart w:id="393" w:name="_Toc28584"/>
      <w:bookmarkStart w:id="394" w:name="_Toc17422"/>
      <w:bookmarkStart w:id="395" w:name="_Toc13967"/>
      <w:bookmarkStart w:id="396" w:name="_Toc3726"/>
      <w:bookmarkStart w:id="397" w:name="_Toc2497"/>
      <w:r>
        <w:rPr>
          <w:rFonts w:hint="eastAsia" w:ascii="宋体" w:hAnsi="宋体" w:eastAsia="宋体" w:cs="宋体"/>
          <w:color w:val="auto"/>
          <w:kern w:val="2"/>
          <w:sz w:val="28"/>
          <w:szCs w:val="24"/>
          <w:lang w:val="en-US" w:eastAsia="zh-CN"/>
        </w:rPr>
        <w:t>格式九   项目经理任职声明</w:t>
      </w:r>
      <w:bookmarkEnd w:id="386"/>
      <w:bookmarkEnd w:id="387"/>
      <w:bookmarkEnd w:id="388"/>
      <w:bookmarkEnd w:id="389"/>
      <w:bookmarkEnd w:id="390"/>
      <w:bookmarkEnd w:id="391"/>
      <w:bookmarkEnd w:id="392"/>
      <w:bookmarkEnd w:id="393"/>
      <w:bookmarkEnd w:id="394"/>
      <w:bookmarkEnd w:id="395"/>
      <w:bookmarkEnd w:id="396"/>
      <w:bookmarkEnd w:id="397"/>
    </w:p>
    <w:p w14:paraId="2337B90B">
      <w:pPr>
        <w:spacing w:before="98" w:line="360" w:lineRule="auto"/>
        <w:jc w:val="center"/>
        <w:rPr>
          <w:rFonts w:hint="eastAsia" w:ascii="宋体" w:hAnsi="宋体" w:eastAsia="宋体" w:cs="宋体"/>
          <w:color w:val="auto"/>
          <w:highlight w:val="none"/>
        </w:rPr>
      </w:pPr>
      <w:r>
        <w:rPr>
          <w:rFonts w:hint="eastAsia" w:ascii="宋体" w:hAnsi="宋体" w:eastAsia="宋体" w:cs="宋体"/>
          <w:b/>
          <w:bCs/>
          <w:color w:val="auto"/>
          <w:spacing w:val="-5"/>
          <w:sz w:val="24"/>
          <w:szCs w:val="24"/>
          <w:highlight w:val="none"/>
        </w:rPr>
        <w:t>项目经理任职声明</w:t>
      </w:r>
    </w:p>
    <w:p w14:paraId="1B93071C">
      <w:pPr>
        <w:spacing w:before="78"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767AD264">
      <w:pPr>
        <w:spacing w:before="155"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我方在此声明，我方拟派往（项目名称）的项目经理（项目经理姓名）现阶段没有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7ED9C0">
      <w:pPr>
        <w:spacing w:before="35" w:line="360"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4AADC383">
      <w:pPr>
        <w:spacing w:before="78" w:line="360" w:lineRule="auto"/>
        <w:ind w:left="48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特此承诺</w:t>
      </w:r>
      <w:r>
        <w:rPr>
          <w:rFonts w:hint="eastAsia" w:ascii="宋体" w:hAnsi="宋体" w:eastAsia="宋体" w:cs="宋体"/>
          <w:color w:val="auto"/>
          <w:spacing w:val="-3"/>
          <w:sz w:val="24"/>
          <w:szCs w:val="24"/>
          <w:highlight w:val="none"/>
          <w:lang w:eastAsia="zh-CN"/>
        </w:rPr>
        <w:t>。</w:t>
      </w:r>
    </w:p>
    <w:p w14:paraId="0F7A0CD8">
      <w:pPr>
        <w:rPr>
          <w:rFonts w:hint="eastAsia" w:ascii="宋体" w:hAnsi="宋体" w:eastAsia="宋体" w:cs="宋体"/>
          <w:color w:val="auto"/>
        </w:rPr>
      </w:pPr>
    </w:p>
    <w:p w14:paraId="1CC9C93B">
      <w:pPr>
        <w:rPr>
          <w:rFonts w:hint="eastAsia" w:ascii="宋体" w:hAnsi="宋体" w:eastAsia="宋体" w:cs="宋体"/>
          <w:color w:val="auto"/>
        </w:rPr>
      </w:pPr>
    </w:p>
    <w:p w14:paraId="70CE8219">
      <w:pPr>
        <w:rPr>
          <w:rFonts w:hint="eastAsia" w:ascii="宋体" w:hAnsi="宋体" w:eastAsia="宋体" w:cs="宋体"/>
          <w:color w:val="auto"/>
        </w:rPr>
      </w:pPr>
    </w:p>
    <w:p w14:paraId="2D2A6C08">
      <w:pPr>
        <w:spacing w:before="79"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369AA323">
      <w:pPr>
        <w:pStyle w:val="8"/>
        <w:spacing w:line="360" w:lineRule="auto"/>
        <w:rPr>
          <w:rFonts w:hint="eastAsia" w:ascii="宋体" w:hAnsi="宋体" w:eastAsia="宋体" w:cs="宋体"/>
          <w:color w:val="auto"/>
          <w:sz w:val="24"/>
          <w:szCs w:val="24"/>
          <w:highlight w:val="none"/>
        </w:rPr>
      </w:pPr>
    </w:p>
    <w:p w14:paraId="1D324B8A">
      <w:pPr>
        <w:spacing w:before="78"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368CF712">
      <w:pPr>
        <w:pStyle w:val="8"/>
        <w:spacing w:line="360" w:lineRule="auto"/>
        <w:rPr>
          <w:rFonts w:hint="eastAsia" w:ascii="宋体" w:hAnsi="宋体" w:eastAsia="宋体" w:cs="宋体"/>
          <w:color w:val="auto"/>
          <w:sz w:val="24"/>
          <w:szCs w:val="24"/>
          <w:highlight w:val="none"/>
        </w:rPr>
      </w:pPr>
    </w:p>
    <w:p w14:paraId="2BE4B45A">
      <w:pPr>
        <w:spacing w:before="79" w:line="360" w:lineRule="auto"/>
        <w:ind w:left="627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9"/>
          <w:sz w:val="24"/>
          <w:szCs w:val="24"/>
          <w:highlight w:val="none"/>
        </w:rPr>
        <w:t>日</w:t>
      </w:r>
    </w:p>
    <w:p w14:paraId="19C960C4">
      <w:pPr>
        <w:spacing w:line="360" w:lineRule="auto"/>
        <w:rPr>
          <w:rFonts w:hint="eastAsia" w:ascii="宋体" w:hAnsi="宋体" w:eastAsia="宋体" w:cs="宋体"/>
          <w:color w:val="auto"/>
          <w:sz w:val="24"/>
          <w:szCs w:val="24"/>
          <w:highlight w:val="none"/>
        </w:rPr>
      </w:pPr>
    </w:p>
    <w:p w14:paraId="06D4CC63">
      <w:pPr>
        <w:spacing w:line="360" w:lineRule="auto"/>
        <w:rPr>
          <w:rFonts w:hint="eastAsia" w:ascii="宋体" w:hAnsi="宋体" w:eastAsia="宋体" w:cs="宋体"/>
          <w:color w:val="auto"/>
          <w:sz w:val="24"/>
          <w:szCs w:val="24"/>
          <w:highlight w:val="none"/>
        </w:rPr>
      </w:pPr>
    </w:p>
    <w:p w14:paraId="5C6A70E5">
      <w:pPr>
        <w:spacing w:line="360" w:lineRule="auto"/>
        <w:rPr>
          <w:rFonts w:hint="eastAsia" w:ascii="宋体" w:hAnsi="宋体" w:eastAsia="宋体" w:cs="宋体"/>
          <w:color w:val="auto"/>
          <w:sz w:val="24"/>
          <w:szCs w:val="24"/>
          <w:highlight w:val="none"/>
        </w:rPr>
      </w:pPr>
    </w:p>
    <w:p w14:paraId="049A1AA8">
      <w:pPr>
        <w:spacing w:line="360" w:lineRule="auto"/>
        <w:rPr>
          <w:rFonts w:hint="eastAsia" w:ascii="宋体" w:hAnsi="宋体" w:eastAsia="宋体" w:cs="宋体"/>
          <w:color w:val="auto"/>
          <w:sz w:val="24"/>
          <w:szCs w:val="24"/>
          <w:highlight w:val="none"/>
        </w:rPr>
      </w:pPr>
    </w:p>
    <w:p w14:paraId="78A843BD">
      <w:pPr>
        <w:spacing w:line="360" w:lineRule="auto"/>
        <w:rPr>
          <w:rFonts w:hint="eastAsia" w:ascii="宋体" w:hAnsi="宋体" w:eastAsia="宋体" w:cs="宋体"/>
          <w:color w:val="auto"/>
          <w:sz w:val="24"/>
          <w:szCs w:val="24"/>
          <w:highlight w:val="none"/>
        </w:rPr>
      </w:pPr>
    </w:p>
    <w:p w14:paraId="722476CB">
      <w:pPr>
        <w:spacing w:line="360" w:lineRule="auto"/>
        <w:rPr>
          <w:rFonts w:hint="eastAsia" w:ascii="宋体" w:hAnsi="宋体" w:eastAsia="宋体" w:cs="宋体"/>
          <w:color w:val="auto"/>
          <w:sz w:val="24"/>
          <w:szCs w:val="24"/>
          <w:highlight w:val="none"/>
        </w:rPr>
      </w:pPr>
    </w:p>
    <w:p w14:paraId="44889E04">
      <w:pPr>
        <w:spacing w:line="360" w:lineRule="auto"/>
        <w:rPr>
          <w:rFonts w:hint="eastAsia" w:ascii="宋体" w:hAnsi="宋体" w:eastAsia="宋体" w:cs="宋体"/>
          <w:color w:val="auto"/>
          <w:sz w:val="24"/>
          <w:szCs w:val="24"/>
          <w:highlight w:val="none"/>
        </w:rPr>
      </w:pPr>
    </w:p>
    <w:p w14:paraId="6D1BA1CA">
      <w:pPr>
        <w:spacing w:line="360" w:lineRule="auto"/>
        <w:rPr>
          <w:rFonts w:hint="eastAsia" w:ascii="宋体" w:hAnsi="宋体" w:eastAsia="宋体" w:cs="宋体"/>
          <w:color w:val="auto"/>
          <w:sz w:val="24"/>
          <w:szCs w:val="24"/>
          <w:highlight w:val="none"/>
        </w:rPr>
      </w:pPr>
    </w:p>
    <w:p w14:paraId="73349EDB">
      <w:pPr>
        <w:spacing w:line="360" w:lineRule="auto"/>
        <w:rPr>
          <w:rFonts w:hint="eastAsia" w:ascii="宋体" w:hAnsi="宋体" w:eastAsia="宋体" w:cs="宋体"/>
          <w:color w:val="auto"/>
          <w:sz w:val="24"/>
          <w:szCs w:val="24"/>
          <w:highlight w:val="none"/>
        </w:rPr>
      </w:pPr>
    </w:p>
    <w:p w14:paraId="7874BCCE">
      <w:pPr>
        <w:spacing w:line="360" w:lineRule="auto"/>
        <w:rPr>
          <w:rFonts w:hint="eastAsia" w:ascii="宋体" w:hAnsi="宋体" w:eastAsia="宋体" w:cs="宋体"/>
          <w:color w:val="auto"/>
          <w:sz w:val="24"/>
          <w:szCs w:val="24"/>
          <w:highlight w:val="none"/>
        </w:rPr>
      </w:pPr>
    </w:p>
    <w:p w14:paraId="7420A40A">
      <w:pPr>
        <w:spacing w:line="360" w:lineRule="auto"/>
        <w:rPr>
          <w:rFonts w:hint="eastAsia" w:ascii="宋体" w:hAnsi="宋体" w:eastAsia="宋体" w:cs="宋体"/>
          <w:color w:val="auto"/>
          <w:sz w:val="24"/>
          <w:szCs w:val="24"/>
          <w:highlight w:val="none"/>
        </w:rPr>
      </w:pPr>
    </w:p>
    <w:p w14:paraId="74CB4EE3">
      <w:pPr>
        <w:spacing w:line="360" w:lineRule="auto"/>
        <w:rPr>
          <w:rFonts w:hint="eastAsia" w:ascii="宋体" w:hAnsi="宋体" w:eastAsia="宋体" w:cs="宋体"/>
          <w:color w:val="auto"/>
          <w:sz w:val="24"/>
          <w:szCs w:val="24"/>
          <w:highlight w:val="none"/>
        </w:rPr>
      </w:pPr>
    </w:p>
    <w:p w14:paraId="41146AF9">
      <w:pPr>
        <w:spacing w:line="360" w:lineRule="auto"/>
        <w:rPr>
          <w:rFonts w:hint="eastAsia" w:ascii="宋体" w:hAnsi="宋体" w:eastAsia="宋体" w:cs="宋体"/>
          <w:color w:val="auto"/>
          <w:sz w:val="24"/>
          <w:szCs w:val="24"/>
          <w:highlight w:val="none"/>
        </w:rPr>
      </w:pPr>
    </w:p>
    <w:p w14:paraId="03683817">
      <w:pPr>
        <w:spacing w:line="360" w:lineRule="auto"/>
        <w:rPr>
          <w:rFonts w:hint="eastAsia" w:ascii="宋体" w:hAnsi="宋体" w:eastAsia="宋体" w:cs="宋体"/>
          <w:color w:val="auto"/>
          <w:sz w:val="24"/>
          <w:szCs w:val="24"/>
          <w:highlight w:val="none"/>
        </w:rPr>
      </w:pPr>
    </w:p>
    <w:p w14:paraId="1EEC0C2B">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highlight w:val="none"/>
        </w:rPr>
      </w:pPr>
      <w:bookmarkStart w:id="398" w:name="_Toc19408"/>
      <w:bookmarkStart w:id="399" w:name="_Toc21596"/>
      <w:bookmarkStart w:id="400" w:name="_Toc19909"/>
      <w:bookmarkStart w:id="401" w:name="_Toc12596"/>
      <w:bookmarkStart w:id="402" w:name="_Toc31329"/>
      <w:bookmarkStart w:id="403" w:name="_Toc23472"/>
      <w:bookmarkStart w:id="404" w:name="_Toc14097"/>
      <w:bookmarkStart w:id="405" w:name="_Toc17998"/>
      <w:bookmarkStart w:id="406" w:name="_Toc30703"/>
      <w:bookmarkStart w:id="407" w:name="_Toc7992"/>
      <w:bookmarkStart w:id="408" w:name="_Toc2397"/>
      <w:bookmarkStart w:id="409" w:name="_Toc32297"/>
      <w:r>
        <w:rPr>
          <w:rFonts w:hint="eastAsia" w:ascii="宋体" w:hAnsi="宋体" w:eastAsia="宋体" w:cs="宋体"/>
          <w:color w:val="auto"/>
          <w:kern w:val="2"/>
          <w:sz w:val="28"/>
          <w:szCs w:val="24"/>
          <w:lang w:val="en-US" w:eastAsia="zh-CN"/>
        </w:rPr>
        <w:t>格式十   项目技术负责人简历表</w:t>
      </w:r>
      <w:bookmarkEnd w:id="398"/>
      <w:bookmarkEnd w:id="399"/>
      <w:bookmarkEnd w:id="400"/>
      <w:bookmarkEnd w:id="401"/>
      <w:bookmarkEnd w:id="402"/>
      <w:bookmarkEnd w:id="403"/>
      <w:bookmarkEnd w:id="404"/>
      <w:bookmarkEnd w:id="405"/>
      <w:bookmarkEnd w:id="406"/>
      <w:bookmarkEnd w:id="407"/>
      <w:bookmarkEnd w:id="408"/>
      <w:bookmarkEnd w:id="409"/>
    </w:p>
    <w:p w14:paraId="6EE10392">
      <w:pPr>
        <w:spacing w:before="98" w:line="360" w:lineRule="auto"/>
        <w:jc w:val="center"/>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项目技术负责人简历表</w:t>
      </w:r>
    </w:p>
    <w:tbl>
      <w:tblPr>
        <w:tblStyle w:val="21"/>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3FD6A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489EA1F6">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姓   名</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14:paraId="6A5F6CDC">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14:paraId="0C0F404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性  别</w:t>
            </w:r>
          </w:p>
        </w:tc>
        <w:tc>
          <w:tcPr>
            <w:tcW w:w="1946" w:type="dxa"/>
            <w:tcBorders>
              <w:top w:val="single" w:color="auto" w:sz="6" w:space="0"/>
              <w:left w:val="nil"/>
              <w:bottom w:val="single" w:color="auto" w:sz="6" w:space="0"/>
              <w:right w:val="single" w:color="auto" w:sz="6" w:space="0"/>
            </w:tcBorders>
            <w:shd w:val="clear" w:color="auto" w:fill="auto"/>
            <w:vAlign w:val="center"/>
          </w:tcPr>
          <w:p w14:paraId="131A6ED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14:paraId="30337305">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年   龄</w:t>
            </w:r>
          </w:p>
        </w:tc>
        <w:tc>
          <w:tcPr>
            <w:tcW w:w="1327" w:type="dxa"/>
            <w:tcBorders>
              <w:top w:val="single" w:color="auto" w:sz="6" w:space="0"/>
              <w:left w:val="nil"/>
              <w:bottom w:val="single" w:color="auto" w:sz="6" w:space="0"/>
              <w:right w:val="single" w:color="auto" w:sz="6" w:space="0"/>
            </w:tcBorders>
            <w:shd w:val="clear" w:color="auto" w:fill="auto"/>
            <w:vAlign w:val="center"/>
          </w:tcPr>
          <w:p w14:paraId="3F23267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7D58DB1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FFF686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务</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14:paraId="68A83FBC">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14:paraId="3BE7C95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称</w:t>
            </w:r>
          </w:p>
        </w:tc>
        <w:tc>
          <w:tcPr>
            <w:tcW w:w="1946" w:type="dxa"/>
            <w:tcBorders>
              <w:top w:val="single" w:color="auto" w:sz="6" w:space="0"/>
              <w:left w:val="nil"/>
              <w:bottom w:val="single" w:color="auto" w:sz="6" w:space="0"/>
              <w:right w:val="single" w:color="auto" w:sz="6" w:space="0"/>
            </w:tcBorders>
            <w:shd w:val="clear" w:color="auto" w:fill="auto"/>
            <w:vAlign w:val="center"/>
          </w:tcPr>
          <w:p w14:paraId="6668FA6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14:paraId="62784BCA">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学   历</w:t>
            </w:r>
          </w:p>
        </w:tc>
        <w:tc>
          <w:tcPr>
            <w:tcW w:w="1327" w:type="dxa"/>
            <w:tcBorders>
              <w:top w:val="single" w:color="auto" w:sz="6" w:space="0"/>
              <w:left w:val="nil"/>
              <w:bottom w:val="single" w:color="auto" w:sz="6" w:space="0"/>
              <w:right w:val="single" w:color="auto" w:sz="6" w:space="0"/>
            </w:tcBorders>
            <w:shd w:val="clear" w:color="auto" w:fill="auto"/>
            <w:vAlign w:val="center"/>
          </w:tcPr>
          <w:p w14:paraId="5454906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211A755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25894F8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参加工作时间</w:t>
            </w:r>
          </w:p>
        </w:tc>
        <w:tc>
          <w:tcPr>
            <w:tcW w:w="2526" w:type="dxa"/>
            <w:gridSpan w:val="3"/>
            <w:tcBorders>
              <w:top w:val="single" w:color="auto" w:sz="6" w:space="0"/>
              <w:left w:val="nil"/>
              <w:bottom w:val="single" w:color="auto" w:sz="6" w:space="0"/>
              <w:right w:val="single" w:color="auto" w:sz="6" w:space="0"/>
            </w:tcBorders>
            <w:shd w:val="clear" w:color="auto" w:fill="auto"/>
            <w:vAlign w:val="center"/>
          </w:tcPr>
          <w:p w14:paraId="3F0E96F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3679" w:type="dxa"/>
            <w:gridSpan w:val="3"/>
            <w:tcBorders>
              <w:top w:val="single" w:color="auto" w:sz="6" w:space="0"/>
              <w:left w:val="nil"/>
              <w:bottom w:val="single" w:color="auto" w:sz="6" w:space="0"/>
              <w:right w:val="single" w:color="auto" w:sz="6" w:space="0"/>
            </w:tcBorders>
            <w:shd w:val="clear" w:color="auto" w:fill="auto"/>
            <w:vAlign w:val="center"/>
          </w:tcPr>
          <w:p w14:paraId="50ADE7B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从事工程建设项目管理工作年限</w:t>
            </w:r>
          </w:p>
        </w:tc>
        <w:tc>
          <w:tcPr>
            <w:tcW w:w="1327" w:type="dxa"/>
            <w:tcBorders>
              <w:top w:val="single" w:color="auto" w:sz="6" w:space="0"/>
              <w:left w:val="nil"/>
              <w:bottom w:val="single" w:color="auto" w:sz="6" w:space="0"/>
              <w:right w:val="single" w:color="auto" w:sz="6" w:space="0"/>
            </w:tcBorders>
            <w:shd w:val="clear" w:color="auto" w:fill="auto"/>
            <w:vAlign w:val="center"/>
          </w:tcPr>
          <w:p w14:paraId="55212D0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01BDF8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9270" w:type="dxa"/>
            <w:gridSpan w:val="9"/>
            <w:tcBorders>
              <w:top w:val="single" w:color="auto" w:sz="6" w:space="0"/>
              <w:left w:val="single" w:color="auto" w:sz="6" w:space="0"/>
              <w:bottom w:val="single" w:color="auto" w:sz="6" w:space="0"/>
              <w:right w:val="single" w:color="auto" w:sz="6" w:space="0"/>
            </w:tcBorders>
            <w:shd w:val="clear" w:color="auto" w:fill="auto"/>
            <w:vAlign w:val="center"/>
          </w:tcPr>
          <w:p w14:paraId="4886DE8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以项目技术负责人身份参与过的主要业绩（已完工项目）</w:t>
            </w:r>
          </w:p>
        </w:tc>
      </w:tr>
      <w:tr w14:paraId="44F199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7CA74EB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序号</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18D2A99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项目名称</w:t>
            </w: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4AB9070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建设单位</w:t>
            </w: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6E7C79DA">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建设内容和规模</w:t>
            </w:r>
          </w:p>
        </w:tc>
        <w:tc>
          <w:tcPr>
            <w:tcW w:w="1706" w:type="dxa"/>
            <w:tcBorders>
              <w:top w:val="single" w:color="auto" w:sz="6" w:space="0"/>
              <w:left w:val="nil"/>
              <w:bottom w:val="single" w:color="auto" w:sz="6" w:space="0"/>
              <w:right w:val="single" w:color="auto" w:sz="6" w:space="0"/>
            </w:tcBorders>
            <w:shd w:val="clear" w:color="auto" w:fill="auto"/>
            <w:vAlign w:val="center"/>
          </w:tcPr>
          <w:p w14:paraId="3734ACC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开、竣工日期</w:t>
            </w:r>
          </w:p>
        </w:tc>
        <w:tc>
          <w:tcPr>
            <w:tcW w:w="1327" w:type="dxa"/>
            <w:tcBorders>
              <w:top w:val="single" w:color="auto" w:sz="6" w:space="0"/>
              <w:left w:val="nil"/>
              <w:bottom w:val="single" w:color="auto" w:sz="6" w:space="0"/>
              <w:right w:val="single" w:color="auto" w:sz="6" w:space="0"/>
            </w:tcBorders>
            <w:shd w:val="clear" w:color="auto" w:fill="auto"/>
            <w:vAlign w:val="center"/>
          </w:tcPr>
          <w:p w14:paraId="3F2C2DA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质量等级</w:t>
            </w:r>
          </w:p>
        </w:tc>
      </w:tr>
      <w:tr w14:paraId="6EAF4D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71C67C4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65114EB7">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49481C64">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217EC04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16ED998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69A42B8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0F3DDD3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17DBBEBD">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0563D3F5">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324EA68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4B7283E1">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58D925B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28BDFCE4">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464834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158DB086">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546A925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6FABB07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15758887">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05E23ADC">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148282A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420967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62EE31B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25CEB41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70A17C44">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789D9F1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26D96AE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3F61F688">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701DB35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2F0ED977">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3C11CB9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03E3F176">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61E89C4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774E067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1394E691">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bl>
    <w:p w14:paraId="2A8F460B">
      <w:pPr>
        <w:rPr>
          <w:rFonts w:hint="eastAsia" w:ascii="宋体" w:hAnsi="宋体" w:eastAsia="宋体" w:cs="宋体"/>
          <w:color w:val="auto"/>
        </w:rPr>
      </w:pPr>
    </w:p>
    <w:p w14:paraId="3D63E4C2">
      <w:pPr>
        <w:rPr>
          <w:rFonts w:hint="eastAsia" w:ascii="宋体" w:hAnsi="宋体" w:eastAsia="宋体" w:cs="宋体"/>
          <w:color w:val="auto"/>
        </w:rPr>
      </w:pPr>
    </w:p>
    <w:p w14:paraId="51D32282">
      <w:pPr>
        <w:pStyle w:val="41"/>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36BC55F1">
      <w:pPr>
        <w:rPr>
          <w:rFonts w:hint="eastAsia" w:ascii="宋体" w:hAnsi="宋体" w:eastAsia="宋体" w:cs="宋体"/>
          <w:color w:val="auto"/>
        </w:rPr>
      </w:pPr>
    </w:p>
    <w:p w14:paraId="43824EDF">
      <w:pPr>
        <w:pStyle w:val="41"/>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1E9602F2">
      <w:pPr>
        <w:rPr>
          <w:rFonts w:hint="eastAsia" w:ascii="宋体" w:hAnsi="宋体" w:eastAsia="宋体" w:cs="宋体"/>
          <w:color w:val="auto"/>
        </w:rPr>
      </w:pPr>
    </w:p>
    <w:p w14:paraId="71930446">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说明：《项目技术负责人简历表》后应附拟派项目技术负责人以下资料：</w:t>
      </w:r>
    </w:p>
    <w:p w14:paraId="67F65ECF">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8"/>
          <w:highlight w:val="none"/>
          <w:lang w:eastAsia="zh-CN"/>
        </w:rPr>
        <w:t>1.</w:t>
      </w:r>
      <w:r>
        <w:rPr>
          <w:rFonts w:hint="eastAsia" w:ascii="宋体" w:hAnsi="宋体" w:eastAsia="宋体" w:cs="宋体"/>
          <w:snapToGrid w:val="0"/>
          <w:color w:val="auto"/>
          <w:kern w:val="0"/>
          <w:sz w:val="21"/>
          <w:szCs w:val="28"/>
          <w:highlight w:val="none"/>
        </w:rPr>
        <w:t>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5C4FCBE9">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8"/>
          <w:highlight w:val="none"/>
          <w:lang w:eastAsia="zh-CN"/>
        </w:rPr>
        <w:t>2.</w:t>
      </w:r>
      <w:r>
        <w:rPr>
          <w:rFonts w:hint="eastAsia" w:ascii="宋体" w:hAnsi="宋体" w:eastAsia="宋体" w:cs="宋体"/>
          <w:snapToGrid w:val="0"/>
          <w:color w:val="auto"/>
          <w:kern w:val="0"/>
          <w:sz w:val="21"/>
          <w:szCs w:val="28"/>
          <w:highlight w:val="none"/>
        </w:rPr>
        <w:t>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43090BCB">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eastAsia="zh-CN"/>
        </w:rPr>
        <w:t>3.</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至少连续三个月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其中必须有2026年</w:t>
      </w:r>
      <w:r>
        <w:rPr>
          <w:rFonts w:hint="eastAsia" w:ascii="宋体" w:hAnsi="宋体" w:eastAsia="宋体" w:cs="宋体"/>
          <w:snapToGrid w:val="0"/>
          <w:color w:val="auto"/>
          <w:kern w:val="0"/>
          <w:sz w:val="21"/>
          <w:szCs w:val="28"/>
          <w:highlight w:val="none"/>
          <w:lang w:val="en-US" w:eastAsia="zh-CN"/>
        </w:rPr>
        <w:t>5</w:t>
      </w:r>
      <w:r>
        <w:rPr>
          <w:rFonts w:hint="eastAsia" w:ascii="宋体" w:hAnsi="宋体" w:eastAsia="宋体" w:cs="宋体"/>
          <w:snapToGrid w:val="0"/>
          <w:color w:val="auto"/>
          <w:kern w:val="0"/>
          <w:sz w:val="21"/>
          <w:szCs w:val="28"/>
          <w:highlight w:val="none"/>
          <w:lang w:eastAsia="zh-CN"/>
        </w:rPr>
        <w:t>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3777E786">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lang w:val="en-US" w:eastAsia="zh-CN"/>
        </w:rPr>
      </w:pPr>
      <w:r>
        <w:rPr>
          <w:rFonts w:hint="eastAsia" w:ascii="宋体" w:hAnsi="宋体" w:eastAsia="宋体" w:cs="宋体"/>
          <w:snapToGrid w:val="0"/>
          <w:color w:val="auto"/>
          <w:kern w:val="0"/>
          <w:sz w:val="21"/>
          <w:szCs w:val="28"/>
          <w:highlight w:val="none"/>
          <w:lang w:val="en-US" w:eastAsia="zh-CN"/>
        </w:rPr>
        <w:t>4.“进粤企业和人员诚信信息登记平台”个人（项目经理等）信息情况截图。（适用于省外建筑企业）。</w:t>
      </w:r>
    </w:p>
    <w:p w14:paraId="73D6EB1E">
      <w:pPr>
        <w:rPr>
          <w:rFonts w:hint="eastAsia" w:ascii="宋体" w:hAnsi="宋体" w:eastAsia="宋体" w:cs="宋体"/>
          <w:color w:val="auto"/>
          <w:lang w:val="en-US" w:eastAsia="zh-CN"/>
        </w:rPr>
      </w:pPr>
    </w:p>
    <w:p w14:paraId="3E4DCBC8">
      <w:pPr>
        <w:rPr>
          <w:rFonts w:hint="eastAsia" w:ascii="宋体" w:hAnsi="宋体" w:eastAsia="宋体" w:cs="宋体"/>
          <w:color w:val="auto"/>
          <w:lang w:val="en-US" w:eastAsia="zh-CN"/>
        </w:rPr>
      </w:pPr>
    </w:p>
    <w:p w14:paraId="2847B47A">
      <w:pPr>
        <w:rPr>
          <w:rFonts w:hint="eastAsia" w:ascii="宋体" w:hAnsi="宋体" w:eastAsia="宋体" w:cs="宋体"/>
          <w:color w:val="auto"/>
          <w:lang w:val="en-US" w:eastAsia="zh-CN"/>
        </w:rPr>
      </w:pPr>
    </w:p>
    <w:p w14:paraId="1C9063F5">
      <w:pPr>
        <w:rPr>
          <w:rFonts w:hint="eastAsia" w:ascii="宋体" w:hAnsi="宋体" w:eastAsia="宋体" w:cs="宋体"/>
          <w:color w:val="auto"/>
          <w:lang w:val="en-US" w:eastAsia="zh-CN"/>
        </w:rPr>
      </w:pPr>
    </w:p>
    <w:p w14:paraId="49F2A497">
      <w:pPr>
        <w:rPr>
          <w:rFonts w:hint="eastAsia" w:ascii="宋体" w:hAnsi="宋体" w:eastAsia="宋体" w:cs="宋体"/>
          <w:color w:val="auto"/>
          <w:lang w:val="en-US" w:eastAsia="zh-CN"/>
        </w:rPr>
      </w:pPr>
    </w:p>
    <w:p w14:paraId="5508B26C">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Style w:val="26"/>
          <w:rFonts w:hint="eastAsia" w:ascii="宋体" w:hAnsi="宋体" w:eastAsia="宋体" w:cs="宋体"/>
          <w:b/>
          <w:bCs/>
          <w:color w:val="auto"/>
          <w:sz w:val="21"/>
          <w:szCs w:val="21"/>
          <w:highlight w:val="none"/>
        </w:rPr>
      </w:pPr>
      <w:bookmarkStart w:id="410" w:name="_Toc19125"/>
      <w:bookmarkStart w:id="411" w:name="_Toc31072"/>
      <w:bookmarkStart w:id="412" w:name="_Toc29544"/>
      <w:bookmarkStart w:id="413" w:name="_Toc6024"/>
      <w:bookmarkStart w:id="414" w:name="_Toc8959"/>
      <w:bookmarkStart w:id="415" w:name="_Toc13261"/>
      <w:bookmarkStart w:id="416" w:name="_Toc9476"/>
      <w:bookmarkStart w:id="417" w:name="_Toc28355"/>
      <w:bookmarkStart w:id="418" w:name="_Toc25312"/>
      <w:bookmarkStart w:id="419" w:name="_Toc4370"/>
      <w:bookmarkStart w:id="420" w:name="_Toc19829"/>
      <w:bookmarkStart w:id="421" w:name="_Toc636"/>
      <w:bookmarkStart w:id="422" w:name="_Toc11642"/>
      <w:r>
        <w:rPr>
          <w:rFonts w:hint="eastAsia" w:ascii="宋体" w:hAnsi="宋体" w:eastAsia="宋体" w:cs="宋体"/>
          <w:color w:val="auto"/>
          <w:kern w:val="2"/>
          <w:sz w:val="28"/>
          <w:szCs w:val="24"/>
          <w:lang w:val="en-US" w:eastAsia="zh-CN"/>
        </w:rPr>
        <w:t>格式十一   项目管理机构组成</w:t>
      </w:r>
      <w:bookmarkEnd w:id="410"/>
      <w:bookmarkEnd w:id="411"/>
      <w:bookmarkEnd w:id="412"/>
      <w:bookmarkEnd w:id="413"/>
      <w:bookmarkEnd w:id="414"/>
      <w:bookmarkEnd w:id="415"/>
      <w:bookmarkEnd w:id="416"/>
      <w:bookmarkEnd w:id="417"/>
      <w:bookmarkEnd w:id="418"/>
      <w:bookmarkEnd w:id="419"/>
      <w:bookmarkEnd w:id="420"/>
      <w:bookmarkEnd w:id="421"/>
      <w:bookmarkEnd w:id="422"/>
    </w:p>
    <w:p w14:paraId="0F566F1E">
      <w:pPr>
        <w:spacing w:before="98" w:line="360" w:lineRule="auto"/>
        <w:jc w:val="center"/>
        <w:rPr>
          <w:rFonts w:hint="eastAsia" w:ascii="宋体" w:hAnsi="宋体" w:eastAsia="宋体" w:cs="宋体"/>
          <w:b/>
          <w:bCs/>
          <w:color w:val="auto"/>
          <w:spacing w:val="-5"/>
          <w:sz w:val="24"/>
          <w:szCs w:val="24"/>
          <w:highlight w:val="none"/>
        </w:rPr>
      </w:pPr>
      <w:bookmarkStart w:id="423" w:name="_Toc14261751"/>
      <w:r>
        <w:rPr>
          <w:rFonts w:hint="eastAsia" w:ascii="宋体" w:hAnsi="宋体" w:eastAsia="宋体" w:cs="宋体"/>
          <w:b/>
          <w:bCs/>
          <w:color w:val="auto"/>
          <w:spacing w:val="-5"/>
          <w:sz w:val="24"/>
          <w:szCs w:val="24"/>
          <w:highlight w:val="none"/>
        </w:rPr>
        <w:t>项目管理机构组成表</w:t>
      </w:r>
      <w:bookmarkEnd w:id="423"/>
    </w:p>
    <w:tbl>
      <w:tblPr>
        <w:tblStyle w:val="21"/>
        <w:tblW w:w="93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78"/>
        <w:gridCol w:w="1488"/>
        <w:gridCol w:w="1418"/>
        <w:gridCol w:w="942"/>
        <w:gridCol w:w="855"/>
        <w:gridCol w:w="1610"/>
        <w:gridCol w:w="2266"/>
      </w:tblGrid>
      <w:tr w14:paraId="335B8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4ECC4F8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4A66CE8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8ABCD6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42" w:type="dxa"/>
            <w:tcBorders>
              <w:top w:val="single" w:color="auto" w:sz="6" w:space="0"/>
              <w:left w:val="single" w:color="auto" w:sz="6" w:space="0"/>
              <w:bottom w:val="single" w:color="auto" w:sz="6" w:space="0"/>
              <w:right w:val="single" w:color="auto" w:sz="6" w:space="0"/>
            </w:tcBorders>
            <w:noWrap w:val="0"/>
            <w:vAlign w:val="center"/>
          </w:tcPr>
          <w:p w14:paraId="13B578C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55" w:type="dxa"/>
            <w:tcBorders>
              <w:top w:val="single" w:color="auto" w:sz="6" w:space="0"/>
              <w:left w:val="single" w:color="auto" w:sz="6" w:space="0"/>
              <w:bottom w:val="single" w:color="auto" w:sz="6" w:space="0"/>
              <w:right w:val="single" w:color="auto" w:sz="6" w:space="0"/>
            </w:tcBorders>
            <w:noWrap w:val="0"/>
            <w:vAlign w:val="center"/>
          </w:tcPr>
          <w:p w14:paraId="263262F1">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610" w:type="dxa"/>
            <w:tcBorders>
              <w:top w:val="single" w:color="auto" w:sz="6" w:space="0"/>
              <w:left w:val="single" w:color="auto" w:sz="6" w:space="0"/>
              <w:bottom w:val="single" w:color="auto" w:sz="6" w:space="0"/>
              <w:right w:val="single" w:color="auto" w:sz="6" w:space="0"/>
            </w:tcBorders>
            <w:noWrap w:val="0"/>
            <w:vAlign w:val="center"/>
          </w:tcPr>
          <w:p w14:paraId="2D4952F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266" w:type="dxa"/>
            <w:tcBorders>
              <w:top w:val="single" w:color="auto" w:sz="6" w:space="0"/>
              <w:left w:val="single" w:color="auto" w:sz="6" w:space="0"/>
              <w:bottom w:val="single" w:color="auto" w:sz="6" w:space="0"/>
              <w:right w:val="single" w:color="auto" w:sz="6" w:space="0"/>
            </w:tcBorders>
            <w:noWrap w:val="0"/>
            <w:vAlign w:val="center"/>
          </w:tcPr>
          <w:p w14:paraId="3243EBA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03EBA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3"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7E7AAC9F">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59534BB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3798F6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370F848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751E69E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4337581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648821C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0AF3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6"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5F60194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5272756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0A8D37F1">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CEECAC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209798C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1968AE71">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34F5766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16FF481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52E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1" w:hRule="exact"/>
          <w:jc w:val="center"/>
        </w:trPr>
        <w:tc>
          <w:tcPr>
            <w:tcW w:w="778" w:type="dxa"/>
            <w:tcBorders>
              <w:top w:val="single" w:color="auto" w:sz="6" w:space="0"/>
              <w:left w:val="single" w:color="auto" w:sz="6" w:space="0"/>
              <w:right w:val="single" w:color="auto" w:sz="6" w:space="0"/>
            </w:tcBorders>
            <w:noWrap w:val="0"/>
            <w:vAlign w:val="center"/>
          </w:tcPr>
          <w:p w14:paraId="418B90B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88" w:type="dxa"/>
            <w:tcBorders>
              <w:top w:val="single" w:color="auto" w:sz="6" w:space="0"/>
              <w:left w:val="single" w:color="auto" w:sz="6" w:space="0"/>
              <w:right w:val="single" w:color="auto" w:sz="6" w:space="0"/>
            </w:tcBorders>
            <w:noWrap w:val="0"/>
            <w:vAlign w:val="center"/>
          </w:tcPr>
          <w:p w14:paraId="67DD113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71739F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110A7ED1">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6D7161F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6C36AE5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7691ACC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CDD9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7074A1B3">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77B0169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CA9DADC">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47834B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64E3ED6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7C58C289">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2E39CE0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1869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65147F58">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2F9FE8A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E869C1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2ABBEC47">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2BC29546">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73F64DD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7ADA3C6C">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B985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6799977A">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3723456C">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204714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8A2275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458B21FA">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2FC8038F">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2829812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51561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1D4B95D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6B446498">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AAF684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3648470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0BBEE83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76F24956">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5659EBD1">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6028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48D268B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280CB51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039CA0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D3AFEB9">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2591F87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0F3F75C7">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6A45D25C">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E064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9"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32EF8227">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488" w:type="dxa"/>
            <w:tcBorders>
              <w:top w:val="single" w:color="auto" w:sz="6" w:space="0"/>
              <w:left w:val="single" w:color="auto" w:sz="6" w:space="0"/>
              <w:bottom w:val="single" w:color="auto" w:sz="6" w:space="0"/>
              <w:right w:val="single" w:color="auto" w:sz="6" w:space="0"/>
            </w:tcBorders>
            <w:noWrap w:val="0"/>
            <w:vAlign w:val="center"/>
          </w:tcPr>
          <w:p w14:paraId="4CF6564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C43E55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1F722B9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216F3668">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0909E06F">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3EC5883D">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bl>
    <w:p w14:paraId="70C33785">
      <w:pPr>
        <w:pStyle w:val="40"/>
        <w:widowControl w:val="0"/>
        <w:wordWrap w:val="0"/>
        <w:adjustRightInd w:val="0"/>
        <w:snapToGrid w:val="0"/>
        <w:spacing w:line="400" w:lineRule="exac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14:paraId="1FDF06D1">
      <w:pPr>
        <w:pStyle w:val="40"/>
        <w:widowControl w:val="0"/>
        <w:wordWrap w:val="0"/>
        <w:adjustRightInd w:val="0"/>
        <w:snapToGrid w:val="0"/>
        <w:spacing w:line="400" w:lineRule="exact"/>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lang w:eastAsia="zh-CN"/>
        </w:rPr>
        <w:t>1.</w:t>
      </w:r>
      <w:r>
        <w:rPr>
          <w:rFonts w:hint="eastAsia" w:ascii="宋体" w:hAnsi="宋体" w:eastAsia="宋体" w:cs="宋体"/>
          <w:snapToGrid w:val="0"/>
          <w:color w:val="auto"/>
          <w:sz w:val="21"/>
          <w:highlight w:val="none"/>
        </w:rPr>
        <w:t>《项目管理机构组成表》后应附表中拟派人员（项目经理、项目技术负责人除外）以下资料：</w:t>
      </w:r>
    </w:p>
    <w:p w14:paraId="325E764D">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47AF047E">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如有</w:t>
      </w:r>
      <w:r>
        <w:rPr>
          <w:rFonts w:hint="eastAsia" w:ascii="宋体" w:hAnsi="宋体" w:eastAsia="宋体" w:cs="宋体"/>
          <w:snapToGrid w:val="0"/>
          <w:color w:val="auto"/>
          <w:kern w:val="0"/>
          <w:sz w:val="21"/>
          <w:szCs w:val="28"/>
          <w:highlight w:val="none"/>
          <w:lang w:eastAsia="zh-CN"/>
        </w:rPr>
        <w:t>）</w:t>
      </w:r>
    </w:p>
    <w:p w14:paraId="3D71A523">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至少连续三个月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其中必须有2026年</w:t>
      </w:r>
      <w:r>
        <w:rPr>
          <w:rFonts w:hint="eastAsia" w:ascii="宋体" w:hAnsi="宋体" w:eastAsia="宋体" w:cs="宋体"/>
          <w:snapToGrid w:val="0"/>
          <w:color w:val="auto"/>
          <w:kern w:val="0"/>
          <w:sz w:val="21"/>
          <w:szCs w:val="28"/>
          <w:highlight w:val="none"/>
          <w:lang w:val="en-US" w:eastAsia="zh-CN"/>
        </w:rPr>
        <w:t>5</w:t>
      </w:r>
      <w:r>
        <w:rPr>
          <w:rFonts w:hint="eastAsia" w:ascii="宋体" w:hAnsi="宋体" w:eastAsia="宋体" w:cs="宋体"/>
          <w:snapToGrid w:val="0"/>
          <w:color w:val="auto"/>
          <w:kern w:val="0"/>
          <w:sz w:val="21"/>
          <w:szCs w:val="28"/>
          <w:highlight w:val="none"/>
          <w:lang w:eastAsia="zh-CN"/>
        </w:rPr>
        <w:t>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。拟派人员为退休返聘人员无法提供社保证明的，提供退休证和劳动合同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7465B780">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rPr>
      </w:pPr>
      <w:bookmarkStart w:id="424" w:name="_附件二十四：技术标提问单"/>
      <w:bookmarkEnd w:id="424"/>
      <w:bookmarkStart w:id="425" w:name="_Hlt68774664"/>
      <w:bookmarkEnd w:id="425"/>
      <w:bookmarkStart w:id="426" w:name="_附件十：单项工程费汇总表"/>
      <w:bookmarkEnd w:id="426"/>
      <w:bookmarkStart w:id="427" w:name="_附件二十五：综合评审合理低价法"/>
      <w:bookmarkEnd w:id="427"/>
      <w:bookmarkStart w:id="428" w:name="_Hlt69116778"/>
      <w:bookmarkEnd w:id="428"/>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sz w:val="21"/>
          <w:highlight w:val="none"/>
          <w:lang w:val="en-US" w:eastAsia="zh-CN"/>
        </w:rPr>
        <w:t>4</w:t>
      </w:r>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kern w:val="0"/>
          <w:sz w:val="21"/>
          <w:szCs w:val="28"/>
          <w:highlight w:val="none"/>
          <w:lang w:val="en-US" w:eastAsia="zh-CN"/>
        </w:rPr>
        <w:t>“进粤企业和人员诚信信息登记平台”个人（项目经理等）信息情况截图。（适用于省外建筑企业）。</w:t>
      </w:r>
    </w:p>
    <w:p w14:paraId="74CDA0BB">
      <w:pPr>
        <w:keepNext w:val="0"/>
        <w:keepLines w:val="0"/>
        <w:widowControl/>
        <w:suppressLineNumbers w:val="0"/>
        <w:jc w:val="lef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w:t>
      </w:r>
      <w:r>
        <w:rPr>
          <w:rFonts w:hint="eastAsia" w:ascii="宋体" w:hAnsi="宋体" w:eastAsia="宋体" w:cs="宋体"/>
          <w:snapToGrid w:val="0"/>
          <w:color w:val="auto"/>
          <w:sz w:val="21"/>
          <w:highlight w:val="none"/>
          <w:lang w:eastAsia="zh-CN"/>
        </w:rPr>
        <w:t>2.</w:t>
      </w:r>
      <w:r>
        <w:rPr>
          <w:rFonts w:hint="eastAsia" w:ascii="宋体" w:hAnsi="宋体" w:eastAsia="宋体" w:cs="宋体"/>
          <w:snapToGrid w:val="0"/>
          <w:color w:val="auto"/>
          <w:sz w:val="21"/>
          <w:highlight w:val="none"/>
        </w:rPr>
        <w:t>联合体投标的，《项目管理机构组成表》应包括联合体成员单位参与项目管理机构的人员，并提供以上所需资料。</w:t>
      </w:r>
    </w:p>
    <w:p w14:paraId="5CF6F990">
      <w:pPr>
        <w:rPr>
          <w:rFonts w:hint="eastAsia" w:ascii="宋体" w:hAnsi="宋体" w:eastAsia="宋体" w:cs="宋体"/>
          <w:color w:val="auto"/>
        </w:rPr>
      </w:pPr>
    </w:p>
    <w:p w14:paraId="77EAFBF2">
      <w:pPr>
        <w:rPr>
          <w:rFonts w:hint="eastAsia" w:ascii="宋体" w:hAnsi="宋体" w:eastAsia="宋体" w:cs="宋体"/>
          <w:color w:val="auto"/>
        </w:rPr>
      </w:pPr>
    </w:p>
    <w:p w14:paraId="6687E5C7">
      <w:pPr>
        <w:rPr>
          <w:rFonts w:hint="eastAsia" w:ascii="宋体" w:hAnsi="宋体" w:eastAsia="宋体" w:cs="宋体"/>
          <w:color w:val="auto"/>
        </w:rPr>
      </w:pPr>
    </w:p>
    <w:p w14:paraId="447CB02B">
      <w:pPr>
        <w:rPr>
          <w:rFonts w:hint="eastAsia" w:ascii="宋体" w:hAnsi="宋体" w:eastAsia="宋体" w:cs="宋体"/>
          <w:color w:val="auto"/>
        </w:rPr>
      </w:pPr>
      <w:bookmarkStart w:id="429" w:name="_Toc36804690"/>
      <w:bookmarkStart w:id="430" w:name="_Toc26904"/>
      <w:bookmarkStart w:id="431" w:name="_Toc30931"/>
      <w:bookmarkStart w:id="432" w:name="_Toc14136"/>
      <w:bookmarkStart w:id="433" w:name="_Toc18504"/>
      <w:bookmarkStart w:id="434" w:name="_Toc18297"/>
      <w:bookmarkStart w:id="435" w:name="_Toc29671"/>
      <w:bookmarkStart w:id="436" w:name="_Toc6379"/>
      <w:bookmarkStart w:id="437" w:name="_Toc19935"/>
      <w:bookmarkStart w:id="438" w:name="_Toc23831"/>
      <w:bookmarkStart w:id="439" w:name="_Toc14143"/>
      <w:bookmarkStart w:id="440" w:name="_Toc9224"/>
      <w:bookmarkStart w:id="441" w:name="_Toc28494"/>
    </w:p>
    <w:p w14:paraId="6BADB87A">
      <w:pPr>
        <w:rPr>
          <w:rFonts w:hint="eastAsia" w:ascii="宋体" w:hAnsi="宋体" w:eastAsia="宋体" w:cs="宋体"/>
          <w:color w:val="auto"/>
        </w:rPr>
      </w:pPr>
    </w:p>
    <w:p w14:paraId="4B21B877">
      <w:pPr>
        <w:rPr>
          <w:rFonts w:hint="eastAsia" w:ascii="宋体" w:hAnsi="宋体" w:eastAsia="宋体" w:cs="宋体"/>
          <w:color w:val="auto"/>
        </w:rPr>
      </w:pPr>
    </w:p>
    <w:p w14:paraId="52F34189">
      <w:pPr>
        <w:rPr>
          <w:rFonts w:hint="eastAsia" w:ascii="宋体" w:hAnsi="宋体" w:eastAsia="宋体" w:cs="宋体"/>
          <w:color w:val="auto"/>
        </w:rPr>
      </w:pPr>
    </w:p>
    <w:p w14:paraId="06EA3518">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Style w:val="26"/>
          <w:rFonts w:hint="eastAsia" w:ascii="宋体" w:hAnsi="宋体" w:eastAsia="宋体" w:cs="宋体"/>
          <w:b/>
          <w:bCs/>
          <w:color w:val="auto"/>
          <w:sz w:val="21"/>
          <w:szCs w:val="21"/>
          <w:highlight w:val="none"/>
        </w:rPr>
      </w:pPr>
      <w:bookmarkStart w:id="442" w:name="_Toc26854"/>
      <w:r>
        <w:rPr>
          <w:rFonts w:hint="eastAsia" w:ascii="宋体" w:hAnsi="宋体" w:eastAsia="宋体" w:cs="宋体"/>
          <w:color w:val="auto"/>
          <w:kern w:val="2"/>
          <w:sz w:val="28"/>
          <w:szCs w:val="24"/>
          <w:lang w:val="en-US" w:eastAsia="zh-CN"/>
        </w:rPr>
        <w:t>格式十二   建造师查询页（有效期+建造师签字）</w:t>
      </w:r>
      <w:bookmarkEnd w:id="429"/>
      <w:bookmarkEnd w:id="430"/>
      <w:bookmarkEnd w:id="431"/>
      <w:bookmarkEnd w:id="442"/>
    </w:p>
    <w:bookmarkEnd w:id="432"/>
    <w:bookmarkEnd w:id="433"/>
    <w:bookmarkEnd w:id="434"/>
    <w:bookmarkEnd w:id="435"/>
    <w:bookmarkEnd w:id="436"/>
    <w:bookmarkEnd w:id="437"/>
    <w:bookmarkEnd w:id="438"/>
    <w:bookmarkEnd w:id="439"/>
    <w:bookmarkEnd w:id="440"/>
    <w:bookmarkEnd w:id="441"/>
    <w:p w14:paraId="2CFD48BD">
      <w:pPr>
        <w:spacing w:line="336" w:lineRule="auto"/>
        <w:contextualSpacing/>
        <w:jc w:val="left"/>
        <w:rPr>
          <w:rFonts w:hint="eastAsia" w:ascii="宋体" w:hAnsi="宋体" w:eastAsia="宋体" w:cs="宋体"/>
          <w:color w:val="auto"/>
          <w:position w:val="-235"/>
          <w:highlight w:val="none"/>
        </w:rPr>
      </w:pPr>
      <w:r>
        <w:rPr>
          <w:rFonts w:hint="eastAsia" w:ascii="宋体" w:hAnsi="宋体" w:eastAsia="宋体" w:cs="宋体"/>
          <w:color w:val="auto"/>
          <w:position w:val="-235"/>
          <w:highlight w:val="none"/>
        </w:rPr>
        <w:drawing>
          <wp:inline distT="0" distB="0" distL="114300" distR="114300">
            <wp:extent cx="5790565" cy="8250555"/>
            <wp:effectExtent l="0" t="0" r="635" b="17145"/>
            <wp:docPr id="6" name="图片 13"/>
            <wp:cNvGraphicFramePr/>
            <a:graphic xmlns:a="http://schemas.openxmlformats.org/drawingml/2006/main">
              <a:graphicData uri="http://schemas.openxmlformats.org/drawingml/2006/picture">
                <pic:pic xmlns:pic="http://schemas.openxmlformats.org/drawingml/2006/picture">
                  <pic:nvPicPr>
                    <pic:cNvPr id="6" name="图片 13"/>
                    <pic:cNvPicPr/>
                  </pic:nvPicPr>
                  <pic:blipFill>
                    <a:blip r:embed="rId32"/>
                    <a:stretch>
                      <a:fillRect/>
                    </a:stretch>
                  </pic:blipFill>
                  <pic:spPr>
                    <a:xfrm>
                      <a:off x="0" y="0"/>
                      <a:ext cx="5790565" cy="8250555"/>
                    </a:xfrm>
                    <a:prstGeom prst="rect">
                      <a:avLst/>
                    </a:prstGeom>
                    <a:noFill/>
                    <a:ln>
                      <a:noFill/>
                    </a:ln>
                  </pic:spPr>
                </pic:pic>
              </a:graphicData>
            </a:graphic>
          </wp:inline>
        </w:drawing>
      </w:r>
    </w:p>
    <w:p w14:paraId="182B7F99">
      <w:pPr>
        <w:rPr>
          <w:rFonts w:hint="eastAsia" w:ascii="宋体" w:hAnsi="宋体" w:eastAsia="宋体" w:cs="宋体"/>
          <w:color w:val="auto"/>
        </w:rPr>
      </w:pPr>
    </w:p>
    <w:p w14:paraId="79667951">
      <w:pPr>
        <w:rPr>
          <w:rFonts w:hint="eastAsia" w:ascii="宋体" w:hAnsi="宋体" w:eastAsia="宋体" w:cs="宋体"/>
          <w:color w:val="auto"/>
        </w:rPr>
      </w:pPr>
    </w:p>
    <w:p w14:paraId="4F8CDF91">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Style w:val="26"/>
          <w:rFonts w:hint="eastAsia" w:ascii="宋体" w:hAnsi="宋体" w:eastAsia="宋体" w:cs="宋体"/>
          <w:b/>
          <w:bCs/>
          <w:color w:val="auto"/>
          <w:sz w:val="21"/>
          <w:szCs w:val="21"/>
          <w:highlight w:val="none"/>
        </w:rPr>
      </w:pPr>
      <w:bookmarkStart w:id="443" w:name="_Toc11422"/>
      <w:bookmarkStart w:id="444" w:name="_Toc13386"/>
      <w:r>
        <w:rPr>
          <w:rFonts w:hint="eastAsia" w:ascii="宋体" w:hAnsi="宋体" w:eastAsia="宋体" w:cs="宋体"/>
          <w:color w:val="auto"/>
          <w:kern w:val="2"/>
          <w:sz w:val="28"/>
          <w:szCs w:val="24"/>
          <w:lang w:val="en-US" w:eastAsia="zh-CN"/>
        </w:rPr>
        <w:t>格式十三</w:t>
      </w:r>
      <w:bookmarkEnd w:id="443"/>
      <w:r>
        <w:rPr>
          <w:rFonts w:hint="eastAsia" w:ascii="宋体" w:hAnsi="宋体" w:eastAsia="宋体" w:cs="宋体"/>
          <w:color w:val="auto"/>
          <w:kern w:val="2"/>
          <w:sz w:val="28"/>
          <w:szCs w:val="24"/>
          <w:lang w:val="en-US" w:eastAsia="zh-CN"/>
        </w:rPr>
        <w:t xml:space="preserve">   危险性较大的分部分项工程清单及超过一定规模的危险性较大的分部分项工程清单</w:t>
      </w:r>
      <w:bookmarkEnd w:id="444"/>
    </w:p>
    <w:p w14:paraId="27FA99E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rPr>
        <w:t>根据中华人民共和国住房和城乡建设部令第37号《危险性较大的分部分项工程 安全管理规定》（以下简称“37号文 ”），投标人在投标时须补充完善危大工程清单并 明确相应的安全管理措施。</w:t>
      </w:r>
    </w:p>
    <w:p w14:paraId="2C104DC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rPr>
        <w:t>招标人根据设计文件的要求及37号文、粤建规范〔2019〕2号文的规定列出“危 险性较大的分部分项工程清单及超过一定规模的危险性较大的分部分项工程清单 ”中与 本招标项目相关的清单项，具体详见第5点“打 √ ”标识。</w:t>
      </w:r>
    </w:p>
    <w:p w14:paraId="2575DD0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（1）投标单位同意建设单位在清单中标识的该项请在对应项打“ √ ”标识，并与投标文件中提供相应的安全管理措施。</w:t>
      </w:r>
    </w:p>
    <w:p w14:paraId="2112AD9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（2）投标单位对清单中认为需要补充的该项请在对应项打“ √ ”标识，并与投标文件中提供相应的安全管理措施。</w:t>
      </w:r>
    </w:p>
    <w:p w14:paraId="380A1FD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（3）投标单位不同意建设单位在清单中标识的该项请在对应项打“ × ”标识，并在备注栏填上相关说明。</w:t>
      </w:r>
    </w:p>
    <w:p w14:paraId="6FC1E38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rPr>
        <w:t>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5BA57C9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4.</w:t>
      </w:r>
      <w:r>
        <w:rPr>
          <w:rFonts w:hint="eastAsia" w:ascii="宋体" w:hAnsi="宋体" w:eastAsia="宋体" w:cs="宋体"/>
          <w:color w:val="auto"/>
          <w:sz w:val="24"/>
          <w:szCs w:val="24"/>
        </w:rPr>
        <w:t>对于超过一定规模的危大工程，中标单位应当组织召开专家论证会对专项施工 方案进行论证。实行施工总承包的，由施工总承包单位组织召开专家论证会。专家论证 前专项施工方案应当通过施工总承包单位审核和总监理工程师审查。</w:t>
      </w:r>
    </w:p>
    <w:p w14:paraId="448A597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5.</w:t>
      </w:r>
      <w:r>
        <w:rPr>
          <w:rFonts w:hint="eastAsia" w:ascii="宋体" w:hAnsi="宋体" w:eastAsia="宋体" w:cs="宋体"/>
          <w:color w:val="auto"/>
          <w:sz w:val="24"/>
          <w:szCs w:val="24"/>
        </w:rPr>
        <w:t>危险性较大的分部分项工程清单及超过一定规模的危险性较大的分部分项工程清单：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1"/>
        <w:gridCol w:w="1200"/>
        <w:gridCol w:w="1217"/>
        <w:gridCol w:w="796"/>
      </w:tblGrid>
      <w:tr w14:paraId="593D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7C564FC">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一、危险性较大的分部分项工程清单</w:t>
            </w:r>
          </w:p>
        </w:tc>
        <w:tc>
          <w:tcPr>
            <w:tcW w:w="1200" w:type="dxa"/>
            <w:shd w:val="clear" w:color="auto" w:fill="auto"/>
            <w:vAlign w:val="center"/>
          </w:tcPr>
          <w:p w14:paraId="5545E9AC">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建设单位</w:t>
            </w:r>
          </w:p>
        </w:tc>
        <w:tc>
          <w:tcPr>
            <w:tcW w:w="1217" w:type="dxa"/>
            <w:shd w:val="clear" w:color="auto" w:fill="auto"/>
            <w:vAlign w:val="center"/>
          </w:tcPr>
          <w:p w14:paraId="00A301EB">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投标单位</w:t>
            </w:r>
          </w:p>
        </w:tc>
        <w:tc>
          <w:tcPr>
            <w:tcW w:w="796" w:type="dxa"/>
            <w:shd w:val="clear" w:color="auto" w:fill="auto"/>
            <w:vAlign w:val="center"/>
          </w:tcPr>
          <w:p w14:paraId="0B0759DE">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w:t>
            </w:r>
          </w:p>
        </w:tc>
      </w:tr>
      <w:tr w14:paraId="7C75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17A5C95B">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一、基坑支护</w:t>
            </w:r>
          </w:p>
        </w:tc>
        <w:tc>
          <w:tcPr>
            <w:tcW w:w="1200" w:type="dxa"/>
            <w:shd w:val="clear" w:color="auto" w:fill="auto"/>
            <w:vAlign w:val="center"/>
          </w:tcPr>
          <w:p w14:paraId="274B30DA">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shd w:val="clear" w:color="auto" w:fill="auto"/>
            <w:vAlign w:val="center"/>
          </w:tcPr>
          <w:p w14:paraId="65C91670">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0B10B499">
            <w:pPr>
              <w:widowControl w:val="0"/>
              <w:jc w:val="center"/>
              <w:rPr>
                <w:rFonts w:hint="eastAsia" w:ascii="宋体" w:hAnsi="宋体" w:eastAsia="宋体" w:cs="宋体"/>
                <w:color w:val="auto"/>
                <w:sz w:val="24"/>
                <w:szCs w:val="24"/>
                <w:lang w:val="en-US" w:eastAsia="zh-CN"/>
              </w:rPr>
            </w:pPr>
          </w:p>
        </w:tc>
      </w:tr>
      <w:tr w14:paraId="1F4A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78855F55">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（一）开挖深度超过3m（含3m）的基坑（槽）的土方开挖、支护、降水工程。</w:t>
            </w:r>
          </w:p>
        </w:tc>
        <w:tc>
          <w:tcPr>
            <w:tcW w:w="1200" w:type="dxa"/>
            <w:shd w:val="clear" w:color="auto" w:fill="auto"/>
            <w:vAlign w:val="center"/>
          </w:tcPr>
          <w:p w14:paraId="3EA7CD2B">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shd w:val="clear" w:color="auto" w:fill="auto"/>
            <w:vAlign w:val="center"/>
          </w:tcPr>
          <w:p w14:paraId="10D08A70">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055AA409">
            <w:pPr>
              <w:widowControl w:val="0"/>
              <w:jc w:val="center"/>
              <w:rPr>
                <w:rFonts w:hint="eastAsia" w:ascii="宋体" w:hAnsi="宋体" w:eastAsia="宋体" w:cs="宋体"/>
                <w:color w:val="auto"/>
                <w:sz w:val="24"/>
                <w:szCs w:val="24"/>
                <w:lang w:val="en-US" w:eastAsia="zh-CN"/>
              </w:rPr>
            </w:pPr>
          </w:p>
        </w:tc>
      </w:tr>
      <w:tr w14:paraId="00D0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324A221F">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（二）开挖深度虽未超过3m，但地质条件、周围环境和地下管线复杂，或影响毗邻建、构筑物安全的基坑（槽）的土方开挖、支护、降水工程。</w:t>
            </w:r>
          </w:p>
        </w:tc>
        <w:tc>
          <w:tcPr>
            <w:tcW w:w="1200" w:type="dxa"/>
            <w:shd w:val="clear" w:color="auto" w:fill="auto"/>
            <w:vAlign w:val="center"/>
          </w:tcPr>
          <w:p w14:paraId="0A03FFC5">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w:t>
            </w:r>
          </w:p>
        </w:tc>
        <w:tc>
          <w:tcPr>
            <w:tcW w:w="1217" w:type="dxa"/>
            <w:shd w:val="clear" w:color="auto" w:fill="auto"/>
            <w:vAlign w:val="center"/>
          </w:tcPr>
          <w:p w14:paraId="73A11915">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6EDE8D5F">
            <w:pPr>
              <w:widowControl w:val="0"/>
              <w:jc w:val="center"/>
              <w:rPr>
                <w:rFonts w:hint="eastAsia" w:ascii="宋体" w:hAnsi="宋体" w:eastAsia="宋体" w:cs="宋体"/>
                <w:color w:val="auto"/>
                <w:sz w:val="24"/>
                <w:szCs w:val="24"/>
                <w:lang w:val="en-US" w:eastAsia="zh-CN"/>
              </w:rPr>
            </w:pPr>
          </w:p>
        </w:tc>
      </w:tr>
      <w:tr w14:paraId="65B4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65BD84A">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二、模板工程及支撑体系</w:t>
            </w:r>
          </w:p>
        </w:tc>
        <w:tc>
          <w:tcPr>
            <w:tcW w:w="1200" w:type="dxa"/>
            <w:shd w:val="clear" w:color="auto" w:fill="auto"/>
            <w:vAlign w:val="center"/>
          </w:tcPr>
          <w:p w14:paraId="16E6B383">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2C89C329">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32B9E324">
            <w:pPr>
              <w:widowControl w:val="0"/>
              <w:jc w:val="center"/>
              <w:rPr>
                <w:rFonts w:hint="eastAsia" w:ascii="宋体" w:hAnsi="宋体" w:eastAsia="宋体" w:cs="宋体"/>
                <w:color w:val="auto"/>
                <w:sz w:val="24"/>
                <w:szCs w:val="24"/>
                <w:lang w:val="en-US" w:eastAsia="zh-CN"/>
              </w:rPr>
            </w:pPr>
          </w:p>
        </w:tc>
      </w:tr>
      <w:tr w14:paraId="577C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049FD528">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（一）各类工具式模板工程：包括滑模、爬模、飞模、隧道模等工程。</w:t>
            </w:r>
          </w:p>
        </w:tc>
        <w:tc>
          <w:tcPr>
            <w:tcW w:w="1200" w:type="dxa"/>
            <w:shd w:val="clear" w:color="auto" w:fill="auto"/>
            <w:vAlign w:val="center"/>
          </w:tcPr>
          <w:p w14:paraId="7CF3D771">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1BA0F2EE">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44CEBC34">
            <w:pPr>
              <w:widowControl w:val="0"/>
              <w:jc w:val="center"/>
              <w:rPr>
                <w:rFonts w:hint="eastAsia" w:ascii="宋体" w:hAnsi="宋体" w:eastAsia="宋体" w:cs="宋体"/>
                <w:color w:val="auto"/>
                <w:sz w:val="24"/>
                <w:szCs w:val="24"/>
                <w:lang w:val="en-US" w:eastAsia="zh-CN"/>
              </w:rPr>
            </w:pPr>
          </w:p>
        </w:tc>
      </w:tr>
      <w:tr w14:paraId="6682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C278E8E">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（二）混凝土模板支撑工程：搭设高度 5m 及以上，或搭设跨度 10m 及以上，或施工总荷载（荷 载效应基本组合的设计值，以下简称设计值）10kN/m2 及以上，或集中线荷载（设计值）15kN/m 及以上，或高度大于支撑水平投影宽度且相对 独立无联系构件的混凝土模板支撑工程。</w:t>
            </w:r>
          </w:p>
        </w:tc>
        <w:tc>
          <w:tcPr>
            <w:tcW w:w="1200" w:type="dxa"/>
            <w:shd w:val="clear" w:color="auto" w:fill="auto"/>
            <w:vAlign w:val="center"/>
          </w:tcPr>
          <w:p w14:paraId="235B23C0">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shd w:val="clear" w:color="auto" w:fill="auto"/>
            <w:vAlign w:val="center"/>
          </w:tcPr>
          <w:p w14:paraId="659A33AB">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2759337F">
            <w:pPr>
              <w:widowControl w:val="0"/>
              <w:jc w:val="center"/>
              <w:rPr>
                <w:rFonts w:hint="eastAsia" w:ascii="宋体" w:hAnsi="宋体" w:eastAsia="宋体" w:cs="宋体"/>
                <w:color w:val="auto"/>
                <w:sz w:val="24"/>
                <w:szCs w:val="24"/>
                <w:lang w:val="en-US" w:eastAsia="zh-CN"/>
              </w:rPr>
            </w:pPr>
          </w:p>
        </w:tc>
      </w:tr>
      <w:tr w14:paraId="3A9C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63F0749">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（三）承重支撑体系：用于钢结构安装等满堂支撑体系。</w:t>
            </w:r>
          </w:p>
        </w:tc>
        <w:tc>
          <w:tcPr>
            <w:tcW w:w="1200" w:type="dxa"/>
            <w:shd w:val="clear" w:color="auto" w:fill="auto"/>
            <w:vAlign w:val="center"/>
          </w:tcPr>
          <w:p w14:paraId="6AA87CB2">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1038FE67">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65F9A88F">
            <w:pPr>
              <w:widowControl w:val="0"/>
              <w:jc w:val="center"/>
              <w:rPr>
                <w:rFonts w:hint="eastAsia" w:ascii="宋体" w:hAnsi="宋体" w:eastAsia="宋体" w:cs="宋体"/>
                <w:color w:val="auto"/>
                <w:sz w:val="24"/>
                <w:szCs w:val="24"/>
                <w:lang w:val="en-US" w:eastAsia="zh-CN"/>
              </w:rPr>
            </w:pPr>
          </w:p>
        </w:tc>
      </w:tr>
      <w:tr w14:paraId="45E2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164CEFC">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三、起重吊装及起重机械安装拆卸工程</w:t>
            </w:r>
          </w:p>
        </w:tc>
        <w:tc>
          <w:tcPr>
            <w:tcW w:w="1200" w:type="dxa"/>
            <w:shd w:val="clear" w:color="auto" w:fill="auto"/>
            <w:vAlign w:val="center"/>
          </w:tcPr>
          <w:p w14:paraId="35305B33">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781451A9">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04D9D24E">
            <w:pPr>
              <w:widowControl w:val="0"/>
              <w:jc w:val="center"/>
              <w:rPr>
                <w:rFonts w:hint="eastAsia" w:ascii="宋体" w:hAnsi="宋体" w:eastAsia="宋体" w:cs="宋体"/>
                <w:color w:val="auto"/>
                <w:sz w:val="24"/>
                <w:szCs w:val="24"/>
                <w:lang w:val="en-US" w:eastAsia="zh-CN"/>
              </w:rPr>
            </w:pPr>
          </w:p>
        </w:tc>
      </w:tr>
      <w:tr w14:paraId="542F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025D4709">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（一）采用非常规起重设备、方法，且单件起吊重量在10kN 及以上的起重吊装工程。</w:t>
            </w:r>
          </w:p>
        </w:tc>
        <w:tc>
          <w:tcPr>
            <w:tcW w:w="1200" w:type="dxa"/>
            <w:shd w:val="clear" w:color="auto" w:fill="auto"/>
            <w:vAlign w:val="center"/>
          </w:tcPr>
          <w:p w14:paraId="33C994FE">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508C1AB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1EB9FA38">
            <w:pPr>
              <w:widowControl w:val="0"/>
              <w:jc w:val="center"/>
              <w:rPr>
                <w:rFonts w:hint="eastAsia" w:ascii="宋体" w:hAnsi="宋体" w:eastAsia="宋体" w:cs="宋体"/>
                <w:color w:val="auto"/>
                <w:sz w:val="24"/>
                <w:szCs w:val="24"/>
                <w:lang w:val="en-US" w:eastAsia="zh-CN"/>
              </w:rPr>
            </w:pPr>
          </w:p>
        </w:tc>
      </w:tr>
      <w:tr w14:paraId="6C9A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1532D816">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（二）采用起重机械进行安装的工程。</w:t>
            </w:r>
          </w:p>
        </w:tc>
        <w:tc>
          <w:tcPr>
            <w:tcW w:w="1200" w:type="dxa"/>
            <w:shd w:val="clear" w:color="auto" w:fill="auto"/>
            <w:vAlign w:val="center"/>
          </w:tcPr>
          <w:p w14:paraId="64B3CA93">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37FBD182">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05B2526C">
            <w:pPr>
              <w:widowControl w:val="0"/>
              <w:jc w:val="center"/>
              <w:rPr>
                <w:rFonts w:hint="eastAsia" w:ascii="宋体" w:hAnsi="宋体" w:eastAsia="宋体" w:cs="宋体"/>
                <w:color w:val="auto"/>
                <w:sz w:val="24"/>
                <w:szCs w:val="24"/>
                <w:lang w:val="en-US" w:eastAsia="zh-CN"/>
              </w:rPr>
            </w:pPr>
          </w:p>
        </w:tc>
      </w:tr>
      <w:tr w14:paraId="53C8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3ACC78E6">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（三）起重机械安装和拆卸工程。</w:t>
            </w:r>
          </w:p>
        </w:tc>
        <w:tc>
          <w:tcPr>
            <w:tcW w:w="1200" w:type="dxa"/>
            <w:shd w:val="clear" w:color="auto" w:fill="auto"/>
            <w:vAlign w:val="center"/>
          </w:tcPr>
          <w:p w14:paraId="3324710B">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1F214005">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48C5760B">
            <w:pPr>
              <w:widowControl w:val="0"/>
              <w:jc w:val="center"/>
              <w:rPr>
                <w:rFonts w:hint="eastAsia" w:ascii="宋体" w:hAnsi="宋体" w:eastAsia="宋体" w:cs="宋体"/>
                <w:color w:val="auto"/>
                <w:sz w:val="24"/>
                <w:szCs w:val="24"/>
                <w:lang w:val="en-US" w:eastAsia="zh-CN"/>
              </w:rPr>
            </w:pPr>
          </w:p>
        </w:tc>
      </w:tr>
      <w:tr w14:paraId="1A28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99D8F65">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四、脚手架工程</w:t>
            </w:r>
          </w:p>
        </w:tc>
        <w:tc>
          <w:tcPr>
            <w:tcW w:w="1200" w:type="dxa"/>
            <w:shd w:val="clear" w:color="auto" w:fill="auto"/>
            <w:vAlign w:val="center"/>
          </w:tcPr>
          <w:p w14:paraId="7346989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48362AF5">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6F9B6FFE">
            <w:pPr>
              <w:widowControl w:val="0"/>
              <w:jc w:val="center"/>
              <w:rPr>
                <w:rFonts w:hint="eastAsia" w:ascii="宋体" w:hAnsi="宋体" w:eastAsia="宋体" w:cs="宋体"/>
                <w:color w:val="auto"/>
                <w:sz w:val="24"/>
                <w:szCs w:val="24"/>
                <w:lang w:val="en-US" w:eastAsia="zh-CN"/>
              </w:rPr>
            </w:pPr>
          </w:p>
        </w:tc>
      </w:tr>
      <w:tr w14:paraId="53B1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B7EB1FD">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（一）搭设高度 24m 及以上的落地式钢管脚手架工程（包括采光井、电梯井脚手架）。</w:t>
            </w:r>
          </w:p>
        </w:tc>
        <w:tc>
          <w:tcPr>
            <w:tcW w:w="1200" w:type="dxa"/>
            <w:shd w:val="clear" w:color="auto" w:fill="auto"/>
            <w:vAlign w:val="center"/>
          </w:tcPr>
          <w:p w14:paraId="454C3D01">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07F23BD4">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5D4A8610">
            <w:pPr>
              <w:widowControl w:val="0"/>
              <w:jc w:val="center"/>
              <w:rPr>
                <w:rFonts w:hint="eastAsia" w:ascii="宋体" w:hAnsi="宋体" w:eastAsia="宋体" w:cs="宋体"/>
                <w:color w:val="auto"/>
                <w:sz w:val="24"/>
                <w:szCs w:val="24"/>
                <w:lang w:val="en-US" w:eastAsia="zh-CN"/>
              </w:rPr>
            </w:pPr>
          </w:p>
        </w:tc>
      </w:tr>
      <w:tr w14:paraId="56CA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BF7684A">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（二）附着式升降脚手架工程。</w:t>
            </w:r>
          </w:p>
        </w:tc>
        <w:tc>
          <w:tcPr>
            <w:tcW w:w="1200" w:type="dxa"/>
            <w:shd w:val="clear" w:color="auto" w:fill="auto"/>
            <w:vAlign w:val="center"/>
          </w:tcPr>
          <w:p w14:paraId="128A3099">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09FDE552">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501C8B7D">
            <w:pPr>
              <w:widowControl w:val="0"/>
              <w:jc w:val="center"/>
              <w:rPr>
                <w:rFonts w:hint="eastAsia" w:ascii="宋体" w:hAnsi="宋体" w:eastAsia="宋体" w:cs="宋体"/>
                <w:color w:val="auto"/>
                <w:sz w:val="24"/>
                <w:szCs w:val="24"/>
                <w:lang w:val="en-US" w:eastAsia="zh-CN"/>
              </w:rPr>
            </w:pPr>
          </w:p>
        </w:tc>
      </w:tr>
      <w:tr w14:paraId="11BA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4FAAB72">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（三）悬挑式脚手架工程。</w:t>
            </w:r>
          </w:p>
        </w:tc>
        <w:tc>
          <w:tcPr>
            <w:tcW w:w="1200" w:type="dxa"/>
            <w:shd w:val="clear" w:color="auto" w:fill="auto"/>
            <w:vAlign w:val="center"/>
          </w:tcPr>
          <w:p w14:paraId="34E05C70">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40894509">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4D694321">
            <w:pPr>
              <w:widowControl w:val="0"/>
              <w:jc w:val="center"/>
              <w:rPr>
                <w:rFonts w:hint="eastAsia" w:ascii="宋体" w:hAnsi="宋体" w:eastAsia="宋体" w:cs="宋体"/>
                <w:color w:val="auto"/>
                <w:sz w:val="24"/>
                <w:szCs w:val="24"/>
                <w:lang w:val="en-US" w:eastAsia="zh-CN"/>
              </w:rPr>
            </w:pPr>
          </w:p>
        </w:tc>
      </w:tr>
      <w:tr w14:paraId="77F8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863C501">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（四）高处作业吊篮。</w:t>
            </w:r>
          </w:p>
        </w:tc>
        <w:tc>
          <w:tcPr>
            <w:tcW w:w="1200" w:type="dxa"/>
            <w:shd w:val="clear" w:color="auto" w:fill="auto"/>
            <w:vAlign w:val="center"/>
          </w:tcPr>
          <w:p w14:paraId="4E187A5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62D36BE5">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43D1BA02">
            <w:pPr>
              <w:widowControl w:val="0"/>
              <w:jc w:val="center"/>
              <w:rPr>
                <w:rFonts w:hint="eastAsia" w:ascii="宋体" w:hAnsi="宋体" w:eastAsia="宋体" w:cs="宋体"/>
                <w:color w:val="auto"/>
                <w:sz w:val="24"/>
                <w:szCs w:val="24"/>
                <w:lang w:val="en-US" w:eastAsia="zh-CN"/>
              </w:rPr>
            </w:pPr>
          </w:p>
        </w:tc>
      </w:tr>
      <w:tr w14:paraId="4D12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0696FE1">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（五）卸料平台、操作平台工程。</w:t>
            </w:r>
          </w:p>
        </w:tc>
        <w:tc>
          <w:tcPr>
            <w:tcW w:w="1200" w:type="dxa"/>
            <w:shd w:val="clear" w:color="auto" w:fill="auto"/>
            <w:vAlign w:val="center"/>
          </w:tcPr>
          <w:p w14:paraId="5016209E">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3B55EEF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2A7A9393">
            <w:pPr>
              <w:widowControl w:val="0"/>
              <w:jc w:val="center"/>
              <w:rPr>
                <w:rFonts w:hint="eastAsia" w:ascii="宋体" w:hAnsi="宋体" w:eastAsia="宋体" w:cs="宋体"/>
                <w:color w:val="auto"/>
                <w:sz w:val="24"/>
                <w:szCs w:val="24"/>
                <w:lang w:val="en-US" w:eastAsia="zh-CN"/>
              </w:rPr>
            </w:pPr>
          </w:p>
        </w:tc>
      </w:tr>
      <w:tr w14:paraId="7771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74D112DC">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（六）异型脚手架工程。</w:t>
            </w:r>
          </w:p>
        </w:tc>
        <w:tc>
          <w:tcPr>
            <w:tcW w:w="1200" w:type="dxa"/>
            <w:shd w:val="clear" w:color="auto" w:fill="auto"/>
            <w:vAlign w:val="center"/>
          </w:tcPr>
          <w:p w14:paraId="7CD63F48">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09DC3E0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6967D37F">
            <w:pPr>
              <w:widowControl w:val="0"/>
              <w:jc w:val="center"/>
              <w:rPr>
                <w:rFonts w:hint="eastAsia" w:ascii="宋体" w:hAnsi="宋体" w:eastAsia="宋体" w:cs="宋体"/>
                <w:color w:val="auto"/>
                <w:sz w:val="24"/>
                <w:szCs w:val="24"/>
                <w:lang w:val="en-US" w:eastAsia="zh-CN"/>
              </w:rPr>
            </w:pPr>
          </w:p>
        </w:tc>
      </w:tr>
      <w:tr w14:paraId="6802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A60B44C">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五、拆除工程</w:t>
            </w:r>
          </w:p>
        </w:tc>
        <w:tc>
          <w:tcPr>
            <w:tcW w:w="1200" w:type="dxa"/>
            <w:shd w:val="clear" w:color="auto" w:fill="auto"/>
            <w:vAlign w:val="center"/>
          </w:tcPr>
          <w:p w14:paraId="6B7A66DA">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w:t>
            </w:r>
          </w:p>
        </w:tc>
        <w:tc>
          <w:tcPr>
            <w:tcW w:w="1217" w:type="dxa"/>
            <w:shd w:val="clear" w:color="auto" w:fill="auto"/>
            <w:vAlign w:val="center"/>
          </w:tcPr>
          <w:p w14:paraId="23902FB8">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69E07E7D">
            <w:pPr>
              <w:widowControl w:val="0"/>
              <w:jc w:val="center"/>
              <w:rPr>
                <w:rFonts w:hint="eastAsia" w:ascii="宋体" w:hAnsi="宋体" w:eastAsia="宋体" w:cs="宋体"/>
                <w:color w:val="auto"/>
                <w:sz w:val="24"/>
                <w:szCs w:val="24"/>
                <w:lang w:val="en-US" w:eastAsia="zh-CN"/>
              </w:rPr>
            </w:pPr>
          </w:p>
        </w:tc>
      </w:tr>
      <w:tr w14:paraId="4B0A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1072933C">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eastAsia="zh-CN"/>
              </w:rPr>
              <w:t>可能影响行人、交通、电力设施、通讯设施或其他建、构筑物安全的拆除工程。</w:t>
            </w:r>
          </w:p>
        </w:tc>
        <w:tc>
          <w:tcPr>
            <w:tcW w:w="1200" w:type="dxa"/>
            <w:shd w:val="clear" w:color="auto" w:fill="auto"/>
            <w:vAlign w:val="center"/>
          </w:tcPr>
          <w:p w14:paraId="251C8037">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5FA86A8D">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23E3BCB0">
            <w:pPr>
              <w:widowControl w:val="0"/>
              <w:jc w:val="center"/>
              <w:rPr>
                <w:rFonts w:hint="eastAsia" w:ascii="宋体" w:hAnsi="宋体" w:eastAsia="宋体" w:cs="宋体"/>
                <w:color w:val="auto"/>
                <w:sz w:val="24"/>
                <w:szCs w:val="24"/>
                <w:lang w:val="en-US" w:eastAsia="zh-CN"/>
              </w:rPr>
            </w:pPr>
          </w:p>
        </w:tc>
      </w:tr>
      <w:tr w14:paraId="5EA0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5DC9518">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六、暗挖工程</w:t>
            </w:r>
          </w:p>
        </w:tc>
        <w:tc>
          <w:tcPr>
            <w:tcW w:w="1200" w:type="dxa"/>
            <w:shd w:val="clear" w:color="auto" w:fill="auto"/>
            <w:vAlign w:val="center"/>
          </w:tcPr>
          <w:p w14:paraId="74541F6F">
            <w:pPr>
              <w:widowControl w:val="0"/>
              <w:jc w:val="center"/>
              <w:rPr>
                <w:rFonts w:hint="eastAsia" w:ascii="宋体" w:hAnsi="宋体" w:eastAsia="宋体" w:cs="宋体"/>
                <w:color w:val="auto"/>
                <w:sz w:val="24"/>
                <w:szCs w:val="24"/>
                <w:lang w:val="en-US" w:eastAsia="zh-CN"/>
              </w:rPr>
            </w:pPr>
          </w:p>
        </w:tc>
        <w:tc>
          <w:tcPr>
            <w:tcW w:w="1217" w:type="dxa"/>
            <w:shd w:val="clear" w:color="auto" w:fill="auto"/>
            <w:vAlign w:val="center"/>
          </w:tcPr>
          <w:p w14:paraId="7CE916B0">
            <w:pPr>
              <w:widowControl w:val="0"/>
              <w:jc w:val="center"/>
              <w:rPr>
                <w:rFonts w:hint="eastAsia" w:ascii="宋体" w:hAnsi="宋体" w:eastAsia="宋体" w:cs="宋体"/>
                <w:color w:val="auto"/>
                <w:sz w:val="24"/>
                <w:szCs w:val="24"/>
                <w:lang w:val="en-US" w:eastAsia="zh-CN"/>
              </w:rPr>
            </w:pPr>
          </w:p>
        </w:tc>
        <w:tc>
          <w:tcPr>
            <w:tcW w:w="796" w:type="dxa"/>
            <w:shd w:val="clear" w:color="auto" w:fill="auto"/>
            <w:vAlign w:val="center"/>
          </w:tcPr>
          <w:p w14:paraId="463C114A">
            <w:pPr>
              <w:widowControl w:val="0"/>
              <w:jc w:val="center"/>
              <w:rPr>
                <w:rFonts w:hint="eastAsia" w:ascii="宋体" w:hAnsi="宋体" w:eastAsia="宋体" w:cs="宋体"/>
                <w:color w:val="auto"/>
                <w:sz w:val="24"/>
                <w:szCs w:val="24"/>
                <w:lang w:val="en-US" w:eastAsia="zh-CN"/>
              </w:rPr>
            </w:pPr>
          </w:p>
        </w:tc>
      </w:tr>
      <w:tr w14:paraId="7FA9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5CF7720">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采用矿山法、盾构法、顶管法施工的隧道、洞室工程。</w:t>
            </w:r>
          </w:p>
        </w:tc>
        <w:tc>
          <w:tcPr>
            <w:tcW w:w="1200" w:type="dxa"/>
            <w:shd w:val="clear" w:color="auto" w:fill="auto"/>
            <w:vAlign w:val="center"/>
          </w:tcPr>
          <w:p w14:paraId="47FFE79D">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7F0122EA">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3D00024D">
            <w:pPr>
              <w:widowControl w:val="0"/>
              <w:jc w:val="center"/>
              <w:rPr>
                <w:rFonts w:hint="eastAsia" w:ascii="宋体" w:hAnsi="宋体" w:eastAsia="宋体" w:cs="宋体"/>
                <w:color w:val="auto"/>
                <w:sz w:val="24"/>
                <w:szCs w:val="24"/>
                <w:lang w:val="en-US" w:eastAsia="zh-CN"/>
              </w:rPr>
            </w:pPr>
          </w:p>
        </w:tc>
      </w:tr>
      <w:tr w14:paraId="11C9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5E19EC40">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七、</w:t>
            </w:r>
            <w:r>
              <w:rPr>
                <w:rFonts w:hint="eastAsia" w:ascii="宋体" w:hAnsi="宋体" w:eastAsia="宋体" w:cs="宋体"/>
                <w:color w:val="auto"/>
                <w:sz w:val="24"/>
                <w:szCs w:val="24"/>
                <w:lang w:eastAsia="zh-CN"/>
              </w:rPr>
              <w:t>其他</w:t>
            </w:r>
          </w:p>
        </w:tc>
        <w:tc>
          <w:tcPr>
            <w:tcW w:w="1200" w:type="dxa"/>
            <w:shd w:val="clear" w:color="auto" w:fill="auto"/>
            <w:vAlign w:val="center"/>
          </w:tcPr>
          <w:p w14:paraId="341D48D8">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1217" w:type="dxa"/>
            <w:shd w:val="clear" w:color="auto" w:fill="auto"/>
            <w:vAlign w:val="center"/>
          </w:tcPr>
          <w:p w14:paraId="51CC9918">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w:t>
            </w:r>
          </w:p>
        </w:tc>
        <w:tc>
          <w:tcPr>
            <w:tcW w:w="796" w:type="dxa"/>
            <w:shd w:val="clear" w:color="auto" w:fill="auto"/>
            <w:vAlign w:val="center"/>
          </w:tcPr>
          <w:p w14:paraId="23635970">
            <w:pPr>
              <w:widowControl w:val="0"/>
              <w:jc w:val="center"/>
              <w:rPr>
                <w:rFonts w:hint="eastAsia" w:ascii="宋体" w:hAnsi="宋体" w:eastAsia="宋体" w:cs="宋体"/>
                <w:color w:val="auto"/>
                <w:sz w:val="24"/>
                <w:szCs w:val="24"/>
                <w:lang w:val="en-US" w:eastAsia="zh-CN"/>
              </w:rPr>
            </w:pPr>
          </w:p>
        </w:tc>
      </w:tr>
      <w:tr w14:paraId="5DA8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FB37C5B">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（一）建筑幕墙安装工程。</w:t>
            </w:r>
          </w:p>
        </w:tc>
        <w:tc>
          <w:tcPr>
            <w:tcW w:w="1200" w:type="dxa"/>
            <w:shd w:val="clear" w:color="auto" w:fill="auto"/>
            <w:vAlign w:val="center"/>
          </w:tcPr>
          <w:p w14:paraId="1D6FF932">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17D9005E">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123299BA">
            <w:pPr>
              <w:widowControl w:val="0"/>
              <w:jc w:val="center"/>
              <w:rPr>
                <w:rFonts w:hint="eastAsia" w:ascii="宋体" w:hAnsi="宋体" w:eastAsia="宋体" w:cs="宋体"/>
                <w:color w:val="auto"/>
                <w:sz w:val="24"/>
                <w:szCs w:val="24"/>
                <w:lang w:val="en-US" w:eastAsia="zh-CN"/>
              </w:rPr>
            </w:pPr>
          </w:p>
        </w:tc>
      </w:tr>
      <w:tr w14:paraId="55AB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15B9702">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（二）钢结构、网架和索膜结构安装工程。</w:t>
            </w:r>
          </w:p>
        </w:tc>
        <w:tc>
          <w:tcPr>
            <w:tcW w:w="1200" w:type="dxa"/>
            <w:shd w:val="clear" w:color="auto" w:fill="auto"/>
            <w:vAlign w:val="center"/>
          </w:tcPr>
          <w:p w14:paraId="44393BBB">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419C9348">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64F0B534">
            <w:pPr>
              <w:widowControl w:val="0"/>
              <w:jc w:val="center"/>
              <w:rPr>
                <w:rFonts w:hint="eastAsia" w:ascii="宋体" w:hAnsi="宋体" w:eastAsia="宋体" w:cs="宋体"/>
                <w:color w:val="auto"/>
                <w:sz w:val="24"/>
                <w:szCs w:val="24"/>
                <w:lang w:val="en-US" w:eastAsia="zh-CN"/>
              </w:rPr>
            </w:pPr>
          </w:p>
        </w:tc>
      </w:tr>
      <w:tr w14:paraId="3533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339682F2">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（三）人工挖孔桩工程。</w:t>
            </w:r>
          </w:p>
        </w:tc>
        <w:tc>
          <w:tcPr>
            <w:tcW w:w="1200" w:type="dxa"/>
            <w:shd w:val="clear" w:color="auto" w:fill="auto"/>
            <w:vAlign w:val="center"/>
          </w:tcPr>
          <w:p w14:paraId="2870B38A">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4D9050E4">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00D368CA">
            <w:pPr>
              <w:widowControl w:val="0"/>
              <w:jc w:val="center"/>
              <w:rPr>
                <w:rFonts w:hint="eastAsia" w:ascii="宋体" w:hAnsi="宋体" w:eastAsia="宋体" w:cs="宋体"/>
                <w:color w:val="auto"/>
                <w:sz w:val="24"/>
                <w:szCs w:val="24"/>
                <w:lang w:val="en-US" w:eastAsia="zh-CN"/>
              </w:rPr>
            </w:pPr>
          </w:p>
        </w:tc>
      </w:tr>
      <w:tr w14:paraId="00FF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4E9831C">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（四）水下作业工程。</w:t>
            </w:r>
          </w:p>
        </w:tc>
        <w:tc>
          <w:tcPr>
            <w:tcW w:w="1200" w:type="dxa"/>
            <w:shd w:val="clear" w:color="auto" w:fill="auto"/>
            <w:vAlign w:val="center"/>
          </w:tcPr>
          <w:p w14:paraId="5BBECBBA">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65C6A42D">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22F7EE08">
            <w:pPr>
              <w:widowControl w:val="0"/>
              <w:jc w:val="center"/>
              <w:rPr>
                <w:rFonts w:hint="eastAsia" w:ascii="宋体" w:hAnsi="宋体" w:eastAsia="宋体" w:cs="宋体"/>
                <w:color w:val="auto"/>
                <w:sz w:val="24"/>
                <w:szCs w:val="24"/>
                <w:lang w:val="en-US" w:eastAsia="zh-CN"/>
              </w:rPr>
            </w:pPr>
          </w:p>
        </w:tc>
      </w:tr>
      <w:tr w14:paraId="082E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A72FAB2">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（五）装配式建筑混凝土预制构件安装工程。</w:t>
            </w:r>
          </w:p>
        </w:tc>
        <w:tc>
          <w:tcPr>
            <w:tcW w:w="1200" w:type="dxa"/>
            <w:shd w:val="clear" w:color="auto" w:fill="auto"/>
            <w:vAlign w:val="center"/>
          </w:tcPr>
          <w:p w14:paraId="5AF8ED75">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shd w:val="clear" w:color="auto" w:fill="auto"/>
            <w:vAlign w:val="center"/>
          </w:tcPr>
          <w:p w14:paraId="2F0975C4">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67F35E25">
            <w:pPr>
              <w:widowControl w:val="0"/>
              <w:jc w:val="center"/>
              <w:rPr>
                <w:rFonts w:hint="eastAsia" w:ascii="宋体" w:hAnsi="宋体" w:eastAsia="宋体" w:cs="宋体"/>
                <w:color w:val="auto"/>
                <w:sz w:val="24"/>
                <w:szCs w:val="24"/>
                <w:lang w:val="en-US" w:eastAsia="zh-CN"/>
              </w:rPr>
            </w:pPr>
          </w:p>
        </w:tc>
      </w:tr>
      <w:tr w14:paraId="1FE5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4BC8F68">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（六）采用新技术、新工艺、新材料、新设备可能影响工程施工安全，尚无国家、行业及地 方技术标准的分部分项工程。</w:t>
            </w:r>
          </w:p>
        </w:tc>
        <w:tc>
          <w:tcPr>
            <w:tcW w:w="1200" w:type="dxa"/>
            <w:shd w:val="clear" w:color="auto" w:fill="auto"/>
            <w:vAlign w:val="center"/>
          </w:tcPr>
          <w:p w14:paraId="2FD60EEA">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736536CC">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6DB3D6CB">
            <w:pPr>
              <w:widowControl w:val="0"/>
              <w:jc w:val="center"/>
              <w:rPr>
                <w:rFonts w:hint="eastAsia" w:ascii="宋体" w:hAnsi="宋体" w:eastAsia="宋体" w:cs="宋体"/>
                <w:color w:val="auto"/>
                <w:sz w:val="24"/>
                <w:szCs w:val="24"/>
                <w:lang w:val="en-US" w:eastAsia="zh-CN"/>
              </w:rPr>
            </w:pPr>
          </w:p>
        </w:tc>
      </w:tr>
      <w:tr w14:paraId="3207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55DB1E8C">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二、超过一定规模的危险性较大的分部分项工程清单</w:t>
            </w:r>
          </w:p>
        </w:tc>
        <w:tc>
          <w:tcPr>
            <w:tcW w:w="1200" w:type="dxa"/>
            <w:shd w:val="clear" w:color="auto" w:fill="auto"/>
            <w:vAlign w:val="center"/>
          </w:tcPr>
          <w:p w14:paraId="095D3CBB">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建设单位</w:t>
            </w:r>
          </w:p>
        </w:tc>
        <w:tc>
          <w:tcPr>
            <w:tcW w:w="1217" w:type="dxa"/>
            <w:shd w:val="clear" w:color="auto" w:fill="auto"/>
            <w:vAlign w:val="center"/>
          </w:tcPr>
          <w:p w14:paraId="3CFACF0B">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投标单位</w:t>
            </w:r>
          </w:p>
        </w:tc>
        <w:tc>
          <w:tcPr>
            <w:tcW w:w="796" w:type="dxa"/>
            <w:shd w:val="clear" w:color="auto" w:fill="auto"/>
            <w:vAlign w:val="center"/>
          </w:tcPr>
          <w:p w14:paraId="28A23A1F">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备注</w:t>
            </w:r>
          </w:p>
        </w:tc>
      </w:tr>
      <w:tr w14:paraId="2809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35022029">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一、深基坑工程</w:t>
            </w:r>
          </w:p>
        </w:tc>
        <w:tc>
          <w:tcPr>
            <w:tcW w:w="1200" w:type="dxa"/>
            <w:shd w:val="clear" w:color="auto" w:fill="auto"/>
            <w:vAlign w:val="center"/>
          </w:tcPr>
          <w:p w14:paraId="21244666">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7BEB529D">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6CEDDCBA">
            <w:pPr>
              <w:widowControl w:val="0"/>
              <w:jc w:val="center"/>
              <w:rPr>
                <w:rFonts w:hint="eastAsia" w:ascii="宋体" w:hAnsi="宋体" w:eastAsia="宋体" w:cs="宋体"/>
                <w:color w:val="auto"/>
                <w:sz w:val="24"/>
                <w:szCs w:val="24"/>
                <w:lang w:val="en-US" w:eastAsia="zh-CN"/>
              </w:rPr>
            </w:pPr>
          </w:p>
        </w:tc>
      </w:tr>
      <w:tr w14:paraId="563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470641E">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开挖深度超过 5m（含 5m）的基坑（槽）的土方开挖、支护、降水工程。</w:t>
            </w:r>
          </w:p>
        </w:tc>
        <w:tc>
          <w:tcPr>
            <w:tcW w:w="1200" w:type="dxa"/>
            <w:shd w:val="clear" w:color="auto" w:fill="auto"/>
            <w:vAlign w:val="center"/>
          </w:tcPr>
          <w:p w14:paraId="00BBC539">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0DF58039">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5BD4EB3E">
            <w:pPr>
              <w:widowControl w:val="0"/>
              <w:jc w:val="center"/>
              <w:rPr>
                <w:rFonts w:hint="eastAsia" w:ascii="宋体" w:hAnsi="宋体" w:eastAsia="宋体" w:cs="宋体"/>
                <w:color w:val="auto"/>
                <w:sz w:val="24"/>
                <w:szCs w:val="24"/>
                <w:lang w:val="en-US" w:eastAsia="zh-CN"/>
              </w:rPr>
            </w:pPr>
          </w:p>
        </w:tc>
      </w:tr>
      <w:tr w14:paraId="04A0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3FE630D8">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二、模板工程及支撑体系</w:t>
            </w:r>
          </w:p>
        </w:tc>
        <w:tc>
          <w:tcPr>
            <w:tcW w:w="1200" w:type="dxa"/>
            <w:shd w:val="clear" w:color="auto" w:fill="auto"/>
            <w:vAlign w:val="center"/>
          </w:tcPr>
          <w:p w14:paraId="4CD35734">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2956ECCB">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62EACF03">
            <w:pPr>
              <w:widowControl w:val="0"/>
              <w:jc w:val="center"/>
              <w:rPr>
                <w:rFonts w:hint="eastAsia" w:ascii="宋体" w:hAnsi="宋体" w:eastAsia="宋体" w:cs="宋体"/>
                <w:color w:val="auto"/>
                <w:sz w:val="24"/>
                <w:szCs w:val="24"/>
                <w:lang w:val="en-US" w:eastAsia="zh-CN"/>
              </w:rPr>
            </w:pPr>
          </w:p>
        </w:tc>
      </w:tr>
      <w:tr w14:paraId="08FE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840379A">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（一）各类工具式模板工程：包括滑模、爬模、飞模、隧道模等工程。</w:t>
            </w:r>
          </w:p>
        </w:tc>
        <w:tc>
          <w:tcPr>
            <w:tcW w:w="1200" w:type="dxa"/>
            <w:shd w:val="clear" w:color="auto" w:fill="auto"/>
            <w:vAlign w:val="center"/>
          </w:tcPr>
          <w:p w14:paraId="49E32D0D">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427CBB0A">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29DD9E78">
            <w:pPr>
              <w:widowControl w:val="0"/>
              <w:jc w:val="center"/>
              <w:rPr>
                <w:rFonts w:hint="eastAsia" w:ascii="宋体" w:hAnsi="宋体" w:eastAsia="宋体" w:cs="宋体"/>
                <w:color w:val="auto"/>
                <w:sz w:val="24"/>
                <w:szCs w:val="24"/>
                <w:lang w:val="en-US" w:eastAsia="zh-CN"/>
              </w:rPr>
            </w:pPr>
          </w:p>
        </w:tc>
      </w:tr>
      <w:tr w14:paraId="554C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59067F8F">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（二）混凝土模板支撑工程：搭设高度8m 及以上，或搭设跨度 18m 及以上，或施工总荷载（设 计值）15kN/m2 及以上，或集中线荷载（设计值） 20kN/m 及以上。</w:t>
            </w:r>
          </w:p>
        </w:tc>
        <w:tc>
          <w:tcPr>
            <w:tcW w:w="1200" w:type="dxa"/>
            <w:shd w:val="clear" w:color="auto" w:fill="auto"/>
            <w:vAlign w:val="center"/>
          </w:tcPr>
          <w:p w14:paraId="18557354">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shd w:val="clear" w:color="auto" w:fill="auto"/>
            <w:vAlign w:val="center"/>
          </w:tcPr>
          <w:p w14:paraId="142489C7">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6EE101B4">
            <w:pPr>
              <w:widowControl w:val="0"/>
              <w:jc w:val="center"/>
              <w:rPr>
                <w:rFonts w:hint="eastAsia" w:ascii="宋体" w:hAnsi="宋体" w:eastAsia="宋体" w:cs="宋体"/>
                <w:color w:val="auto"/>
                <w:sz w:val="24"/>
                <w:szCs w:val="24"/>
                <w:lang w:val="en-US" w:eastAsia="zh-CN"/>
              </w:rPr>
            </w:pPr>
          </w:p>
        </w:tc>
      </w:tr>
      <w:tr w14:paraId="7822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6326B95">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（三）承重支撑体系：用于钢结构安装等满堂支撑体系，承受单点集中荷载 7kN 及以上。</w:t>
            </w:r>
          </w:p>
        </w:tc>
        <w:tc>
          <w:tcPr>
            <w:tcW w:w="1200" w:type="dxa"/>
            <w:shd w:val="clear" w:color="auto" w:fill="auto"/>
            <w:vAlign w:val="center"/>
          </w:tcPr>
          <w:p w14:paraId="7511383C">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1217" w:type="dxa"/>
            <w:shd w:val="clear" w:color="auto" w:fill="auto"/>
            <w:vAlign w:val="center"/>
          </w:tcPr>
          <w:p w14:paraId="132CDFC5">
            <w:pPr>
              <w:widowControl w:val="0"/>
              <w:jc w:val="center"/>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    )</w:t>
            </w:r>
          </w:p>
        </w:tc>
        <w:tc>
          <w:tcPr>
            <w:tcW w:w="796" w:type="dxa"/>
            <w:shd w:val="clear" w:color="auto" w:fill="auto"/>
            <w:vAlign w:val="center"/>
          </w:tcPr>
          <w:p w14:paraId="4D628A08">
            <w:pPr>
              <w:widowControl w:val="0"/>
              <w:jc w:val="center"/>
              <w:rPr>
                <w:rFonts w:hint="eastAsia" w:ascii="宋体" w:hAnsi="宋体" w:eastAsia="宋体" w:cs="宋体"/>
                <w:color w:val="auto"/>
                <w:sz w:val="24"/>
                <w:szCs w:val="24"/>
                <w:lang w:val="en-US" w:eastAsia="zh-CN"/>
              </w:rPr>
            </w:pPr>
          </w:p>
        </w:tc>
      </w:tr>
      <w:tr w14:paraId="07E1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5BECA8F7">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三、起重吊装及起重机械安装拆卸工程</w:t>
            </w:r>
          </w:p>
        </w:tc>
        <w:tc>
          <w:tcPr>
            <w:tcW w:w="1200" w:type="dxa"/>
            <w:vAlign w:val="center"/>
          </w:tcPr>
          <w:p w14:paraId="3A60978B">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vAlign w:val="center"/>
          </w:tcPr>
          <w:p w14:paraId="189605D4">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3A3A6AC5">
            <w:pPr>
              <w:widowControl w:val="0"/>
              <w:jc w:val="center"/>
              <w:rPr>
                <w:rFonts w:hint="eastAsia" w:ascii="宋体" w:hAnsi="宋体" w:eastAsia="宋体" w:cs="宋体"/>
                <w:color w:val="auto"/>
                <w:sz w:val="24"/>
                <w:szCs w:val="24"/>
              </w:rPr>
            </w:pPr>
          </w:p>
        </w:tc>
      </w:tr>
      <w:tr w14:paraId="6BC9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7A965362">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（一）采用非常规起重设备、方法，且单件起吊重量在100kN 及以上的起重吊装工程。</w:t>
            </w:r>
          </w:p>
        </w:tc>
        <w:tc>
          <w:tcPr>
            <w:tcW w:w="1200" w:type="dxa"/>
            <w:vAlign w:val="center"/>
          </w:tcPr>
          <w:p w14:paraId="32B54FD1">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704C1220">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04871512">
            <w:pPr>
              <w:widowControl w:val="0"/>
              <w:jc w:val="center"/>
              <w:rPr>
                <w:rFonts w:hint="eastAsia" w:ascii="宋体" w:hAnsi="宋体" w:eastAsia="宋体" w:cs="宋体"/>
                <w:color w:val="auto"/>
                <w:sz w:val="24"/>
                <w:szCs w:val="24"/>
              </w:rPr>
            </w:pPr>
          </w:p>
        </w:tc>
      </w:tr>
      <w:tr w14:paraId="7C94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9F54838">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（二）起重量 300kN 及以上，或搭设总高度 200m 及以上，或搭设基础标高在 200m 及以上的起重 机械安装和拆卸工程。</w:t>
            </w:r>
          </w:p>
        </w:tc>
        <w:tc>
          <w:tcPr>
            <w:tcW w:w="1200" w:type="dxa"/>
            <w:vAlign w:val="center"/>
          </w:tcPr>
          <w:p w14:paraId="465EA1D6">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03890147">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4E0CEA23">
            <w:pPr>
              <w:widowControl w:val="0"/>
              <w:jc w:val="center"/>
              <w:rPr>
                <w:rFonts w:hint="eastAsia" w:ascii="宋体" w:hAnsi="宋体" w:eastAsia="宋体" w:cs="宋体"/>
                <w:color w:val="auto"/>
                <w:sz w:val="24"/>
                <w:szCs w:val="24"/>
              </w:rPr>
            </w:pPr>
          </w:p>
        </w:tc>
      </w:tr>
      <w:tr w14:paraId="328C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6483885">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四、脚手架工程</w:t>
            </w:r>
          </w:p>
        </w:tc>
        <w:tc>
          <w:tcPr>
            <w:tcW w:w="1200" w:type="dxa"/>
            <w:vAlign w:val="center"/>
          </w:tcPr>
          <w:p w14:paraId="25CDFBA3">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5876F9F4">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3931FE62">
            <w:pPr>
              <w:widowControl w:val="0"/>
              <w:jc w:val="center"/>
              <w:rPr>
                <w:rFonts w:hint="eastAsia" w:ascii="宋体" w:hAnsi="宋体" w:eastAsia="宋体" w:cs="宋体"/>
                <w:color w:val="auto"/>
                <w:sz w:val="24"/>
                <w:szCs w:val="24"/>
              </w:rPr>
            </w:pPr>
          </w:p>
        </w:tc>
      </w:tr>
      <w:tr w14:paraId="54B1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9D3C6AB">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（一）搭设高度 50m 及以上的落地式钢管脚手架工程。</w:t>
            </w:r>
          </w:p>
        </w:tc>
        <w:tc>
          <w:tcPr>
            <w:tcW w:w="1200" w:type="dxa"/>
            <w:vAlign w:val="center"/>
          </w:tcPr>
          <w:p w14:paraId="02B7AA73">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vAlign w:val="center"/>
          </w:tcPr>
          <w:p w14:paraId="5FA13054">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676B9E78">
            <w:pPr>
              <w:widowControl w:val="0"/>
              <w:jc w:val="center"/>
              <w:rPr>
                <w:rFonts w:hint="eastAsia" w:ascii="宋体" w:hAnsi="宋体" w:eastAsia="宋体" w:cs="宋体"/>
                <w:color w:val="auto"/>
                <w:sz w:val="24"/>
                <w:szCs w:val="24"/>
              </w:rPr>
            </w:pPr>
          </w:p>
        </w:tc>
      </w:tr>
      <w:tr w14:paraId="1C59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0BEB17A">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（二）提升高度在 150m 及以上的附着式升降脚 手架工程或附着式升降操作平台工程。</w:t>
            </w:r>
          </w:p>
        </w:tc>
        <w:tc>
          <w:tcPr>
            <w:tcW w:w="1200" w:type="dxa"/>
            <w:vAlign w:val="center"/>
          </w:tcPr>
          <w:p w14:paraId="53615E4C">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6C7107EF">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35E00DF9">
            <w:pPr>
              <w:widowControl w:val="0"/>
              <w:jc w:val="center"/>
              <w:rPr>
                <w:rFonts w:hint="eastAsia" w:ascii="宋体" w:hAnsi="宋体" w:eastAsia="宋体" w:cs="宋体"/>
                <w:color w:val="auto"/>
                <w:sz w:val="24"/>
                <w:szCs w:val="24"/>
              </w:rPr>
            </w:pPr>
          </w:p>
        </w:tc>
      </w:tr>
      <w:tr w14:paraId="2097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16550E16">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（三）分段架体搭设高度 20m 及以上的悬挑式 脚手架工程。</w:t>
            </w:r>
          </w:p>
        </w:tc>
        <w:tc>
          <w:tcPr>
            <w:tcW w:w="1200" w:type="dxa"/>
            <w:vAlign w:val="center"/>
          </w:tcPr>
          <w:p w14:paraId="585FF53A">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64B4E8EB">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3ACBBF28">
            <w:pPr>
              <w:widowControl w:val="0"/>
              <w:jc w:val="center"/>
              <w:rPr>
                <w:rFonts w:hint="eastAsia" w:ascii="宋体" w:hAnsi="宋体" w:eastAsia="宋体" w:cs="宋体"/>
                <w:color w:val="auto"/>
                <w:sz w:val="24"/>
                <w:szCs w:val="24"/>
              </w:rPr>
            </w:pPr>
          </w:p>
        </w:tc>
      </w:tr>
      <w:tr w14:paraId="5C74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164A8256">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五、拆除工程</w:t>
            </w:r>
          </w:p>
        </w:tc>
        <w:tc>
          <w:tcPr>
            <w:tcW w:w="1200" w:type="dxa"/>
            <w:vAlign w:val="center"/>
          </w:tcPr>
          <w:p w14:paraId="6D03AFEA">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07DC63BA">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4213F984">
            <w:pPr>
              <w:widowControl w:val="0"/>
              <w:jc w:val="center"/>
              <w:rPr>
                <w:rFonts w:hint="eastAsia" w:ascii="宋体" w:hAnsi="宋体" w:eastAsia="宋体" w:cs="宋体"/>
                <w:color w:val="auto"/>
                <w:sz w:val="24"/>
                <w:szCs w:val="24"/>
              </w:rPr>
            </w:pPr>
          </w:p>
        </w:tc>
      </w:tr>
      <w:tr w14:paraId="3DE3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041B6B2">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（一）码头、桥梁、高架、烟囱、水塔或拆除 中容易引起有毒有害气（液）体或粉尘扩散、易燃易爆事故发生的特殊建、构筑物的拆除工程。</w:t>
            </w:r>
          </w:p>
        </w:tc>
        <w:tc>
          <w:tcPr>
            <w:tcW w:w="1200" w:type="dxa"/>
            <w:vAlign w:val="center"/>
          </w:tcPr>
          <w:p w14:paraId="7CECD294">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vAlign w:val="center"/>
          </w:tcPr>
          <w:p w14:paraId="3E61AFA8">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4D9FF2EF">
            <w:pPr>
              <w:widowControl w:val="0"/>
              <w:jc w:val="center"/>
              <w:rPr>
                <w:rFonts w:hint="eastAsia" w:ascii="宋体" w:hAnsi="宋体" w:eastAsia="宋体" w:cs="宋体"/>
                <w:color w:val="auto"/>
                <w:sz w:val="24"/>
                <w:szCs w:val="24"/>
              </w:rPr>
            </w:pPr>
          </w:p>
        </w:tc>
      </w:tr>
      <w:tr w14:paraId="6166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79527038">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（二）文物保护建筑、优秀历史建筑或历史文 化风貌区影响范围内的拆除工程。</w:t>
            </w:r>
          </w:p>
        </w:tc>
        <w:tc>
          <w:tcPr>
            <w:tcW w:w="1200" w:type="dxa"/>
            <w:vAlign w:val="center"/>
          </w:tcPr>
          <w:p w14:paraId="7D81F2B4">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0CA95B4B">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51FD9920">
            <w:pPr>
              <w:widowControl w:val="0"/>
              <w:jc w:val="center"/>
              <w:rPr>
                <w:rFonts w:hint="eastAsia" w:ascii="宋体" w:hAnsi="宋体" w:eastAsia="宋体" w:cs="宋体"/>
                <w:color w:val="auto"/>
                <w:sz w:val="24"/>
                <w:szCs w:val="24"/>
              </w:rPr>
            </w:pPr>
          </w:p>
        </w:tc>
      </w:tr>
      <w:tr w14:paraId="49B9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0C5DF9FB">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六、暗挖工程</w:t>
            </w:r>
          </w:p>
        </w:tc>
        <w:tc>
          <w:tcPr>
            <w:tcW w:w="1200" w:type="dxa"/>
            <w:vAlign w:val="center"/>
          </w:tcPr>
          <w:p w14:paraId="2E58CDFE">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4FCDCFC9">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55EA3091">
            <w:pPr>
              <w:widowControl w:val="0"/>
              <w:jc w:val="center"/>
              <w:rPr>
                <w:rFonts w:hint="eastAsia" w:ascii="宋体" w:hAnsi="宋体" w:eastAsia="宋体" w:cs="宋体"/>
                <w:color w:val="auto"/>
                <w:sz w:val="24"/>
                <w:szCs w:val="24"/>
              </w:rPr>
            </w:pPr>
          </w:p>
        </w:tc>
      </w:tr>
      <w:tr w14:paraId="2237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43F654F6">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采用矿山法、盾构法、顶管法施工的隧道、洞室工程。</w:t>
            </w:r>
          </w:p>
        </w:tc>
        <w:tc>
          <w:tcPr>
            <w:tcW w:w="1200" w:type="dxa"/>
            <w:vAlign w:val="center"/>
          </w:tcPr>
          <w:p w14:paraId="53181FA4">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095EA49F">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1BA49F1A">
            <w:pPr>
              <w:widowControl w:val="0"/>
              <w:jc w:val="center"/>
              <w:rPr>
                <w:rFonts w:hint="eastAsia" w:ascii="宋体" w:hAnsi="宋体" w:eastAsia="宋体" w:cs="宋体"/>
                <w:color w:val="auto"/>
                <w:sz w:val="24"/>
                <w:szCs w:val="24"/>
              </w:rPr>
            </w:pPr>
          </w:p>
        </w:tc>
      </w:tr>
      <w:tr w14:paraId="321E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B63C235">
            <w:pPr>
              <w:widowControl w:val="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rPr>
              <w:t>七、</w:t>
            </w:r>
            <w:r>
              <w:rPr>
                <w:rFonts w:hint="eastAsia" w:ascii="宋体" w:hAnsi="宋体" w:eastAsia="宋体" w:cs="宋体"/>
                <w:color w:val="auto"/>
                <w:sz w:val="24"/>
                <w:szCs w:val="24"/>
                <w:lang w:eastAsia="zh-CN"/>
              </w:rPr>
              <w:t>其他</w:t>
            </w:r>
          </w:p>
        </w:tc>
        <w:tc>
          <w:tcPr>
            <w:tcW w:w="1200" w:type="dxa"/>
            <w:vAlign w:val="center"/>
          </w:tcPr>
          <w:p w14:paraId="221C59F4">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vAlign w:val="center"/>
          </w:tcPr>
          <w:p w14:paraId="2674A6C8">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2383F20A">
            <w:pPr>
              <w:widowControl w:val="0"/>
              <w:jc w:val="center"/>
              <w:rPr>
                <w:rFonts w:hint="eastAsia" w:ascii="宋体" w:hAnsi="宋体" w:eastAsia="宋体" w:cs="宋体"/>
                <w:color w:val="auto"/>
                <w:sz w:val="24"/>
                <w:szCs w:val="24"/>
              </w:rPr>
            </w:pPr>
          </w:p>
        </w:tc>
      </w:tr>
      <w:tr w14:paraId="5737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518AC5C5">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（一）施工高度 50m 及以上的建筑幕墙安装工程。</w:t>
            </w:r>
          </w:p>
        </w:tc>
        <w:tc>
          <w:tcPr>
            <w:tcW w:w="1200" w:type="dxa"/>
            <w:vAlign w:val="center"/>
          </w:tcPr>
          <w:p w14:paraId="09DDA0BA">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52ADFE7B">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3C4B0ED8">
            <w:pPr>
              <w:widowControl w:val="0"/>
              <w:jc w:val="center"/>
              <w:rPr>
                <w:rFonts w:hint="eastAsia" w:ascii="宋体" w:hAnsi="宋体" w:eastAsia="宋体" w:cs="宋体"/>
                <w:color w:val="auto"/>
                <w:sz w:val="24"/>
                <w:szCs w:val="24"/>
              </w:rPr>
            </w:pPr>
          </w:p>
        </w:tc>
      </w:tr>
      <w:tr w14:paraId="528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55DB37CF">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（二）跨度 36m 及以上的钢结构安装工程，或跨度60m及以上的网架和索膜结构安装工程。</w:t>
            </w:r>
          </w:p>
        </w:tc>
        <w:tc>
          <w:tcPr>
            <w:tcW w:w="1200" w:type="dxa"/>
            <w:vAlign w:val="center"/>
          </w:tcPr>
          <w:p w14:paraId="50524A35">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3CB5ED4B">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4AC5F9C4">
            <w:pPr>
              <w:widowControl w:val="0"/>
              <w:jc w:val="center"/>
              <w:rPr>
                <w:rFonts w:hint="eastAsia" w:ascii="宋体" w:hAnsi="宋体" w:eastAsia="宋体" w:cs="宋体"/>
                <w:color w:val="auto"/>
                <w:sz w:val="24"/>
                <w:szCs w:val="24"/>
              </w:rPr>
            </w:pPr>
          </w:p>
        </w:tc>
      </w:tr>
      <w:tr w14:paraId="4DDF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258F6B89">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（三）开挖深度16m及以上的人工挖孔桩工程。</w:t>
            </w:r>
          </w:p>
        </w:tc>
        <w:tc>
          <w:tcPr>
            <w:tcW w:w="1200" w:type="dxa"/>
            <w:vAlign w:val="center"/>
          </w:tcPr>
          <w:p w14:paraId="3200A5AF">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38442AC9">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372CC819">
            <w:pPr>
              <w:widowControl w:val="0"/>
              <w:jc w:val="center"/>
              <w:rPr>
                <w:rFonts w:hint="eastAsia" w:ascii="宋体" w:hAnsi="宋体" w:eastAsia="宋体" w:cs="宋体"/>
                <w:color w:val="auto"/>
                <w:sz w:val="24"/>
                <w:szCs w:val="24"/>
              </w:rPr>
            </w:pPr>
          </w:p>
        </w:tc>
      </w:tr>
      <w:tr w14:paraId="0D0E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171F275E">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（四）水下作业工程。</w:t>
            </w:r>
          </w:p>
        </w:tc>
        <w:tc>
          <w:tcPr>
            <w:tcW w:w="1200" w:type="dxa"/>
            <w:vAlign w:val="center"/>
          </w:tcPr>
          <w:p w14:paraId="407CBEC8">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w:t>
            </w:r>
          </w:p>
        </w:tc>
        <w:tc>
          <w:tcPr>
            <w:tcW w:w="1217" w:type="dxa"/>
            <w:vAlign w:val="center"/>
          </w:tcPr>
          <w:p w14:paraId="0FA219BC">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7FD0277D">
            <w:pPr>
              <w:widowControl w:val="0"/>
              <w:jc w:val="center"/>
              <w:rPr>
                <w:rFonts w:hint="eastAsia" w:ascii="宋体" w:hAnsi="宋体" w:eastAsia="宋体" w:cs="宋体"/>
                <w:color w:val="auto"/>
                <w:sz w:val="24"/>
                <w:szCs w:val="24"/>
              </w:rPr>
            </w:pPr>
          </w:p>
        </w:tc>
      </w:tr>
      <w:tr w14:paraId="5AD0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0094C4BB">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（五）重量1000kN及以上的大型结构整体顶升、平移、转体等施工工艺。</w:t>
            </w:r>
          </w:p>
        </w:tc>
        <w:tc>
          <w:tcPr>
            <w:tcW w:w="1200" w:type="dxa"/>
            <w:vAlign w:val="center"/>
          </w:tcPr>
          <w:p w14:paraId="0393636E">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436F064D">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13DFBC7D">
            <w:pPr>
              <w:widowControl w:val="0"/>
              <w:jc w:val="center"/>
              <w:rPr>
                <w:rFonts w:hint="eastAsia" w:ascii="宋体" w:hAnsi="宋体" w:eastAsia="宋体" w:cs="宋体"/>
                <w:color w:val="auto"/>
                <w:sz w:val="24"/>
                <w:szCs w:val="24"/>
              </w:rPr>
            </w:pPr>
          </w:p>
        </w:tc>
      </w:tr>
      <w:tr w14:paraId="05E6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1" w:type="dxa"/>
            <w:shd w:val="clear" w:color="auto" w:fill="auto"/>
            <w:vAlign w:val="top"/>
          </w:tcPr>
          <w:p w14:paraId="6F9BC0B8">
            <w:pPr>
              <w:widowContro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（六）采用新技术、新工艺、新材料、新设备可能影响工程施工安全，尚无国家、行业及地 方技术标准的分部分项工程。</w:t>
            </w:r>
          </w:p>
        </w:tc>
        <w:tc>
          <w:tcPr>
            <w:tcW w:w="1200" w:type="dxa"/>
            <w:vAlign w:val="center"/>
          </w:tcPr>
          <w:p w14:paraId="2AA5F586">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217" w:type="dxa"/>
            <w:vAlign w:val="center"/>
          </w:tcPr>
          <w:p w14:paraId="5C5613FF">
            <w:pPr>
              <w:widowControl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96" w:type="dxa"/>
            <w:vAlign w:val="center"/>
          </w:tcPr>
          <w:p w14:paraId="65A93FFB">
            <w:pPr>
              <w:widowControl w:val="0"/>
              <w:jc w:val="center"/>
              <w:rPr>
                <w:rFonts w:hint="eastAsia" w:ascii="宋体" w:hAnsi="宋体" w:eastAsia="宋体" w:cs="宋体"/>
                <w:color w:val="auto"/>
                <w:sz w:val="24"/>
                <w:szCs w:val="24"/>
              </w:rPr>
            </w:pPr>
          </w:p>
        </w:tc>
      </w:tr>
    </w:tbl>
    <w:p w14:paraId="48BC688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备注：1.根据《危险性较大的分部分项工程安全管理规定》，该《危险性较大的分部分项工程清单及超 过一定规模的危险性较大的分部分项工程清单》应由建设单位 组织勘察、设计等单位在招标文件中先行 “勾选（对应项打</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标识） ”危险性较大的分部分项工程。</w:t>
      </w:r>
    </w:p>
    <w:p w14:paraId="4408B52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2.该《危险性较大的分部分项工程清单及超过一定规模的危险性较大的分部分项工程清单》在办理 建设项目施工许可时必须提供，且各地建设行政主管部门可按照《广东省建设工程项目招标中标后监督 检查办法》相关规定开展检查。</w:t>
      </w:r>
    </w:p>
    <w:p w14:paraId="244B341D">
      <w:pPr>
        <w:spacing w:line="360" w:lineRule="auto"/>
        <w:ind w:firstLine="480" w:firstLineChars="200"/>
        <w:rPr>
          <w:rFonts w:hint="eastAsia" w:ascii="宋体" w:hAnsi="宋体" w:eastAsia="宋体" w:cs="宋体"/>
          <w:color w:val="auto"/>
          <w:sz w:val="24"/>
          <w:szCs w:val="24"/>
        </w:rPr>
      </w:pPr>
      <w:bookmarkStart w:id="445" w:name="_Toc7813"/>
      <w:r>
        <w:rPr>
          <w:rFonts w:hint="eastAsia" w:ascii="宋体" w:hAnsi="宋体" w:eastAsia="宋体" w:cs="宋体"/>
          <w:color w:val="auto"/>
          <w:sz w:val="24"/>
          <w:szCs w:val="24"/>
        </w:rPr>
        <w:t>3.如果需要（如需要通过计算编制专项方案，或者需要专家论证），可中标后提供详细版。</w:t>
      </w:r>
      <w:bookmarkEnd w:id="445"/>
    </w:p>
    <w:p w14:paraId="2475A346">
      <w:pPr>
        <w:rPr>
          <w:rFonts w:hint="eastAsia" w:ascii="宋体" w:hAnsi="宋体" w:eastAsia="宋体" w:cs="宋体"/>
          <w:color w:val="auto"/>
        </w:rPr>
      </w:pPr>
    </w:p>
    <w:p w14:paraId="56F9CE90">
      <w:pPr>
        <w:rPr>
          <w:rFonts w:hint="eastAsia" w:ascii="宋体" w:hAnsi="宋体" w:eastAsia="宋体" w:cs="宋体"/>
          <w:color w:val="auto"/>
        </w:rPr>
      </w:pPr>
    </w:p>
    <w:p w14:paraId="726E50B8">
      <w:pPr>
        <w:rPr>
          <w:rFonts w:hint="eastAsia" w:ascii="宋体" w:hAnsi="宋体" w:eastAsia="宋体" w:cs="宋体"/>
          <w:color w:val="auto"/>
        </w:rPr>
      </w:pPr>
    </w:p>
    <w:p w14:paraId="1A42E1E3">
      <w:pPr>
        <w:rPr>
          <w:rFonts w:hint="eastAsia" w:ascii="宋体" w:hAnsi="宋体" w:eastAsia="宋体" w:cs="宋体"/>
          <w:color w:val="auto"/>
        </w:rPr>
      </w:pPr>
    </w:p>
    <w:p w14:paraId="1383DF8B">
      <w:pPr>
        <w:rPr>
          <w:rFonts w:hint="eastAsia" w:ascii="宋体" w:hAnsi="宋体" w:eastAsia="宋体" w:cs="宋体"/>
          <w:color w:val="auto"/>
        </w:rPr>
      </w:pPr>
    </w:p>
    <w:p w14:paraId="6440F471">
      <w:pPr>
        <w:rPr>
          <w:rFonts w:hint="eastAsia" w:ascii="宋体" w:hAnsi="宋体" w:eastAsia="宋体" w:cs="宋体"/>
          <w:color w:val="auto"/>
        </w:rPr>
      </w:pPr>
    </w:p>
    <w:p w14:paraId="4E28D1CB">
      <w:pPr>
        <w:rPr>
          <w:rFonts w:hint="eastAsia" w:ascii="宋体" w:hAnsi="宋体" w:eastAsia="宋体" w:cs="宋体"/>
          <w:color w:val="auto"/>
        </w:rPr>
      </w:pPr>
      <w:bookmarkStart w:id="446" w:name="_Toc346"/>
      <w:bookmarkStart w:id="447" w:name="_Toc168059330"/>
      <w:bookmarkStart w:id="448" w:name="_Toc10203"/>
    </w:p>
    <w:p w14:paraId="2C893006">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Style w:val="55"/>
          <w:rFonts w:hint="eastAsia" w:ascii="宋体" w:hAnsi="宋体" w:eastAsia="宋体" w:cs="宋体"/>
          <w:b/>
          <w:bCs/>
          <w:color w:val="auto"/>
          <w:kern w:val="2"/>
          <w:sz w:val="21"/>
          <w:szCs w:val="21"/>
          <w:highlight w:val="none"/>
        </w:rPr>
      </w:pPr>
      <w:bookmarkStart w:id="449" w:name="_Toc15461"/>
      <w:r>
        <w:rPr>
          <w:rFonts w:hint="eastAsia" w:ascii="宋体" w:hAnsi="宋体" w:eastAsia="宋体" w:cs="宋体"/>
          <w:color w:val="auto"/>
          <w:kern w:val="2"/>
          <w:sz w:val="28"/>
          <w:szCs w:val="24"/>
          <w:lang w:val="en-US" w:eastAsia="zh-CN"/>
        </w:rPr>
        <w:t>格式十四   投标保证金信用承诺函</w:t>
      </w:r>
      <w:bookmarkEnd w:id="449"/>
    </w:p>
    <w:p w14:paraId="06972C40">
      <w:pPr>
        <w:snapToGrid w:val="0"/>
        <w:spacing w:line="440" w:lineRule="exact"/>
        <w:jc w:val="center"/>
        <w:rPr>
          <w:rFonts w:hint="eastAsia" w:ascii="宋体" w:hAnsi="宋体" w:eastAsia="宋体" w:cs="宋体"/>
          <w:color w:val="auto"/>
          <w:sz w:val="24"/>
          <w:szCs w:val="24"/>
        </w:rPr>
      </w:pPr>
      <w:r>
        <w:rPr>
          <w:rStyle w:val="26"/>
          <w:rFonts w:hint="eastAsia" w:ascii="宋体" w:hAnsi="宋体" w:eastAsia="宋体" w:cs="宋体"/>
          <w:b/>
          <w:bCs/>
          <w:color w:val="auto"/>
          <w:kern w:val="0"/>
          <w:sz w:val="24"/>
          <w:szCs w:val="24"/>
          <w:highlight w:val="none"/>
        </w:rPr>
        <w:t>投标保证金信用承诺函</w:t>
      </w:r>
    </w:p>
    <w:p w14:paraId="46E9CB1B">
      <w:pPr>
        <w:ind w:firstLine="480" w:firstLineChars="200"/>
        <w:rPr>
          <w:rFonts w:hint="eastAsia" w:ascii="宋体" w:hAnsi="宋体" w:eastAsia="宋体" w:cs="宋体"/>
          <w:color w:val="auto"/>
          <w:sz w:val="24"/>
          <w:szCs w:val="24"/>
          <w:highlight w:val="none"/>
        </w:rPr>
      </w:pPr>
      <w:bookmarkStart w:id="450" w:name="_Toc25468"/>
      <w:bookmarkStart w:id="451" w:name="_Toc30561"/>
      <w:bookmarkStart w:id="452" w:name="_Toc20291"/>
      <w:r>
        <w:rPr>
          <w:rFonts w:hint="eastAsia" w:ascii="宋体" w:hAnsi="宋体" w:eastAsia="宋体" w:cs="宋体"/>
          <w:color w:val="auto"/>
          <w:sz w:val="24"/>
          <w:szCs w:val="24"/>
          <w:highlight w:val="none"/>
        </w:rPr>
        <w:t>一、我单位参加</w:t>
      </w:r>
      <w:r>
        <w:rPr>
          <w:rFonts w:hint="eastAsia" w:ascii="宋体" w:hAnsi="宋体" w:eastAsia="宋体" w:cs="宋体"/>
          <w:color w:val="auto"/>
          <w:sz w:val="24"/>
          <w:szCs w:val="24"/>
          <w:highlight w:val="none"/>
          <w:u w:val="single"/>
        </w:rPr>
        <w:t xml:space="preserve">  （工程项目名称）   </w:t>
      </w:r>
      <w:r>
        <w:rPr>
          <w:rFonts w:hint="eastAsia" w:ascii="宋体" w:hAnsi="宋体" w:eastAsia="宋体" w:cs="宋体"/>
          <w:color w:val="auto"/>
          <w:sz w:val="24"/>
          <w:szCs w:val="24"/>
          <w:highlight w:val="none"/>
        </w:rPr>
        <w:t>的投标活动，现承 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bookmarkEnd w:id="450"/>
    <w:bookmarkEnd w:id="451"/>
    <w:bookmarkEnd w:id="452"/>
    <w:p w14:paraId="449662EF">
      <w:pPr>
        <w:ind w:firstLine="480" w:firstLineChars="200"/>
        <w:rPr>
          <w:rFonts w:hint="eastAsia" w:ascii="宋体" w:hAnsi="宋体" w:eastAsia="宋体" w:cs="宋体"/>
          <w:color w:val="auto"/>
          <w:sz w:val="24"/>
          <w:szCs w:val="24"/>
          <w:highlight w:val="none"/>
        </w:rPr>
      </w:pPr>
      <w:bookmarkStart w:id="453" w:name="_Toc27836"/>
      <w:bookmarkStart w:id="454" w:name="_Toc24529"/>
      <w:bookmarkStart w:id="455" w:name="_Toc16779"/>
      <w:r>
        <w:rPr>
          <w:rFonts w:hint="eastAsia" w:ascii="宋体" w:hAnsi="宋体" w:eastAsia="宋体" w:cs="宋体"/>
          <w:color w:val="auto"/>
          <w:sz w:val="24"/>
          <w:szCs w:val="24"/>
          <w:highlight w:val="none"/>
        </w:rPr>
        <w:t>二、至投标文件提交当天，本公司无严重不良信用记录或存 在曾作出虚假承诺的情形，且不属于韶关市建筑市场信用管理平 台公布的信用等级为 B 级、C 级、D 级的企业。</w:t>
      </w:r>
    </w:p>
    <w:bookmarkEnd w:id="453"/>
    <w:bookmarkEnd w:id="454"/>
    <w:bookmarkEnd w:id="455"/>
    <w:p w14:paraId="34E8EF26">
      <w:pPr>
        <w:rPr>
          <w:rFonts w:hint="eastAsia" w:ascii="宋体" w:hAnsi="宋体" w:eastAsia="宋体" w:cs="宋体"/>
          <w:color w:val="auto"/>
          <w:sz w:val="24"/>
          <w:szCs w:val="24"/>
          <w:highlight w:val="none"/>
        </w:rPr>
      </w:pPr>
      <w:bookmarkStart w:id="456" w:name="_Toc8094"/>
      <w:bookmarkStart w:id="457" w:name="_Toc18526"/>
      <w:bookmarkStart w:id="458" w:name="_Toc30737"/>
      <w:r>
        <w:rPr>
          <w:rFonts w:hint="eastAsia" w:ascii="宋体" w:hAnsi="宋体" w:eastAsia="宋体" w:cs="宋体"/>
          <w:color w:val="auto"/>
          <w:sz w:val="24"/>
          <w:szCs w:val="24"/>
          <w:highlight w:val="none"/>
        </w:rPr>
        <w:t>本企业对以上承诺和声明负责。如有虚假，愿接受行政主管 部门作出的处罚，并承担以下后果：</w:t>
      </w:r>
    </w:p>
    <w:bookmarkEnd w:id="456"/>
    <w:bookmarkEnd w:id="457"/>
    <w:bookmarkEnd w:id="458"/>
    <w:p w14:paraId="1F4D339F">
      <w:pPr>
        <w:ind w:firstLine="480" w:firstLineChars="200"/>
        <w:rPr>
          <w:rFonts w:hint="eastAsia" w:ascii="宋体" w:hAnsi="宋体" w:eastAsia="宋体" w:cs="宋体"/>
          <w:color w:val="auto"/>
          <w:sz w:val="24"/>
          <w:szCs w:val="24"/>
          <w:highlight w:val="none"/>
        </w:rPr>
      </w:pPr>
      <w:bookmarkStart w:id="459" w:name="_Toc21842"/>
      <w:bookmarkStart w:id="460" w:name="_Toc22558"/>
      <w:bookmarkStart w:id="461" w:name="_Toc12420"/>
      <w:r>
        <w:rPr>
          <w:rFonts w:hint="eastAsia" w:ascii="宋体" w:hAnsi="宋体" w:eastAsia="宋体" w:cs="宋体"/>
          <w:color w:val="auto"/>
          <w:sz w:val="24"/>
          <w:szCs w:val="24"/>
          <w:highlight w:val="none"/>
        </w:rPr>
        <w:t>（一）取消本单位在本项目中的投标资格或中标资格；</w:t>
      </w:r>
    </w:p>
    <w:bookmarkEnd w:id="459"/>
    <w:bookmarkEnd w:id="460"/>
    <w:bookmarkEnd w:id="461"/>
    <w:p w14:paraId="61AFDB59">
      <w:pPr>
        <w:ind w:firstLine="480" w:firstLineChars="200"/>
        <w:rPr>
          <w:rFonts w:hint="eastAsia" w:ascii="宋体" w:hAnsi="宋体" w:eastAsia="宋体" w:cs="宋体"/>
          <w:color w:val="auto"/>
          <w:sz w:val="24"/>
          <w:szCs w:val="24"/>
          <w:highlight w:val="none"/>
        </w:rPr>
      </w:pPr>
      <w:bookmarkStart w:id="462" w:name="_Toc1455"/>
      <w:bookmarkStart w:id="463" w:name="_Toc23264"/>
      <w:bookmarkStart w:id="464" w:name="_Toc222"/>
      <w:r>
        <w:rPr>
          <w:rFonts w:hint="eastAsia" w:ascii="宋体" w:hAnsi="宋体" w:eastAsia="宋体" w:cs="宋体"/>
          <w:color w:val="auto"/>
          <w:sz w:val="24"/>
          <w:szCs w:val="24"/>
          <w:highlight w:val="none"/>
        </w:rPr>
        <w:t>（二）将本单位不良行为纳入信用信息管理系统；</w:t>
      </w:r>
    </w:p>
    <w:bookmarkEnd w:id="462"/>
    <w:bookmarkEnd w:id="463"/>
    <w:bookmarkEnd w:id="464"/>
    <w:p w14:paraId="41F80FFC">
      <w:pPr>
        <w:ind w:firstLine="480" w:firstLineChars="200"/>
        <w:rPr>
          <w:rFonts w:hint="eastAsia" w:ascii="宋体" w:hAnsi="宋体" w:eastAsia="宋体" w:cs="宋体"/>
          <w:color w:val="auto"/>
          <w:sz w:val="24"/>
          <w:szCs w:val="24"/>
          <w:highlight w:val="none"/>
        </w:rPr>
      </w:pPr>
      <w:bookmarkStart w:id="465" w:name="_Toc32324"/>
      <w:bookmarkStart w:id="466" w:name="_Toc21222"/>
      <w:bookmarkStart w:id="467" w:name="_Toc27359"/>
      <w:r>
        <w:rPr>
          <w:rFonts w:hint="eastAsia" w:ascii="宋体" w:hAnsi="宋体" w:eastAsia="宋体" w:cs="宋体"/>
          <w:color w:val="auto"/>
          <w:sz w:val="24"/>
          <w:szCs w:val="24"/>
          <w:highlight w:val="none"/>
        </w:rPr>
        <w:t>（三）主动在产生不良行为所在的各县（市、区）行政区域 内不参加房建市政工程项目的投标活动一年；</w:t>
      </w:r>
    </w:p>
    <w:bookmarkEnd w:id="465"/>
    <w:bookmarkEnd w:id="466"/>
    <w:bookmarkEnd w:id="467"/>
    <w:p w14:paraId="285D125D">
      <w:pPr>
        <w:ind w:firstLine="480" w:firstLineChars="200"/>
        <w:rPr>
          <w:rFonts w:hint="eastAsia" w:ascii="宋体" w:hAnsi="宋体" w:eastAsia="宋体" w:cs="宋体"/>
          <w:color w:val="auto"/>
          <w:sz w:val="24"/>
          <w:szCs w:val="24"/>
          <w:highlight w:val="none"/>
        </w:rPr>
      </w:pPr>
      <w:bookmarkStart w:id="468" w:name="_Toc12066"/>
      <w:bookmarkStart w:id="469" w:name="_Toc26357"/>
      <w:bookmarkStart w:id="470" w:name="_Toc4443"/>
      <w:r>
        <w:rPr>
          <w:rFonts w:hint="eastAsia" w:ascii="宋体" w:hAnsi="宋体" w:eastAsia="宋体" w:cs="宋体"/>
          <w:color w:val="auto"/>
          <w:sz w:val="24"/>
          <w:szCs w:val="24"/>
          <w:highlight w:val="none"/>
        </w:rPr>
        <w:t>（四）</w:t>
      </w:r>
      <w:r>
        <w:rPr>
          <w:rFonts w:hint="eastAsia" w:ascii="宋体" w:hAnsi="宋体" w:eastAsia="宋体" w:cs="宋体"/>
          <w:color w:val="auto"/>
          <w:sz w:val="24"/>
          <w:szCs w:val="24"/>
          <w:highlight w:val="none"/>
          <w:lang w:eastAsia="zh-CN"/>
        </w:rPr>
        <w:t>应负</w:t>
      </w:r>
      <w:r>
        <w:rPr>
          <w:rFonts w:hint="eastAsia" w:ascii="宋体" w:hAnsi="宋体" w:eastAsia="宋体" w:cs="宋体"/>
          <w:color w:val="auto"/>
          <w:sz w:val="24"/>
          <w:szCs w:val="24"/>
          <w:highlight w:val="none"/>
        </w:rPr>
        <w:t>的赔偿责任和相应法律责任。</w:t>
      </w:r>
    </w:p>
    <w:bookmarkEnd w:id="468"/>
    <w:bookmarkEnd w:id="469"/>
    <w:bookmarkEnd w:id="470"/>
    <w:p w14:paraId="1DAAEF55">
      <w:pPr>
        <w:rPr>
          <w:rFonts w:hint="eastAsia" w:ascii="宋体" w:hAnsi="宋体" w:eastAsia="宋体" w:cs="宋体"/>
          <w:color w:val="auto"/>
        </w:rPr>
      </w:pPr>
    </w:p>
    <w:p w14:paraId="70041714">
      <w:pPr>
        <w:ind w:firstLine="3120" w:firstLineChars="1300"/>
        <w:rPr>
          <w:rFonts w:hint="eastAsia" w:ascii="宋体" w:hAnsi="宋体" w:eastAsia="宋体" w:cs="宋体"/>
          <w:color w:val="auto"/>
          <w:sz w:val="24"/>
          <w:szCs w:val="24"/>
          <w:highlight w:val="none"/>
        </w:rPr>
      </w:pPr>
      <w:bookmarkStart w:id="471" w:name="_Toc13271"/>
      <w:bookmarkStart w:id="472" w:name="_Toc24886"/>
      <w:bookmarkStart w:id="473" w:name="_Toc8067"/>
      <w:r>
        <w:rPr>
          <w:rFonts w:hint="eastAsia" w:ascii="宋体" w:hAnsi="宋体" w:eastAsia="宋体" w:cs="宋体"/>
          <w:color w:val="auto"/>
          <w:sz w:val="24"/>
          <w:szCs w:val="24"/>
          <w:highlight w:val="none"/>
        </w:rPr>
        <w:t>单位名称（公章）：</w:t>
      </w:r>
    </w:p>
    <w:bookmarkEnd w:id="471"/>
    <w:bookmarkEnd w:id="472"/>
    <w:bookmarkEnd w:id="473"/>
    <w:p w14:paraId="3BFF20D4">
      <w:pPr>
        <w:rPr>
          <w:rFonts w:hint="eastAsia" w:ascii="宋体" w:hAnsi="宋体" w:eastAsia="宋体" w:cs="宋体"/>
          <w:color w:val="auto"/>
        </w:rPr>
      </w:pPr>
    </w:p>
    <w:p w14:paraId="165423EC">
      <w:pPr>
        <w:ind w:firstLine="3120" w:firstLineChars="1300"/>
        <w:rPr>
          <w:rFonts w:hint="eastAsia" w:ascii="宋体" w:hAnsi="宋体" w:eastAsia="宋体" w:cs="宋体"/>
          <w:color w:val="auto"/>
          <w:sz w:val="24"/>
          <w:szCs w:val="24"/>
          <w:highlight w:val="none"/>
        </w:rPr>
      </w:pPr>
      <w:bookmarkStart w:id="474" w:name="_Toc9462"/>
      <w:bookmarkStart w:id="475" w:name="_Toc31158"/>
      <w:bookmarkStart w:id="476" w:name="_Toc32078"/>
      <w:r>
        <w:rPr>
          <w:rFonts w:hint="eastAsia" w:ascii="宋体" w:hAnsi="宋体" w:eastAsia="宋体" w:cs="宋体"/>
          <w:color w:val="auto"/>
          <w:sz w:val="24"/>
          <w:szCs w:val="24"/>
          <w:highlight w:val="none"/>
        </w:rPr>
        <w:t>统一社会信用代码：</w:t>
      </w:r>
    </w:p>
    <w:bookmarkEnd w:id="474"/>
    <w:bookmarkEnd w:id="475"/>
    <w:bookmarkEnd w:id="476"/>
    <w:p w14:paraId="67D570B5">
      <w:pPr>
        <w:rPr>
          <w:rFonts w:hint="eastAsia" w:ascii="宋体" w:hAnsi="宋体" w:eastAsia="宋体" w:cs="宋体"/>
          <w:color w:val="auto"/>
          <w:sz w:val="24"/>
          <w:szCs w:val="24"/>
          <w:highlight w:val="none"/>
        </w:rPr>
      </w:pPr>
    </w:p>
    <w:p w14:paraId="18E8F168">
      <w:pPr>
        <w:ind w:firstLine="3120" w:firstLineChars="1300"/>
        <w:rPr>
          <w:rFonts w:hint="eastAsia" w:ascii="宋体" w:hAnsi="宋体" w:eastAsia="宋体" w:cs="宋体"/>
          <w:color w:val="auto"/>
          <w:sz w:val="24"/>
          <w:szCs w:val="24"/>
          <w:highlight w:val="none"/>
        </w:rPr>
      </w:pPr>
      <w:bookmarkStart w:id="477" w:name="_Toc2935"/>
      <w:bookmarkStart w:id="478" w:name="_Toc17724"/>
      <w:bookmarkStart w:id="479" w:name="_Toc12871"/>
      <w:r>
        <w:rPr>
          <w:rFonts w:hint="eastAsia" w:ascii="宋体" w:hAnsi="宋体" w:eastAsia="宋体" w:cs="宋体"/>
          <w:color w:val="auto"/>
          <w:sz w:val="24"/>
          <w:szCs w:val="24"/>
          <w:highlight w:val="none"/>
        </w:rPr>
        <w:t xml:space="preserve">法定代表人（签字）： </w:t>
      </w:r>
    </w:p>
    <w:bookmarkEnd w:id="477"/>
    <w:bookmarkEnd w:id="478"/>
    <w:bookmarkEnd w:id="479"/>
    <w:p w14:paraId="681F80D1">
      <w:pPr>
        <w:rPr>
          <w:rFonts w:hint="eastAsia" w:ascii="宋体" w:hAnsi="宋体" w:eastAsia="宋体" w:cs="宋体"/>
          <w:color w:val="auto"/>
          <w:sz w:val="24"/>
          <w:szCs w:val="24"/>
          <w:highlight w:val="none"/>
        </w:rPr>
      </w:pPr>
      <w:bookmarkStart w:id="480" w:name="_Toc16191"/>
      <w:bookmarkStart w:id="481" w:name="_Toc26886"/>
      <w:bookmarkStart w:id="482" w:name="_Toc12612"/>
    </w:p>
    <w:p w14:paraId="573E18F0">
      <w:pPr>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年   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bookmarkEnd w:id="480"/>
    <w:bookmarkEnd w:id="481"/>
    <w:bookmarkEnd w:id="482"/>
    <w:p w14:paraId="708E4D45">
      <w:pPr>
        <w:rPr>
          <w:rFonts w:hint="eastAsia" w:ascii="宋体" w:hAnsi="宋体" w:eastAsia="宋体" w:cs="宋体"/>
          <w:color w:val="auto"/>
        </w:rPr>
      </w:pPr>
    </w:p>
    <w:p w14:paraId="6AD1C083">
      <w:pPr>
        <w:rPr>
          <w:rFonts w:hint="eastAsia" w:ascii="宋体" w:hAnsi="宋体" w:eastAsia="宋体" w:cs="宋体"/>
          <w:color w:val="auto"/>
        </w:rPr>
      </w:pPr>
      <w:bookmarkStart w:id="483" w:name="_Toc31994"/>
    </w:p>
    <w:p w14:paraId="4E012628">
      <w:pPr>
        <w:rPr>
          <w:rFonts w:hint="eastAsia" w:ascii="宋体" w:hAnsi="宋体" w:eastAsia="宋体" w:cs="宋体"/>
          <w:color w:val="auto"/>
          <w:lang w:val="en-US" w:eastAsia="zh-CN"/>
        </w:rPr>
      </w:pPr>
    </w:p>
    <w:p w14:paraId="21D00584">
      <w:pPr>
        <w:rPr>
          <w:rFonts w:hint="eastAsia" w:ascii="宋体" w:hAnsi="宋体" w:eastAsia="宋体" w:cs="宋体"/>
          <w:color w:val="auto"/>
          <w:lang w:val="en-US" w:eastAsia="zh-CN"/>
        </w:rPr>
      </w:pPr>
    </w:p>
    <w:p w14:paraId="4A0A6D96">
      <w:pPr>
        <w:rPr>
          <w:rFonts w:hint="eastAsia" w:ascii="宋体" w:hAnsi="宋体" w:eastAsia="宋体" w:cs="宋体"/>
          <w:color w:val="auto"/>
          <w:lang w:val="en-US" w:eastAsia="zh-CN"/>
        </w:rPr>
      </w:pPr>
    </w:p>
    <w:p w14:paraId="1A44E5DA">
      <w:pPr>
        <w:rPr>
          <w:rFonts w:hint="eastAsia" w:ascii="宋体" w:hAnsi="宋体" w:eastAsia="宋体" w:cs="宋体"/>
          <w:color w:val="auto"/>
          <w:lang w:val="en-US" w:eastAsia="zh-CN"/>
        </w:rPr>
      </w:pPr>
    </w:p>
    <w:p w14:paraId="470A341C">
      <w:pPr>
        <w:rPr>
          <w:rFonts w:hint="eastAsia" w:ascii="宋体" w:hAnsi="宋体" w:eastAsia="宋体" w:cs="宋体"/>
          <w:color w:val="auto"/>
          <w:lang w:val="en-US" w:eastAsia="zh-CN"/>
        </w:rPr>
      </w:pPr>
    </w:p>
    <w:bookmarkEnd w:id="483"/>
    <w:p w14:paraId="3D32A90A">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Style w:val="26"/>
          <w:rFonts w:hint="eastAsia" w:ascii="宋体" w:hAnsi="宋体" w:eastAsia="宋体" w:cs="宋体"/>
          <w:b/>
          <w:bCs/>
          <w:color w:val="auto"/>
          <w:sz w:val="21"/>
          <w:szCs w:val="21"/>
          <w:highlight w:val="none"/>
          <w:lang w:val="en-US" w:eastAsia="zh-CN"/>
        </w:rPr>
      </w:pPr>
      <w:bookmarkStart w:id="484" w:name="_Toc29366"/>
      <w:bookmarkStart w:id="485" w:name="_Toc30092"/>
      <w:r>
        <w:rPr>
          <w:rFonts w:hint="eastAsia" w:ascii="宋体" w:hAnsi="宋体" w:eastAsia="宋体" w:cs="宋体"/>
          <w:color w:val="auto"/>
          <w:kern w:val="2"/>
          <w:sz w:val="28"/>
          <w:szCs w:val="24"/>
          <w:lang w:val="en-US" w:eastAsia="zh-CN"/>
        </w:rPr>
        <w:t>格式十五   共管账户承诺书</w:t>
      </w:r>
      <w:bookmarkEnd w:id="484"/>
    </w:p>
    <w:p w14:paraId="787AF5D8">
      <w:pPr>
        <w:keepNext w:val="0"/>
        <w:keepLines w:val="0"/>
        <w:widowControl/>
        <w:suppressLineNumbers w:val="0"/>
        <w:pBdr>
          <w:bottom w:val="none" w:color="auto" w:sz="0" w:space="0"/>
        </w:pBdr>
        <w:spacing w:before="0" w:beforeAutospacing="0" w:after="54" w:afterAutospacing="0"/>
        <w:ind w:left="0" w:right="0"/>
        <w:jc w:val="center"/>
        <w:outlineLvl w:val="9"/>
        <w:rPr>
          <w:rFonts w:hint="eastAsia" w:ascii="宋体" w:hAnsi="宋体" w:eastAsia="宋体" w:cs="宋体"/>
          <w:b/>
          <w:bCs/>
          <w:color w:val="auto"/>
          <w:sz w:val="24"/>
          <w:szCs w:val="24"/>
          <w:highlight w:val="none"/>
        </w:rPr>
      </w:pPr>
      <w:bookmarkStart w:id="486" w:name="_Toc13128"/>
      <w:r>
        <w:rPr>
          <w:rFonts w:hint="eastAsia" w:ascii="宋体" w:hAnsi="宋体" w:eastAsia="宋体" w:cs="宋体"/>
          <w:b/>
          <w:bCs/>
          <w:color w:val="auto"/>
          <w:sz w:val="24"/>
          <w:szCs w:val="24"/>
          <w:highlight w:val="none"/>
        </w:rPr>
        <w:t>共管账户承诺书</w:t>
      </w:r>
      <w:bookmarkEnd w:id="486"/>
    </w:p>
    <w:p w14:paraId="1D756FEB">
      <w:pPr>
        <w:keepNext w:val="0"/>
        <w:keepLines w:val="0"/>
        <w:widowControl/>
        <w:suppressLineNumbers w:val="0"/>
        <w:bidi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lang w:eastAsia="zh-CN" w:bidi="ar"/>
        </w:rPr>
        <w:t>韶关工业园投资建设有限公司</w:t>
      </w:r>
    </w:p>
    <w:p w14:paraId="6C72C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我方</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，参与贵方</w:t>
      </w:r>
      <w:r>
        <w:rPr>
          <w:rFonts w:hint="eastAsia" w:ascii="宋体" w:hAnsi="宋体" w:eastAsia="宋体" w:cs="宋体"/>
          <w:color w:val="auto"/>
          <w:kern w:val="0"/>
          <w:sz w:val="24"/>
          <w:szCs w:val="24"/>
          <w:highlight w:val="none"/>
          <w:u w:val="single"/>
          <w:lang w:eastAsia="zh-CN" w:bidi="ar"/>
        </w:rPr>
        <w:t>广东省韶关市韶关高新技术产业开发区园区配套基础设施建设项目莞韶产业园甘棠片区GT0402A-02-02地块三通一平及地块西侧道路建设工程（B地块）施工</w:t>
      </w:r>
      <w:r>
        <w:rPr>
          <w:rFonts w:hint="eastAsia" w:ascii="宋体" w:hAnsi="宋体" w:eastAsia="宋体" w:cs="宋体"/>
          <w:color w:val="auto"/>
          <w:kern w:val="0"/>
          <w:sz w:val="24"/>
          <w:szCs w:val="24"/>
          <w:highlight w:val="none"/>
          <w:lang w:val="en-US" w:eastAsia="zh-CN" w:bidi="ar"/>
        </w:rPr>
        <w:t>的投标活动，为确保项目资金的规范管理和安全使用，现郑重承诺如下：</w:t>
      </w:r>
    </w:p>
    <w:p w14:paraId="2202F73B">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若我方中标，将在中标通知书发出后的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个工作日内，与贵方共同在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开设共管账户，用于本项目资金的收付。</w:t>
      </w:r>
    </w:p>
    <w:p w14:paraId="05FEDB92">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保证共管账户仅用于</w:t>
      </w:r>
      <w:r>
        <w:rPr>
          <w:rFonts w:hint="eastAsia" w:ascii="宋体" w:hAnsi="宋体" w:eastAsia="宋体" w:cs="宋体"/>
          <w:color w:val="auto"/>
          <w:kern w:val="0"/>
          <w:sz w:val="24"/>
          <w:szCs w:val="24"/>
          <w:highlight w:val="none"/>
          <w:u w:val="single"/>
          <w:lang w:eastAsia="zh-CN" w:bidi="ar"/>
        </w:rPr>
        <w:t>广东省韶关市韶关高新技术产业开发区园区配套基础设施建设项目莞韶产业园甘棠片区GT0402A-02-02地块三通一平及地块西侧道路建设工程（B地块）施工</w:t>
      </w:r>
      <w:r>
        <w:rPr>
          <w:rFonts w:hint="eastAsia" w:ascii="宋体" w:hAnsi="宋体" w:eastAsia="宋体" w:cs="宋体"/>
          <w:color w:val="auto"/>
          <w:sz w:val="24"/>
          <w:szCs w:val="24"/>
          <w:highlight w:val="none"/>
        </w:rPr>
        <w:t>相关的资金往来，专款专用，不挪作他用。</w:t>
      </w:r>
    </w:p>
    <w:p w14:paraId="4C023C8B">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严格遵守与贵方共同制定的共管账户管理规定，每笔资金的支出均需经过双方书面确认或按约定的电子审批流程操作。</w:t>
      </w:r>
    </w:p>
    <w:p w14:paraId="28C738B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定期向贵方提供共管账户的资金流水及余额信息，配合贵方对账户资金进行核查。</w:t>
      </w:r>
    </w:p>
    <w:p w14:paraId="2F7BEEB0">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若我方违反上述承诺，愿意承担由此给贵方及本项目带来的一切损失和法律责任。</w:t>
      </w:r>
    </w:p>
    <w:p w14:paraId="044C9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本承诺书自签署之日起生效，有效期至本项目结束且共管账户完成清算销户之日。</w:t>
      </w:r>
    </w:p>
    <w:p w14:paraId="024463EC">
      <w:pPr>
        <w:rPr>
          <w:rFonts w:hint="eastAsia" w:ascii="宋体" w:hAnsi="宋体" w:eastAsia="宋体" w:cs="宋体"/>
          <w:color w:val="auto"/>
        </w:rPr>
      </w:pPr>
    </w:p>
    <w:p w14:paraId="48ED5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none"/>
          <w:lang w:val="en-US" w:eastAsia="zh-CN" w:bidi="ar"/>
        </w:rPr>
        <w:t>投标人：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（盖单位章）</w:t>
      </w:r>
    </w:p>
    <w:p w14:paraId="41481378">
      <w:pPr>
        <w:rPr>
          <w:rFonts w:hint="eastAsia" w:ascii="宋体" w:hAnsi="宋体" w:eastAsia="宋体" w:cs="宋体"/>
          <w:color w:val="auto"/>
        </w:rPr>
      </w:pPr>
    </w:p>
    <w:p w14:paraId="15D7E81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80" w:firstLineChars="200"/>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法定代表人或其委托代理人：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签字或盖章）</w:t>
      </w:r>
    </w:p>
    <w:p w14:paraId="1290B326">
      <w:pPr>
        <w:rPr>
          <w:rFonts w:hint="eastAsia" w:ascii="宋体" w:hAnsi="宋体" w:eastAsia="宋体" w:cs="宋体"/>
          <w:color w:val="auto"/>
          <w:lang w:val="en-US" w:eastAsia="zh-CN"/>
        </w:rPr>
      </w:pPr>
    </w:p>
    <w:p w14:paraId="7AA40F1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80" w:firstLineChars="200"/>
        <w:jc w:val="righ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日期：</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年</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月</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日</w:t>
      </w:r>
    </w:p>
    <w:p w14:paraId="67BCFA3A">
      <w:pPr>
        <w:rPr>
          <w:rFonts w:hint="eastAsia" w:ascii="宋体" w:hAnsi="宋体" w:eastAsia="宋体" w:cs="宋体"/>
          <w:color w:val="auto"/>
          <w:lang w:val="en-US" w:eastAsia="zh-CN"/>
        </w:rPr>
      </w:pPr>
    </w:p>
    <w:p w14:paraId="1E649F98">
      <w:pPr>
        <w:rPr>
          <w:rFonts w:hint="eastAsia" w:ascii="宋体" w:hAnsi="宋体" w:eastAsia="宋体" w:cs="宋体"/>
          <w:color w:val="auto"/>
          <w:lang w:val="en-US" w:eastAsia="zh-CN"/>
        </w:rPr>
      </w:pPr>
    </w:p>
    <w:p w14:paraId="3A1ED99F">
      <w:pPr>
        <w:rPr>
          <w:rFonts w:hint="eastAsia" w:ascii="宋体" w:hAnsi="宋体" w:eastAsia="宋体" w:cs="宋体"/>
          <w:color w:val="auto"/>
          <w:lang w:val="en-US" w:eastAsia="zh-CN"/>
        </w:rPr>
      </w:pPr>
    </w:p>
    <w:p w14:paraId="248056BF">
      <w:pPr>
        <w:rPr>
          <w:rFonts w:hint="eastAsia" w:ascii="宋体" w:hAnsi="宋体" w:eastAsia="宋体" w:cs="宋体"/>
          <w:color w:val="auto"/>
          <w:lang w:val="en-US" w:eastAsia="zh-CN"/>
        </w:rPr>
      </w:pPr>
    </w:p>
    <w:p w14:paraId="0267FD5B">
      <w:pPr>
        <w:rPr>
          <w:rFonts w:hint="eastAsia" w:ascii="宋体" w:hAnsi="宋体" w:eastAsia="宋体" w:cs="宋体"/>
          <w:color w:val="auto"/>
          <w:lang w:val="en-US" w:eastAsia="zh-CN"/>
        </w:rPr>
      </w:pPr>
    </w:p>
    <w:p w14:paraId="248FA081">
      <w:pPr>
        <w:rPr>
          <w:rFonts w:hint="eastAsia" w:ascii="宋体" w:hAnsi="宋体" w:eastAsia="宋体" w:cs="宋体"/>
          <w:color w:val="auto"/>
          <w:lang w:val="en-US" w:eastAsia="zh-CN"/>
        </w:rPr>
      </w:pPr>
    </w:p>
    <w:p w14:paraId="0B2119F2">
      <w:pPr>
        <w:rPr>
          <w:rFonts w:hint="eastAsia" w:ascii="宋体" w:hAnsi="宋体" w:eastAsia="宋体" w:cs="宋体"/>
          <w:color w:val="auto"/>
          <w:lang w:val="en-US" w:eastAsia="zh-CN"/>
        </w:rPr>
      </w:pPr>
    </w:p>
    <w:p w14:paraId="71CBFD59">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lang w:eastAsia="zh-CN"/>
        </w:rPr>
      </w:pPr>
      <w:bookmarkStart w:id="487" w:name="_Toc31628"/>
      <w:r>
        <w:rPr>
          <w:rFonts w:hint="eastAsia" w:ascii="宋体" w:hAnsi="宋体" w:eastAsia="宋体" w:cs="宋体"/>
          <w:color w:val="auto"/>
          <w:kern w:val="2"/>
          <w:sz w:val="28"/>
          <w:szCs w:val="24"/>
          <w:lang w:val="en-US" w:eastAsia="zh-CN"/>
        </w:rPr>
        <w:t>格式十六   定标因素评审资料</w:t>
      </w:r>
      <w:bookmarkEnd w:id="485"/>
      <w:bookmarkEnd w:id="487"/>
    </w:p>
    <w:p w14:paraId="1FCDE4E4">
      <w:pPr>
        <w:spacing w:line="5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定标因素评审资料</w:t>
      </w:r>
    </w:p>
    <w:p w14:paraId="7B57195C">
      <w:pPr>
        <w:pStyle w:val="40"/>
        <w:ind w:left="0" w:leftChars="0" w:firstLine="0" w:firstLineChars="0"/>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投标人根据“</w:t>
      </w:r>
      <w:r>
        <w:rPr>
          <w:rFonts w:hint="eastAsia" w:ascii="宋体" w:hAnsi="宋体" w:eastAsia="宋体" w:cs="宋体"/>
          <w:b w:val="0"/>
          <w:bCs w:val="0"/>
          <w:color w:val="auto"/>
          <w:sz w:val="24"/>
          <w:szCs w:val="24"/>
          <w:highlight w:val="none"/>
        </w:rPr>
        <w:t>第</w:t>
      </w:r>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rPr>
        <w:t>章 第</w:t>
      </w:r>
      <w:r>
        <w:rPr>
          <w:rFonts w:hint="eastAsia" w:ascii="宋体" w:hAnsi="宋体" w:eastAsia="宋体" w:cs="宋体"/>
          <w:b w:val="0"/>
          <w:bCs w:val="0"/>
          <w:color w:val="auto"/>
          <w:sz w:val="24"/>
          <w:szCs w:val="24"/>
          <w:highlight w:val="none"/>
          <w:lang w:val="en-US" w:eastAsia="zh-CN"/>
        </w:rPr>
        <w:t>五</w:t>
      </w:r>
      <w:r>
        <w:rPr>
          <w:rFonts w:hint="eastAsia" w:ascii="宋体" w:hAnsi="宋体" w:eastAsia="宋体" w:cs="宋体"/>
          <w:b w:val="0"/>
          <w:bCs w:val="0"/>
          <w:color w:val="auto"/>
          <w:sz w:val="24"/>
          <w:szCs w:val="24"/>
          <w:highlight w:val="none"/>
        </w:rPr>
        <w:t>节 定标</w:t>
      </w:r>
      <w:r>
        <w:rPr>
          <w:rFonts w:hint="eastAsia" w:ascii="宋体" w:hAnsi="宋体" w:eastAsia="宋体" w:cs="宋体"/>
          <w:b w:val="0"/>
          <w:bCs w:val="0"/>
          <w:color w:val="auto"/>
          <w:sz w:val="24"/>
          <w:szCs w:val="24"/>
          <w:highlight w:val="none"/>
          <w:lang w:eastAsia="zh-CN"/>
        </w:rPr>
        <w:t>规定</w:t>
      </w:r>
      <w:r>
        <w:rPr>
          <w:rFonts w:hint="eastAsia" w:ascii="宋体" w:hAnsi="宋体" w:eastAsia="宋体" w:cs="宋体"/>
          <w:b w:val="0"/>
          <w:bCs w:val="0"/>
          <w:color w:val="auto"/>
          <w:sz w:val="24"/>
          <w:szCs w:val="24"/>
          <w:highlight w:val="none"/>
          <w:lang w:val="en-US" w:eastAsia="zh-CN"/>
        </w:rPr>
        <w:t>及细则”载明的</w:t>
      </w:r>
      <w:r>
        <w:rPr>
          <w:rFonts w:hint="eastAsia" w:ascii="宋体" w:hAnsi="宋体" w:eastAsia="宋体" w:cs="宋体"/>
          <w:b w:val="0"/>
          <w:bCs w:val="0"/>
          <w:color w:val="auto"/>
          <w:sz w:val="24"/>
          <w:szCs w:val="24"/>
          <w:highlight w:val="none"/>
          <w:lang w:eastAsia="zh-CN"/>
        </w:rPr>
        <w:t>定标因素，</w:t>
      </w:r>
      <w:r>
        <w:rPr>
          <w:rFonts w:hint="eastAsia" w:ascii="宋体" w:hAnsi="宋体" w:eastAsia="宋体" w:cs="宋体"/>
          <w:b w:val="0"/>
          <w:bCs w:val="0"/>
          <w:color w:val="auto"/>
          <w:sz w:val="24"/>
          <w:szCs w:val="24"/>
          <w:highlight w:val="none"/>
          <w:lang w:val="en-US" w:eastAsia="zh-CN"/>
        </w:rPr>
        <w:t>提交</w:t>
      </w:r>
      <w:r>
        <w:rPr>
          <w:rFonts w:hint="eastAsia" w:ascii="宋体" w:hAnsi="宋体" w:eastAsia="宋体" w:cs="宋体"/>
          <w:b w:val="0"/>
          <w:bCs w:val="0"/>
          <w:color w:val="auto"/>
          <w:sz w:val="24"/>
          <w:szCs w:val="24"/>
          <w:highlight w:val="none"/>
          <w:lang w:eastAsia="zh-CN"/>
        </w:rPr>
        <w:t>评审资料。</w:t>
      </w:r>
    </w:p>
    <w:p w14:paraId="4B79A8AE">
      <w:pPr>
        <w:pStyle w:val="40"/>
        <w:ind w:left="0" w:leftChars="0" w:firstLine="0" w:firstLineChars="0"/>
        <w:jc w:val="center"/>
        <w:rPr>
          <w:rStyle w:val="55"/>
          <w:rFonts w:hint="eastAsia" w:ascii="宋体" w:hAnsi="宋体" w:eastAsia="宋体" w:cs="宋体"/>
          <w:bCs/>
          <w:color w:val="auto"/>
          <w:kern w:val="2"/>
          <w:sz w:val="24"/>
          <w:szCs w:val="24"/>
          <w:highlight w:val="none"/>
          <w:lang w:val="en-US"/>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评标报告除外）</w:t>
      </w:r>
    </w:p>
    <w:p w14:paraId="31B1E1DE">
      <w:pPr>
        <w:rPr>
          <w:rFonts w:hint="eastAsia" w:ascii="宋体" w:hAnsi="宋体" w:eastAsia="宋体" w:cs="宋体"/>
          <w:color w:val="auto"/>
        </w:rPr>
      </w:pPr>
    </w:p>
    <w:p w14:paraId="417F103A">
      <w:pPr>
        <w:rPr>
          <w:rFonts w:hint="eastAsia" w:ascii="宋体" w:hAnsi="宋体" w:eastAsia="宋体" w:cs="宋体"/>
          <w:color w:val="auto"/>
        </w:rPr>
      </w:pPr>
    </w:p>
    <w:p w14:paraId="229CE180">
      <w:pPr>
        <w:rPr>
          <w:rFonts w:hint="eastAsia" w:ascii="宋体" w:hAnsi="宋体" w:eastAsia="宋体" w:cs="宋体"/>
          <w:color w:val="auto"/>
        </w:rPr>
      </w:pPr>
    </w:p>
    <w:p w14:paraId="12852607">
      <w:pPr>
        <w:rPr>
          <w:rFonts w:hint="eastAsia" w:ascii="宋体" w:hAnsi="宋体" w:eastAsia="宋体" w:cs="宋体"/>
          <w:color w:val="auto"/>
        </w:rPr>
      </w:pPr>
    </w:p>
    <w:p w14:paraId="1B6F0B5D">
      <w:pPr>
        <w:rPr>
          <w:rFonts w:hint="eastAsia" w:ascii="宋体" w:hAnsi="宋体" w:eastAsia="宋体" w:cs="宋体"/>
          <w:color w:val="auto"/>
        </w:rPr>
      </w:pPr>
    </w:p>
    <w:p w14:paraId="2CB1B1E6">
      <w:pPr>
        <w:rPr>
          <w:rFonts w:hint="eastAsia" w:ascii="宋体" w:hAnsi="宋体" w:eastAsia="宋体" w:cs="宋体"/>
          <w:color w:val="auto"/>
        </w:rPr>
      </w:pPr>
    </w:p>
    <w:p w14:paraId="56CFDDB4">
      <w:pPr>
        <w:rPr>
          <w:rFonts w:hint="eastAsia" w:ascii="宋体" w:hAnsi="宋体" w:eastAsia="宋体" w:cs="宋体"/>
          <w:color w:val="auto"/>
        </w:rPr>
      </w:pPr>
    </w:p>
    <w:p w14:paraId="5D8805C4">
      <w:pPr>
        <w:rPr>
          <w:rFonts w:hint="eastAsia" w:ascii="宋体" w:hAnsi="宋体" w:eastAsia="宋体" w:cs="宋体"/>
          <w:color w:val="auto"/>
        </w:rPr>
      </w:pPr>
    </w:p>
    <w:p w14:paraId="3D9CBB37">
      <w:pPr>
        <w:rPr>
          <w:rFonts w:hint="eastAsia" w:ascii="宋体" w:hAnsi="宋体" w:eastAsia="宋体" w:cs="宋体"/>
          <w:color w:val="auto"/>
        </w:rPr>
      </w:pPr>
    </w:p>
    <w:p w14:paraId="59C82937">
      <w:pPr>
        <w:rPr>
          <w:rFonts w:hint="eastAsia" w:ascii="宋体" w:hAnsi="宋体" w:eastAsia="宋体" w:cs="宋体"/>
          <w:color w:val="auto"/>
        </w:rPr>
      </w:pPr>
    </w:p>
    <w:p w14:paraId="559DC5AE">
      <w:pPr>
        <w:rPr>
          <w:rFonts w:hint="eastAsia" w:ascii="宋体" w:hAnsi="宋体" w:eastAsia="宋体" w:cs="宋体"/>
          <w:color w:val="auto"/>
        </w:rPr>
      </w:pPr>
    </w:p>
    <w:p w14:paraId="7E9B8D39">
      <w:pPr>
        <w:rPr>
          <w:rFonts w:hint="eastAsia" w:ascii="宋体" w:hAnsi="宋体" w:eastAsia="宋体" w:cs="宋体"/>
          <w:color w:val="auto"/>
        </w:rPr>
      </w:pPr>
    </w:p>
    <w:p w14:paraId="0DF5E7FC">
      <w:pPr>
        <w:rPr>
          <w:rFonts w:hint="eastAsia" w:ascii="宋体" w:hAnsi="宋体" w:eastAsia="宋体" w:cs="宋体"/>
          <w:color w:val="auto"/>
        </w:rPr>
      </w:pPr>
    </w:p>
    <w:p w14:paraId="14D6206D">
      <w:pPr>
        <w:rPr>
          <w:rFonts w:hint="eastAsia" w:ascii="宋体" w:hAnsi="宋体" w:eastAsia="宋体" w:cs="宋体"/>
          <w:color w:val="auto"/>
        </w:rPr>
      </w:pPr>
    </w:p>
    <w:p w14:paraId="64E3F869">
      <w:pPr>
        <w:rPr>
          <w:rFonts w:hint="eastAsia" w:ascii="宋体" w:hAnsi="宋体" w:eastAsia="宋体" w:cs="宋体"/>
          <w:color w:val="auto"/>
        </w:rPr>
      </w:pPr>
    </w:p>
    <w:p w14:paraId="62CD8C80">
      <w:pPr>
        <w:rPr>
          <w:rFonts w:hint="eastAsia" w:ascii="宋体" w:hAnsi="宋体" w:eastAsia="宋体" w:cs="宋体"/>
          <w:color w:val="auto"/>
        </w:rPr>
      </w:pPr>
    </w:p>
    <w:p w14:paraId="37E757FE">
      <w:pPr>
        <w:rPr>
          <w:rFonts w:hint="eastAsia" w:ascii="宋体" w:hAnsi="宋体" w:eastAsia="宋体" w:cs="宋体"/>
          <w:color w:val="auto"/>
        </w:rPr>
      </w:pPr>
    </w:p>
    <w:p w14:paraId="581FEDF6">
      <w:pPr>
        <w:rPr>
          <w:rFonts w:hint="eastAsia" w:ascii="宋体" w:hAnsi="宋体" w:eastAsia="宋体" w:cs="宋体"/>
          <w:color w:val="auto"/>
        </w:rPr>
      </w:pPr>
    </w:p>
    <w:p w14:paraId="185CC0D8">
      <w:pPr>
        <w:rPr>
          <w:rFonts w:hint="eastAsia" w:ascii="宋体" w:hAnsi="宋体" w:eastAsia="宋体" w:cs="宋体"/>
          <w:color w:val="auto"/>
        </w:rPr>
      </w:pPr>
    </w:p>
    <w:p w14:paraId="382DFA40">
      <w:pPr>
        <w:rPr>
          <w:rFonts w:hint="eastAsia" w:ascii="宋体" w:hAnsi="宋体" w:eastAsia="宋体" w:cs="宋体"/>
          <w:color w:val="auto"/>
        </w:rPr>
      </w:pPr>
    </w:p>
    <w:p w14:paraId="1F0743EC">
      <w:pPr>
        <w:rPr>
          <w:rFonts w:hint="eastAsia" w:ascii="宋体" w:hAnsi="宋体" w:eastAsia="宋体" w:cs="宋体"/>
          <w:color w:val="auto"/>
        </w:rPr>
      </w:pPr>
    </w:p>
    <w:p w14:paraId="429841E6">
      <w:pPr>
        <w:rPr>
          <w:rFonts w:hint="eastAsia" w:ascii="宋体" w:hAnsi="宋体" w:eastAsia="宋体" w:cs="宋体"/>
          <w:color w:val="auto"/>
        </w:rPr>
      </w:pPr>
    </w:p>
    <w:p w14:paraId="47E252D7">
      <w:pPr>
        <w:rPr>
          <w:rFonts w:hint="eastAsia" w:ascii="宋体" w:hAnsi="宋体" w:eastAsia="宋体" w:cs="宋体"/>
          <w:color w:val="auto"/>
        </w:rPr>
      </w:pPr>
    </w:p>
    <w:p w14:paraId="55A0095C">
      <w:pPr>
        <w:rPr>
          <w:rFonts w:hint="eastAsia" w:ascii="宋体" w:hAnsi="宋体" w:eastAsia="宋体" w:cs="宋体"/>
          <w:color w:val="auto"/>
        </w:rPr>
      </w:pPr>
    </w:p>
    <w:p w14:paraId="0CF492FB">
      <w:pPr>
        <w:rPr>
          <w:rFonts w:hint="eastAsia" w:ascii="宋体" w:hAnsi="宋体" w:eastAsia="宋体" w:cs="宋体"/>
          <w:color w:val="auto"/>
        </w:rPr>
      </w:pPr>
    </w:p>
    <w:p w14:paraId="5C516D90">
      <w:pPr>
        <w:rPr>
          <w:rFonts w:hint="eastAsia" w:ascii="宋体" w:hAnsi="宋体" w:eastAsia="宋体" w:cs="宋体"/>
          <w:color w:val="auto"/>
        </w:rPr>
      </w:pPr>
    </w:p>
    <w:p w14:paraId="00B15DFB">
      <w:pPr>
        <w:pStyle w:val="4"/>
        <w:keepLines w:val="0"/>
        <w:widowControl w:val="0"/>
        <w:tabs>
          <w:tab w:val="left" w:pos="1995"/>
        </w:tabs>
        <w:bidi w:val="0"/>
        <w:spacing w:before="0" w:beforeLines="-2147483648" w:beforeAutospacing="0" w:after="0" w:afterLines="-2147483648" w:afterAutospacing="0" w:line="480" w:lineRule="exact"/>
        <w:ind w:left="0" w:leftChars="0" w:firstLine="0" w:firstLineChars="0"/>
        <w:jc w:val="left"/>
        <w:textAlignment w:val="auto"/>
        <w:rPr>
          <w:rFonts w:hint="eastAsia" w:ascii="宋体" w:hAnsi="宋体" w:eastAsia="宋体" w:cs="宋体"/>
          <w:color w:val="auto"/>
          <w:kern w:val="2"/>
          <w:sz w:val="28"/>
          <w:szCs w:val="24"/>
          <w:lang w:val="en-US" w:eastAsia="zh-CN"/>
        </w:rPr>
      </w:pPr>
      <w:bookmarkStart w:id="488" w:name="_Toc22173"/>
      <w:r>
        <w:rPr>
          <w:rFonts w:hint="eastAsia" w:ascii="宋体" w:hAnsi="宋体" w:eastAsia="宋体" w:cs="宋体"/>
          <w:color w:val="auto"/>
          <w:kern w:val="2"/>
          <w:sz w:val="28"/>
          <w:szCs w:val="24"/>
          <w:lang w:val="en-US" w:eastAsia="zh-CN"/>
        </w:rPr>
        <w:t>格式十七   原件一览表</w:t>
      </w:r>
      <w:bookmarkEnd w:id="446"/>
      <w:bookmarkEnd w:id="447"/>
      <w:r>
        <w:rPr>
          <w:rFonts w:hint="eastAsia" w:ascii="宋体" w:hAnsi="宋体" w:eastAsia="宋体" w:cs="宋体"/>
          <w:color w:val="auto"/>
          <w:kern w:val="2"/>
          <w:sz w:val="28"/>
          <w:szCs w:val="24"/>
          <w:lang w:val="en-US" w:eastAsia="zh-CN"/>
        </w:rPr>
        <w:t>（如有）</w:t>
      </w:r>
      <w:bookmarkEnd w:id="488"/>
    </w:p>
    <w:tbl>
      <w:tblPr>
        <w:tblStyle w:val="21"/>
        <w:tblpPr w:leftFromText="180" w:rightFromText="180" w:vertAnchor="text" w:horzAnchor="page" w:tblpX="1038"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31B0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9108" w:type="dxa"/>
            <w:gridSpan w:val="8"/>
            <w:noWrap w:val="0"/>
            <w:tcMar>
              <w:left w:w="108" w:type="dxa"/>
              <w:right w:w="108" w:type="dxa"/>
            </w:tcMar>
            <w:vAlign w:val="center"/>
          </w:tcPr>
          <w:p w14:paraId="0B6D6B1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bookmarkStart w:id="489" w:name="_Toc14444"/>
            <w:bookmarkStart w:id="490" w:name="_Toc31416"/>
            <w:bookmarkStart w:id="491" w:name="_Toc10942"/>
            <w:bookmarkStart w:id="492" w:name="_Toc30888"/>
            <w:bookmarkStart w:id="493" w:name="_Toc31153"/>
            <w:bookmarkStart w:id="494" w:name="_Toc27446"/>
            <w:bookmarkStart w:id="495" w:name="_Toc16478"/>
            <w:bookmarkStart w:id="496" w:name="_Toc9142"/>
            <w:bookmarkStart w:id="497" w:name="_Toc23839"/>
            <w:bookmarkStart w:id="498" w:name="_Toc2641"/>
            <w:r>
              <w:rPr>
                <w:rFonts w:hint="eastAsia" w:ascii="宋体" w:hAnsi="宋体" w:eastAsia="宋体" w:cs="宋体"/>
                <w:b/>
                <w:color w:val="auto"/>
                <w:sz w:val="21"/>
                <w:szCs w:val="21"/>
                <w:highlight w:val="none"/>
              </w:rPr>
              <w:t>原件一览表</w:t>
            </w:r>
          </w:p>
        </w:tc>
      </w:tr>
      <w:tr w14:paraId="76C6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99" w:type="dxa"/>
            <w:gridSpan w:val="3"/>
            <w:noWrap w:val="0"/>
            <w:tcMar>
              <w:left w:w="108" w:type="dxa"/>
              <w:right w:w="108" w:type="dxa"/>
            </w:tcMar>
            <w:vAlign w:val="center"/>
          </w:tcPr>
          <w:p w14:paraId="32BFCA4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6809" w:type="dxa"/>
            <w:gridSpan w:val="5"/>
            <w:noWrap w:val="0"/>
            <w:tcMar>
              <w:left w:w="108" w:type="dxa"/>
              <w:right w:w="108" w:type="dxa"/>
            </w:tcMar>
            <w:vAlign w:val="center"/>
          </w:tcPr>
          <w:p w14:paraId="3DA28BC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tc>
      </w:tr>
      <w:tr w14:paraId="7C45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99" w:type="dxa"/>
            <w:gridSpan w:val="3"/>
            <w:noWrap w:val="0"/>
            <w:tcMar>
              <w:left w:w="108" w:type="dxa"/>
              <w:right w:w="108" w:type="dxa"/>
            </w:tcMar>
            <w:vAlign w:val="center"/>
          </w:tcPr>
          <w:p w14:paraId="3EED23C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投标人名称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请务必填写单位全称</w:t>
            </w:r>
            <w:r>
              <w:rPr>
                <w:rFonts w:hint="eastAsia" w:ascii="宋体" w:hAnsi="宋体" w:eastAsia="宋体" w:cs="宋体"/>
                <w:color w:val="auto"/>
                <w:sz w:val="21"/>
                <w:szCs w:val="21"/>
                <w:highlight w:val="none"/>
                <w:lang w:eastAsia="zh-CN"/>
              </w:rPr>
              <w:t>）</w:t>
            </w:r>
          </w:p>
        </w:tc>
        <w:tc>
          <w:tcPr>
            <w:tcW w:w="6809" w:type="dxa"/>
            <w:gridSpan w:val="5"/>
            <w:noWrap w:val="0"/>
            <w:tcMar>
              <w:left w:w="108" w:type="dxa"/>
              <w:right w:w="108" w:type="dxa"/>
            </w:tcMar>
            <w:vAlign w:val="center"/>
          </w:tcPr>
          <w:p w14:paraId="1054B94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44EF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99" w:type="dxa"/>
            <w:gridSpan w:val="3"/>
            <w:noWrap w:val="0"/>
            <w:tcMar>
              <w:left w:w="108" w:type="dxa"/>
              <w:right w:w="108" w:type="dxa"/>
            </w:tcMar>
            <w:vAlign w:val="center"/>
          </w:tcPr>
          <w:p w14:paraId="1F31A4A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投标人法定代表人或其</w:t>
            </w:r>
          </w:p>
          <w:p w14:paraId="2206970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委托代理人签名</w:t>
            </w:r>
          </w:p>
        </w:tc>
        <w:tc>
          <w:tcPr>
            <w:tcW w:w="3527" w:type="dxa"/>
            <w:gridSpan w:val="2"/>
            <w:noWrap w:val="0"/>
            <w:tcMar>
              <w:left w:w="108" w:type="dxa"/>
              <w:right w:w="108" w:type="dxa"/>
            </w:tcMar>
            <w:vAlign w:val="center"/>
          </w:tcPr>
          <w:p w14:paraId="1B02F4B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754" w:type="dxa"/>
            <w:noWrap w:val="0"/>
            <w:tcMar>
              <w:left w:w="108" w:type="dxa"/>
              <w:right w:w="108" w:type="dxa"/>
            </w:tcMar>
            <w:vAlign w:val="center"/>
          </w:tcPr>
          <w:p w14:paraId="2D63F21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手机号码</w:t>
            </w:r>
          </w:p>
        </w:tc>
        <w:tc>
          <w:tcPr>
            <w:tcW w:w="2528" w:type="dxa"/>
            <w:gridSpan w:val="2"/>
            <w:noWrap w:val="0"/>
            <w:tcMar>
              <w:left w:w="108" w:type="dxa"/>
              <w:right w:w="108" w:type="dxa"/>
            </w:tcMar>
            <w:vAlign w:val="center"/>
          </w:tcPr>
          <w:p w14:paraId="3B6F326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6CB9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9108" w:type="dxa"/>
            <w:gridSpan w:val="8"/>
            <w:noWrap w:val="0"/>
            <w:tcMar>
              <w:left w:w="108" w:type="dxa"/>
              <w:right w:w="108" w:type="dxa"/>
            </w:tcMar>
            <w:vAlign w:val="center"/>
          </w:tcPr>
          <w:p w14:paraId="6B6C03C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递交的证明材料原件如下：</w:t>
            </w:r>
          </w:p>
        </w:tc>
      </w:tr>
      <w:tr w14:paraId="66E6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1B369BB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125" w:type="dxa"/>
            <w:gridSpan w:val="4"/>
            <w:noWrap w:val="0"/>
            <w:tcMar>
              <w:left w:w="108" w:type="dxa"/>
              <w:right w:w="108" w:type="dxa"/>
            </w:tcMar>
            <w:vAlign w:val="center"/>
          </w:tcPr>
          <w:p w14:paraId="687EFE6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证明材料原件名称</w:t>
            </w:r>
          </w:p>
        </w:tc>
        <w:tc>
          <w:tcPr>
            <w:tcW w:w="1712" w:type="dxa"/>
            <w:gridSpan w:val="2"/>
            <w:noWrap w:val="0"/>
            <w:tcMar>
              <w:left w:w="108" w:type="dxa"/>
              <w:right w:w="108" w:type="dxa"/>
            </w:tcMar>
            <w:vAlign w:val="center"/>
          </w:tcPr>
          <w:p w14:paraId="68712D1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570" w:type="dxa"/>
            <w:noWrap w:val="0"/>
            <w:tcMar>
              <w:left w:w="108" w:type="dxa"/>
              <w:right w:w="108" w:type="dxa"/>
            </w:tcMar>
            <w:vAlign w:val="center"/>
          </w:tcPr>
          <w:p w14:paraId="1D32EC3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614A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640E33B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125" w:type="dxa"/>
            <w:gridSpan w:val="4"/>
            <w:noWrap w:val="0"/>
            <w:tcMar>
              <w:left w:w="108" w:type="dxa"/>
              <w:right w:w="108" w:type="dxa"/>
            </w:tcMar>
            <w:vAlign w:val="center"/>
          </w:tcPr>
          <w:p w14:paraId="4F6FAD7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712" w:type="dxa"/>
            <w:gridSpan w:val="2"/>
            <w:noWrap w:val="0"/>
            <w:tcMar>
              <w:left w:w="108" w:type="dxa"/>
              <w:right w:w="108" w:type="dxa"/>
            </w:tcMar>
            <w:vAlign w:val="center"/>
          </w:tcPr>
          <w:p w14:paraId="19D78C5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570" w:type="dxa"/>
            <w:noWrap w:val="0"/>
            <w:tcMar>
              <w:left w:w="108" w:type="dxa"/>
              <w:right w:w="108" w:type="dxa"/>
            </w:tcMar>
            <w:vAlign w:val="center"/>
          </w:tcPr>
          <w:p w14:paraId="6D548D2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03FF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72FD7F4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125" w:type="dxa"/>
            <w:gridSpan w:val="4"/>
            <w:noWrap w:val="0"/>
            <w:tcMar>
              <w:left w:w="108" w:type="dxa"/>
              <w:right w:w="108" w:type="dxa"/>
            </w:tcMar>
            <w:vAlign w:val="center"/>
          </w:tcPr>
          <w:p w14:paraId="0316E8C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712" w:type="dxa"/>
            <w:gridSpan w:val="2"/>
            <w:noWrap w:val="0"/>
            <w:tcMar>
              <w:left w:w="108" w:type="dxa"/>
              <w:right w:w="108" w:type="dxa"/>
            </w:tcMar>
            <w:vAlign w:val="center"/>
          </w:tcPr>
          <w:p w14:paraId="739DB88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570" w:type="dxa"/>
            <w:noWrap w:val="0"/>
            <w:tcMar>
              <w:left w:w="108" w:type="dxa"/>
              <w:right w:w="108" w:type="dxa"/>
            </w:tcMar>
            <w:vAlign w:val="center"/>
          </w:tcPr>
          <w:p w14:paraId="5A92F54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r>
      <w:tr w14:paraId="230D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2B83069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25" w:type="dxa"/>
            <w:gridSpan w:val="4"/>
            <w:noWrap w:val="0"/>
            <w:tcMar>
              <w:left w:w="108" w:type="dxa"/>
              <w:right w:w="108" w:type="dxa"/>
            </w:tcMar>
            <w:vAlign w:val="center"/>
          </w:tcPr>
          <w:p w14:paraId="156EB4C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712" w:type="dxa"/>
            <w:gridSpan w:val="2"/>
            <w:noWrap w:val="0"/>
            <w:tcMar>
              <w:left w:w="108" w:type="dxa"/>
              <w:right w:w="108" w:type="dxa"/>
            </w:tcMar>
            <w:vAlign w:val="center"/>
          </w:tcPr>
          <w:p w14:paraId="7F98B78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570" w:type="dxa"/>
            <w:noWrap w:val="0"/>
            <w:tcMar>
              <w:left w:w="108" w:type="dxa"/>
              <w:right w:w="108" w:type="dxa"/>
            </w:tcMar>
            <w:vAlign w:val="center"/>
          </w:tcPr>
          <w:p w14:paraId="2F41881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r>
      <w:tr w14:paraId="60EB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07D8717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125" w:type="dxa"/>
            <w:gridSpan w:val="4"/>
            <w:noWrap w:val="0"/>
            <w:tcMar>
              <w:left w:w="108" w:type="dxa"/>
              <w:right w:w="108" w:type="dxa"/>
            </w:tcMar>
            <w:vAlign w:val="center"/>
          </w:tcPr>
          <w:p w14:paraId="24BE2C9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712" w:type="dxa"/>
            <w:gridSpan w:val="2"/>
            <w:noWrap w:val="0"/>
            <w:tcMar>
              <w:left w:w="108" w:type="dxa"/>
              <w:right w:w="108" w:type="dxa"/>
            </w:tcMar>
            <w:vAlign w:val="center"/>
          </w:tcPr>
          <w:p w14:paraId="17F81B3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570" w:type="dxa"/>
            <w:noWrap w:val="0"/>
            <w:tcMar>
              <w:left w:w="108" w:type="dxa"/>
              <w:right w:w="108" w:type="dxa"/>
            </w:tcMar>
            <w:vAlign w:val="center"/>
          </w:tcPr>
          <w:p w14:paraId="5341595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5200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358C40F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8" w:right="0" w:hanging="9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注意：</w:t>
            </w:r>
          </w:p>
        </w:tc>
        <w:tc>
          <w:tcPr>
            <w:tcW w:w="8407" w:type="dxa"/>
            <w:gridSpan w:val="7"/>
            <w:noWrap w:val="0"/>
            <w:tcMar>
              <w:left w:w="108" w:type="dxa"/>
              <w:right w:w="108" w:type="dxa"/>
            </w:tcMar>
            <w:vAlign w:val="center"/>
          </w:tcPr>
          <w:p w14:paraId="278BDAD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45E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14:paraId="1465BB9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接收原件经办人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招标代理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tc>
        <w:tc>
          <w:tcPr>
            <w:tcW w:w="1994" w:type="dxa"/>
            <w:gridSpan w:val="2"/>
            <w:noWrap w:val="0"/>
            <w:tcMar>
              <w:left w:w="108" w:type="dxa"/>
              <w:right w:w="108" w:type="dxa"/>
            </w:tcMar>
            <w:vAlign w:val="center"/>
          </w:tcPr>
          <w:p w14:paraId="056E39F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625" w:type="dxa"/>
            <w:noWrap w:val="0"/>
            <w:tcMar>
              <w:left w:w="108" w:type="dxa"/>
              <w:right w:w="108" w:type="dxa"/>
            </w:tcMar>
            <w:vAlign w:val="center"/>
          </w:tcPr>
          <w:p w14:paraId="26BC76C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接收时间：</w:t>
            </w:r>
          </w:p>
        </w:tc>
        <w:tc>
          <w:tcPr>
            <w:tcW w:w="3282" w:type="dxa"/>
            <w:gridSpan w:val="3"/>
            <w:noWrap w:val="0"/>
            <w:tcMar>
              <w:left w:w="108" w:type="dxa"/>
              <w:right w:w="108" w:type="dxa"/>
            </w:tcMar>
            <w:vAlign w:val="center"/>
          </w:tcPr>
          <w:p w14:paraId="574D534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时  分</w:t>
            </w:r>
          </w:p>
        </w:tc>
      </w:tr>
      <w:tr w14:paraId="3DFF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14:paraId="65DE4CE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退还原件接收人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tc>
        <w:tc>
          <w:tcPr>
            <w:tcW w:w="1994" w:type="dxa"/>
            <w:gridSpan w:val="2"/>
            <w:noWrap w:val="0"/>
            <w:tcMar>
              <w:left w:w="108" w:type="dxa"/>
              <w:right w:w="108" w:type="dxa"/>
            </w:tcMar>
            <w:vAlign w:val="center"/>
          </w:tcPr>
          <w:p w14:paraId="23A467C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p>
        </w:tc>
        <w:tc>
          <w:tcPr>
            <w:tcW w:w="1625" w:type="dxa"/>
            <w:noWrap w:val="0"/>
            <w:tcMar>
              <w:left w:w="108" w:type="dxa"/>
              <w:right w:w="108" w:type="dxa"/>
            </w:tcMar>
            <w:vAlign w:val="center"/>
          </w:tcPr>
          <w:p w14:paraId="4387B0E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退还时间：</w:t>
            </w:r>
          </w:p>
        </w:tc>
        <w:tc>
          <w:tcPr>
            <w:tcW w:w="3282" w:type="dxa"/>
            <w:gridSpan w:val="3"/>
            <w:noWrap w:val="0"/>
            <w:tcMar>
              <w:left w:w="108" w:type="dxa"/>
              <w:right w:w="108" w:type="dxa"/>
            </w:tcMar>
            <w:vAlign w:val="center"/>
          </w:tcPr>
          <w:p w14:paraId="4945142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时   分</w:t>
            </w:r>
          </w:p>
        </w:tc>
      </w:tr>
    </w:tbl>
    <w:p w14:paraId="42D1E5EA">
      <w:pPr>
        <w:rPr>
          <w:rFonts w:hint="eastAsia" w:ascii="宋体" w:hAnsi="宋体" w:eastAsia="宋体" w:cs="宋体"/>
          <w:color w:val="auto"/>
        </w:rPr>
      </w:pPr>
    </w:p>
    <w:p w14:paraId="47FF9B56">
      <w:pPr>
        <w:rPr>
          <w:rFonts w:hint="eastAsia" w:ascii="宋体" w:hAnsi="宋体" w:eastAsia="宋体" w:cs="宋体"/>
          <w:color w:val="auto"/>
        </w:rPr>
      </w:pPr>
    </w:p>
    <w:p w14:paraId="655C19B6">
      <w:pPr>
        <w:rPr>
          <w:rFonts w:hint="eastAsia" w:ascii="宋体" w:hAnsi="宋体" w:eastAsia="宋体" w:cs="宋体"/>
          <w:color w:val="auto"/>
        </w:rPr>
      </w:pPr>
    </w:p>
    <w:p w14:paraId="4F027711">
      <w:pPr>
        <w:rPr>
          <w:rFonts w:hint="eastAsia" w:ascii="宋体" w:hAnsi="宋体" w:eastAsia="宋体" w:cs="宋体"/>
          <w:color w:val="auto"/>
        </w:rPr>
      </w:pPr>
    </w:p>
    <w:p w14:paraId="6B422F07">
      <w:pPr>
        <w:rPr>
          <w:rFonts w:hint="eastAsia" w:ascii="宋体" w:hAnsi="宋体" w:eastAsia="宋体" w:cs="宋体"/>
          <w:color w:val="auto"/>
        </w:rPr>
      </w:pPr>
    </w:p>
    <w:p w14:paraId="3D4ABA31">
      <w:pPr>
        <w:rPr>
          <w:rFonts w:hint="eastAsia" w:ascii="宋体" w:hAnsi="宋体" w:eastAsia="宋体" w:cs="宋体"/>
          <w:color w:val="auto"/>
        </w:rPr>
      </w:pPr>
    </w:p>
    <w:p w14:paraId="6F5C2190">
      <w:pPr>
        <w:rPr>
          <w:rFonts w:hint="eastAsia" w:ascii="宋体" w:hAnsi="宋体" w:eastAsia="宋体" w:cs="宋体"/>
          <w:color w:val="auto"/>
        </w:rPr>
      </w:pPr>
    </w:p>
    <w:p w14:paraId="5CCC7E1A">
      <w:pPr>
        <w:rPr>
          <w:rFonts w:hint="eastAsia" w:ascii="宋体" w:hAnsi="宋体" w:eastAsia="宋体" w:cs="宋体"/>
          <w:color w:val="auto"/>
        </w:rPr>
      </w:pPr>
    </w:p>
    <w:p w14:paraId="61E82C92">
      <w:pPr>
        <w:rPr>
          <w:rFonts w:hint="eastAsia" w:ascii="宋体" w:hAnsi="宋体" w:eastAsia="宋体" w:cs="宋体"/>
          <w:color w:val="auto"/>
        </w:rPr>
      </w:pPr>
    </w:p>
    <w:p w14:paraId="66FCF320">
      <w:pPr>
        <w:rPr>
          <w:rFonts w:hint="eastAsia" w:ascii="宋体" w:hAnsi="宋体" w:eastAsia="宋体" w:cs="宋体"/>
          <w:color w:val="auto"/>
        </w:rPr>
      </w:pPr>
    </w:p>
    <w:p w14:paraId="0E021FC4">
      <w:pPr>
        <w:rPr>
          <w:rFonts w:hint="eastAsia" w:ascii="宋体" w:hAnsi="宋体" w:eastAsia="宋体" w:cs="宋体"/>
          <w:color w:val="auto"/>
        </w:rPr>
      </w:pPr>
    </w:p>
    <w:p w14:paraId="4C347F1A">
      <w:pPr>
        <w:rPr>
          <w:rFonts w:hint="eastAsia" w:ascii="宋体" w:hAnsi="宋体" w:eastAsia="宋体" w:cs="宋体"/>
          <w:color w:val="auto"/>
        </w:rPr>
      </w:pPr>
    </w:p>
    <w:p w14:paraId="53FB1FCA">
      <w:pPr>
        <w:rPr>
          <w:rFonts w:hint="eastAsia" w:ascii="宋体" w:hAnsi="宋体" w:eastAsia="宋体" w:cs="宋体"/>
          <w:color w:val="auto"/>
        </w:rPr>
      </w:pPr>
    </w:p>
    <w:p w14:paraId="35BE2372">
      <w:pPr>
        <w:rPr>
          <w:rFonts w:hint="eastAsia" w:ascii="宋体" w:hAnsi="宋体" w:eastAsia="宋体" w:cs="宋体"/>
          <w:color w:val="auto"/>
        </w:rPr>
      </w:pPr>
    </w:p>
    <w:p w14:paraId="2A7BFD3A">
      <w:pPr>
        <w:rPr>
          <w:rFonts w:hint="eastAsia" w:ascii="宋体" w:hAnsi="宋体" w:eastAsia="宋体" w:cs="宋体"/>
          <w:color w:val="auto"/>
        </w:rPr>
      </w:pPr>
    </w:p>
    <w:p w14:paraId="280B0D63">
      <w:pPr>
        <w:rPr>
          <w:rFonts w:hint="eastAsia" w:ascii="宋体" w:hAnsi="宋体" w:eastAsia="宋体" w:cs="宋体"/>
          <w:color w:val="auto"/>
        </w:rPr>
      </w:pPr>
    </w:p>
    <w:p w14:paraId="5EB7FBDB">
      <w:pPr>
        <w:rPr>
          <w:rFonts w:hint="eastAsia" w:ascii="宋体" w:hAnsi="宋体" w:eastAsia="宋体" w:cs="宋体"/>
          <w:color w:val="auto"/>
        </w:rPr>
      </w:pPr>
    </w:p>
    <w:p w14:paraId="3C4A69D6">
      <w:pPr>
        <w:rPr>
          <w:rFonts w:hint="eastAsia" w:ascii="宋体" w:hAnsi="宋体" w:eastAsia="宋体" w:cs="宋体"/>
          <w:color w:val="auto"/>
        </w:rPr>
      </w:pPr>
    </w:p>
    <w:p w14:paraId="3578CD37">
      <w:pPr>
        <w:rPr>
          <w:rFonts w:hint="eastAsia" w:ascii="宋体" w:hAnsi="宋体" w:eastAsia="宋体" w:cs="宋体"/>
          <w:color w:val="auto"/>
        </w:rPr>
      </w:pPr>
    </w:p>
    <w:p w14:paraId="0C9A81B6">
      <w:pPr>
        <w:rPr>
          <w:rFonts w:hint="eastAsia" w:ascii="宋体" w:hAnsi="宋体" w:eastAsia="宋体" w:cs="宋体"/>
          <w:color w:val="auto"/>
        </w:rPr>
      </w:pPr>
    </w:p>
    <w:p w14:paraId="77576061">
      <w:pPr>
        <w:rPr>
          <w:rFonts w:hint="eastAsia" w:ascii="宋体" w:hAnsi="宋体" w:eastAsia="宋体" w:cs="宋体"/>
          <w:color w:val="auto"/>
        </w:rPr>
      </w:pPr>
    </w:p>
    <w:p w14:paraId="553790F8">
      <w:pPr>
        <w:rPr>
          <w:rFonts w:hint="eastAsia" w:ascii="宋体" w:hAnsi="宋体" w:eastAsia="宋体" w:cs="宋体"/>
          <w:color w:val="auto"/>
        </w:rPr>
      </w:pPr>
    </w:p>
    <w:p w14:paraId="35B9F52A">
      <w:pPr>
        <w:rPr>
          <w:rFonts w:hint="eastAsia" w:ascii="宋体" w:hAnsi="宋体" w:eastAsia="宋体" w:cs="宋体"/>
          <w:color w:val="auto"/>
        </w:rPr>
      </w:pPr>
    </w:p>
    <w:p w14:paraId="38213D74">
      <w:pPr>
        <w:rPr>
          <w:rFonts w:hint="eastAsia" w:ascii="宋体" w:hAnsi="宋体" w:eastAsia="宋体" w:cs="宋体"/>
          <w:color w:val="auto"/>
        </w:rPr>
      </w:pPr>
    </w:p>
    <w:p w14:paraId="03182AED">
      <w:pPr>
        <w:rPr>
          <w:rFonts w:hint="eastAsia" w:ascii="宋体" w:hAnsi="宋体" w:eastAsia="宋体" w:cs="宋体"/>
          <w:color w:val="auto"/>
        </w:rPr>
      </w:pPr>
    </w:p>
    <w:p w14:paraId="52C440F8">
      <w:pPr>
        <w:rPr>
          <w:rFonts w:hint="eastAsia" w:ascii="宋体" w:hAnsi="宋体" w:eastAsia="宋体" w:cs="宋体"/>
          <w:color w:val="auto"/>
        </w:rPr>
      </w:pPr>
    </w:p>
    <w:p w14:paraId="65CDBE90">
      <w:pPr>
        <w:rPr>
          <w:rFonts w:hint="eastAsia" w:ascii="宋体" w:hAnsi="宋体" w:eastAsia="宋体" w:cs="宋体"/>
          <w:color w:val="auto"/>
        </w:rPr>
      </w:pPr>
    </w:p>
    <w:p w14:paraId="69BC173D">
      <w:pPr>
        <w:rPr>
          <w:rFonts w:hint="eastAsia" w:ascii="宋体" w:hAnsi="宋体" w:eastAsia="宋体" w:cs="宋体"/>
          <w:color w:val="auto"/>
        </w:rPr>
      </w:pPr>
    </w:p>
    <w:p w14:paraId="1734FC84">
      <w:pPr>
        <w:rPr>
          <w:rFonts w:hint="eastAsia" w:ascii="宋体" w:hAnsi="宋体" w:eastAsia="宋体" w:cs="宋体"/>
          <w:color w:val="auto"/>
        </w:rPr>
      </w:pPr>
    </w:p>
    <w:p w14:paraId="62B598E3">
      <w:pPr>
        <w:pStyle w:val="3"/>
        <w:keepLines w:val="0"/>
        <w:pageBreakBefore w:val="0"/>
        <w:widowControl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Style w:val="26"/>
          <w:rFonts w:hint="eastAsia" w:ascii="宋体" w:hAnsi="宋体" w:eastAsia="宋体" w:cs="宋体"/>
          <w:color w:val="auto"/>
          <w:kern w:val="0"/>
          <w:highlight w:val="none"/>
        </w:rPr>
      </w:pPr>
      <w:bookmarkStart w:id="499" w:name="_Toc14816"/>
      <w:r>
        <w:rPr>
          <w:rFonts w:hint="eastAsia" w:ascii="宋体" w:hAnsi="宋体" w:eastAsia="宋体" w:cs="宋体"/>
          <w:color w:val="auto"/>
          <w:sz w:val="32"/>
          <w:szCs w:val="32"/>
          <w:highlight w:val="none"/>
        </w:rPr>
        <w:t>第七章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建设工程施工合同</w:t>
      </w:r>
      <w:bookmarkEnd w:id="448"/>
      <w:bookmarkEnd w:id="489"/>
      <w:bookmarkEnd w:id="490"/>
      <w:bookmarkEnd w:id="491"/>
      <w:bookmarkEnd w:id="492"/>
      <w:bookmarkEnd w:id="493"/>
      <w:bookmarkEnd w:id="494"/>
      <w:bookmarkEnd w:id="495"/>
      <w:bookmarkEnd w:id="496"/>
      <w:bookmarkEnd w:id="497"/>
      <w:bookmarkEnd w:id="498"/>
      <w:bookmarkEnd w:id="499"/>
    </w:p>
    <w:p w14:paraId="30D78126">
      <w:pPr>
        <w:snapToGrid w:val="0"/>
        <w:spacing w:line="440" w:lineRule="exact"/>
        <w:rPr>
          <w:rFonts w:hint="eastAsia" w:ascii="宋体" w:hAnsi="宋体" w:eastAsia="宋体" w:cs="宋体"/>
          <w:color w:val="auto"/>
        </w:rPr>
      </w:pPr>
      <w:r>
        <w:rPr>
          <w:rStyle w:val="26"/>
          <w:rFonts w:hint="eastAsia" w:ascii="宋体" w:hAnsi="宋体" w:eastAsia="宋体" w:cs="宋体"/>
          <w:color w:val="auto"/>
          <w:kern w:val="0"/>
          <w:sz w:val="21"/>
          <w:szCs w:val="21"/>
          <w:highlight w:val="none"/>
        </w:rPr>
        <w:t xml:space="preserve"> </w:t>
      </w:r>
      <w:r>
        <w:rPr>
          <w:rStyle w:val="26"/>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（略），按《广东省建设工程标准施工合同》（2009年版）或《建设工程施工合同（示范文本）》（GF—2017—0201）执行。</w:t>
      </w:r>
    </w:p>
    <w:sectPr>
      <w:footerReference r:id="rId5" w:type="default"/>
      <w:pgSz w:w="11906" w:h="16838"/>
      <w:pgMar w:top="1134" w:right="1134" w:bottom="1134" w:left="1134" w:header="851" w:footer="850" w:gutter="0"/>
      <w:pgNumType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1890C">
    <w:pPr>
      <w:pStyle w:val="13"/>
      <w:rPr>
        <w:rStyle w:val="26"/>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1D24E9">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C1D24E9">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C6AA46"/>
    <w:multiLevelType w:val="singleLevel"/>
    <w:tmpl w:val="DCC6AA4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42223"/>
    <w:rsid w:val="05CE24B8"/>
    <w:rsid w:val="0B271EA2"/>
    <w:rsid w:val="0CB310BE"/>
    <w:rsid w:val="0D636907"/>
    <w:rsid w:val="0D8E6766"/>
    <w:rsid w:val="10333E17"/>
    <w:rsid w:val="134273A6"/>
    <w:rsid w:val="14C96230"/>
    <w:rsid w:val="16450B94"/>
    <w:rsid w:val="1A942223"/>
    <w:rsid w:val="1DCB44DB"/>
    <w:rsid w:val="24A75771"/>
    <w:rsid w:val="28226FDD"/>
    <w:rsid w:val="2A9D07CD"/>
    <w:rsid w:val="39272176"/>
    <w:rsid w:val="3A1A291C"/>
    <w:rsid w:val="3ABC5104"/>
    <w:rsid w:val="3E8A585A"/>
    <w:rsid w:val="4DAF4ACE"/>
    <w:rsid w:val="4E9E3852"/>
    <w:rsid w:val="54B1778B"/>
    <w:rsid w:val="565452E5"/>
    <w:rsid w:val="56953D02"/>
    <w:rsid w:val="69720954"/>
    <w:rsid w:val="6C6E13BF"/>
    <w:rsid w:val="6FBA6DDC"/>
    <w:rsid w:val="70A82E24"/>
    <w:rsid w:val="74CA56EF"/>
    <w:rsid w:val="75C41985"/>
    <w:rsid w:val="78023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textAlignment w:val="baseline"/>
    </w:pPr>
    <w:rPr>
      <w:rFonts w:ascii="宋体" w:hAnsi="宋体" w:eastAsia="宋体" w:cs="宋体"/>
      <w:kern w:val="2"/>
      <w:sz w:val="24"/>
      <w:szCs w:val="24"/>
      <w:lang w:val="en-US" w:eastAsia="zh-CN" w:bidi="ar-SA"/>
    </w:rPr>
  </w:style>
  <w:style w:type="paragraph" w:styleId="3">
    <w:name w:val="heading 1"/>
    <w:basedOn w:val="1"/>
    <w:next w:val="1"/>
    <w:qFormat/>
    <w:uiPriority w:val="0"/>
    <w:pPr>
      <w:keepNext/>
      <w:spacing w:line="480" w:lineRule="exact"/>
      <w:ind w:left="1830" w:hanging="480"/>
      <w:jc w:val="left"/>
      <w:outlineLvl w:val="0"/>
    </w:pPr>
    <w:rPr>
      <w:rFonts w:ascii="宋体" w:hAnsi="宋体"/>
      <w:b/>
      <w:sz w:val="28"/>
    </w:rPr>
  </w:style>
  <w:style w:type="paragraph" w:styleId="4">
    <w:name w:val="heading 2"/>
    <w:basedOn w:val="1"/>
    <w:next w:val="1"/>
    <w:link w:val="55"/>
    <w:qFormat/>
    <w:uiPriority w:val="0"/>
    <w:pPr>
      <w:keepNext/>
      <w:keepLines/>
      <w:spacing w:before="260" w:beforeLines="0" w:beforeAutospacing="0" w:after="260" w:afterLines="0" w:afterAutospacing="0" w:line="413" w:lineRule="auto"/>
      <w:outlineLvl w:val="1"/>
    </w:pPr>
    <w:rPr>
      <w:rFonts w:ascii="Arial" w:hAnsi="Arial" w:eastAsia="黑体" w:cs="Times New Roman"/>
      <w:b/>
      <w:kern w:val="0"/>
      <w:sz w:val="32"/>
      <w:szCs w:val="20"/>
    </w:rPr>
  </w:style>
  <w:style w:type="paragraph" w:styleId="5">
    <w:name w:val="heading 3"/>
    <w:basedOn w:val="6"/>
    <w:next w:val="6"/>
    <w:qFormat/>
    <w:uiPriority w:val="0"/>
    <w:pPr>
      <w:keepNext/>
      <w:keepLines/>
      <w:spacing w:before="260" w:beforeLines="0" w:beforeAutospacing="0" w:after="260" w:afterLines="0" w:afterAutospacing="0" w:line="413" w:lineRule="auto"/>
      <w:outlineLvl w:val="2"/>
    </w:pPr>
    <w:rPr>
      <w:rFonts w:ascii="Times New Roman" w:cs="Times New Roman"/>
      <w:b/>
      <w:kern w:val="0"/>
      <w:sz w:val="32"/>
      <w:szCs w:val="20"/>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qFormat/>
    <w:uiPriority w:val="99"/>
    <w:pPr>
      <w:adjustRightInd w:val="0"/>
      <w:spacing w:line="360" w:lineRule="atLeast"/>
      <w:jc w:val="left"/>
    </w:pPr>
    <w:rPr>
      <w:rFonts w:cs="Times New Roman"/>
      <w:kern w:val="0"/>
    </w:rPr>
  </w:style>
  <w:style w:type="paragraph" w:styleId="8">
    <w:name w:val="Body Text"/>
    <w:basedOn w:val="1"/>
    <w:qFormat/>
    <w:uiPriority w:val="99"/>
    <w:rPr>
      <w:rFonts w:cs="Times New Roman"/>
      <w:kern w:val="0"/>
    </w:rPr>
  </w:style>
  <w:style w:type="paragraph" w:styleId="9">
    <w:name w:val="Body Text Indent"/>
    <w:basedOn w:val="1"/>
    <w:next w:val="10"/>
    <w:qFormat/>
    <w:uiPriority w:val="0"/>
    <w:pPr>
      <w:ind w:firstLine="560" w:firstLineChars="200"/>
    </w:p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pPr>
      <w:ind w:firstLine="200" w:firstLineChars="200"/>
    </w:pPr>
    <w:rPr>
      <w:rFonts w:ascii="宋体" w:hAnsi="Courier New"/>
      <w:szCs w:val="21"/>
    </w:rPr>
  </w:style>
  <w:style w:type="paragraph" w:styleId="12">
    <w:name w:val="Body Text Indent 2"/>
    <w:basedOn w:val="1"/>
    <w:qFormat/>
    <w:uiPriority w:val="0"/>
    <w:pPr>
      <w:spacing w:line="480" w:lineRule="auto"/>
      <w:ind w:firstLine="561"/>
    </w:pPr>
    <w:rPr>
      <w:rFonts w:ascii="宋体"/>
    </w:rPr>
  </w:style>
  <w:style w:type="paragraph" w:styleId="13">
    <w:name w:val="footer"/>
    <w:basedOn w:val="1"/>
    <w:qFormat/>
    <w:uiPriority w:val="99"/>
    <w:pPr>
      <w:tabs>
        <w:tab w:val="center" w:pos="4153"/>
        <w:tab w:val="right" w:pos="8306"/>
      </w:tabs>
      <w:snapToGrid w:val="0"/>
      <w:jc w:val="left"/>
    </w:pPr>
    <w:rPr>
      <w:rFonts w:cs="Times New Roman"/>
      <w:kern w:val="0"/>
      <w:sz w:val="18"/>
      <w:szCs w:val="18"/>
    </w:rPr>
  </w:style>
  <w:style w:type="paragraph" w:styleId="14">
    <w:name w:val="header"/>
    <w:basedOn w:val="1"/>
    <w:next w:val="13"/>
    <w:qFormat/>
    <w:uiPriority w:val="0"/>
    <w:pPr>
      <w:widowControl/>
      <w:pBdr>
        <w:bottom w:val="single" w:color="auto" w:sz="6" w:space="1"/>
      </w:pBdr>
      <w:tabs>
        <w:tab w:val="center" w:pos="4153"/>
        <w:tab w:val="right" w:pos="8306"/>
      </w:tabs>
      <w:snapToGrid w:val="0"/>
      <w:jc w:val="center"/>
    </w:pPr>
    <w:rPr>
      <w:kern w:val="0"/>
      <w:sz w:val="18"/>
    </w:rPr>
  </w:style>
  <w:style w:type="paragraph" w:styleId="15">
    <w:name w:val="toc 1"/>
    <w:basedOn w:val="1"/>
    <w:next w:val="1"/>
    <w:qFormat/>
    <w:uiPriority w:val="99"/>
  </w:style>
  <w:style w:type="paragraph" w:styleId="16">
    <w:name w:val="toc 2"/>
    <w:basedOn w:val="1"/>
    <w:next w:val="1"/>
    <w:qFormat/>
    <w:uiPriority w:val="99"/>
    <w:pPr>
      <w:ind w:left="420" w:leftChars="200"/>
    </w:pPr>
  </w:style>
  <w:style w:type="paragraph" w:styleId="17">
    <w:name w:val="Body Text 2"/>
    <w:basedOn w:val="1"/>
    <w:next w:val="8"/>
    <w:qFormat/>
    <w:uiPriority w:val="0"/>
    <w:pPr>
      <w:spacing w:line="500" w:lineRule="exact"/>
    </w:pPr>
    <w:rPr>
      <w:rFonts w:eastAsia="Times New Roman"/>
    </w:rPr>
  </w:style>
  <w:style w:type="paragraph" w:styleId="1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9">
    <w:name w:val="Body Text First Indent 2"/>
    <w:basedOn w:val="9"/>
    <w:next w:val="20"/>
    <w:qFormat/>
    <w:uiPriority w:val="0"/>
    <w:pPr>
      <w:spacing w:after="120"/>
      <w:ind w:left="420" w:leftChars="200" w:firstLine="420" w:firstLineChars="200"/>
    </w:pPr>
    <w:rPr>
      <w:sz w:val="21"/>
      <w:szCs w:val="24"/>
    </w:rPr>
  </w:style>
  <w:style w:type="paragraph" w:customStyle="1" w:styleId="20">
    <w:name w:val="章标题"/>
    <w:next w:val="1"/>
    <w:qFormat/>
    <w:uiPriority w:val="0"/>
    <w:pPr>
      <w:spacing w:before="50" w:after="50"/>
      <w:jc w:val="both"/>
      <w:outlineLvl w:val="1"/>
    </w:pPr>
    <w:rPr>
      <w:rFonts w:ascii="黑体" w:hAnsi="Calibri" w:eastAsia="黑体" w:cs="Times New Roman"/>
      <w:sz w:val="21"/>
      <w:lang w:val="en-US" w:eastAsia="zh-CN" w:bidi="ar-S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Emphasis"/>
    <w:basedOn w:val="23"/>
    <w:qFormat/>
    <w:uiPriority w:val="0"/>
    <w:rPr>
      <w:i/>
    </w:rPr>
  </w:style>
  <w:style w:type="paragraph" w:customStyle="1" w:styleId="25">
    <w:name w:val="UserStyle_95"/>
    <w:qFormat/>
    <w:uiPriority w:val="99"/>
    <w:pPr>
      <w:jc w:val="both"/>
      <w:textAlignment w:val="baseline"/>
    </w:pPr>
    <w:rPr>
      <w:rFonts w:ascii="Times New Roman" w:hAnsi="Times New Roman" w:eastAsia="楷体_GB2312" w:cs="Times New Roman"/>
      <w:kern w:val="2"/>
      <w:sz w:val="21"/>
      <w:szCs w:val="21"/>
      <w:lang w:val="en-US" w:eastAsia="zh-CN" w:bidi="ar-SA"/>
    </w:rPr>
  </w:style>
  <w:style w:type="character" w:customStyle="1" w:styleId="26">
    <w:name w:val="NormalCharacter"/>
    <w:qFormat/>
    <w:uiPriority w:val="99"/>
  </w:style>
  <w:style w:type="paragraph" w:customStyle="1" w:styleId="2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28">
    <w:name w:val="Heading1"/>
    <w:basedOn w:val="1"/>
    <w:next w:val="1"/>
    <w:qFormat/>
    <w:uiPriority w:val="99"/>
    <w:pPr>
      <w:jc w:val="left"/>
    </w:pPr>
    <w:rPr>
      <w:kern w:val="0"/>
      <w:sz w:val="30"/>
      <w:szCs w:val="30"/>
    </w:rPr>
  </w:style>
  <w:style w:type="paragraph" w:customStyle="1" w:styleId="29">
    <w:name w:val="Heading2"/>
    <w:basedOn w:val="1"/>
    <w:next w:val="1"/>
    <w:qFormat/>
    <w:uiPriority w:val="99"/>
    <w:pPr>
      <w:jc w:val="left"/>
    </w:pPr>
    <w:rPr>
      <w:kern w:val="0"/>
    </w:rPr>
  </w:style>
  <w:style w:type="paragraph" w:customStyle="1" w:styleId="30">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31">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UserStyle_62"/>
    <w:basedOn w:val="1"/>
    <w:next w:val="1"/>
    <w:qFormat/>
    <w:uiPriority w:val="99"/>
    <w:pPr>
      <w:jc w:val="center"/>
    </w:pPr>
    <w:rPr>
      <w:rFonts w:ascii="Times New Roman" w:cs="Times New Roman"/>
      <w:b/>
      <w:bCs/>
    </w:rPr>
  </w:style>
  <w:style w:type="paragraph" w:customStyle="1" w:styleId="33">
    <w:name w:val="BodyTextIndent"/>
    <w:basedOn w:val="1"/>
    <w:qFormat/>
    <w:uiPriority w:val="99"/>
    <w:pPr>
      <w:ind w:firstLine="560" w:firstLineChars="200"/>
    </w:pPr>
    <w:rPr>
      <w:rFonts w:cs="Times New Roman"/>
    </w:rPr>
  </w:style>
  <w:style w:type="paragraph" w:customStyle="1" w:styleId="34">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8">
    <w:name w:val="AnnotationText"/>
    <w:basedOn w:val="1"/>
    <w:qFormat/>
    <w:uiPriority w:val="99"/>
    <w:pPr>
      <w:spacing w:line="360" w:lineRule="atLeast"/>
      <w:jc w:val="left"/>
    </w:pPr>
    <w:rPr>
      <w:kern w:val="0"/>
    </w:rPr>
  </w:style>
  <w:style w:type="paragraph" w:customStyle="1" w:styleId="39">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0">
    <w:name w:val="正文缩进 New"/>
    <w:basedOn w:val="41"/>
    <w:qFormat/>
    <w:uiPriority w:val="0"/>
    <w:pPr>
      <w:widowControl/>
      <w:ind w:firstLine="420"/>
      <w:jc w:val="left"/>
    </w:pPr>
    <w:rPr>
      <w:rFonts w:ascii="Times New Roman" w:hAnsi="Times New Roman" w:eastAsia="宋体" w:cs="Times New Roman"/>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3">
    <w:name w:val="UserStyle_44"/>
    <w:basedOn w:val="44"/>
    <w:qFormat/>
    <w:uiPriority w:val="99"/>
    <w:rPr>
      <w:sz w:val="24"/>
      <w:szCs w:val="24"/>
    </w:rPr>
  </w:style>
  <w:style w:type="paragraph" w:customStyle="1" w:styleId="44">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5">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6">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47">
    <w:name w:val="UserStyle_90"/>
    <w:basedOn w:val="1"/>
    <w:qFormat/>
    <w:uiPriority w:val="99"/>
    <w:pPr>
      <w:topLinePunct/>
      <w:ind w:firstLine="420" w:firstLineChars="200"/>
    </w:pPr>
    <w:rPr>
      <w:rFonts w:hAnsi="宋体"/>
    </w:rPr>
  </w:style>
  <w:style w:type="paragraph" w:customStyle="1" w:styleId="48">
    <w:name w:val="Heading3"/>
    <w:basedOn w:val="49"/>
    <w:next w:val="49"/>
    <w:qFormat/>
    <w:uiPriority w:val="99"/>
    <w:pPr>
      <w:keepNext/>
      <w:keepLines/>
      <w:spacing w:before="120" w:after="120"/>
      <w:jc w:val="center"/>
    </w:pPr>
    <w:rPr>
      <w:sz w:val="24"/>
      <w:szCs w:val="24"/>
    </w:rPr>
  </w:style>
  <w:style w:type="paragraph" w:customStyle="1" w:styleId="49">
    <w:name w:val="NormalIndent"/>
    <w:basedOn w:val="1"/>
    <w:qFormat/>
    <w:uiPriority w:val="99"/>
    <w:pPr>
      <w:ind w:firstLine="420"/>
      <w:jc w:val="left"/>
    </w:pPr>
    <w:rPr>
      <w:kern w:val="0"/>
      <w:sz w:val="20"/>
      <w:szCs w:val="20"/>
    </w:rPr>
  </w:style>
  <w:style w:type="paragraph" w:customStyle="1" w:styleId="50">
    <w:name w:val="UserStyle_76"/>
    <w:basedOn w:val="51"/>
    <w:qFormat/>
    <w:uiPriority w:val="99"/>
    <w:pPr>
      <w:ind w:firstLine="420"/>
      <w:jc w:val="left"/>
    </w:pPr>
    <w:rPr>
      <w:kern w:val="0"/>
      <w:sz w:val="20"/>
      <w:szCs w:val="20"/>
    </w:rPr>
  </w:style>
  <w:style w:type="paragraph" w:customStyle="1" w:styleId="51">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2">
    <w:name w:val="正文文本缩进 New"/>
    <w:basedOn w:val="41"/>
    <w:qFormat/>
    <w:uiPriority w:val="0"/>
    <w:pPr>
      <w:ind w:firstLine="560" w:firstLineChars="200"/>
    </w:pPr>
    <w:rPr>
      <w:rFonts w:ascii="宋体"/>
      <w:kern w:val="2"/>
      <w:sz w:val="24"/>
    </w:rPr>
  </w:style>
  <w:style w:type="paragraph" w:customStyle="1" w:styleId="53">
    <w:name w:val="BodyText"/>
    <w:basedOn w:val="1"/>
    <w:qFormat/>
    <w:uiPriority w:val="99"/>
    <w:pPr>
      <w:spacing w:after="120"/>
    </w:pPr>
  </w:style>
  <w:style w:type="paragraph" w:customStyle="1" w:styleId="54">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
    <w:name w:val="标题 2 字符"/>
    <w:link w:val="4"/>
    <w:qFormat/>
    <w:uiPriority w:val="0"/>
    <w:rPr>
      <w:rFonts w:ascii="Arial" w:hAnsi="Arial" w:eastAsia="黑体" w:cs="Times New Roman"/>
      <w:b/>
      <w:kern w:val="0"/>
      <w:sz w:val="32"/>
      <w:szCs w:val="20"/>
    </w:rPr>
  </w:style>
  <w:style w:type="paragraph" w:customStyle="1" w:styleId="56">
    <w:name w:val="Table Text"/>
    <w:basedOn w:val="1"/>
    <w:semiHidden/>
    <w:qFormat/>
    <w:uiPriority w:val="0"/>
    <w:rPr>
      <w:rFonts w:ascii="宋体" w:hAnsi="宋体" w:eastAsia="宋体" w:cs="宋体"/>
      <w:sz w:val="19"/>
      <w:szCs w:val="19"/>
      <w:lang w:val="en-US" w:eastAsia="en-US" w:bidi="ar-SA"/>
    </w:rPr>
  </w:style>
  <w:style w:type="table" w:customStyle="1" w:styleId="57">
    <w:name w:val="Table Normal"/>
    <w:unhideWhenUsed/>
    <w:qFormat/>
    <w:uiPriority w:val="0"/>
    <w:tblPr>
      <w:tblCellMar>
        <w:top w:w="0" w:type="dxa"/>
        <w:left w:w="0" w:type="dxa"/>
        <w:bottom w:w="0" w:type="dxa"/>
        <w:right w:w="0" w:type="dxa"/>
      </w:tblCellMar>
    </w:tblPr>
  </w:style>
  <w:style w:type="paragraph" w:customStyle="1" w:styleId="58">
    <w:name w:val="普通(网站)1"/>
    <w:basedOn w:val="1"/>
    <w:qFormat/>
    <w:uiPriority w:val="0"/>
    <w:pPr>
      <w:spacing w:before="100" w:beforeAutospacing="1" w:after="100" w:afterAutospacing="1"/>
      <w:jc w:val="left"/>
    </w:pPr>
    <w:rPr>
      <w:rFonts w:ascii="宋体" w:hAnsi="宋体" w:eastAsia="宋体"/>
      <w:kern w:val="0"/>
      <w:sz w:val="24"/>
    </w:rPr>
  </w:style>
  <w:style w:type="paragraph" w:customStyle="1" w:styleId="59">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1.bin"/><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4.jpeg"/><Relationship Id="rId31" Type="http://schemas.openxmlformats.org/officeDocument/2006/relationships/image" Target="media/image13.wmf"/><Relationship Id="rId30" Type="http://schemas.openxmlformats.org/officeDocument/2006/relationships/oleObject" Target="embeddings/oleObject12.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1.bin"/><Relationship Id="rId27" Type="http://schemas.openxmlformats.org/officeDocument/2006/relationships/image" Target="media/image11.wmf"/><Relationship Id="rId26" Type="http://schemas.openxmlformats.org/officeDocument/2006/relationships/oleObject" Target="embeddings/oleObject10.bin"/><Relationship Id="rId25" Type="http://schemas.openxmlformats.org/officeDocument/2006/relationships/image" Target="media/image10.wmf"/><Relationship Id="rId24" Type="http://schemas.openxmlformats.org/officeDocument/2006/relationships/oleObject" Target="embeddings/oleObject9.bin"/><Relationship Id="rId23" Type="http://schemas.openxmlformats.org/officeDocument/2006/relationships/image" Target="media/image9.wmf"/><Relationship Id="rId22" Type="http://schemas.openxmlformats.org/officeDocument/2006/relationships/oleObject" Target="embeddings/oleObject8.bin"/><Relationship Id="rId21" Type="http://schemas.openxmlformats.org/officeDocument/2006/relationships/image" Target="media/image8.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6.bin"/><Relationship Id="rId17" Type="http://schemas.openxmlformats.org/officeDocument/2006/relationships/image" Target="media/image6.wmf"/><Relationship Id="rId16" Type="http://schemas.openxmlformats.org/officeDocument/2006/relationships/oleObject" Target="embeddings/oleObject5.bin"/><Relationship Id="rId15" Type="http://schemas.openxmlformats.org/officeDocument/2006/relationships/image" Target="media/image5.wmf"/><Relationship Id="rId14" Type="http://schemas.openxmlformats.org/officeDocument/2006/relationships/oleObject" Target="embeddings/oleObject4.bin"/><Relationship Id="rId13" Type="http://schemas.openxmlformats.org/officeDocument/2006/relationships/image" Target="media/image4.wmf"/><Relationship Id="rId12" Type="http://schemas.openxmlformats.org/officeDocument/2006/relationships/oleObject" Target="embeddings/oleObject3.bin"/><Relationship Id="rId11" Type="http://schemas.openxmlformats.org/officeDocument/2006/relationships/image" Target="media/image3.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6d3945bb-3283-4d97-bd1a-62fbe8ac3ca4</errorID>
      <errorWord>保证缴</errorWord>
      <group>L1_Word</group>
      <groupName>字词问题</groupName>
      <ability>L2_Typo</ability>
      <abilityName>字词错误</abilityName>
      <candidateList>
        <item>保证金</item>
      </candidateList>
      <explain/>
      <paraID>6EA8A05A</paraID>
      <start>2</start>
      <end>5</end>
      <status>ignored</status>
      <modifiedWord/>
      <trackRevisions>false</trackRevisions>
    </reviewItem>
    <reviewItem>
      <errorID>20590e2f-fd81-4d87-bf59-389e6c79e6f2</errorID>
      <errorWord>纳</errorWord>
      <group>L1_Word</group>
      <groupName>字词问题</groupName>
      <ability>L2_Typo</ability>
      <abilityName>字词错误</abilityName>
      <candidateList>
        <item>的</item>
      </candidateList>
      <explain>“的”常用于连接修饰语与名词性中心语，表示属性、所属或描述。</explain>
      <paraID>4A3C97C7</paraID>
      <start>0</start>
      <end>1</end>
      <status>ignored</status>
      <modifiedWord/>
      <trackRevisions>false</trackRevisions>
    </reviewItem>
    <reviewItem>
      <errorID>f3404031-a7ad-4258-ab84-9fdfc1ab8c38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4DC7A7F5</paraID>
      <start>0</start>
      <end>2</end>
      <status>ignored</status>
      <modifiedWord/>
      <trackRevisions>false</trackRevisions>
    </reviewItem>
    <reviewItem>
      <errorID>148a68b3-f978-4e97-82ab-b70f9fe0824e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11A47E6A</paraID>
      <start>0</start>
      <end>2</end>
      <status>ignored</status>
      <modifiedWord/>
      <trackRevisions>false</trackRevisions>
    </reviewItem>
    <reviewItem>
      <errorID>3c121afc-da5a-4bae-9758-6ffc14ff2473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685EAF9E</paraID>
      <start>0</start>
      <end>2</end>
      <status>ignored</status>
      <modifiedWord/>
      <trackRevisions>false</trackRevisions>
    </reviewItem>
    <reviewItem>
      <errorID>982fff81-2dda-4afe-ada3-7a763a1e6c68</errorID>
      <errorWord>国家工业和信息化部</errorWord>
      <group>L1_Political</group>
      <groupName>政治性问题</groupName>
      <ability>L2_Unpolitical</ability>
      <abilityName>政治敏感错误</abilityName>
      <candidateList>
        <item>工业和信息化部</item>
      </candidateList>
      <explain/>
      <paraID>10E21D52</paraID>
      <start>9</start>
      <end>18</end>
      <status>ignored</status>
      <modifiedWord/>
      <trackRevisions>false</trackRevisions>
    </reviewItem>
    <reviewItem>
      <errorID>cf8422ee-cc53-4d6e-8b20-b3010b888a43</errorID>
      <errorWord>证</errorWord>
      <group>L1_Word</group>
      <groupName>字词问题</groupName>
      <ability>L2_Typo</ability>
      <abilityName>字词错误</abilityName>
      <candidateList>
        <item>证金</item>
      </candidateList>
      <explain/>
      <paraID> E6F12E7</paraID>
      <start>26</start>
      <end>27</end>
      <status>ignored</status>
      <modifiedWord/>
      <trackRevisions>false</trackRevisions>
    </reviewItem>
    <reviewItem>
      <errorID>670ddd60-e414-4a11-b4a4-5f76e606eebb</errorID>
      <errorWord>证</errorWord>
      <group>L1_Word</group>
      <groupName>字词问题</groupName>
      <ability>L2_Typo</ability>
      <abilityName>字词错误</abilityName>
      <candidateList>
        <item>证金</item>
      </candidateList>
      <explain/>
      <paraID>70FC8DF0</paraID>
      <start>34</start>
      <end>35</end>
      <status>ignored</status>
      <modifiedWord/>
      <trackRevisions>false</trackRevisions>
    </reviewItem>
    <reviewItem>
      <errorID>b1b24c90-a6ce-43eb-8f36-445f376fb122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77829B04</paraID>
      <start>0</start>
      <end>2</end>
      <status>ignored</status>
      <modifiedWord/>
      <trackRevisions>false</trackRevisions>
    </reviewItem>
    <reviewItem>
      <errorID>2fe656f3-4132-4043-a70f-ec2510d447cb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3174E50D</paraID>
      <start>0</start>
      <end>2</end>
      <status>ignored</status>
      <modifiedWord/>
      <trackRevisions>false</trackRevisions>
    </reviewItem>
    <reviewItem>
      <errorID>21e2edc1-4220-4a4c-a733-4f50524b02ed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5F8A85BA</paraID>
      <start>0</start>
      <end>2</end>
      <status>ignored</status>
      <modifiedWord/>
      <trackRevisions>false</trackRevisions>
    </reviewItem>
    <reviewItem>
      <errorID>fc912ecb-97f1-4e8c-8b19-612b10911ca8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16DEDF0B</paraID>
      <start>0</start>
      <end>2</end>
      <status>ignored</status>
      <modifiedWord/>
      <trackRevisions>false</trackRevisions>
    </reviewItem>
    <reviewItem>
      <errorID>c6e9ec96-9edf-4fae-8f33-4a71276fa5b0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6D30286F</paraID>
      <start>0</start>
      <end>2</end>
      <status>ignored</status>
      <modifiedWord/>
      <trackRevisions>false</trackRevisions>
    </reviewItem>
    <reviewItem>
      <errorID>d1816a6f-c327-4c07-9222-10857b2d85e0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593040F2</paraID>
      <start>0</start>
      <end>2</end>
      <status>ignored</status>
      <modifiedWord/>
      <trackRevisions>false</trackRevisions>
    </reviewItem>
    <reviewItem>
      <errorID>d1643eb5-3a6a-4048-bddc-e412eb26acf3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6CCFA02B</paraID>
      <start>0</start>
      <end>3</end>
      <status>ignored</status>
      <modifiedWord/>
      <trackRevisions>false</trackRevisions>
    </reviewItem>
    <reviewItem>
      <errorID>b0149e18-8aea-4a22-981e-e492f310f0d3</errorID>
      <errorWord>证</errorWord>
      <group>L1_Word</group>
      <groupName>字词问题</groupName>
      <ability>L2_Typo</ability>
      <abilityName>字词错误</abilityName>
      <candidateList>
        <item>证金</item>
      </candidateList>
      <explain/>
      <paraID>6748D4F1</paraID>
      <start>6</start>
      <end>7</end>
      <status>ignored</status>
      <modifiedWord/>
      <trackRevisions>false</trackRevisions>
    </reviewItem>
    <reviewItem>
      <errorID>dc42c503-b9b1-47a5-b16a-25482b7c3ab0</errorID>
      <errorWord>法律、法规</errorWord>
      <group>L1_Word</group>
      <groupName>字词问题</groupName>
      <ability>L2_Typo</ability>
      <abilityName>字词错误</abilityName>
      <candidateList>
        <item>法律法规</item>
      </candidateList>
      <explain/>
      <paraID>324D6B01</paraID>
      <start>5</start>
      <end>10</end>
      <status>ignored</status>
      <modifiedWord/>
      <trackRevisions>false</trackRevisions>
    </reviewItem>
    <reviewItem>
      <errorID>2a132b8b-677b-421e-ae15-078f957dfa20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3DE715C8</paraID>
      <start>0</start>
      <end>3</end>
      <status>ignored</status>
      <modifiedWord/>
      <trackRevisions>false</trackRevisions>
    </reviewItem>
    <reviewItem>
      <errorID>76a54f98-6443-4e94-a9e0-ec30514c0ff9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F4C7474</paraID>
      <start>0</start>
      <end>3</end>
      <status>ignored</status>
      <modifiedWord/>
      <trackRevisions>false</trackRevisions>
    </reviewItem>
    <reviewItem>
      <errorID>37218e03-7eeb-4e53-b9f5-104726d7863b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9E0DE9E</paraID>
      <start>0</start>
      <end>3</end>
      <status>ignored</status>
      <modifiedWord/>
      <trackRevisions>false</trackRevisions>
    </reviewItem>
    <reviewItem>
      <errorID>1f2f20e7-9c97-437a-8bb0-cf2701435f9c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761406D3</paraID>
      <start>0</start>
      <end>3</end>
      <status>ignored</status>
      <modifiedWord/>
      <trackRevisions>false</trackRevisions>
    </reviewItem>
    <reviewItem>
      <errorID>8120e27b-74e9-4c89-9f29-d0ca3f2ef48e</errorID>
      <errorWord>证</errorWord>
      <group>L1_Word</group>
      <groupName>字词问题</groupName>
      <ability>L2_Typo</ability>
      <abilityName>字词错误</abilityName>
      <candidateList>
        <item>证金</item>
      </candidateList>
      <explain/>
      <paraID>5A6DCC5A</paraID>
      <start>31</start>
      <end>32</end>
      <status>ignored</status>
      <modifiedWord/>
      <trackRevisions>false</trackRevisions>
    </reviewItem>
    <reviewItem>
      <errorID>25d410ea-6dd5-4c26-a831-e3872eb433d8</errorID>
      <errorWord>证</errorWord>
      <group>L1_Word</group>
      <groupName>字词问题</groupName>
      <ability>L2_Typo</ability>
      <abilityName>字词错误</abilityName>
      <candidateList>
        <item>证金</item>
      </candidateList>
      <explain/>
      <paraID> 76731F4</paraID>
      <start>31</start>
      <end>32</end>
      <status>ignored</status>
      <modifiedWord/>
      <trackRevisions>false</trackRevisions>
    </reviewItem>
    <reviewItem>
      <errorID>9190eef2-679a-4297-8240-44fc9aa1e0ba</errorID>
      <errorWord>证</errorWord>
      <group>L1_Word</group>
      <groupName>字词问题</groupName>
      <ability>L2_Typo</ability>
      <abilityName>字词错误</abilityName>
      <candidateList>
        <item>证金</item>
      </candidateList>
      <explain/>
      <paraID> 76731F4</paraID>
      <start>96</start>
      <end>97</end>
      <status>ignored</status>
      <modifiedWord/>
      <trackRevisions>false</trackRevisions>
    </reviewItem>
    <reviewItem>
      <errorID>665b7f05-3ee6-4f4b-8b3a-bbd2f3d11efe</errorID>
      <errorWord>证</errorWord>
      <group>L1_Word</group>
      <groupName>字词问题</groupName>
      <ability>L2_Typo</ability>
      <abilityName>字词错误</abilityName>
      <candidateList>
        <item>证金</item>
      </candidateList>
      <explain/>
      <paraID>2B6733E9</paraID>
      <start>51</start>
      <end>52</end>
      <status>ignored</status>
      <modifiedWord/>
      <trackRevisions>false</trackRevisions>
    </reviewItem>
    <reviewItem>
      <errorID>9170427f-a536-4baa-bd24-2bbc344d515f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64FB72FF</paraID>
      <start>0</start>
      <end>3</end>
      <status>ignored</status>
      <modifiedWord/>
      <trackRevisions>false</trackRevisions>
    </reviewItem>
    <reviewItem>
      <errorID>f10a67c5-b4c7-4979-8b45-e821be2afb6c</errorID>
      <errorWord>法律、法规</errorWord>
      <group>L1_Word</group>
      <groupName>字词问题</groupName>
      <ability>L2_Typo</ability>
      <abilityName>字词错误</abilityName>
      <candidateList>
        <item>法律法规</item>
      </candidateList>
      <explain/>
      <paraID>2D9372B6</paraID>
      <start>4</start>
      <end>9</end>
      <status>ignored</status>
      <modifiedWord/>
      <trackRevisions>false</trackRevisions>
    </reviewItem>
    <reviewItem>
      <errorID>2acc4b10-f9a7-4ec1-81e0-86ba9aeb2de9</errorID>
      <errorWord>－（</errorWord>
      <group>L1_Format</group>
      <groupName>格式问题</groupName>
      <ability>L2_HalfPunc_CN</ability>
      <abilityName>全半角问题</abilityName>
      <candidateList>
        <item>-(</item>
      </candidateList>
      <explain>文本全半角错误。</explain>
      <paraID>454E4329</paraID>
      <start>5</start>
      <end>7</end>
      <status>ignored</status>
      <modifiedWord/>
      <trackRevisions>false</trackRevisions>
    </reviewItem>
    <reviewItem>
      <errorID>bc4abd9d-2011-4efc-93d4-253520df9151</errorID>
      <errorWord>－</errorWord>
      <group>L1_Format</group>
      <groupName>格式问题</groupName>
      <ability>L2_HalfPunc_CN</ability>
      <abilityName>全半角问题</abilityName>
      <candidateList>
        <item>-</item>
      </candidateList>
      <explain>文本全半角错误。</explain>
      <paraID>454E4329</paraID>
      <start>11</start>
      <end>12</end>
      <status>ignored</status>
      <modifiedWord/>
      <trackRevisions>false</trackRevisions>
    </reviewItem>
    <reviewItem>
      <errorID>ffceb2ab-0ad6-430a-8047-b55e91c0d939</errorID>
      <errorWord>）</errorWord>
      <group>L1_Format</group>
      <groupName>格式问题</groupName>
      <ability>L2_HalfPunc_CN</ability>
      <abilityName>全半角问题</abilityName>
      <candidateList>
        <item>)</item>
      </candidateList>
      <explain>文本全半角错误。</explain>
      <paraID>454E4329</paraID>
      <start>18</start>
      <end>19</end>
      <status>ignored</status>
      <modifiedWord/>
      <trackRevisions>false</trackRevisions>
    </reviewItem>
    <reviewItem>
      <errorID>ad9efa1a-1c90-42a3-ae69-44c859a2e118</errorID>
      <errorWord>年度</errorWord>
      <group>L1_Word</group>
      <groupName>字词问题</groupName>
      <ability>L2_Typo</ability>
      <abilityName>字词错误</abilityName>
      <candidateList>
        <item>年</item>
      </candidateList>
      <explain/>
      <paraID> 90ED6DD</paraID>
      <start>6</start>
      <end>8</end>
      <status>ignored</status>
      <modifiedWord/>
      <trackRevisions>false</trackRevisions>
    </reviewItem>
    <reviewItem>
      <errorID>1ec39baa-3872-487e-be31-29a9c1d666e5</errorID>
      <errorWord>好</errorWord>
      <group>L1_Word</group>
      <groupName>字词问题</groupName>
      <ability>L2_Typo</ability>
      <abilityName>字词错误</abilityName>
      <candidateList>
        <item>好地</item>
      </candidateList>
      <explain/>
      <paraID>13D81022</paraID>
      <start>66</start>
      <end>67</end>
      <status>ignored</status>
      <modifiedWord/>
      <trackRevisions>false</trackRevisions>
    </reviewItem>
    <reviewItem>
      <errorID>7327be12-e796-4190-9ea5-e49e9e447341</errorID>
      <errorWord>－（</errorWord>
      <group>L1_Format</group>
      <groupName>格式问题</groupName>
      <ability>L2_HalfPunc_CN</ability>
      <abilityName>全半角问题</abilityName>
      <candidateList>
        <item>-(</item>
      </candidateList>
      <explain>文本全半角错误。</explain>
      <paraID>59E7C35F</paraID>
      <start>5</start>
      <end>7</end>
      <status>ignored</status>
      <modifiedWord/>
      <trackRevisions>false</trackRevisions>
    </reviewItem>
    <reviewItem>
      <errorID>604b03e9-7984-44a1-8a5f-a861ebae5666</errorID>
      <errorWord>－</errorWord>
      <group>L1_Format</group>
      <groupName>格式问题</groupName>
      <ability>L2_HalfPunc_CN</ability>
      <abilityName>全半角问题</abilityName>
      <candidateList>
        <item>-</item>
      </candidateList>
      <explain>文本全半角错误。</explain>
      <paraID>59E7C35F</paraID>
      <start>10</start>
      <end>11</end>
      <status>ignored</status>
      <modifiedWord/>
      <trackRevisions>false</trackRevisions>
    </reviewItem>
    <reviewItem>
      <errorID>85100abf-cce8-4a3b-a7ec-e2869dd6e13c</errorID>
      <errorWord>）</errorWord>
      <group>L1_Format</group>
      <groupName>格式问题</groupName>
      <ability>L2_HalfPunc_CN</ability>
      <abilityName>全半角问题</abilityName>
      <candidateList>
        <item>)</item>
      </candidateList>
      <explain>文本全半角错误。</explain>
      <paraID>59E7C35F</paraID>
      <start>15</start>
      <end>16</end>
      <status>ignored</status>
      <modifiedWord/>
      <trackRevisions>false</trackRevisions>
    </reviewItem>
    <reviewItem>
      <errorID>bb79e7c7-f20e-4922-9a8d-4d6f98e9ebd9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4F8EB135</paraID>
      <start>0</start>
      <end>3</end>
      <status>ignored</status>
      <modifiedWord/>
      <trackRevisions>false</trackRevisions>
    </reviewItem>
    <reviewItem>
      <errorID>e374e531-0336-464e-9374-613e920508a3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506D35C1</paraID>
      <start>0</start>
      <end>2</end>
      <status>ignored</status>
      <modifiedWord/>
      <trackRevisions>false</trackRevisions>
    </reviewItem>
    <reviewItem>
      <errorID>6b2e612c-43b8-4b6e-819c-9b6354d7b0d1</errorID>
      <errorWord>省级住建厅</errorWord>
      <group>L1_Knowledge</group>
      <groupName>知识性问题</groupName>
      <ability>L2_Organization</ability>
      <abilityName>机构检查</abilityName>
      <candidateList>
        <item>省住建厅</item>
      </candidateList>
      <explain>机关单位全简称表述错误</explain>
      <paraID>7911155A</paraID>
      <start>95</start>
      <end>100</end>
      <status>ignored</status>
      <modifiedWord/>
      <trackRevisions>false</trackRevisions>
    </reviewItem>
    <reviewItem>
      <errorID>e43337b1-19fa-480a-b887-9e8a5a4d00ca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4CE3BA0</paraID>
      <start>0</start>
      <end>2</end>
      <status>ignored</status>
      <modifiedWord/>
      <trackRevisions>false</trackRevisions>
    </reviewItem>
    <reviewItem>
      <errorID>cf7b0d68-3625-4691-b52f-5f9960195049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64C255A7</paraID>
      <start>0</start>
      <end>2</end>
      <status>ignored</status>
      <modifiedWord/>
      <trackRevisions>false</trackRevisions>
    </reviewItem>
    <reviewItem>
      <errorID>af3086d5-2242-4d6e-b5fd-d249423b0df7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55362E19</paraID>
      <start>0</start>
      <end>2</end>
      <status>ignored</status>
      <modifiedWord/>
      <trackRevisions>false</trackRevisions>
    </reviewItem>
    <reviewItem>
      <errorID>b3fa5d12-2303-4dc0-9713-30df92358164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60EAB90E</paraID>
      <start>0</start>
      <end>2</end>
      <status>ignored</status>
      <modifiedWord/>
      <trackRevisions>false</trackRevisions>
    </reviewItem>
    <reviewItem>
      <errorID>058642e9-574c-4b73-a636-644f8c14aca0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6EE0EE39</paraID>
      <start>0</start>
      <end>2</end>
      <status>ignored</status>
      <modifiedWord/>
      <trackRevisions>false</trackRevisions>
    </reviewItem>
    <reviewItem>
      <errorID>5e4497e6-d719-424a-b917-65090f95d21a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7386A654</paraID>
      <start>0</start>
      <end>2</end>
      <status>ignored</status>
      <modifiedWord/>
      <trackRevisions>false</trackRevisions>
    </reviewItem>
    <reviewItem>
      <errorID>1dcfa3f8-e2b1-4f59-8cef-8a776aa7bdb5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7DA2F1E4</paraID>
      <start>0</start>
      <end>2</end>
      <status>ignored</status>
      <modifiedWord/>
      <trackRevisions>false</trackRevisions>
    </reviewItem>
    <reviewItem>
      <errorID>f9d66165-6877-4a82-b3f5-5524ec54fc6b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33FBDD38</paraID>
      <start>0</start>
      <end>2</end>
      <status>ignored</status>
      <modifiedWord/>
      <trackRevisions>false</trackRevisions>
    </reviewItem>
    <reviewItem>
      <errorID>3ad064b5-4c87-4779-a49a-6340f27c61a3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4ECE7DAD</paraID>
      <start>0</start>
      <end>2</end>
      <status>ignored</status>
      <modifiedWord/>
      <trackRevisions>false</trackRevisions>
    </reviewItem>
    <reviewItem>
      <errorID>eff7191e-e3a2-4a57-877a-5c0760cd4807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31BC500E</paraID>
      <start>0</start>
      <end>2</end>
      <status>ignored</status>
      <modifiedWord/>
      <trackRevisions>false</trackRevisions>
    </reviewItem>
    <reviewItem>
      <errorID>f2f173cf-6b7d-48b6-b4bf-b029ab4009ae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A4D81AC</paraID>
      <start>0</start>
      <end>2</end>
      <status>ignored</status>
      <modifiedWord/>
      <trackRevisions>false</trackRevisions>
    </reviewItem>
    <reviewItem>
      <errorID>b5c5653a-84c8-4e86-ba8d-0a81b6aa67fb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2AE3C4DF</paraID>
      <start>0</start>
      <end>2</end>
      <status>ignored</status>
      <modifiedWord/>
      <trackRevisions>false</trackRevisions>
    </reviewItem>
    <reviewItem>
      <errorID>8b7a5710-4ee0-4d7a-bed2-9d16f6e1a06b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5E309EA5</paraID>
      <start>0</start>
      <end>2</end>
      <status>ignored</status>
      <modifiedWord/>
      <trackRevisions>false</trackRevisions>
    </reviewItem>
    <reviewItem>
      <errorID>6f68a02f-8578-4844-b830-24a8034f1ef1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1755DEE0</paraID>
      <start>0</start>
      <end>2</end>
      <status>ignored</status>
      <modifiedWord/>
      <trackRevisions>false</trackRevisions>
    </reviewItem>
    <reviewItem>
      <errorID>7b0a5461-371f-426c-824d-bef9cc063c40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35641769</paraID>
      <start>0</start>
      <end>2</end>
      <status>ignored</status>
      <modifiedWord/>
      <trackRevisions>false</trackRevisions>
    </reviewItem>
    <reviewItem>
      <errorID>cd5109e1-8111-41d7-85b2-fb360a4abc86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5794EE67</paraID>
      <start>0</start>
      <end>2</end>
      <status>ignored</status>
      <modifiedWord/>
      <trackRevisions>false</trackRevisions>
    </reviewItem>
    <reviewItem>
      <errorID>11b935ad-f7ac-442c-b0cc-7c3d5b3eb083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4208D8C2</paraID>
      <start>0</start>
      <end>2</end>
      <status>ignored</status>
      <modifiedWord/>
      <trackRevisions>false</trackRevisions>
    </reviewItem>
    <reviewItem>
      <errorID>321482e6-c57a-41ab-b738-7b65599733ba</errorID>
      <errorWord>证</errorWord>
      <group>L1_Word</group>
      <groupName>字词问题</groupName>
      <ability>L2_Typo</ability>
      <abilityName>字词错误</abilityName>
      <candidateList>
        <item>证金</item>
      </candidateList>
      <explain/>
      <paraID>2888F002</paraID>
      <start>30</start>
      <end>31</end>
      <status>ignored</status>
      <modifiedWord/>
      <trackRevisions>false</trackRevisions>
    </reviewItem>
    <reviewItem>
      <errorID>000c28ce-e522-4587-80e8-3f9ccae4d8c5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45EA2F82</paraID>
      <start>0</start>
      <end>2</end>
      <status>ignored</status>
      <modifiedWord/>
      <trackRevisions>false</trackRevisions>
    </reviewItem>
    <reviewItem>
      <errorID>a4276689-70b0-46ce-9fea-6e72f8ae0907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1B8BD486</paraID>
      <start>0</start>
      <end>2</end>
      <status>ignored</status>
      <modifiedWord/>
      <trackRevisions>false</trackRevisions>
    </reviewItem>
    <reviewItem>
      <errorID>136d3bff-2c2a-4c10-a5cd-922a4e403a33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3E28C89D</paraID>
      <start>0</start>
      <end>2</end>
      <status>ignored</status>
      <modifiedWord/>
      <trackRevisions>false</trackRevisions>
    </reviewItem>
    <reviewItem>
      <errorID>ebd96d23-a9b1-4838-863a-852ba5fde908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59CBE86D</paraID>
      <start>138</start>
      <end>140</end>
      <status>ignored</status>
      <modifiedWord/>
      <trackRevisions>false</trackRevisions>
    </reviewItem>
    <reviewItem>
      <errorID>50f06c2d-8b94-49f0-b213-7b1f39ab6a8e</errorID>
      <errorWord>法律、法规</errorWord>
      <group>L1_Word</group>
      <groupName>字词问题</groupName>
      <ability>L2_Typo</ability>
      <abilityName>字词错误</abilityName>
      <candidateList>
        <item>法律法规</item>
      </candidateList>
      <explain/>
      <paraID>213B3F73</paraID>
      <start>17</start>
      <end>22</end>
      <status>ignored</status>
      <modifiedWord/>
      <trackRevisions>false</trackRevisions>
    </reviewItem>
    <reviewItem>
      <errorID>37ecbe36-e1b6-41f4-bc0c-40f48f7d4b74</errorID>
      <errorWord>-</errorWord>
      <group>L1_Format</group>
      <groupName>格式问题</groupName>
      <ability>L2_HalfPunc_CN</ability>
      <abilityName>全半角问题</abilityName>
      <candidateList>
        <item>－</item>
      </candidateList>
      <explain>文本全半角错误。</explain>
      <paraID>6596B34A</paraID>
      <start>42</start>
      <end>43</end>
      <status>ignored</status>
      <modifiedWord/>
      <trackRevisions>false</trackRevisions>
    </reviewItem>
    <reviewItem>
      <errorID>9d2d838f-e6a5-4e6b-b645-c65766c9e9b6</errorID>
      <errorWord>-</errorWord>
      <group>L1_Format</group>
      <groupName>格式问题</groupName>
      <ability>L2_HalfPunc_CN</ability>
      <abilityName>全半角问题</abilityName>
      <candidateList>
        <item>－</item>
      </candidateList>
      <explain>文本全半角错误。</explain>
      <paraID>30A8C16E</paraID>
      <start>67</start>
      <end>68</end>
      <status>ignored</status>
      <modifiedWord/>
      <trackRevisions>false</trackRevisions>
    </reviewItem>
    <reviewItem>
      <errorID>bf168385-eafc-45ab-94c6-74e1ae36ba49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7510C0E2</paraID>
      <start>0</start>
      <end>2</end>
      <status>ignored</status>
      <modifiedWord/>
      <trackRevisions>false</trackRevisions>
    </reviewItem>
    <reviewItem>
      <errorID>ef03bbbf-2b9c-4bac-8b29-acbc056b0849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3A84A8DC</paraID>
      <start>0</start>
      <end>2</end>
      <status>ignored</status>
      <modifiedWord/>
      <trackRevisions>false</trackRevisions>
    </reviewItem>
    <reviewItem>
      <errorID>c4d7e6e2-7172-4046-a3b7-2c3483276964</errorID>
      <errorWord>由</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1647FFCC</paraID>
      <start>137</start>
      <end>139</end>
      <status>modified</status>
      <modifiedWord>由于</modifiedWord>
      <trackRevisions>false</trackRevisions>
    </reviewItem>
    <reviewItem>
      <errorID>cb01f1d3-bb7c-44de-8c6d-d7be68ed70ae</errorID>
      <errorWord>：/</errorWord>
      <group>L1_Punc</group>
      <groupName>标点问题</groupName>
      <ability>L2_Punc_CN</ability>
      <abilityName>标点符号问题</abilityName>
      <candidateList>
        <item>：</item>
      </candidateList>
      <explain/>
      <paraID>13C0D173</paraID>
      <start>5</start>
      <end>7</end>
      <status>ignored</status>
      <modifiedWord/>
      <trackRevisions>false</trackRevisions>
    </reviewItem>
    <reviewItem>
      <errorID>90c981ff-a4df-4963-bb89-cc8526f00813</errorID>
      <errorWord>法律、法规</errorWord>
      <group>L1_Word</group>
      <groupName>字词问题</groupName>
      <ability>L2_Typo</ability>
      <abilityName>字词错误</abilityName>
      <candidateList>
        <item>法律法规</item>
      </candidateList>
      <explain/>
      <paraID> C4495E8</paraID>
      <start>7</start>
      <end>12</end>
      <status>ignored</status>
      <modifiedWord/>
      <trackRevisions>false</trackRevisions>
    </reviewItem>
    <reviewItem>
      <errorID>c1ad691d-5996-42d9-8f05-ca580e42ad8e</errorID>
      <errorWord>法律、法规</errorWord>
      <group>L1_Word</group>
      <groupName>字词问题</groupName>
      <ability>L2_Typo</ability>
      <abilityName>字词错误</abilityName>
      <candidateList>
        <item>法律法规</item>
      </candidateList>
      <explain/>
      <paraID>3994E860</paraID>
      <start>164</start>
      <end>169</end>
      <status>ignored</status>
      <modifiedWord/>
      <trackRevisions>false</trackRevisions>
    </reviewItem>
    <reviewItem>
      <errorID>abbf3baf-286d-4205-9baa-3ee0a796380e</errorID>
      <errorWord>住房城乡建设部令第</errorWord>
      <group>L1_Word</group>
      <groupName>字词问题</groupName>
      <ability>L2_Typo</ability>
      <abilityName>字词错误</abilityName>
      <candidateList>
        <item>住房和城乡建设部令第</item>
      </candidateList>
      <explain/>
      <paraID> 7D0970B</paraID>
      <start>27</start>
      <end>36</end>
      <status>ignored</status>
      <modifiedWord/>
      <trackRevisions>false</trackRevisions>
    </reviewItem>
    <reviewItem>
      <errorID>80aee3ca-5221-48b7-b8b2-22764786b339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7D0970B</paraID>
      <start>187</start>
      <end>188</end>
      <status>ignored</status>
      <modifiedWord/>
      <trackRevisions>false</trackRevisions>
    </reviewItem>
    <reviewItem>
      <errorID>46a00cc0-3edc-4e51-8f87-d9b5c4c875ef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1DCDD16C</paraID>
      <start>253</start>
      <end>254</end>
      <status>ignored</status>
      <modifiedWord/>
      <trackRevisions>false</trackRevisions>
    </reviewItem>
    <reviewItem>
      <errorID>4e6705ea-b054-42d7-b2a6-ebd776d74571</errorID>
      <errorWord>按《中华人民共和国</errorWord>
      <group>L1_Political</group>
      <groupName>政治性问题</groupName>
      <ability>L2_Unpolitical</ability>
      <abilityName>政治敏感错误</abilityName>
      <candidateList>
        <item>按照《中华人民共和国</item>
      </candidateList>
      <explain/>
      <paraID>3DB9E688</paraID>
      <start>12</start>
      <end>21</end>
      <status>ignored</status>
      <modifiedWord/>
      <trackRevisions>false</trackRevisions>
    </reviewItem>
    <reviewItem>
      <errorID>c72aa7a2-bfad-4c7e-9c56-f49f4c94e37a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3DB9E688</paraID>
      <start>24</start>
      <end>27</end>
      <status>ignored</status>
      <modifiedWord/>
      <trackRevisions>false</trackRevisions>
    </reviewItem>
    <reviewItem>
      <errorID>882c555f-4685-4cfb-964a-ed19bb76a654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DB6B6D3</paraID>
      <start>0</start>
      <end>2</end>
      <status>ignored</status>
      <modifiedWord/>
      <trackRevisions>false</trackRevisions>
    </reviewItem>
    <reviewItem>
      <errorID>e360dd00-8c4b-49ab-90ab-243a0d3b5039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20E6CA74</paraID>
      <start>0</start>
      <end>2</end>
      <status>ignored</status>
      <modifiedWord/>
      <trackRevisions>false</trackRevisions>
    </reviewItem>
    <reviewItem>
      <errorID>358e3d01-f0d2-407c-b36e-f4f8563a0598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7C6DEB14</paraID>
      <start>0</start>
      <end>2</end>
      <status>ignored</status>
      <modifiedWord/>
      <trackRevisions>false</trackRevisions>
    </reviewItem>
    <reviewItem>
      <errorID>0fd8d216-519e-4de1-ba37-77b0faca5465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3F322190</paraID>
      <start>0</start>
      <end>2</end>
      <status>ignored</status>
      <modifiedWord/>
      <trackRevisions>false</trackRevisions>
    </reviewItem>
    <reviewItem>
      <errorID>a32b2b7f-8e3b-4be3-82e7-c7dc61cae931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658D0D87</paraID>
      <start>0</start>
      <end>2</end>
      <status>ignored</status>
      <modifiedWord/>
      <trackRevisions>false</trackRevisions>
    </reviewItem>
    <reviewItem>
      <errorID>931ff0bb-4999-4161-914d-94b5465839e2</errorID>
      <errorWord>（</errorWord>
      <group>L1_Punc</group>
      <groupName>标点问题</groupName>
      <ability>L2_Punc_CN</ability>
      <abilityName>标点符号问题</abilityName>
      <candidateList/>
      <explain>同一形式括号套用。</explain>
      <paraID>6ACCE8D9</paraID>
      <start>25</start>
      <end>26</end>
      <status>ignored</status>
      <modifiedWord/>
      <trackRevisions>false</trackRevisions>
    </reviewItem>
    <reviewItem>
      <errorID>71243dba-4c84-4a32-9c30-463d58d5bbcc</errorID>
      <errorWord>）</errorWord>
      <group>L1_Punc</group>
      <groupName>标点问题</groupName>
      <ability>L2_Punc_CN</ability>
      <abilityName>标点符号问题</abilityName>
      <candidateList/>
      <explain>同一形式括号套用。</explain>
      <paraID>6ACCE8D9</paraID>
      <start>28</start>
      <end>29</end>
      <status>ignored</status>
      <modifiedWord/>
      <trackRevisions>false</trackRevisions>
    </reviewItem>
    <reviewItem>
      <errorID>399d5d98-eb1e-4b20-a246-7d8601321e0d</errorID>
      <errorWord>经过检查和复核以后</errorWord>
      <group>L1_Grammar</group>
      <groupName>语法问题</groupName>
      <ability>L2_Grammar</ability>
      <abilityName>语法错误</abilityName>
      <candidateList>
        <item>经过检查和复核</item>
      </candidateList>
      <explain>该表达中的“经过检查和复核以后”存在语义重复。</explain>
      <paraID>19ED9F03</paraID>
      <start>147</start>
      <end>156</end>
      <status>ignored</status>
      <modifiedWord/>
      <trackRevisions>false</trackRevisions>
    </reviewItem>
    <reviewItem>
      <errorID>2785c1f2-34ad-4c04-9d23-c392d4c3cfed</errorID>
      <errorWord>收</errorWord>
      <group>L1_Word</group>
      <groupName>字词问题</groupName>
      <ability>L2_Typo</ability>
      <abilityName>字词错误</abilityName>
      <candidateList>
        <item>收到</item>
      </candidateList>
      <explain/>
      <paraID>10F82FC6</paraID>
      <start>10</start>
      <end>11</end>
      <status>ignored</status>
      <modifiedWord/>
      <trackRevisions>false</trackRevisions>
    </reviewItem>
    <reviewItem>
      <errorID>98339664-6974-4047-8723-bf22f844371c</errorID>
      <errorWord>接受</errorWord>
      <group>L1_Word</group>
      <groupName>字词问题</groupName>
      <ability>L2_Typo</ability>
      <abilityName>字词错误</abilityName>
      <candidateList>
        <item>接收</item>
      </candidateList>
      <explain>存在发音相同字词的误用。</explain>
      <paraID>10F82FC6</paraID>
      <start>55</start>
      <end>57</end>
      <status>ignored</status>
      <modifiedWord/>
      <trackRevisions>false</trackRevisions>
    </reviewItem>
    <reviewItem>
      <errorID>ead437d6-534d-4d92-a228-345d059f5569</errorID>
      <errorWord>单位的</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22E10E42</paraID>
      <start>71</start>
      <end>74</end>
      <status>ignored</status>
      <modifiedWord/>
      <trackRevisions>false</trackRevisions>
    </reviewItem>
    <reviewItem>
      <errorID>07dc8a6e-eed2-4a89-a67f-3521a2a38fbb</errorID>
      <errorWord>与</errorWord>
      <group>L1_Word</group>
      <groupName>字词问题</groupName>
      <ability>L2_Typo</ability>
      <abilityName>字词错误</abilityName>
      <candidateList>
        <item>于</item>
      </candidateList>
      <explain>存在发音相同字词的误用。</explain>
      <paraID>2575DD01</paraID>
      <start>37</start>
      <end>38</end>
      <status>ignored</status>
      <modifiedWord/>
      <trackRevisions>false</trackRevisions>
    </reviewItem>
    <reviewItem>
      <errorID>544665cd-a89e-4cfd-9ce0-1fcccb8f1296</errorID>
      <errorWord>与</errorWord>
      <group>L1_Word</group>
      <groupName>字词问题</groupName>
      <ability>L2_Typo</ability>
      <abilityName>字词错误</abilityName>
      <candidateList>
        <item>于</item>
      </candidateList>
      <explain>存在发音相同字词的误用。</explain>
      <paraID>2112AD95</paraID>
      <start>35</start>
      <end>36</end>
      <status>ignored</status>
      <modifiedWord/>
      <trackRevisions>false</trackRevisions>
    </reviewItem>
    <reviewItem>
      <errorID>fc1298cb-e733-4719-80e0-180f160e16c4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46E9CB1B</paraID>
      <start>88</start>
      <end>91</end>
      <status>ignored</status>
      <modifiedWord/>
      <trackRevisions>false</trackRevisions>
    </reviewItem>
    <reviewItem>
      <errorID>66c434a0-16d6-45b7-9cb4-0988d74f3b43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46E9CB1B</paraID>
      <start>107</start>
      <end>110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59b54a-39e6-42c9-9a2b-3435b700288c}">
  <ds:schemaRefs/>
</ds:datastoreItem>
</file>

<file path=docProps/app.xml><?xml version="1.0" encoding="utf-8"?>
<Properties xmlns="http://schemas.openxmlformats.org/officeDocument/2006/extended-properties" xmlns:vt="http://schemas.openxmlformats.org/officeDocument/2006/docPropsVTypes">
  <Template>Normal.dotm</Template>
  <Pages>95</Pages>
  <Words>23082</Words>
  <Characters>25139</Characters>
  <Lines>0</Lines>
  <Paragraphs>0</Paragraphs>
  <TotalTime>11</TotalTime>
  <ScaleCrop>false</ScaleCrop>
  <LinksUpToDate>false</LinksUpToDate>
  <CharactersWithSpaces>25588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2026-06-11T00:48:00Z</dcterms:created>
  <dc:creator>明正</dc:creator>
  <cp:lastModifiedBy>A</cp:lastModifiedBy>
  <dcterms:modified xsi:type="dcterms:W3CDTF">2026-06-25T08:03:35Z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CED3CBA6A7D64F1193E09FCCE9C1C7C9_13</vt:lpwstr>
  </property>
  <property fmtid="{D5CDD505-2E9C-101B-9397-08002B2CF9AE}" pid="4" name="KSOTemplateDocerSaveRecord">
    <vt:lpwstr>eyJoZGlkIjoiNWI0ZTY2YWNjYTlkY2Y2NWI1NWViNmFkMzY3ZGVjZjAiLCJ1c2VySWQiOiIzMjI4NDYzOTkifQ==</vt:lpwstr>
  </property>
</Properties>
</file>