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7E8D0E">
      <w:pPr>
        <w:rPr>
          <w:rFonts w:hint="eastAsia" w:ascii="宋体" w:hAnsi="宋体" w:eastAsia="宋体" w:cs="宋体"/>
          <w:color w:val="auto"/>
          <w:lang w:eastAsia="zh-CN"/>
        </w:rPr>
      </w:pPr>
      <w:r>
        <w:rPr>
          <w:rFonts w:hint="eastAsia" w:ascii="宋体" w:hAnsi="宋体" w:eastAsia="宋体" w:cs="宋体"/>
          <w:color w:val="auto"/>
          <w:lang w:eastAsia="zh-CN"/>
        </w:rPr>
        <w:drawing>
          <wp:inline distT="0" distB="0" distL="114300" distR="114300">
            <wp:extent cx="6104890" cy="8641080"/>
            <wp:effectExtent l="0" t="0" r="10160" b="7620"/>
            <wp:docPr id="3" name="图片 3" descr="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封面_01"/>
                    <pic:cNvPicPr>
                      <a:picLocks noChangeAspect="1"/>
                    </pic:cNvPicPr>
                  </pic:nvPicPr>
                  <pic:blipFill>
                    <a:blip r:embed="rId7"/>
                    <a:stretch>
                      <a:fillRect/>
                    </a:stretch>
                  </pic:blipFill>
                  <pic:spPr>
                    <a:xfrm>
                      <a:off x="0" y="0"/>
                      <a:ext cx="6104890" cy="8641080"/>
                    </a:xfrm>
                    <a:prstGeom prst="rect">
                      <a:avLst/>
                    </a:prstGeom>
                  </pic:spPr>
                </pic:pic>
              </a:graphicData>
            </a:graphic>
          </wp:inline>
        </w:drawing>
      </w:r>
    </w:p>
    <w:p w14:paraId="06E9E63E">
      <w:pPr>
        <w:rPr>
          <w:rFonts w:hint="eastAsia" w:ascii="宋体" w:hAnsi="宋体" w:eastAsia="宋体" w:cs="宋体"/>
          <w:color w:val="auto"/>
        </w:rPr>
      </w:pPr>
    </w:p>
    <w:p w14:paraId="4259AAF1">
      <w:pPr>
        <w:tabs>
          <w:tab w:val="left" w:pos="4935"/>
        </w:tabs>
        <w:snapToGrid w:val="0"/>
        <w:spacing w:line="440" w:lineRule="exact"/>
        <w:jc w:val="center"/>
        <w:rPr>
          <w:rStyle w:val="26"/>
          <w:rFonts w:hint="eastAsia" w:ascii="宋体" w:hAnsi="宋体" w:eastAsia="宋体" w:cs="宋体"/>
          <w:b/>
          <w:bCs/>
          <w:color w:val="auto"/>
          <w:kern w:val="0"/>
          <w:sz w:val="36"/>
          <w:szCs w:val="36"/>
          <w:highlight w:val="none"/>
        </w:rPr>
      </w:pPr>
      <w:bookmarkStart w:id="500" w:name="_GoBack"/>
      <w:bookmarkEnd w:id="500"/>
      <w:r>
        <w:rPr>
          <w:rStyle w:val="26"/>
          <w:rFonts w:hint="eastAsia" w:ascii="宋体" w:hAnsi="宋体" w:eastAsia="宋体" w:cs="宋体"/>
          <w:b/>
          <w:bCs/>
          <w:color w:val="auto"/>
          <w:kern w:val="0"/>
          <w:sz w:val="28"/>
          <w:szCs w:val="28"/>
          <w:highlight w:val="none"/>
        </w:rPr>
        <w:t>目   录</w:t>
      </w:r>
    </w:p>
    <w:p w14:paraId="230661BC">
      <w:pPr>
        <w:pStyle w:val="15"/>
        <w:tabs>
          <w:tab w:val="right" w:leader="dot" w:pos="9638"/>
        </w:tabs>
        <w:rPr>
          <w:rFonts w:hint="eastAsia" w:ascii="宋体" w:hAnsi="宋体" w:eastAsia="宋体" w:cs="宋体"/>
          <w:color w:val="auto"/>
        </w:rPr>
      </w:pPr>
      <w:r>
        <w:rPr>
          <w:rStyle w:val="26"/>
          <w:rFonts w:hint="eastAsia" w:ascii="宋体" w:hAnsi="宋体" w:eastAsia="宋体" w:cs="宋体"/>
          <w:color w:val="auto"/>
          <w:sz w:val="21"/>
          <w:szCs w:val="21"/>
          <w:highlight w:val="none"/>
        </w:rPr>
        <w:fldChar w:fldCharType="begin"/>
      </w:r>
      <w:r>
        <w:rPr>
          <w:rStyle w:val="26"/>
          <w:rFonts w:hint="eastAsia" w:ascii="宋体" w:hAnsi="宋体" w:eastAsia="宋体" w:cs="宋体"/>
          <w:color w:val="auto"/>
          <w:sz w:val="21"/>
          <w:szCs w:val="21"/>
          <w:highlight w:val="none"/>
        </w:rPr>
        <w:instrText xml:space="preserve">TOC \o "1-2" \h \u </w:instrText>
      </w:r>
      <w:r>
        <w:rPr>
          <w:rStyle w:val="26"/>
          <w:rFonts w:hint="eastAsia" w:ascii="宋体" w:hAnsi="宋体" w:eastAsia="宋体" w:cs="宋体"/>
          <w:color w:val="auto"/>
          <w:sz w:val="21"/>
          <w:szCs w:val="21"/>
          <w:highlight w:val="none"/>
        </w:rPr>
        <w:fldChar w:fldCharType="separate"/>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_Toc25649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32"/>
          <w:highlight w:val="none"/>
        </w:rPr>
        <w:t>第一章</w:t>
      </w:r>
      <w:r>
        <w:rPr>
          <w:rFonts w:hint="eastAsia" w:ascii="宋体" w:hAnsi="宋体" w:eastAsia="宋体" w:cs="宋体"/>
          <w:color w:val="auto"/>
          <w:szCs w:val="32"/>
          <w:highlight w:val="none"/>
          <w:lang w:val="en-US" w:eastAsia="zh-CN"/>
        </w:rPr>
        <w:t xml:space="preserve">   </w:t>
      </w:r>
      <w:r>
        <w:rPr>
          <w:rFonts w:hint="eastAsia" w:ascii="宋体" w:hAnsi="宋体" w:eastAsia="宋体" w:cs="宋体"/>
          <w:color w:val="auto"/>
          <w:szCs w:val="32"/>
          <w:highlight w:val="none"/>
        </w:rPr>
        <w:t>投标人须知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_Toc25649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01875322">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_Toc12153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第一节   投标人须知前附表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_Toc12153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4EDD387E">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_Toc24650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第二节   重要事项时间地点一览表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_Toc24650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7DD2FBF8">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_Toc12489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第三节   投标人须知正文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_Toc12489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7150A278">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_Toc1447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第四节   否决投标条件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_Toc1447 \h </w:instrText>
      </w:r>
      <w:r>
        <w:rPr>
          <w:rFonts w:hint="eastAsia" w:ascii="宋体" w:hAnsi="宋体" w:eastAsia="宋体" w:cs="宋体"/>
          <w:color w:val="auto"/>
        </w:rPr>
        <w:fldChar w:fldCharType="separate"/>
      </w:r>
      <w:r>
        <w:rPr>
          <w:rFonts w:hint="eastAsia" w:ascii="宋体" w:hAnsi="宋体" w:eastAsia="宋体" w:cs="宋体"/>
          <w:color w:val="auto"/>
        </w:rPr>
        <w:t>40</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771FB0E9">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_Toc9840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第五节   定标规定及细则（本项目采用票决数量法定标）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_Toc9840 \h </w:instrText>
      </w:r>
      <w:r>
        <w:rPr>
          <w:rFonts w:hint="eastAsia" w:ascii="宋体" w:hAnsi="宋体" w:eastAsia="宋体" w:cs="宋体"/>
          <w:color w:val="auto"/>
        </w:rPr>
        <w:fldChar w:fldCharType="separate"/>
      </w:r>
      <w:r>
        <w:rPr>
          <w:rFonts w:hint="eastAsia" w:ascii="宋体" w:hAnsi="宋体" w:eastAsia="宋体" w:cs="宋体"/>
          <w:color w:val="auto"/>
        </w:rPr>
        <w:t>43</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3B7B5052">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_Toc20125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第六节   中标确认</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_Toc20125 \h </w:instrText>
      </w:r>
      <w:r>
        <w:rPr>
          <w:rFonts w:hint="eastAsia" w:ascii="宋体" w:hAnsi="宋体" w:eastAsia="宋体" w:cs="宋体"/>
          <w:color w:val="auto"/>
        </w:rPr>
        <w:fldChar w:fldCharType="separate"/>
      </w:r>
      <w:r>
        <w:rPr>
          <w:rFonts w:hint="eastAsia" w:ascii="宋体" w:hAnsi="宋体" w:eastAsia="宋体" w:cs="宋体"/>
          <w:color w:val="auto"/>
        </w:rPr>
        <w:t>46</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00FFC141">
      <w:pPr>
        <w:pStyle w:val="15"/>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_Toc15467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32"/>
          <w:highlight w:val="none"/>
        </w:rPr>
        <w:t>第二章</w:t>
      </w:r>
      <w:r>
        <w:rPr>
          <w:rFonts w:hint="eastAsia" w:ascii="宋体" w:hAnsi="宋体" w:eastAsia="宋体" w:cs="宋体"/>
          <w:color w:val="auto"/>
          <w:szCs w:val="32"/>
          <w:highlight w:val="none"/>
          <w:lang w:val="en-US" w:eastAsia="zh-CN"/>
        </w:rPr>
        <w:t xml:space="preserve">   </w:t>
      </w:r>
      <w:r>
        <w:rPr>
          <w:rFonts w:hint="eastAsia" w:ascii="宋体" w:hAnsi="宋体" w:eastAsia="宋体" w:cs="宋体"/>
          <w:color w:val="auto"/>
          <w:szCs w:val="32"/>
          <w:highlight w:val="none"/>
        </w:rPr>
        <w:t>中标人须知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_Toc15467 \h </w:instrText>
      </w:r>
      <w:r>
        <w:rPr>
          <w:rFonts w:hint="eastAsia" w:ascii="宋体" w:hAnsi="宋体" w:eastAsia="宋体" w:cs="宋体"/>
          <w:color w:val="auto"/>
        </w:rPr>
        <w:fldChar w:fldCharType="separate"/>
      </w:r>
      <w:r>
        <w:rPr>
          <w:rFonts w:hint="eastAsia" w:ascii="宋体" w:hAnsi="宋体" w:eastAsia="宋体" w:cs="宋体"/>
          <w:color w:val="auto"/>
        </w:rPr>
        <w:t>48</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040AF66E">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_Toc28207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eastAsia="zh-CN"/>
        </w:rPr>
        <w:t>1．中标通知书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_Toc28207 \h </w:instrText>
      </w:r>
      <w:r>
        <w:rPr>
          <w:rFonts w:hint="eastAsia" w:ascii="宋体" w:hAnsi="宋体" w:eastAsia="宋体" w:cs="宋体"/>
          <w:color w:val="auto"/>
        </w:rPr>
        <w:fldChar w:fldCharType="separate"/>
      </w:r>
      <w:r>
        <w:rPr>
          <w:rFonts w:hint="eastAsia" w:ascii="宋体" w:hAnsi="宋体" w:eastAsia="宋体" w:cs="宋体"/>
          <w:color w:val="auto"/>
        </w:rPr>
        <w:t>48</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7EADEA80">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_Toc7369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eastAsia="zh-CN"/>
        </w:rPr>
        <w:t>2．中标结果公示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_Toc7369 \h </w:instrText>
      </w:r>
      <w:r>
        <w:rPr>
          <w:rFonts w:hint="eastAsia" w:ascii="宋体" w:hAnsi="宋体" w:eastAsia="宋体" w:cs="宋体"/>
          <w:color w:val="auto"/>
        </w:rPr>
        <w:fldChar w:fldCharType="separate"/>
      </w:r>
      <w:r>
        <w:rPr>
          <w:rFonts w:hint="eastAsia" w:ascii="宋体" w:hAnsi="宋体" w:eastAsia="宋体" w:cs="宋体"/>
          <w:color w:val="auto"/>
        </w:rPr>
        <w:t>48</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2A00B8BC">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_Toc25855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eastAsia="zh-CN"/>
        </w:rPr>
        <w:t>3．履约保证</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_Toc25855 \h </w:instrText>
      </w:r>
      <w:r>
        <w:rPr>
          <w:rFonts w:hint="eastAsia" w:ascii="宋体" w:hAnsi="宋体" w:eastAsia="宋体" w:cs="宋体"/>
          <w:color w:val="auto"/>
        </w:rPr>
        <w:fldChar w:fldCharType="separate"/>
      </w:r>
      <w:r>
        <w:rPr>
          <w:rFonts w:hint="eastAsia" w:ascii="宋体" w:hAnsi="宋体" w:eastAsia="宋体" w:cs="宋体"/>
          <w:color w:val="auto"/>
        </w:rPr>
        <w:t>48</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71C0EF3F">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_Toc28994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eastAsia="zh-CN"/>
        </w:rPr>
        <w:t>4．合同订立</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_Toc28994 \h </w:instrText>
      </w:r>
      <w:r>
        <w:rPr>
          <w:rFonts w:hint="eastAsia" w:ascii="宋体" w:hAnsi="宋体" w:eastAsia="宋体" w:cs="宋体"/>
          <w:color w:val="auto"/>
        </w:rPr>
        <w:fldChar w:fldCharType="separate"/>
      </w:r>
      <w:r>
        <w:rPr>
          <w:rFonts w:hint="eastAsia" w:ascii="宋体" w:hAnsi="宋体" w:eastAsia="宋体" w:cs="宋体"/>
          <w:color w:val="auto"/>
        </w:rPr>
        <w:t>48</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76EA0C25">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_Toc15095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eastAsia="zh-CN"/>
        </w:rPr>
        <w:t>5．放弃中标的处理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_Toc15095 \h </w:instrText>
      </w:r>
      <w:r>
        <w:rPr>
          <w:rFonts w:hint="eastAsia" w:ascii="宋体" w:hAnsi="宋体" w:eastAsia="宋体" w:cs="宋体"/>
          <w:color w:val="auto"/>
        </w:rPr>
        <w:fldChar w:fldCharType="separate"/>
      </w:r>
      <w:r>
        <w:rPr>
          <w:rFonts w:hint="eastAsia" w:ascii="宋体" w:hAnsi="宋体" w:eastAsia="宋体" w:cs="宋体"/>
          <w:color w:val="auto"/>
        </w:rPr>
        <w:t>49</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07FA47AE">
      <w:pPr>
        <w:pStyle w:val="15"/>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_Toc27435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32"/>
          <w:highlight w:val="none"/>
        </w:rPr>
        <w:t>第三章</w:t>
      </w:r>
      <w:r>
        <w:rPr>
          <w:rFonts w:hint="eastAsia" w:ascii="宋体" w:hAnsi="宋体" w:eastAsia="宋体" w:cs="宋体"/>
          <w:color w:val="auto"/>
          <w:szCs w:val="32"/>
          <w:highlight w:val="none"/>
          <w:lang w:val="en-US" w:eastAsia="zh-CN"/>
        </w:rPr>
        <w:t xml:space="preserve">   </w:t>
      </w:r>
      <w:r>
        <w:rPr>
          <w:rFonts w:hint="eastAsia" w:ascii="宋体" w:hAnsi="宋体" w:eastAsia="宋体" w:cs="宋体"/>
          <w:color w:val="auto"/>
          <w:szCs w:val="32"/>
          <w:highlight w:val="none"/>
        </w:rPr>
        <w:t>拟签订合同的主要条款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_Toc27435 \h </w:instrText>
      </w:r>
      <w:r>
        <w:rPr>
          <w:rFonts w:hint="eastAsia" w:ascii="宋体" w:hAnsi="宋体" w:eastAsia="宋体" w:cs="宋体"/>
          <w:color w:val="auto"/>
        </w:rPr>
        <w:fldChar w:fldCharType="separate"/>
      </w:r>
      <w:r>
        <w:rPr>
          <w:rFonts w:hint="eastAsia" w:ascii="宋体" w:hAnsi="宋体" w:eastAsia="宋体" w:cs="宋体"/>
          <w:color w:val="auto"/>
        </w:rPr>
        <w:t>51</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552EADB0">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_Toc13931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eastAsia="zh-CN"/>
        </w:rPr>
        <w:t>1．工程承包方式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_Toc13931 \h </w:instrText>
      </w:r>
      <w:r>
        <w:rPr>
          <w:rFonts w:hint="eastAsia" w:ascii="宋体" w:hAnsi="宋体" w:eastAsia="宋体" w:cs="宋体"/>
          <w:color w:val="auto"/>
        </w:rPr>
        <w:fldChar w:fldCharType="separate"/>
      </w:r>
      <w:r>
        <w:rPr>
          <w:rFonts w:hint="eastAsia" w:ascii="宋体" w:hAnsi="宋体" w:eastAsia="宋体" w:cs="宋体"/>
          <w:color w:val="auto"/>
        </w:rPr>
        <w:t>51</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3C86E805">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_Toc15285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eastAsia="zh-CN"/>
        </w:rPr>
        <w:t>2．工程结算原则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_Toc15285 \h </w:instrText>
      </w:r>
      <w:r>
        <w:rPr>
          <w:rFonts w:hint="eastAsia" w:ascii="宋体" w:hAnsi="宋体" w:eastAsia="宋体" w:cs="宋体"/>
          <w:color w:val="auto"/>
        </w:rPr>
        <w:fldChar w:fldCharType="separate"/>
      </w:r>
      <w:r>
        <w:rPr>
          <w:rFonts w:hint="eastAsia" w:ascii="宋体" w:hAnsi="宋体" w:eastAsia="宋体" w:cs="宋体"/>
          <w:color w:val="auto"/>
        </w:rPr>
        <w:t>51</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6DE04E58">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_Toc547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eastAsia="zh-CN"/>
        </w:rPr>
        <w:t>3．工程付款办法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_Toc547 \h </w:instrText>
      </w:r>
      <w:r>
        <w:rPr>
          <w:rFonts w:hint="eastAsia" w:ascii="宋体" w:hAnsi="宋体" w:eastAsia="宋体" w:cs="宋体"/>
          <w:color w:val="auto"/>
        </w:rPr>
        <w:fldChar w:fldCharType="separate"/>
      </w:r>
      <w:r>
        <w:rPr>
          <w:rFonts w:hint="eastAsia" w:ascii="宋体" w:hAnsi="宋体" w:eastAsia="宋体" w:cs="宋体"/>
          <w:color w:val="auto"/>
        </w:rPr>
        <w:t>56</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43377407">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_Toc18854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eastAsia="zh-CN"/>
        </w:rPr>
        <w:t>4．专用合同条款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_Toc18854 \h </w:instrText>
      </w:r>
      <w:r>
        <w:rPr>
          <w:rFonts w:hint="eastAsia" w:ascii="宋体" w:hAnsi="宋体" w:eastAsia="宋体" w:cs="宋体"/>
          <w:color w:val="auto"/>
        </w:rPr>
        <w:fldChar w:fldCharType="separate"/>
      </w:r>
      <w:r>
        <w:rPr>
          <w:rFonts w:hint="eastAsia" w:ascii="宋体" w:hAnsi="宋体" w:eastAsia="宋体" w:cs="宋体"/>
          <w:color w:val="auto"/>
        </w:rPr>
        <w:t>58</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48F4C277">
      <w:pPr>
        <w:pStyle w:val="15"/>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_Toc2470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32"/>
          <w:highlight w:val="none"/>
        </w:rPr>
        <w:t>第四章</w:t>
      </w:r>
      <w:r>
        <w:rPr>
          <w:rFonts w:hint="eastAsia" w:ascii="宋体" w:hAnsi="宋体" w:eastAsia="宋体" w:cs="宋体"/>
          <w:color w:val="auto"/>
          <w:szCs w:val="32"/>
          <w:highlight w:val="none"/>
          <w:lang w:val="en-US" w:eastAsia="zh-CN"/>
        </w:rPr>
        <w:t xml:space="preserve">   </w:t>
      </w:r>
      <w:r>
        <w:rPr>
          <w:rFonts w:hint="eastAsia" w:ascii="宋体" w:hAnsi="宋体" w:eastAsia="宋体" w:cs="宋体"/>
          <w:color w:val="auto"/>
          <w:szCs w:val="32"/>
          <w:highlight w:val="none"/>
        </w:rPr>
        <w:t>技术要求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_Toc2470 \h </w:instrText>
      </w:r>
      <w:r>
        <w:rPr>
          <w:rFonts w:hint="eastAsia" w:ascii="宋体" w:hAnsi="宋体" w:eastAsia="宋体" w:cs="宋体"/>
          <w:color w:val="auto"/>
        </w:rPr>
        <w:fldChar w:fldCharType="separate"/>
      </w:r>
      <w:r>
        <w:rPr>
          <w:rFonts w:hint="eastAsia" w:ascii="宋体" w:hAnsi="宋体" w:eastAsia="宋体" w:cs="宋体"/>
          <w:color w:val="auto"/>
        </w:rPr>
        <w:t>69</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559B5753">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_Toc4412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1．房屋建筑工程建设项目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_Toc4412 \h </w:instrText>
      </w:r>
      <w:r>
        <w:rPr>
          <w:rFonts w:hint="eastAsia" w:ascii="宋体" w:hAnsi="宋体" w:eastAsia="宋体" w:cs="宋体"/>
          <w:color w:val="auto"/>
        </w:rPr>
        <w:fldChar w:fldCharType="separate"/>
      </w:r>
      <w:r>
        <w:rPr>
          <w:rFonts w:hint="eastAsia" w:ascii="宋体" w:hAnsi="宋体" w:eastAsia="宋体" w:cs="宋体"/>
          <w:color w:val="auto"/>
        </w:rPr>
        <w:t>69</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34ECA434">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_Toc16940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2．市政基础设施工程建设项目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_Toc16940 \h </w:instrText>
      </w:r>
      <w:r>
        <w:rPr>
          <w:rFonts w:hint="eastAsia" w:ascii="宋体" w:hAnsi="宋体" w:eastAsia="宋体" w:cs="宋体"/>
          <w:color w:val="auto"/>
        </w:rPr>
        <w:fldChar w:fldCharType="separate"/>
      </w:r>
      <w:r>
        <w:rPr>
          <w:rFonts w:hint="eastAsia" w:ascii="宋体" w:hAnsi="宋体" w:eastAsia="宋体" w:cs="宋体"/>
          <w:color w:val="auto"/>
        </w:rPr>
        <w:t>69</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5530C07E">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_Toc15606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3．备查要求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_Toc15606 \h </w:instrText>
      </w:r>
      <w:r>
        <w:rPr>
          <w:rFonts w:hint="eastAsia" w:ascii="宋体" w:hAnsi="宋体" w:eastAsia="宋体" w:cs="宋体"/>
          <w:color w:val="auto"/>
        </w:rPr>
        <w:fldChar w:fldCharType="separate"/>
      </w:r>
      <w:r>
        <w:rPr>
          <w:rFonts w:hint="eastAsia" w:ascii="宋体" w:hAnsi="宋体" w:eastAsia="宋体" w:cs="宋体"/>
          <w:color w:val="auto"/>
        </w:rPr>
        <w:t>70</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589BB104">
      <w:pPr>
        <w:pStyle w:val="15"/>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_Toc13751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32"/>
          <w:highlight w:val="none"/>
        </w:rPr>
        <w:t>第五章</w:t>
      </w:r>
      <w:r>
        <w:rPr>
          <w:rFonts w:hint="eastAsia" w:ascii="宋体" w:hAnsi="宋体" w:eastAsia="宋体" w:cs="宋体"/>
          <w:color w:val="auto"/>
          <w:szCs w:val="32"/>
          <w:highlight w:val="none"/>
          <w:lang w:val="en-US" w:eastAsia="zh-CN"/>
        </w:rPr>
        <w:t xml:space="preserve">   </w:t>
      </w:r>
      <w:r>
        <w:rPr>
          <w:rFonts w:hint="eastAsia" w:ascii="宋体" w:hAnsi="宋体" w:eastAsia="宋体" w:cs="宋体"/>
          <w:color w:val="auto"/>
          <w:szCs w:val="32"/>
          <w:highlight w:val="none"/>
        </w:rPr>
        <w:t>图纸和招标工程量清单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_Toc13751 \h </w:instrText>
      </w:r>
      <w:r>
        <w:rPr>
          <w:rFonts w:hint="eastAsia" w:ascii="宋体" w:hAnsi="宋体" w:eastAsia="宋体" w:cs="宋体"/>
          <w:color w:val="auto"/>
        </w:rPr>
        <w:fldChar w:fldCharType="separate"/>
      </w:r>
      <w:r>
        <w:rPr>
          <w:rFonts w:hint="eastAsia" w:ascii="宋体" w:hAnsi="宋体" w:eastAsia="宋体" w:cs="宋体"/>
          <w:color w:val="auto"/>
        </w:rPr>
        <w:t>71</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523A4F27">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_Toc6732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1．图纸</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_Toc6732 \h </w:instrText>
      </w:r>
      <w:r>
        <w:rPr>
          <w:rFonts w:hint="eastAsia" w:ascii="宋体" w:hAnsi="宋体" w:eastAsia="宋体" w:cs="宋体"/>
          <w:color w:val="auto"/>
        </w:rPr>
        <w:fldChar w:fldCharType="separate"/>
      </w:r>
      <w:r>
        <w:rPr>
          <w:rFonts w:hint="eastAsia" w:ascii="宋体" w:hAnsi="宋体" w:eastAsia="宋体" w:cs="宋体"/>
          <w:color w:val="auto"/>
        </w:rPr>
        <w:t>71</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7A84343B">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_Toc8559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2．招标工程量清单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_Toc8559 \h </w:instrText>
      </w:r>
      <w:r>
        <w:rPr>
          <w:rFonts w:hint="eastAsia" w:ascii="宋体" w:hAnsi="宋体" w:eastAsia="宋体" w:cs="宋体"/>
          <w:color w:val="auto"/>
        </w:rPr>
        <w:fldChar w:fldCharType="separate"/>
      </w:r>
      <w:r>
        <w:rPr>
          <w:rFonts w:hint="eastAsia" w:ascii="宋体" w:hAnsi="宋体" w:eastAsia="宋体" w:cs="宋体"/>
          <w:color w:val="auto"/>
        </w:rPr>
        <w:t>71</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62A2755A">
      <w:pPr>
        <w:pStyle w:val="15"/>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_Toc18703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32"/>
          <w:highlight w:val="none"/>
        </w:rPr>
        <w:t>第六章</w:t>
      </w:r>
      <w:r>
        <w:rPr>
          <w:rFonts w:hint="eastAsia" w:ascii="宋体" w:hAnsi="宋体" w:eastAsia="宋体" w:cs="宋体"/>
          <w:color w:val="auto"/>
          <w:szCs w:val="32"/>
          <w:highlight w:val="none"/>
          <w:lang w:val="en-US" w:eastAsia="zh-CN"/>
        </w:rPr>
        <w:t xml:space="preserve">   </w:t>
      </w:r>
      <w:r>
        <w:rPr>
          <w:rFonts w:hint="eastAsia" w:ascii="宋体" w:hAnsi="宋体" w:eastAsia="宋体" w:cs="宋体"/>
          <w:color w:val="auto"/>
          <w:szCs w:val="32"/>
          <w:highlight w:val="none"/>
        </w:rPr>
        <w:t>投标文件格式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_Toc18703 \h </w:instrText>
      </w:r>
      <w:r>
        <w:rPr>
          <w:rFonts w:hint="eastAsia" w:ascii="宋体" w:hAnsi="宋体" w:eastAsia="宋体" w:cs="宋体"/>
          <w:color w:val="auto"/>
        </w:rPr>
        <w:fldChar w:fldCharType="separate"/>
      </w:r>
      <w:r>
        <w:rPr>
          <w:rFonts w:hint="eastAsia" w:ascii="宋体" w:hAnsi="宋体" w:eastAsia="宋体" w:cs="宋体"/>
          <w:color w:val="auto"/>
        </w:rPr>
        <w:t>72</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7C75E4A3">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_Toc18444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格式一   封面</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_Toc18444 \h </w:instrText>
      </w:r>
      <w:r>
        <w:rPr>
          <w:rFonts w:hint="eastAsia" w:ascii="宋体" w:hAnsi="宋体" w:eastAsia="宋体" w:cs="宋体"/>
          <w:color w:val="auto"/>
        </w:rPr>
        <w:fldChar w:fldCharType="separate"/>
      </w:r>
      <w:r>
        <w:rPr>
          <w:rFonts w:hint="eastAsia" w:ascii="宋体" w:hAnsi="宋体" w:eastAsia="宋体" w:cs="宋体"/>
          <w:color w:val="auto"/>
        </w:rPr>
        <w:t>72</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35E916B8">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_Toc8879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格式二   投标函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_Toc8879 \h </w:instrText>
      </w:r>
      <w:r>
        <w:rPr>
          <w:rFonts w:hint="eastAsia" w:ascii="宋体" w:hAnsi="宋体" w:eastAsia="宋体" w:cs="宋体"/>
          <w:color w:val="auto"/>
        </w:rPr>
        <w:fldChar w:fldCharType="separate"/>
      </w:r>
      <w:r>
        <w:rPr>
          <w:rFonts w:hint="eastAsia" w:ascii="宋体" w:hAnsi="宋体" w:eastAsia="宋体" w:cs="宋体"/>
          <w:color w:val="auto"/>
        </w:rPr>
        <w:t>73</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43E6B122">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_Toc8294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格式三   各项承诺一览表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_Toc8294 \h </w:instrText>
      </w:r>
      <w:r>
        <w:rPr>
          <w:rFonts w:hint="eastAsia" w:ascii="宋体" w:hAnsi="宋体" w:eastAsia="宋体" w:cs="宋体"/>
          <w:color w:val="auto"/>
        </w:rPr>
        <w:fldChar w:fldCharType="separate"/>
      </w:r>
      <w:r>
        <w:rPr>
          <w:rFonts w:hint="eastAsia" w:ascii="宋体" w:hAnsi="宋体" w:eastAsia="宋体" w:cs="宋体"/>
          <w:color w:val="auto"/>
        </w:rPr>
        <w:t>74</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415181F7">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_Toc270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格式四   授权委托书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_Toc270 \h </w:instrText>
      </w:r>
      <w:r>
        <w:rPr>
          <w:rFonts w:hint="eastAsia" w:ascii="宋体" w:hAnsi="宋体" w:eastAsia="宋体" w:cs="宋体"/>
          <w:color w:val="auto"/>
        </w:rPr>
        <w:fldChar w:fldCharType="separate"/>
      </w:r>
      <w:r>
        <w:rPr>
          <w:rFonts w:hint="eastAsia" w:ascii="宋体" w:hAnsi="宋体" w:eastAsia="宋体" w:cs="宋体"/>
          <w:color w:val="auto"/>
        </w:rPr>
        <w:t>76</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7F4A6006">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_Toc2463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格式五   法定代表人身份证明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_Toc2463 \h </w:instrText>
      </w:r>
      <w:r>
        <w:rPr>
          <w:rFonts w:hint="eastAsia" w:ascii="宋体" w:hAnsi="宋体" w:eastAsia="宋体" w:cs="宋体"/>
          <w:color w:val="auto"/>
        </w:rPr>
        <w:fldChar w:fldCharType="separate"/>
      </w:r>
      <w:r>
        <w:rPr>
          <w:rFonts w:hint="eastAsia" w:ascii="宋体" w:hAnsi="宋体" w:eastAsia="宋体" w:cs="宋体"/>
          <w:color w:val="auto"/>
        </w:rPr>
        <w:t>77</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63DC52CD">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_Toc2177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格式六   联合体协议书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_Toc2177 \h </w:instrText>
      </w:r>
      <w:r>
        <w:rPr>
          <w:rFonts w:hint="eastAsia" w:ascii="宋体" w:hAnsi="宋体" w:eastAsia="宋体" w:cs="宋体"/>
          <w:color w:val="auto"/>
        </w:rPr>
        <w:fldChar w:fldCharType="separate"/>
      </w:r>
      <w:r>
        <w:rPr>
          <w:rFonts w:hint="eastAsia" w:ascii="宋体" w:hAnsi="宋体" w:eastAsia="宋体" w:cs="宋体"/>
          <w:color w:val="auto"/>
        </w:rPr>
        <w:t>78</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373448E0">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_Toc14726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格式七   投标人基本情况表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_Toc14726 \h </w:instrText>
      </w:r>
      <w:r>
        <w:rPr>
          <w:rFonts w:hint="eastAsia" w:ascii="宋体" w:hAnsi="宋体" w:eastAsia="宋体" w:cs="宋体"/>
          <w:color w:val="auto"/>
        </w:rPr>
        <w:fldChar w:fldCharType="separate"/>
      </w:r>
      <w:r>
        <w:rPr>
          <w:rFonts w:hint="eastAsia" w:ascii="宋体" w:hAnsi="宋体" w:eastAsia="宋体" w:cs="宋体"/>
          <w:color w:val="auto"/>
        </w:rPr>
        <w:t>80</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107BD1C8">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_Toc30505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格式八   项目经理简历表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_Toc30505 \h </w:instrText>
      </w:r>
      <w:r>
        <w:rPr>
          <w:rFonts w:hint="eastAsia" w:ascii="宋体" w:hAnsi="宋体" w:eastAsia="宋体" w:cs="宋体"/>
          <w:color w:val="auto"/>
        </w:rPr>
        <w:fldChar w:fldCharType="separate"/>
      </w:r>
      <w:r>
        <w:rPr>
          <w:rFonts w:hint="eastAsia" w:ascii="宋体" w:hAnsi="宋体" w:eastAsia="宋体" w:cs="宋体"/>
          <w:color w:val="auto"/>
        </w:rPr>
        <w:t>81</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1AAEA501">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_Toc32542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格式九   项目经理任职声明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_Toc32542 \h </w:instrText>
      </w:r>
      <w:r>
        <w:rPr>
          <w:rFonts w:hint="eastAsia" w:ascii="宋体" w:hAnsi="宋体" w:eastAsia="宋体" w:cs="宋体"/>
          <w:color w:val="auto"/>
        </w:rPr>
        <w:fldChar w:fldCharType="separate"/>
      </w:r>
      <w:r>
        <w:rPr>
          <w:rFonts w:hint="eastAsia" w:ascii="宋体" w:hAnsi="宋体" w:eastAsia="宋体" w:cs="宋体"/>
          <w:color w:val="auto"/>
        </w:rPr>
        <w:t>82</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1F67D573">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_Toc19408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格式十   项目技术负责人简历表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_Toc19408 \h </w:instrText>
      </w:r>
      <w:r>
        <w:rPr>
          <w:rFonts w:hint="eastAsia" w:ascii="宋体" w:hAnsi="宋体" w:eastAsia="宋体" w:cs="宋体"/>
          <w:color w:val="auto"/>
        </w:rPr>
        <w:fldChar w:fldCharType="separate"/>
      </w:r>
      <w:r>
        <w:rPr>
          <w:rFonts w:hint="eastAsia" w:ascii="宋体" w:hAnsi="宋体" w:eastAsia="宋体" w:cs="宋体"/>
          <w:color w:val="auto"/>
        </w:rPr>
        <w:t>83</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13F7F4BA">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_Toc636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格式十一   项目管理机构组成</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_Toc636 \h </w:instrText>
      </w:r>
      <w:r>
        <w:rPr>
          <w:rFonts w:hint="eastAsia" w:ascii="宋体" w:hAnsi="宋体" w:eastAsia="宋体" w:cs="宋体"/>
          <w:color w:val="auto"/>
        </w:rPr>
        <w:fldChar w:fldCharType="separate"/>
      </w:r>
      <w:r>
        <w:rPr>
          <w:rFonts w:hint="eastAsia" w:ascii="宋体" w:hAnsi="宋体" w:eastAsia="宋体" w:cs="宋体"/>
          <w:color w:val="auto"/>
        </w:rPr>
        <w:t>84</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76F7F0D5">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_Toc26854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格式十二   建造师查询页（有效期+建造师签字）</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_Toc26854 \h </w:instrText>
      </w:r>
      <w:r>
        <w:rPr>
          <w:rFonts w:hint="eastAsia" w:ascii="宋体" w:hAnsi="宋体" w:eastAsia="宋体" w:cs="宋体"/>
          <w:color w:val="auto"/>
        </w:rPr>
        <w:fldChar w:fldCharType="separate"/>
      </w:r>
      <w:r>
        <w:rPr>
          <w:rFonts w:hint="eastAsia" w:ascii="宋体" w:hAnsi="宋体" w:eastAsia="宋体" w:cs="宋体"/>
          <w:color w:val="auto"/>
        </w:rPr>
        <w:t>85</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25AF0E9D">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_Toc13386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格式十三   危险性较大的分部分项工程清单及超过一定规模的危险性较大的分部分项工程清单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_Toc13386 \h </w:instrText>
      </w:r>
      <w:r>
        <w:rPr>
          <w:rFonts w:hint="eastAsia" w:ascii="宋体" w:hAnsi="宋体" w:eastAsia="宋体" w:cs="宋体"/>
          <w:color w:val="auto"/>
        </w:rPr>
        <w:fldChar w:fldCharType="separate"/>
      </w:r>
      <w:r>
        <w:rPr>
          <w:rFonts w:hint="eastAsia" w:ascii="宋体" w:hAnsi="宋体" w:eastAsia="宋体" w:cs="宋体"/>
          <w:color w:val="auto"/>
        </w:rPr>
        <w:t>86</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1D082B15">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_Toc15461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格式十四   投标保证金信用承诺函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_Toc15461 \h </w:instrText>
      </w:r>
      <w:r>
        <w:rPr>
          <w:rFonts w:hint="eastAsia" w:ascii="宋体" w:hAnsi="宋体" w:eastAsia="宋体" w:cs="宋体"/>
          <w:color w:val="auto"/>
        </w:rPr>
        <w:fldChar w:fldCharType="separate"/>
      </w:r>
      <w:r>
        <w:rPr>
          <w:rFonts w:hint="eastAsia" w:ascii="宋体" w:hAnsi="宋体" w:eastAsia="宋体" w:cs="宋体"/>
          <w:color w:val="auto"/>
        </w:rPr>
        <w:t>90</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79F9CD61">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_Toc29366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格式十五   共管账户承诺书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_Toc29366 \h </w:instrText>
      </w:r>
      <w:r>
        <w:rPr>
          <w:rFonts w:hint="eastAsia" w:ascii="宋体" w:hAnsi="宋体" w:eastAsia="宋体" w:cs="宋体"/>
          <w:color w:val="auto"/>
        </w:rPr>
        <w:fldChar w:fldCharType="separate"/>
      </w:r>
      <w:r>
        <w:rPr>
          <w:rFonts w:hint="eastAsia" w:ascii="宋体" w:hAnsi="宋体" w:eastAsia="宋体" w:cs="宋体"/>
          <w:color w:val="auto"/>
        </w:rPr>
        <w:t>91</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621D8C66">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_Toc31628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格式十六   定标因素评审资料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_Toc31628 \h </w:instrText>
      </w:r>
      <w:r>
        <w:rPr>
          <w:rFonts w:hint="eastAsia" w:ascii="宋体" w:hAnsi="宋体" w:eastAsia="宋体" w:cs="宋体"/>
          <w:color w:val="auto"/>
        </w:rPr>
        <w:fldChar w:fldCharType="separate"/>
      </w:r>
      <w:r>
        <w:rPr>
          <w:rFonts w:hint="eastAsia" w:ascii="宋体" w:hAnsi="宋体" w:eastAsia="宋体" w:cs="宋体"/>
          <w:color w:val="auto"/>
        </w:rPr>
        <w:t>92</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46D58FCB">
      <w:pPr>
        <w:pStyle w:val="16"/>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_Toc22173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2"/>
          <w:szCs w:val="24"/>
          <w:lang w:val="en-US" w:eastAsia="zh-CN"/>
        </w:rPr>
        <w:t>格式十七   原件一览表（如有）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_Toc22173 \h </w:instrText>
      </w:r>
      <w:r>
        <w:rPr>
          <w:rFonts w:hint="eastAsia" w:ascii="宋体" w:hAnsi="宋体" w:eastAsia="宋体" w:cs="宋体"/>
          <w:color w:val="auto"/>
        </w:rPr>
        <w:fldChar w:fldCharType="separate"/>
      </w:r>
      <w:r>
        <w:rPr>
          <w:rFonts w:hint="eastAsia" w:ascii="宋体" w:hAnsi="宋体" w:eastAsia="宋体" w:cs="宋体"/>
          <w:color w:val="auto"/>
        </w:rPr>
        <w:t>93</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428D85A6">
      <w:pPr>
        <w:pStyle w:val="15"/>
        <w:tabs>
          <w:tab w:val="right" w:leader="dot" w:pos="9638"/>
        </w:tabs>
        <w:rPr>
          <w:rFonts w:hint="eastAsia" w:ascii="宋体" w:hAnsi="宋体" w:eastAsia="宋体" w:cs="宋体"/>
          <w:color w:val="auto"/>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_Toc14816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32"/>
          <w:highlight w:val="none"/>
        </w:rPr>
        <w:t>第七章</w:t>
      </w:r>
      <w:r>
        <w:rPr>
          <w:rFonts w:hint="eastAsia" w:ascii="宋体" w:hAnsi="宋体" w:eastAsia="宋体" w:cs="宋体"/>
          <w:color w:val="auto"/>
          <w:szCs w:val="32"/>
          <w:highlight w:val="none"/>
          <w:lang w:val="en-US" w:eastAsia="zh-CN"/>
        </w:rPr>
        <w:t xml:space="preserve">   </w:t>
      </w:r>
      <w:r>
        <w:rPr>
          <w:rFonts w:hint="eastAsia" w:ascii="宋体" w:hAnsi="宋体" w:eastAsia="宋体" w:cs="宋体"/>
          <w:color w:val="auto"/>
          <w:szCs w:val="32"/>
          <w:highlight w:val="none"/>
        </w:rPr>
        <w:t>建设工程施工合同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_Toc14816 \h </w:instrText>
      </w:r>
      <w:r>
        <w:rPr>
          <w:rFonts w:hint="eastAsia" w:ascii="宋体" w:hAnsi="宋体" w:eastAsia="宋体" w:cs="宋体"/>
          <w:color w:val="auto"/>
        </w:rPr>
        <w:fldChar w:fldCharType="separate"/>
      </w:r>
      <w:r>
        <w:rPr>
          <w:rFonts w:hint="eastAsia" w:ascii="宋体" w:hAnsi="宋体" w:eastAsia="宋体" w:cs="宋体"/>
          <w:color w:val="auto"/>
        </w:rPr>
        <w:t>94</w:t>
      </w:r>
      <w:r>
        <w:rPr>
          <w:rFonts w:hint="eastAsia" w:ascii="宋体" w:hAnsi="宋体" w:eastAsia="宋体" w:cs="宋体"/>
          <w:color w:val="auto"/>
        </w:rPr>
        <w:fldChar w:fldCharType="end"/>
      </w:r>
      <w:r>
        <w:rPr>
          <w:rFonts w:hint="eastAsia" w:ascii="宋体" w:hAnsi="宋体" w:eastAsia="宋体" w:cs="宋体"/>
          <w:color w:val="auto"/>
          <w:szCs w:val="21"/>
          <w:highlight w:val="none"/>
        </w:rPr>
        <w:fldChar w:fldCharType="end"/>
      </w:r>
    </w:p>
    <w:p w14:paraId="52D7155F">
      <w:pPr>
        <w:rPr>
          <w:rFonts w:hint="eastAsia" w:ascii="宋体" w:hAnsi="宋体" w:eastAsia="宋体" w:cs="宋体"/>
          <w:color w:val="auto"/>
        </w:rPr>
      </w:pPr>
      <w:r>
        <w:rPr>
          <w:rFonts w:hint="eastAsia" w:ascii="宋体" w:hAnsi="宋体" w:eastAsia="宋体" w:cs="宋体"/>
          <w:color w:val="auto"/>
          <w:szCs w:val="21"/>
          <w:highlight w:val="none"/>
        </w:rPr>
        <w:fldChar w:fldCharType="end"/>
      </w:r>
    </w:p>
    <w:p w14:paraId="4C98C9BF">
      <w:pPr>
        <w:rPr>
          <w:rFonts w:hint="eastAsia" w:ascii="宋体" w:hAnsi="宋体" w:eastAsia="宋体" w:cs="宋体"/>
          <w:color w:val="auto"/>
        </w:rPr>
      </w:pPr>
    </w:p>
    <w:p w14:paraId="1D2239CC">
      <w:pPr>
        <w:rPr>
          <w:rFonts w:hint="eastAsia" w:ascii="宋体" w:hAnsi="宋体" w:eastAsia="宋体" w:cs="宋体"/>
          <w:color w:val="auto"/>
        </w:rPr>
      </w:pPr>
    </w:p>
    <w:p w14:paraId="0360958E">
      <w:pPr>
        <w:rPr>
          <w:rFonts w:hint="eastAsia" w:ascii="宋体" w:hAnsi="宋体" w:eastAsia="宋体" w:cs="宋体"/>
          <w:color w:val="auto"/>
        </w:rPr>
      </w:pPr>
    </w:p>
    <w:p w14:paraId="663DD3D4">
      <w:pPr>
        <w:rPr>
          <w:rFonts w:hint="eastAsia" w:ascii="宋体" w:hAnsi="宋体" w:eastAsia="宋体" w:cs="宋体"/>
          <w:color w:val="auto"/>
        </w:rPr>
      </w:pPr>
    </w:p>
    <w:p w14:paraId="41C1BB5D">
      <w:pPr>
        <w:rPr>
          <w:rFonts w:hint="eastAsia" w:ascii="宋体" w:hAnsi="宋体" w:eastAsia="宋体" w:cs="宋体"/>
          <w:color w:val="auto"/>
        </w:rPr>
      </w:pPr>
    </w:p>
    <w:p w14:paraId="23E1D3AB">
      <w:pPr>
        <w:rPr>
          <w:rFonts w:hint="eastAsia" w:ascii="宋体" w:hAnsi="宋体" w:eastAsia="宋体" w:cs="宋体"/>
          <w:color w:val="auto"/>
        </w:rPr>
      </w:pPr>
    </w:p>
    <w:p w14:paraId="34726C3E">
      <w:pPr>
        <w:rPr>
          <w:rFonts w:hint="eastAsia" w:ascii="宋体" w:hAnsi="宋体" w:eastAsia="宋体" w:cs="宋体"/>
          <w:color w:val="auto"/>
        </w:rPr>
      </w:pPr>
    </w:p>
    <w:p w14:paraId="7543FF5A">
      <w:pPr>
        <w:rPr>
          <w:rFonts w:hint="eastAsia" w:ascii="宋体" w:hAnsi="宋体" w:eastAsia="宋体" w:cs="宋体"/>
          <w:color w:val="auto"/>
        </w:rPr>
      </w:pPr>
    </w:p>
    <w:p w14:paraId="4CE82C26">
      <w:pPr>
        <w:rPr>
          <w:rFonts w:hint="eastAsia" w:ascii="宋体" w:hAnsi="宋体" w:eastAsia="宋体" w:cs="宋体"/>
          <w:color w:val="auto"/>
        </w:rPr>
      </w:pPr>
    </w:p>
    <w:p w14:paraId="5438B8A8">
      <w:pPr>
        <w:rPr>
          <w:rFonts w:hint="eastAsia" w:ascii="宋体" w:hAnsi="宋体" w:eastAsia="宋体" w:cs="宋体"/>
          <w:color w:val="auto"/>
        </w:rPr>
      </w:pPr>
    </w:p>
    <w:p w14:paraId="0165DF91">
      <w:pPr>
        <w:rPr>
          <w:rFonts w:hint="eastAsia" w:ascii="宋体" w:hAnsi="宋体" w:eastAsia="宋体" w:cs="宋体"/>
          <w:color w:val="auto"/>
        </w:rPr>
      </w:pPr>
    </w:p>
    <w:p w14:paraId="78CDE5E8">
      <w:pPr>
        <w:rPr>
          <w:rFonts w:hint="eastAsia" w:ascii="宋体" w:hAnsi="宋体" w:eastAsia="宋体" w:cs="宋体"/>
          <w:color w:val="auto"/>
        </w:rPr>
      </w:pPr>
    </w:p>
    <w:p w14:paraId="57F4C45D">
      <w:pPr>
        <w:rPr>
          <w:rFonts w:hint="eastAsia" w:ascii="宋体" w:hAnsi="宋体" w:eastAsia="宋体" w:cs="宋体"/>
          <w:color w:val="auto"/>
        </w:rPr>
      </w:pPr>
    </w:p>
    <w:p w14:paraId="078BE974">
      <w:pPr>
        <w:pStyle w:val="3"/>
        <w:keepLines w:val="0"/>
        <w:pageBreakBefore w:val="0"/>
        <w:widowControl w:val="0"/>
        <w:shd w:val="clear" w:color="auto" w:fill="auto"/>
        <w:tabs>
          <w:tab w:val="left" w:pos="1830"/>
        </w:tabs>
        <w:kinsoku/>
        <w:wordWrap/>
        <w:overflowPunct/>
        <w:topLinePunct w:val="0"/>
        <w:autoSpaceDE/>
        <w:autoSpaceDN/>
        <w:bidi w:val="0"/>
        <w:adjustRightInd/>
        <w:snapToGrid/>
        <w:spacing w:line="360" w:lineRule="exact"/>
        <w:ind w:left="0" w:firstLine="0"/>
        <w:jc w:val="center"/>
        <w:textAlignment w:val="auto"/>
        <w:rPr>
          <w:rFonts w:hint="eastAsia" w:ascii="宋体" w:hAnsi="宋体" w:eastAsia="宋体" w:cs="宋体"/>
          <w:color w:val="auto"/>
          <w:sz w:val="32"/>
          <w:szCs w:val="32"/>
          <w:highlight w:val="none"/>
        </w:rPr>
      </w:pPr>
      <w:bookmarkStart w:id="0" w:name="_Toc23635"/>
      <w:bookmarkStart w:id="1" w:name="_Toc25649"/>
      <w:bookmarkStart w:id="2" w:name="_Toc4493"/>
      <w:bookmarkStart w:id="3" w:name="_Toc10328"/>
      <w:bookmarkStart w:id="4" w:name="_Toc30953"/>
      <w:bookmarkStart w:id="5" w:name="_Toc16198"/>
      <w:bookmarkStart w:id="6" w:name="_Toc15825"/>
      <w:bookmarkStart w:id="7" w:name="_Toc4903"/>
      <w:bookmarkStart w:id="8" w:name="_Toc53"/>
      <w:bookmarkStart w:id="9" w:name="_Toc7086"/>
      <w:bookmarkStart w:id="10" w:name="_Toc5078"/>
      <w:bookmarkStart w:id="11" w:name="_Toc25664"/>
      <w:r>
        <w:rPr>
          <w:rFonts w:hint="eastAsia" w:ascii="宋体" w:hAnsi="宋体" w:eastAsia="宋体" w:cs="宋体"/>
          <w:color w:val="auto"/>
          <w:sz w:val="32"/>
          <w:szCs w:val="32"/>
          <w:highlight w:val="none"/>
        </w:rPr>
        <w:t>第一章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投标人须知</w:t>
      </w:r>
      <w:bookmarkEnd w:id="0"/>
      <w:bookmarkEnd w:id="1"/>
      <w:bookmarkEnd w:id="2"/>
      <w:bookmarkEnd w:id="3"/>
      <w:bookmarkEnd w:id="4"/>
      <w:bookmarkEnd w:id="5"/>
      <w:bookmarkEnd w:id="6"/>
      <w:bookmarkEnd w:id="7"/>
      <w:bookmarkEnd w:id="8"/>
      <w:bookmarkEnd w:id="9"/>
      <w:bookmarkEnd w:id="10"/>
      <w:bookmarkEnd w:id="11"/>
    </w:p>
    <w:p w14:paraId="7BB5D41F">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12" w:name="_Toc21473"/>
      <w:bookmarkStart w:id="13" w:name="_Toc11684"/>
      <w:bookmarkStart w:id="14" w:name="_Toc14083"/>
      <w:bookmarkStart w:id="15" w:name="_Toc29223"/>
      <w:bookmarkStart w:id="16" w:name="_Toc25211"/>
      <w:bookmarkStart w:id="17" w:name="_Toc21683"/>
      <w:bookmarkStart w:id="18" w:name="_Toc27751"/>
      <w:bookmarkStart w:id="19" w:name="_Toc928"/>
      <w:bookmarkStart w:id="20" w:name="_Toc29644"/>
      <w:bookmarkStart w:id="21" w:name="_Toc17236"/>
      <w:bookmarkStart w:id="22" w:name="_Toc12153"/>
      <w:bookmarkStart w:id="23" w:name="_Toc12302"/>
      <w:r>
        <w:rPr>
          <w:rFonts w:hint="eastAsia" w:ascii="宋体" w:hAnsi="宋体" w:eastAsia="宋体" w:cs="宋体"/>
          <w:color w:val="auto"/>
          <w:kern w:val="2"/>
          <w:sz w:val="28"/>
          <w:szCs w:val="24"/>
          <w:lang w:val="en-US" w:eastAsia="zh-CN"/>
        </w:rPr>
        <w:t>第一节   投标人须知前附表</w:t>
      </w:r>
      <w:bookmarkEnd w:id="12"/>
      <w:bookmarkEnd w:id="13"/>
      <w:bookmarkEnd w:id="14"/>
      <w:bookmarkEnd w:id="15"/>
      <w:bookmarkEnd w:id="16"/>
      <w:bookmarkEnd w:id="17"/>
      <w:bookmarkEnd w:id="18"/>
      <w:bookmarkEnd w:id="19"/>
      <w:bookmarkEnd w:id="20"/>
      <w:bookmarkEnd w:id="21"/>
      <w:bookmarkEnd w:id="22"/>
      <w:bookmarkEnd w:id="23"/>
    </w:p>
    <w:tbl>
      <w:tblPr>
        <w:tblStyle w:val="21"/>
        <w:tblW w:w="985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74"/>
        <w:gridCol w:w="1733"/>
        <w:gridCol w:w="7444"/>
      </w:tblGrid>
      <w:tr w14:paraId="2A0906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13B20F7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序号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D8B06E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内容</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336E8788">
            <w:pPr>
              <w:keepNext w:val="0"/>
              <w:keepLines w:val="0"/>
              <w:pageBreakBefore w:val="0"/>
              <w:widowControl w:val="0"/>
              <w:suppressLineNumbers w:val="0"/>
              <w:tabs>
                <w:tab w:val="left" w:pos="1180"/>
              </w:tabs>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说明与要求</w:t>
            </w:r>
          </w:p>
        </w:tc>
      </w:tr>
      <w:tr w14:paraId="2AF46D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0D15711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7C859B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4005E76C">
            <w:pPr>
              <w:keepNext w:val="0"/>
              <w:keepLines w:val="0"/>
              <w:pageBreakBefore w:val="0"/>
              <w:widowControl w:val="0"/>
              <w:suppressLineNumbers w:val="0"/>
              <w:tabs>
                <w:tab w:val="left" w:pos="1180"/>
              </w:tabs>
              <w:kinsoku/>
              <w:overflowPunct/>
              <w:topLinePunct w:val="0"/>
              <w:autoSpaceDE/>
              <w:autoSpaceDN/>
              <w:bidi w:val="0"/>
              <w:adjustRightInd/>
              <w:snapToGrid/>
              <w:spacing w:before="0" w:beforeAutospacing="0" w:after="0" w:afterAutospacing="0" w:line="400" w:lineRule="exact"/>
              <w:ind w:right="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广东省韶关市韶关高新技术产业开发区园区配套基础设施建设项目莞韶产业园甘棠片区GT0402A-02-02地块三通一平及地块西侧道路建设工程（B地块）施工</w:t>
            </w:r>
          </w:p>
        </w:tc>
      </w:tr>
      <w:tr w14:paraId="7D6686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07AC847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58E0D7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2339C86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Cs w:val="24"/>
                <w:highlight w:val="none"/>
                <w:lang w:eastAsia="zh-CN"/>
              </w:rPr>
              <w:t>韶关高新技术产业开发区创业服务中心</w:t>
            </w:r>
          </w:p>
        </w:tc>
      </w:tr>
      <w:tr w14:paraId="366754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137FC06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CBF5E1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r>
              <w:rPr>
                <w:rFonts w:hint="eastAsia" w:ascii="宋体" w:hAnsi="宋体" w:eastAsia="宋体" w:cs="宋体"/>
                <w:snapToGrid w:val="0"/>
                <w:color w:val="auto"/>
                <w:kern w:val="0"/>
                <w:sz w:val="24"/>
                <w:szCs w:val="24"/>
                <w:highlight w:val="none"/>
                <w:lang w:val="en-US" w:eastAsia="zh-CN"/>
              </w:rPr>
              <w:t>及项目批准文号</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7B13BDD6">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Cs w:val="24"/>
                <w:highlight w:val="none"/>
                <w:lang w:val="en-US" w:eastAsia="zh-CN"/>
              </w:rPr>
              <w:t>韶关高新技术产业开发区管理委员会、韶高新批字〔2022〕10号</w:t>
            </w:r>
          </w:p>
        </w:tc>
      </w:tr>
      <w:tr w14:paraId="68F8F8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12A8184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E19458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建设地点</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04D2C2CB">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bCs/>
                <w:snapToGrid w:val="0"/>
                <w:color w:val="auto"/>
                <w:kern w:val="0"/>
                <w:szCs w:val="24"/>
                <w:highlight w:val="none"/>
                <w:lang w:val="en-US" w:eastAsia="zh-CN"/>
              </w:rPr>
            </w:pPr>
            <w:r>
              <w:rPr>
                <w:rFonts w:hint="eastAsia" w:ascii="宋体" w:hAnsi="宋体" w:eastAsia="宋体" w:cs="宋体"/>
                <w:bCs/>
                <w:snapToGrid w:val="0"/>
                <w:color w:val="auto"/>
                <w:kern w:val="0"/>
                <w:szCs w:val="24"/>
                <w:highlight w:val="none"/>
                <w:lang w:val="en-US" w:eastAsia="zh-CN"/>
              </w:rPr>
              <w:t>广东省韶关市高新技术产业开发区园区莞韶产业园甘棠片区</w:t>
            </w:r>
          </w:p>
        </w:tc>
      </w:tr>
      <w:tr w14:paraId="6D965A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28E3E2D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6DFCD0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69D0E599">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bCs/>
                <w:snapToGrid w:val="0"/>
                <w:color w:val="auto"/>
                <w:kern w:val="0"/>
                <w:szCs w:val="24"/>
                <w:highlight w:val="none"/>
                <w:lang w:val="en-US" w:eastAsia="zh-CN"/>
              </w:rPr>
            </w:pPr>
            <w:r>
              <w:rPr>
                <w:rFonts w:hint="eastAsia" w:ascii="宋体" w:hAnsi="宋体" w:eastAsia="宋体" w:cs="宋体"/>
                <w:bCs/>
                <w:snapToGrid w:val="0"/>
                <w:color w:val="auto"/>
                <w:kern w:val="0"/>
                <w:szCs w:val="24"/>
                <w:highlight w:val="none"/>
                <w:lang w:val="en-US" w:eastAsia="zh-CN"/>
              </w:rPr>
              <w:t>2209-440200-04-01-487589</w:t>
            </w:r>
          </w:p>
        </w:tc>
      </w:tr>
      <w:tr w14:paraId="6774DE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69A9934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C1E62D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1C68CB5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及</w:t>
            </w:r>
            <w:r>
              <w:rPr>
                <w:rFonts w:hint="eastAsia" w:ascii="宋体" w:hAnsi="宋体" w:eastAsia="宋体" w:cs="宋体"/>
                <w:snapToGrid w:val="0"/>
                <w:color w:val="auto"/>
                <w:kern w:val="0"/>
                <w:sz w:val="24"/>
                <w:szCs w:val="24"/>
                <w:highlight w:val="none"/>
                <w:lang w:val="en-US" w:eastAsia="zh-CN"/>
              </w:rPr>
              <w:t>落实情况</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1C1B396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Cs w:val="24"/>
                <w:highlight w:val="none"/>
                <w:lang w:val="en-US" w:eastAsia="zh-CN"/>
              </w:rPr>
              <w:t>财政性资金、申请地方政府专项债券予以解决；100%。</w:t>
            </w:r>
          </w:p>
        </w:tc>
      </w:tr>
      <w:tr w14:paraId="6DB96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18AF5FA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35A6CB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0CC6431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jc w:val="left"/>
              <w:textAlignment w:val="auto"/>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Cs/>
                <w:snapToGrid w:val="0"/>
                <w:color w:val="auto"/>
                <w:kern w:val="0"/>
                <w:sz w:val="24"/>
                <w:szCs w:val="24"/>
                <w:highlight w:val="none"/>
                <w:lang w:eastAsia="zh-CN"/>
              </w:rPr>
              <w:t>韶关工业园投资建设有限公司</w:t>
            </w:r>
          </w:p>
        </w:tc>
      </w:tr>
      <w:tr w14:paraId="25A81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45FE644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729826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79B7D9B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jc w:val="left"/>
              <w:textAlignment w:val="auto"/>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Cs/>
                <w:snapToGrid w:val="0"/>
                <w:color w:val="auto"/>
                <w:kern w:val="0"/>
                <w:sz w:val="24"/>
                <w:szCs w:val="24"/>
                <w:highlight w:val="none"/>
                <w:lang w:eastAsia="zh-CN"/>
              </w:rPr>
              <w:t>广东明正项目管理有限公司</w:t>
            </w:r>
          </w:p>
        </w:tc>
      </w:tr>
      <w:tr w14:paraId="55C2FC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4CA654D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491A65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勘察设计单位</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74270F5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深圳建昌工程设计有限公司</w:t>
            </w:r>
          </w:p>
        </w:tc>
      </w:tr>
      <w:tr w14:paraId="67E3BA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3E232F2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952A31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造价咨询单位</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4C5FA04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jc w:val="left"/>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□非全过程造价咨询   ☑全过程造价咨询</w:t>
            </w:r>
          </w:p>
        </w:tc>
      </w:tr>
      <w:tr w14:paraId="760E49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6C142A4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11</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91D213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监理单位</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6B3FF91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□已确定监理单位     ☑未确定监理单位</w:t>
            </w:r>
          </w:p>
        </w:tc>
      </w:tr>
      <w:tr w14:paraId="1357D7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64B7659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2</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6D2977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建设内容和规模</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1A682CE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项目位于广东省韶关市高新技术产业开发区莞韶产业园甘棠片区，项目用地红线面积为39790.74平方米，工程设计内容主要包含场地土石方平整、挡土墙支护、B地块场地土方回填压实和周边山体排水工程等。</w:t>
            </w:r>
          </w:p>
        </w:tc>
      </w:tr>
      <w:tr w14:paraId="1A3747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4306773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3</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8448EC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项目总投资</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2F726C6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工程概算总投资为828.84万元，其中，建安工程费679.77万元，工程建设其他费用124.93万元，预备费24.14万元。</w:t>
            </w:r>
          </w:p>
        </w:tc>
      </w:tr>
      <w:tr w14:paraId="708DF2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2B80B4D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A88943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招标范围</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7509716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jc w:val="left"/>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eastAsia="zh-CN"/>
              </w:rPr>
              <w:t>按审查合格的施工图纸及工程量清单内容施工</w:t>
            </w:r>
            <w:r>
              <w:rPr>
                <w:rFonts w:hint="eastAsia" w:ascii="宋体" w:hAnsi="宋体" w:eastAsia="宋体" w:cs="宋体"/>
                <w:b w:val="0"/>
                <w:bCs w:val="0"/>
                <w:snapToGrid w:val="0"/>
                <w:color w:val="auto"/>
                <w:kern w:val="0"/>
                <w:sz w:val="24"/>
                <w:szCs w:val="24"/>
                <w:highlight w:val="none"/>
              </w:rPr>
              <w:t>。</w:t>
            </w:r>
          </w:p>
        </w:tc>
      </w:tr>
      <w:tr w14:paraId="3D9534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458183A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D2E112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标段划分</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6A33D31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jc w:val="left"/>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本招标项目不划分标段。</w:t>
            </w:r>
          </w:p>
        </w:tc>
      </w:tr>
      <w:tr w14:paraId="2247F4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39172E2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6</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5D44A6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工期</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0B146E7D">
            <w:pPr>
              <w:pStyle w:val="3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firstLine="480" w:firstLineChars="200"/>
              <w:jc w:val="left"/>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本招标项目招标工期为</w:t>
            </w:r>
            <w:r>
              <w:rPr>
                <w:rFonts w:hint="eastAsia" w:ascii="宋体" w:hAnsi="宋体" w:eastAsia="宋体" w:cs="宋体"/>
                <w:b w:val="0"/>
                <w:bCs w:val="0"/>
                <w:snapToGrid w:val="0"/>
                <w:color w:val="auto"/>
                <w:kern w:val="0"/>
                <w:sz w:val="24"/>
                <w:szCs w:val="24"/>
                <w:highlight w:val="none"/>
                <w:u w:val="single"/>
                <w:lang w:val="en-US" w:eastAsia="zh-CN"/>
              </w:rPr>
              <w:t xml:space="preserve"> 120 </w:t>
            </w:r>
            <w:r>
              <w:rPr>
                <w:rFonts w:hint="eastAsia" w:ascii="宋体" w:hAnsi="宋体" w:eastAsia="宋体" w:cs="宋体"/>
                <w:b w:val="0"/>
                <w:bCs w:val="0"/>
                <w:snapToGrid w:val="0"/>
                <w:color w:val="auto"/>
                <w:kern w:val="0"/>
                <w:sz w:val="24"/>
                <w:szCs w:val="24"/>
                <w:highlight w:val="none"/>
                <w:lang w:val="en-US" w:eastAsia="zh-CN"/>
              </w:rPr>
              <w:t>个日历天。具体如下：</w:t>
            </w:r>
          </w:p>
          <w:p w14:paraId="68CFA5F4">
            <w:pPr>
              <w:pStyle w:val="3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firstLine="480" w:firstLineChars="200"/>
              <w:jc w:val="left"/>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☑总工期：</w:t>
            </w:r>
            <w:r>
              <w:rPr>
                <w:rFonts w:hint="eastAsia" w:ascii="宋体" w:hAnsi="宋体" w:eastAsia="宋体" w:cs="宋体"/>
                <w:b w:val="0"/>
                <w:bCs w:val="0"/>
                <w:snapToGrid w:val="0"/>
                <w:color w:val="auto"/>
                <w:kern w:val="0"/>
                <w:sz w:val="24"/>
                <w:szCs w:val="24"/>
                <w:highlight w:val="none"/>
                <w:u w:val="single"/>
                <w:lang w:val="en-US" w:eastAsia="zh-CN"/>
              </w:rPr>
              <w:t xml:space="preserve">120 </w:t>
            </w:r>
            <w:r>
              <w:rPr>
                <w:rFonts w:hint="eastAsia" w:ascii="宋体" w:hAnsi="宋体" w:eastAsia="宋体" w:cs="宋体"/>
                <w:b w:val="0"/>
                <w:bCs w:val="0"/>
                <w:snapToGrid w:val="0"/>
                <w:color w:val="auto"/>
                <w:kern w:val="0"/>
                <w:sz w:val="24"/>
                <w:szCs w:val="24"/>
                <w:highlight w:val="none"/>
                <w:lang w:val="en-US" w:eastAsia="zh-CN"/>
              </w:rPr>
              <w:t xml:space="preserve"> 天（日历天）。</w:t>
            </w:r>
          </w:p>
          <w:p w14:paraId="7DDC6063">
            <w:pPr>
              <w:pStyle w:val="3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firstLine="480" w:firstLineChars="200"/>
              <w:jc w:val="left"/>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b w:val="0"/>
                <w:bCs w:val="0"/>
                <w:snapToGrid w:val="0"/>
                <w:color w:val="auto"/>
                <w:kern w:val="0"/>
                <w:sz w:val="24"/>
                <w:szCs w:val="24"/>
                <w:highlight w:val="none"/>
                <w:u w:val="none"/>
                <w:lang w:val="en-US" w:eastAsia="zh-CN"/>
              </w:rPr>
              <w:t xml:space="preserve"> </w:t>
            </w:r>
            <w:r>
              <w:rPr>
                <w:rFonts w:hint="eastAsia" w:ascii="宋体" w:hAnsi="宋体" w:eastAsia="宋体" w:cs="宋体"/>
                <w:b w:val="0"/>
                <w:bCs w:val="0"/>
                <w:snapToGrid w:val="0"/>
                <w:color w:val="auto"/>
                <w:kern w:val="0"/>
                <w:sz w:val="24"/>
                <w:szCs w:val="24"/>
                <w:highlight w:val="none"/>
                <w:lang w:val="en-US" w:eastAsia="zh-CN"/>
              </w:rPr>
              <w:t xml:space="preserve">计划开工日期： </w:t>
            </w:r>
            <w:r>
              <w:rPr>
                <w:rFonts w:hint="eastAsia" w:ascii="宋体" w:hAnsi="宋体" w:eastAsia="宋体" w:cs="宋体"/>
                <w:b w:val="0"/>
                <w:bCs w:val="0"/>
                <w:snapToGrid w:val="0"/>
                <w:color w:val="auto"/>
                <w:kern w:val="0"/>
                <w:sz w:val="24"/>
                <w:szCs w:val="24"/>
                <w:highlight w:val="none"/>
                <w:u w:val="single"/>
                <w:lang w:val="en-US" w:eastAsia="zh-CN"/>
              </w:rPr>
              <w:t xml:space="preserve">  / </w:t>
            </w:r>
            <w:r>
              <w:rPr>
                <w:rFonts w:hint="eastAsia" w:ascii="宋体" w:hAnsi="宋体" w:eastAsia="宋体" w:cs="宋体"/>
                <w:b w:val="0"/>
                <w:bCs w:val="0"/>
                <w:snapToGrid w:val="0"/>
                <w:color w:val="auto"/>
                <w:kern w:val="0"/>
                <w:sz w:val="24"/>
                <w:szCs w:val="24"/>
                <w:highlight w:val="none"/>
                <w:lang w:val="en-US" w:eastAsia="zh-CN"/>
              </w:rPr>
              <w:t xml:space="preserve"> 年</w:t>
            </w:r>
            <w:r>
              <w:rPr>
                <w:rFonts w:hint="eastAsia" w:ascii="宋体" w:hAnsi="宋体" w:eastAsia="宋体" w:cs="宋体"/>
                <w:b w:val="0"/>
                <w:bCs w:val="0"/>
                <w:snapToGrid w:val="0"/>
                <w:color w:val="auto"/>
                <w:kern w:val="0"/>
                <w:sz w:val="24"/>
                <w:szCs w:val="24"/>
                <w:highlight w:val="none"/>
                <w:u w:val="single"/>
                <w:lang w:val="en-US" w:eastAsia="zh-CN"/>
              </w:rPr>
              <w:t xml:space="preserve">  /  </w:t>
            </w:r>
            <w:r>
              <w:rPr>
                <w:rFonts w:hint="eastAsia" w:ascii="宋体" w:hAnsi="宋体" w:eastAsia="宋体" w:cs="宋体"/>
                <w:b w:val="0"/>
                <w:bCs w:val="0"/>
                <w:snapToGrid w:val="0"/>
                <w:color w:val="auto"/>
                <w:kern w:val="0"/>
                <w:sz w:val="24"/>
                <w:szCs w:val="24"/>
                <w:highlight w:val="none"/>
                <w:lang w:val="en-US" w:eastAsia="zh-CN"/>
              </w:rPr>
              <w:t xml:space="preserve">  月</w:t>
            </w:r>
            <w:r>
              <w:rPr>
                <w:rFonts w:hint="eastAsia" w:ascii="宋体" w:hAnsi="宋体" w:eastAsia="宋体" w:cs="宋体"/>
                <w:b w:val="0"/>
                <w:bCs w:val="0"/>
                <w:snapToGrid w:val="0"/>
                <w:color w:val="auto"/>
                <w:kern w:val="0"/>
                <w:sz w:val="24"/>
                <w:szCs w:val="24"/>
                <w:highlight w:val="none"/>
                <w:u w:val="single"/>
                <w:lang w:val="en-US" w:eastAsia="zh-CN"/>
              </w:rPr>
              <w:t xml:space="preserve">  /  </w:t>
            </w:r>
            <w:r>
              <w:rPr>
                <w:rFonts w:hint="eastAsia" w:ascii="宋体" w:hAnsi="宋体" w:eastAsia="宋体" w:cs="宋体"/>
                <w:b w:val="0"/>
                <w:bCs w:val="0"/>
                <w:snapToGrid w:val="0"/>
                <w:color w:val="auto"/>
                <w:kern w:val="0"/>
                <w:sz w:val="24"/>
                <w:szCs w:val="24"/>
                <w:highlight w:val="none"/>
                <w:lang w:val="en-US" w:eastAsia="zh-CN"/>
              </w:rPr>
              <w:t xml:space="preserve">  日（具体开工日期以合同为准）</w:t>
            </w:r>
          </w:p>
          <w:p w14:paraId="29AC9E8D">
            <w:pPr>
              <w:pStyle w:val="3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firstLine="480" w:firstLineChars="200"/>
              <w:jc w:val="left"/>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b w:val="0"/>
                <w:bCs w:val="0"/>
                <w:snapToGrid w:val="0"/>
                <w:color w:val="auto"/>
                <w:kern w:val="0"/>
                <w:sz w:val="24"/>
                <w:szCs w:val="24"/>
                <w:highlight w:val="none"/>
                <w:u w:val="none"/>
                <w:lang w:val="en-US" w:eastAsia="zh-CN"/>
              </w:rPr>
              <w:t xml:space="preserve"> </w:t>
            </w:r>
            <w:r>
              <w:rPr>
                <w:rFonts w:hint="eastAsia" w:ascii="宋体" w:hAnsi="宋体" w:eastAsia="宋体" w:cs="宋体"/>
                <w:b w:val="0"/>
                <w:bCs w:val="0"/>
                <w:snapToGrid w:val="0"/>
                <w:color w:val="auto"/>
                <w:kern w:val="0"/>
                <w:sz w:val="24"/>
                <w:szCs w:val="24"/>
                <w:highlight w:val="none"/>
                <w:lang w:val="en-US" w:eastAsia="zh-CN"/>
              </w:rPr>
              <w:t xml:space="preserve">计划竣工日期： </w:t>
            </w:r>
            <w:r>
              <w:rPr>
                <w:rFonts w:hint="eastAsia" w:ascii="宋体" w:hAnsi="宋体" w:eastAsia="宋体" w:cs="宋体"/>
                <w:b w:val="0"/>
                <w:bCs w:val="0"/>
                <w:snapToGrid w:val="0"/>
                <w:color w:val="auto"/>
                <w:kern w:val="0"/>
                <w:sz w:val="24"/>
                <w:szCs w:val="24"/>
                <w:highlight w:val="none"/>
                <w:u w:val="single"/>
                <w:lang w:val="en-US" w:eastAsia="zh-CN"/>
              </w:rPr>
              <w:t xml:space="preserve">  / </w:t>
            </w:r>
            <w:r>
              <w:rPr>
                <w:rFonts w:hint="eastAsia" w:ascii="宋体" w:hAnsi="宋体" w:eastAsia="宋体" w:cs="宋体"/>
                <w:b w:val="0"/>
                <w:bCs w:val="0"/>
                <w:snapToGrid w:val="0"/>
                <w:color w:val="auto"/>
                <w:kern w:val="0"/>
                <w:sz w:val="24"/>
                <w:szCs w:val="24"/>
                <w:highlight w:val="none"/>
                <w:lang w:val="en-US" w:eastAsia="zh-CN"/>
              </w:rPr>
              <w:t xml:space="preserve"> 年 </w:t>
            </w:r>
            <w:r>
              <w:rPr>
                <w:rFonts w:hint="eastAsia" w:ascii="宋体" w:hAnsi="宋体" w:eastAsia="宋体" w:cs="宋体"/>
                <w:b w:val="0"/>
                <w:bCs w:val="0"/>
                <w:snapToGrid w:val="0"/>
                <w:color w:val="auto"/>
                <w:kern w:val="0"/>
                <w:sz w:val="24"/>
                <w:szCs w:val="24"/>
                <w:highlight w:val="none"/>
                <w:u w:val="single"/>
                <w:lang w:val="en-US" w:eastAsia="zh-CN"/>
              </w:rPr>
              <w:t xml:space="preserve">  /  </w:t>
            </w:r>
            <w:r>
              <w:rPr>
                <w:rFonts w:hint="eastAsia" w:ascii="宋体" w:hAnsi="宋体" w:eastAsia="宋体" w:cs="宋体"/>
                <w:b w:val="0"/>
                <w:bCs w:val="0"/>
                <w:snapToGrid w:val="0"/>
                <w:color w:val="auto"/>
                <w:kern w:val="0"/>
                <w:sz w:val="24"/>
                <w:szCs w:val="24"/>
                <w:highlight w:val="none"/>
                <w:lang w:val="en-US" w:eastAsia="zh-CN"/>
              </w:rPr>
              <w:t xml:space="preserve"> 月</w:t>
            </w:r>
            <w:r>
              <w:rPr>
                <w:rFonts w:hint="eastAsia" w:ascii="宋体" w:hAnsi="宋体" w:eastAsia="宋体" w:cs="宋体"/>
                <w:b w:val="0"/>
                <w:bCs w:val="0"/>
                <w:snapToGrid w:val="0"/>
                <w:color w:val="auto"/>
                <w:kern w:val="0"/>
                <w:sz w:val="24"/>
                <w:szCs w:val="24"/>
                <w:highlight w:val="none"/>
                <w:u w:val="single"/>
                <w:lang w:val="en-US" w:eastAsia="zh-CN"/>
              </w:rPr>
              <w:t xml:space="preserve"> / </w:t>
            </w:r>
            <w:r>
              <w:rPr>
                <w:rFonts w:hint="eastAsia" w:ascii="宋体" w:hAnsi="宋体" w:eastAsia="宋体" w:cs="宋体"/>
                <w:b w:val="0"/>
                <w:bCs w:val="0"/>
                <w:snapToGrid w:val="0"/>
                <w:color w:val="auto"/>
                <w:kern w:val="0"/>
                <w:sz w:val="24"/>
                <w:szCs w:val="24"/>
                <w:highlight w:val="none"/>
                <w:lang w:val="en-US" w:eastAsia="zh-CN"/>
              </w:rPr>
              <w:t xml:space="preserve"> 日 </w:t>
            </w:r>
          </w:p>
          <w:p w14:paraId="0F24B4A3">
            <w:pPr>
              <w:pStyle w:val="3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firstLine="480" w:firstLineChars="200"/>
              <w:jc w:val="left"/>
              <w:textAlignment w:val="auto"/>
              <w:rPr>
                <w:rFonts w:hint="eastAsia" w:ascii="宋体" w:hAnsi="宋体" w:eastAsia="宋体" w:cs="宋体"/>
                <w:b w:val="0"/>
                <w:bCs w:val="0"/>
                <w:snapToGrid w:val="0"/>
                <w:color w:val="auto"/>
                <w:kern w:val="0"/>
                <w:sz w:val="24"/>
                <w:szCs w:val="24"/>
                <w:highlight w:val="none"/>
                <w:lang w:val="en-US"/>
              </w:rPr>
            </w:pPr>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b w:val="0"/>
                <w:bCs w:val="0"/>
                <w:snapToGrid w:val="0"/>
                <w:color w:val="auto"/>
                <w:kern w:val="0"/>
                <w:sz w:val="24"/>
                <w:szCs w:val="24"/>
                <w:highlight w:val="none"/>
                <w:u w:val="none"/>
                <w:lang w:val="en-US" w:eastAsia="zh-CN"/>
              </w:rPr>
              <w:t xml:space="preserve"> </w:t>
            </w:r>
            <w:r>
              <w:rPr>
                <w:rFonts w:hint="eastAsia" w:ascii="宋体" w:hAnsi="宋体" w:eastAsia="宋体" w:cs="宋体"/>
                <w:b w:val="0"/>
                <w:bCs w:val="0"/>
                <w:snapToGrid w:val="0"/>
                <w:color w:val="auto"/>
                <w:kern w:val="0"/>
                <w:sz w:val="24"/>
                <w:szCs w:val="24"/>
                <w:highlight w:val="none"/>
                <w:lang w:val="en-US" w:eastAsia="zh-CN"/>
              </w:rPr>
              <w:t xml:space="preserve">除上述总工期外，发包人还要求以下阶段工期： </w:t>
            </w:r>
            <w:r>
              <w:rPr>
                <w:rFonts w:hint="eastAsia" w:ascii="宋体" w:hAnsi="宋体" w:eastAsia="宋体" w:cs="宋体"/>
                <w:b w:val="0"/>
                <w:bCs w:val="0"/>
                <w:snapToGrid w:val="0"/>
                <w:color w:val="auto"/>
                <w:kern w:val="0"/>
                <w:sz w:val="24"/>
                <w:szCs w:val="24"/>
                <w:highlight w:val="none"/>
                <w:u w:val="single"/>
                <w:lang w:val="en-US" w:eastAsia="zh-CN"/>
              </w:rPr>
              <w:t xml:space="preserve"> /    </w:t>
            </w:r>
            <w:r>
              <w:rPr>
                <w:rFonts w:hint="eastAsia" w:ascii="宋体" w:hAnsi="宋体" w:eastAsia="宋体" w:cs="宋体"/>
                <w:b w:val="0"/>
                <w:bCs w:val="0"/>
                <w:snapToGrid w:val="0"/>
                <w:color w:val="auto"/>
                <w:kern w:val="0"/>
                <w:sz w:val="24"/>
                <w:szCs w:val="24"/>
                <w:highlight w:val="none"/>
                <w:lang w:val="en-US" w:eastAsia="zh-CN"/>
              </w:rPr>
              <w:t xml:space="preserve"> </w:t>
            </w:r>
          </w:p>
        </w:tc>
      </w:tr>
      <w:tr w14:paraId="20A62B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234D0BA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7</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67F014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57185F21">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质量目标：合格</w:t>
            </w:r>
          </w:p>
          <w:p w14:paraId="243EC445">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☑质量标准：符合现行国家有关工程施工质量验收规范和标准的要求。</w:t>
            </w:r>
          </w:p>
          <w:p w14:paraId="0F4C91B6">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right="0"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b w:val="0"/>
                <w:bCs w:val="0"/>
                <w:snapToGrid w:val="0"/>
                <w:color w:val="auto"/>
                <w:kern w:val="0"/>
                <w:sz w:val="24"/>
                <w:szCs w:val="24"/>
                <w:highlight w:val="none"/>
                <w:u w:val="none"/>
                <w:lang w:val="en-US" w:eastAsia="zh-CN"/>
              </w:rPr>
              <w:t xml:space="preserve"> </w:t>
            </w:r>
            <w:r>
              <w:rPr>
                <w:rFonts w:hint="eastAsia" w:ascii="宋体" w:hAnsi="宋体" w:eastAsia="宋体" w:cs="宋体"/>
                <w:color w:val="auto"/>
                <w:kern w:val="0"/>
                <w:sz w:val="24"/>
                <w:szCs w:val="24"/>
                <w:highlight w:val="none"/>
                <w:lang w:val="en-US" w:eastAsia="zh-CN" w:bidi="ar"/>
              </w:rPr>
              <w:t>优质工程要求：</w:t>
            </w:r>
            <w:r>
              <w:rPr>
                <w:rFonts w:hint="eastAsia" w:ascii="宋体" w:hAnsi="宋体" w:eastAsia="宋体" w:cs="宋体"/>
                <w:color w:val="auto"/>
                <w:kern w:val="0"/>
                <w:sz w:val="24"/>
                <w:szCs w:val="24"/>
                <w:highlight w:val="none"/>
                <w:u w:val="single"/>
                <w:lang w:val="en-US" w:eastAsia="zh-CN" w:bidi="ar"/>
              </w:rPr>
              <w:t>无</w:t>
            </w:r>
          </w:p>
          <w:p w14:paraId="256A8C83">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right="0" w:firstLine="480" w:firstLineChars="200"/>
              <w:jc w:val="left"/>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工程优质费：☑无     </w:t>
            </w:r>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有：</w:t>
            </w:r>
          </w:p>
        </w:tc>
      </w:tr>
      <w:tr w14:paraId="5DA2FC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vMerge w:val="restart"/>
            <w:tcBorders>
              <w:top w:val="single" w:color="auto" w:sz="4" w:space="0"/>
              <w:left w:val="single" w:color="auto" w:sz="4" w:space="0"/>
              <w:right w:val="single" w:color="auto" w:sz="4" w:space="0"/>
            </w:tcBorders>
            <w:noWrap w:val="0"/>
            <w:vAlign w:val="center"/>
          </w:tcPr>
          <w:p w14:paraId="18D1DB4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8</w:t>
            </w:r>
          </w:p>
        </w:tc>
        <w:tc>
          <w:tcPr>
            <w:tcW w:w="1733" w:type="dxa"/>
            <w:vMerge w:val="restart"/>
            <w:tcBorders>
              <w:top w:val="single" w:color="auto" w:sz="4" w:space="0"/>
              <w:left w:val="single" w:color="auto" w:sz="4" w:space="0"/>
              <w:right w:val="single" w:color="auto" w:sz="4" w:space="0"/>
            </w:tcBorders>
            <w:noWrap w:val="0"/>
            <w:vAlign w:val="center"/>
          </w:tcPr>
          <w:p w14:paraId="4585764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合同类型</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7F093A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sz w:val="24"/>
                <w:szCs w:val="24"/>
                <w:highlight w:val="none"/>
              </w:rPr>
            </w:pPr>
            <w:bookmarkStart w:id="24" w:name="_Hlt106417017"/>
            <w:bookmarkEnd w:id="24"/>
            <w:r>
              <w:rPr>
                <w:rFonts w:hint="eastAsia" w:ascii="宋体" w:hAnsi="宋体" w:eastAsia="宋体" w:cs="宋体"/>
                <w:color w:val="auto"/>
                <w:kern w:val="0"/>
                <w:sz w:val="24"/>
                <w:szCs w:val="24"/>
                <w:highlight w:val="none"/>
                <w:lang w:val="en-US" w:eastAsia="zh-CN" w:bidi="ar"/>
              </w:rPr>
              <w:t>☑单价合同：发承包双方约定以工程量清单及其综合单价进行合同价款计算、调整和确认的建设工程施工合同。</w:t>
            </w:r>
          </w:p>
          <w:p w14:paraId="454139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1BA8DB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vMerge w:val="continue"/>
            <w:tcBorders>
              <w:left w:val="single" w:color="auto" w:sz="4" w:space="0"/>
              <w:bottom w:val="single" w:color="auto" w:sz="4" w:space="0"/>
              <w:right w:val="single" w:color="auto" w:sz="4" w:space="0"/>
            </w:tcBorders>
            <w:noWrap w:val="0"/>
            <w:vAlign w:val="center"/>
          </w:tcPr>
          <w:p w14:paraId="62E640E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p>
        </w:tc>
        <w:tc>
          <w:tcPr>
            <w:tcW w:w="1733" w:type="dxa"/>
            <w:vMerge w:val="continue"/>
            <w:tcBorders>
              <w:left w:val="single" w:color="auto" w:sz="4" w:space="0"/>
              <w:bottom w:val="single" w:color="auto" w:sz="4" w:space="0"/>
              <w:right w:val="single" w:color="auto" w:sz="4" w:space="0"/>
            </w:tcBorders>
            <w:noWrap w:val="0"/>
            <w:vAlign w:val="center"/>
          </w:tcPr>
          <w:p w14:paraId="73C4090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p>
        </w:tc>
        <w:tc>
          <w:tcPr>
            <w:tcW w:w="7444" w:type="dxa"/>
            <w:tcBorders>
              <w:top w:val="single" w:color="auto" w:sz="4" w:space="0"/>
              <w:left w:val="single" w:color="auto" w:sz="4" w:space="0"/>
              <w:bottom w:val="single" w:color="auto" w:sz="4" w:space="0"/>
              <w:right w:val="single" w:color="auto" w:sz="4" w:space="0"/>
            </w:tcBorders>
            <w:noWrap w:val="0"/>
            <w:vAlign w:val="center"/>
          </w:tcPr>
          <w:p w14:paraId="39CF1F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□总价合同：发承包双方约定以施工图及其预算和有关条件进行合同价款计算、调整和确认的建设工程施工合同。</w:t>
            </w:r>
          </w:p>
          <w:p w14:paraId="6E73EA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9ED1E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53C97A9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19</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00CAE9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房屋建筑工程</w:t>
            </w:r>
          </w:p>
          <w:p w14:paraId="5C691DC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绿色建筑标准</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510D9D6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color w:val="auto"/>
                <w:kern w:val="2"/>
                <w:sz w:val="24"/>
                <w:szCs w:val="24"/>
                <w:highlight w:val="none"/>
              </w:rPr>
              <w:t>本招标项目</w:t>
            </w:r>
            <w:r>
              <w:rPr>
                <w:rFonts w:hint="eastAsia" w:ascii="宋体" w:hAnsi="宋体" w:eastAsia="宋体" w:cs="宋体"/>
                <w:snapToGrid/>
                <w:color w:val="auto"/>
                <w:kern w:val="2"/>
                <w:sz w:val="24"/>
                <w:szCs w:val="24"/>
                <w:highlight w:val="none"/>
                <w:lang w:val="en-US" w:eastAsia="zh-CN"/>
              </w:rPr>
              <w:t>不</w:t>
            </w:r>
            <w:r>
              <w:rPr>
                <w:rFonts w:hint="eastAsia" w:ascii="宋体" w:hAnsi="宋体" w:eastAsia="宋体" w:cs="宋体"/>
                <w:snapToGrid/>
                <w:color w:val="auto"/>
                <w:kern w:val="2"/>
                <w:sz w:val="24"/>
                <w:szCs w:val="24"/>
                <w:highlight w:val="none"/>
              </w:rPr>
              <w:t>纳入绿色建</w:t>
            </w:r>
            <w:r>
              <w:rPr>
                <w:rFonts w:hint="eastAsia" w:ascii="宋体" w:hAnsi="宋体" w:eastAsia="宋体" w:cs="宋体"/>
                <w:snapToGrid/>
                <w:color w:val="auto"/>
                <w:kern w:val="2"/>
                <w:sz w:val="24"/>
                <w:szCs w:val="24"/>
                <w:highlight w:val="none"/>
                <w:lang w:eastAsia="zh-CN"/>
              </w:rPr>
              <w:t>筑</w:t>
            </w:r>
            <w:r>
              <w:rPr>
                <w:rFonts w:hint="eastAsia" w:ascii="宋体" w:hAnsi="宋体" w:eastAsia="宋体" w:cs="宋体"/>
                <w:snapToGrid/>
                <w:color w:val="auto"/>
                <w:kern w:val="2"/>
                <w:sz w:val="24"/>
                <w:szCs w:val="24"/>
                <w:highlight w:val="none"/>
              </w:rPr>
              <w:t>实施范围</w:t>
            </w:r>
            <w:r>
              <w:rPr>
                <w:rFonts w:hint="eastAsia" w:ascii="宋体" w:hAnsi="宋体" w:eastAsia="宋体" w:cs="宋体"/>
                <w:color w:val="auto"/>
                <w:kern w:val="2"/>
                <w:sz w:val="24"/>
                <w:szCs w:val="24"/>
                <w:highlight w:val="none"/>
              </w:rPr>
              <w:t>。</w:t>
            </w:r>
          </w:p>
        </w:tc>
      </w:tr>
      <w:tr w14:paraId="407A3A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274E29D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19.1</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33B74D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装配式建筑标准</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5A0ED81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本招标项目不纳入装配式建造建设实施范围。</w:t>
            </w:r>
          </w:p>
        </w:tc>
      </w:tr>
      <w:tr w14:paraId="5D64C6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7245078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20</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CAA22F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发包人提供材料 和工程设备</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7D376A3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发包人提供材料和工程设备：☑无   </w:t>
            </w:r>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zh-CN"/>
              </w:rPr>
              <w:t>有：</w:t>
            </w:r>
            <w:r>
              <w:rPr>
                <w:rFonts w:hint="eastAsia" w:ascii="宋体" w:hAnsi="宋体" w:eastAsia="宋体" w:cs="宋体"/>
                <w:snapToGrid w:val="0"/>
                <w:color w:val="auto"/>
                <w:kern w:val="0"/>
                <w:sz w:val="24"/>
                <w:szCs w:val="24"/>
                <w:highlight w:val="none"/>
                <w:u w:val="single"/>
                <w:lang w:val="en-US" w:eastAsia="zh-CN"/>
              </w:rPr>
              <w:t xml:space="preserve">   / </w:t>
            </w:r>
          </w:p>
        </w:tc>
      </w:tr>
      <w:tr w14:paraId="5D448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35888BD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21</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3D9C50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承包人提供材料和工程设备</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201DB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已具有合格证明的材</w:t>
            </w:r>
            <w:r>
              <w:rPr>
                <w:rFonts w:hint="eastAsia" w:ascii="宋体" w:hAnsi="宋体" w:eastAsia="宋体" w:cs="宋体"/>
                <w:color w:val="auto"/>
                <w:spacing w:val="-6"/>
                <w:kern w:val="0"/>
                <w:sz w:val="24"/>
                <w:szCs w:val="24"/>
                <w:highlight w:val="none"/>
                <w:lang w:val="en-US" w:eastAsia="zh-CN" w:bidi="ar"/>
              </w:rPr>
              <w:t xml:space="preserve">料、工程设备，但经检测证明该项材料、工程设备符合合同约定的质量标准的，发包人应承担由此增加的费用和（或）工期延误，并向承包人支付合理利润。 </w:t>
            </w:r>
          </w:p>
          <w:p w14:paraId="5F0B2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□其他说明：鼓励承包人积极采购环保产品进行施工。</w:t>
            </w:r>
          </w:p>
        </w:tc>
      </w:tr>
      <w:tr w14:paraId="4807C2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47C652E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22</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6EB745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最高投标限价</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22B952E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120" w:rightChars="5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招标项目最高投标限价、施工图纸、工程量清单在开标前15天另行发布于全国公共资源交易平台（广东省·韶关市）（https://ygp.gdzwfw.gov.cn/ggzy-portal/#/440200/index）、广东省招标投标监管网（http://zbtb.gd.gov.cn）网站。</w:t>
            </w:r>
          </w:p>
        </w:tc>
      </w:tr>
      <w:tr w14:paraId="05EC02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7E62707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23</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6F2B24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投标人的投标</w:t>
            </w:r>
          </w:p>
          <w:p w14:paraId="77BAC89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报价</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563A67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人投标时响应招标文件要求所报出的对已标价工程量清单汇总后标明的价。投标人在投标报价填写的工程量清单的项目编码、项目名称、项目特征、计量单位、工程数量必须与招标人招标文件中提供的一致，投标价不能低于工程成本、高于最高投标限价。</w:t>
            </w:r>
          </w:p>
          <w:p w14:paraId="347FE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投标报价方式：☑工程量清单报价  □其他： </w:t>
            </w:r>
          </w:p>
          <w:p w14:paraId="64A0A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最高投标限价：本招标项目最高投标限价、工程量清单在开标前15天另行发布于全国公共资源交易平台（广东省·韶关市）（https://ygp.gdzwfw.gov.cn/ggzy-portal/#/440200/index）、广东省招标投标监管网（http://zbtb.gd.gov.cn）网站。</w:t>
            </w:r>
          </w:p>
          <w:p w14:paraId="4C6D32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val="en-US" w:eastAsia="zh-CN" w:bidi="ar"/>
              </w:rPr>
              <w:t>投标报价时，应按《广东省建设工程计价依据（2018）》规定的费率报价，若招标工程量清单明确说明不计算预算包干费或另外确定预算包干费费率的，则按招标工程量清单报价。</w:t>
            </w:r>
          </w:p>
        </w:tc>
      </w:tr>
      <w:tr w14:paraId="466477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7045C39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24</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060DBB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投标报价风险</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06BB6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☑投标人依据招标文件约定自行考虑风险因素，一旦中标，投标报价（合同价）除合同另有约定外将不因市场变化而调整。</w:t>
            </w:r>
          </w:p>
          <w:p w14:paraId="51E781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☑投标报价中应包括工程量清单项目所发生的人工费、材料费、 机具费、管理费、利润、措施项目费、其他项目费、税金、暂列金额、暂估价以及所有风险、责任等各项费用。 </w:t>
            </w:r>
          </w:p>
          <w:p w14:paraId="3195B1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☑人工费、材料费、机具费、管理费、利润、措施项目费投标人漏报或不报，招标人视为有关费用已包括在工程量清单项目的其他单价及合价中不予另外增加。 </w:t>
            </w:r>
          </w:p>
          <w:p w14:paraId="7306C6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☑在施工过程中产生的各项工程检测费用、验收费用、水电报装入户等各项费用均由承包人自行解决，费用考虑在投标报价中。</w:t>
            </w:r>
          </w:p>
          <w:p w14:paraId="5479C2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☑措施项目中的安全生产措施费，必须按国家、省级、市级（即工程所在地）行业建设主管部门的规定计算，不得作为竞争性费用。 </w:t>
            </w:r>
          </w:p>
          <w:p w14:paraId="281C85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☑投标人应按照招标文件提供的工程量清单逐项填写单价和合价，投标人未填写的项目，招标人将视为此项费用已包括在工程量清单项目的其他单价及合价中不予另外增加。 </w:t>
            </w:r>
          </w:p>
          <w:p w14:paraId="43F5E8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 </w:t>
            </w:r>
          </w:p>
          <w:p w14:paraId="524B5F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☑招标人向投标人提供的有关施工现场资料及数据，是招标人现有的能使投标人利用的资料，招标人对投标人据此作出的推论及理解概不负责。 </w:t>
            </w:r>
          </w:p>
          <w:p w14:paraId="0AF232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 </w:t>
            </w:r>
          </w:p>
          <w:p w14:paraId="5A41B6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☑错漏项的认定。中标人已标价工程量清单中，任一清单项目未填报价格或价格为零的，招标人将视为此项费用已包括在工程量清单项目的其他单价及合价中不予另外增加。</w:t>
            </w:r>
          </w:p>
        </w:tc>
      </w:tr>
      <w:tr w14:paraId="633CEF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35DF4FD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25</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558E79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投标费用</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059D533A">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投标人自行承担编制与递交投标文件的一切费用。</w:t>
            </w:r>
          </w:p>
        </w:tc>
      </w:tr>
      <w:tr w14:paraId="0D0EB5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744FE4F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26</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92EDD4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val="0"/>
                <w:bCs w:val="0"/>
                <w:i w:val="0"/>
                <w:color w:val="auto"/>
                <w:kern w:val="0"/>
                <w:sz w:val="24"/>
                <w:szCs w:val="24"/>
                <w:highlight w:val="none"/>
                <w:u w:val="none"/>
                <w:lang w:val="en-US" w:eastAsia="zh-CN" w:bidi="ar"/>
              </w:rPr>
              <w:t>成本警示价</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72B1E7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投标报价</w:t>
            </w:r>
            <w:r>
              <w:rPr>
                <w:rFonts w:hint="eastAsia" w:ascii="宋体" w:hAnsi="宋体" w:eastAsia="宋体" w:cs="宋体"/>
                <w:color w:val="auto"/>
                <w:kern w:val="0"/>
                <w:sz w:val="24"/>
                <w:szCs w:val="24"/>
                <w:highlight w:val="none"/>
                <w:lang w:val="en-US" w:eastAsia="zh-CN" w:bidi="ar"/>
              </w:rPr>
              <w:t>要求：</w:t>
            </w:r>
          </w:p>
          <w:p w14:paraId="4FB281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1.投标人的投标报价不得高于招标人设置的最高投标限价，否则作无效投标处理；</w:t>
            </w:r>
          </w:p>
          <w:p w14:paraId="090CDE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2.投标人的投标报价如低于招标项目的成本警示价的，需提供成本分析资料等报价依</w:t>
            </w:r>
            <w:r>
              <w:rPr>
                <w:rFonts w:hint="eastAsia" w:ascii="宋体" w:hAnsi="宋体" w:eastAsia="宋体" w:cs="宋体"/>
                <w:color w:val="auto"/>
                <w:sz w:val="24"/>
                <w:szCs w:val="24"/>
                <w:highlight w:val="none"/>
                <w:lang w:val="en-US" w:eastAsia="zh-CN"/>
              </w:rPr>
              <w:t>据。（成本警示价＝最高投标限价×85%）</w:t>
            </w:r>
          </w:p>
        </w:tc>
      </w:tr>
      <w:tr w14:paraId="01180C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04420B0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27</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27FEBB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4159EE84">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本次招标</w:t>
            </w:r>
            <w:r>
              <w:rPr>
                <w:rFonts w:hint="eastAsia" w:ascii="宋体" w:hAnsi="宋体" w:eastAsia="宋体" w:cs="宋体"/>
                <w:b/>
                <w:bCs/>
                <w:color w:val="auto"/>
                <w:sz w:val="24"/>
                <w:szCs w:val="24"/>
                <w:highlight w:val="none"/>
                <w:u w:val="single"/>
              </w:rPr>
              <w:t>接受</w:t>
            </w:r>
            <w:r>
              <w:rPr>
                <w:rFonts w:hint="eastAsia" w:ascii="宋体" w:hAnsi="宋体" w:eastAsia="宋体" w:cs="宋体"/>
                <w:color w:val="auto"/>
                <w:sz w:val="24"/>
                <w:szCs w:val="24"/>
                <w:highlight w:val="none"/>
              </w:rPr>
              <w:t>联合体投标，联合体以一个投标人的身份共同投标。</w:t>
            </w:r>
          </w:p>
          <w:p w14:paraId="13F4585D">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1.1联合体成员数量不超过</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个。</w:t>
            </w:r>
          </w:p>
          <w:p w14:paraId="6E9A31ED">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1.2联合体各方应按招标文件提供的格式签订联合体协议书，明确联合体牵头人和各方权利义务，并承诺就中标项目向招标人承担连带责任。《联合体协议书》作为投标文件的组成部分向招标人提交。</w:t>
            </w:r>
          </w:p>
          <w:p w14:paraId="35A1551D">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联合体成员单位均应具备拟承担的工作内容（以《联合体协议书》的约定为准）所规定的资格条件。若同一工作内容由两个或两个以上单位共同承担，该项工作内容按照资质等级较低的单位确定联合体资质等级。</w:t>
            </w:r>
          </w:p>
          <w:p w14:paraId="1F062960">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1.4联合体各方不得再以自己名义单独或参加其他联合体在本招标项目中投标，否则各相关投标均无效。</w:t>
            </w:r>
          </w:p>
          <w:p w14:paraId="1B615F38">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资格资质要求</w:t>
            </w:r>
          </w:p>
          <w:p w14:paraId="29FA5119">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投标人须具备独立法人资格，按国家法律经营。</w:t>
            </w:r>
          </w:p>
          <w:p w14:paraId="79FAA5AC">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投标人须持有建设行政主管部门颁发的企业资质证书及安全生产许可证。</w:t>
            </w:r>
          </w:p>
          <w:p w14:paraId="6DC0FE2A">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参加投标的投标人可以是单一独立法人或由不超过</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家独立法人组成的联合体【必须注明其中一家为牵头人】，联合体各方不得再以自己的名义单独申请，也不得同时参加两个或两个以上的联合体进行本项目的投标。</w:t>
            </w:r>
          </w:p>
          <w:p w14:paraId="6F2DAAD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right="120" w:rightChars="50"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投标人</w:t>
            </w:r>
            <w:r>
              <w:rPr>
                <w:rFonts w:hint="eastAsia" w:ascii="宋体" w:hAnsi="宋体" w:eastAsia="宋体" w:cs="宋体"/>
                <w:color w:val="auto"/>
                <w:sz w:val="24"/>
                <w:szCs w:val="24"/>
                <w:highlight w:val="none"/>
                <w:lang w:eastAsia="zh-CN"/>
              </w:rPr>
              <w:t>（或组成联合体）</w:t>
            </w:r>
            <w:r>
              <w:rPr>
                <w:rFonts w:hint="eastAsia" w:ascii="宋体" w:hAnsi="宋体" w:eastAsia="宋体" w:cs="宋体"/>
                <w:color w:val="auto"/>
                <w:sz w:val="24"/>
                <w:szCs w:val="24"/>
                <w:highlight w:val="none"/>
              </w:rPr>
              <w:t>须具备以下资质：</w:t>
            </w:r>
            <w:r>
              <w:rPr>
                <w:rFonts w:hint="eastAsia" w:ascii="宋体" w:hAnsi="宋体" w:eastAsia="宋体" w:cs="宋体"/>
                <w:b/>
                <w:bCs/>
                <w:color w:val="auto"/>
                <w:sz w:val="24"/>
                <w:szCs w:val="24"/>
                <w:highlight w:val="none"/>
                <w:u w:val="single"/>
                <w:lang w:eastAsia="zh-CN"/>
              </w:rPr>
              <w:t>市政公用工程施工总承包</w:t>
            </w:r>
            <w:r>
              <w:rPr>
                <w:rFonts w:hint="eastAsia" w:ascii="宋体" w:hAnsi="宋体" w:eastAsia="宋体" w:cs="宋体"/>
                <w:b/>
                <w:bCs/>
                <w:color w:val="auto"/>
                <w:sz w:val="24"/>
                <w:szCs w:val="24"/>
                <w:highlight w:val="none"/>
                <w:u w:val="single"/>
                <w:lang w:val="en-US" w:eastAsia="zh-CN"/>
              </w:rPr>
              <w:t>叁</w:t>
            </w:r>
            <w:r>
              <w:rPr>
                <w:rFonts w:hint="eastAsia" w:ascii="宋体" w:hAnsi="宋体" w:eastAsia="宋体" w:cs="宋体"/>
                <w:b/>
                <w:bCs/>
                <w:color w:val="auto"/>
                <w:sz w:val="24"/>
                <w:szCs w:val="24"/>
                <w:highlight w:val="none"/>
                <w:u w:val="single"/>
                <w:lang w:eastAsia="zh-CN"/>
              </w:rPr>
              <w:t>级以上（含</w:t>
            </w:r>
            <w:r>
              <w:rPr>
                <w:rFonts w:hint="eastAsia" w:ascii="宋体" w:hAnsi="宋体" w:eastAsia="宋体" w:cs="宋体"/>
                <w:b/>
                <w:bCs/>
                <w:color w:val="auto"/>
                <w:sz w:val="24"/>
                <w:szCs w:val="24"/>
                <w:highlight w:val="none"/>
                <w:u w:val="single"/>
                <w:lang w:val="en-US" w:eastAsia="zh-CN"/>
              </w:rPr>
              <w:t>叁</w:t>
            </w:r>
            <w:r>
              <w:rPr>
                <w:rFonts w:hint="eastAsia" w:ascii="宋体" w:hAnsi="宋体" w:eastAsia="宋体" w:cs="宋体"/>
                <w:b/>
                <w:bCs/>
                <w:color w:val="auto"/>
                <w:sz w:val="24"/>
                <w:szCs w:val="24"/>
                <w:highlight w:val="none"/>
                <w:u w:val="single"/>
                <w:lang w:eastAsia="zh-CN"/>
              </w:rPr>
              <w:t>级）资质</w:t>
            </w:r>
            <w:r>
              <w:rPr>
                <w:rFonts w:hint="eastAsia" w:ascii="宋体" w:hAnsi="宋体" w:eastAsia="宋体" w:cs="宋体"/>
                <w:color w:val="auto"/>
                <w:sz w:val="24"/>
                <w:szCs w:val="24"/>
                <w:highlight w:val="none"/>
                <w:u w:val="single"/>
              </w:rPr>
              <w:t>。</w:t>
            </w:r>
          </w:p>
          <w:p w14:paraId="0D17EC5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kern w:val="2"/>
                <w:sz w:val="24"/>
                <w:szCs w:val="24"/>
                <w:highlight w:val="none"/>
                <w:lang w:val="en-US" w:eastAsia="zh-CN" w:bidi="ar-SA"/>
              </w:rPr>
              <w:t>2.5</w:t>
            </w:r>
            <w:r>
              <w:rPr>
                <w:rFonts w:hint="eastAsia" w:ascii="宋体" w:hAnsi="宋体" w:eastAsia="宋体" w:cs="宋体"/>
                <w:snapToGrid w:val="0"/>
                <w:color w:val="auto"/>
                <w:kern w:val="0"/>
                <w:sz w:val="24"/>
                <w:szCs w:val="24"/>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证明在开标日继续有效。</w:t>
            </w:r>
          </w:p>
          <w:p w14:paraId="68DEBF1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相关人员要求</w:t>
            </w:r>
          </w:p>
          <w:p w14:paraId="5FBAA86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z w:val="24"/>
                <w:szCs w:val="24"/>
                <w:highlight w:val="none"/>
              </w:rPr>
              <w:t xml:space="preserve">3.1 </w:t>
            </w:r>
            <w:r>
              <w:rPr>
                <w:rFonts w:hint="eastAsia" w:ascii="宋体" w:hAnsi="宋体" w:eastAsia="宋体" w:cs="宋体"/>
                <w:snapToGrid w:val="0"/>
                <w:color w:val="auto"/>
                <w:kern w:val="0"/>
                <w:sz w:val="24"/>
                <w:szCs w:val="24"/>
                <w:highlight w:val="none"/>
              </w:rPr>
              <w:t>拟派项目经理为</w:t>
            </w:r>
            <w:r>
              <w:rPr>
                <w:rFonts w:hint="eastAsia" w:ascii="宋体" w:hAnsi="宋体" w:eastAsia="宋体" w:cs="宋体"/>
                <w:b/>
                <w:bCs/>
                <w:snapToGrid w:val="0"/>
                <w:color w:val="auto"/>
                <w:kern w:val="0"/>
                <w:sz w:val="24"/>
                <w:szCs w:val="24"/>
                <w:highlight w:val="none"/>
                <w:u w:val="single"/>
                <w:lang w:eastAsia="zh-CN"/>
              </w:rPr>
              <w:t>市政公用工程</w:t>
            </w:r>
            <w:r>
              <w:rPr>
                <w:rFonts w:hint="eastAsia" w:ascii="宋体" w:hAnsi="宋体" w:eastAsia="宋体" w:cs="宋体"/>
                <w:snapToGrid w:val="0"/>
                <w:color w:val="auto"/>
                <w:kern w:val="0"/>
                <w:sz w:val="24"/>
                <w:szCs w:val="24"/>
                <w:highlight w:val="none"/>
              </w:rPr>
              <w:t>专业</w:t>
            </w:r>
            <w:r>
              <w:rPr>
                <w:rFonts w:hint="eastAsia" w:ascii="宋体" w:hAnsi="宋体" w:eastAsia="宋体" w:cs="宋体"/>
                <w:color w:val="auto"/>
                <w:sz w:val="24"/>
                <w:szCs w:val="24"/>
                <w:highlight w:val="none"/>
              </w:rPr>
              <w:t>一级或二级</w:t>
            </w:r>
            <w:r>
              <w:rPr>
                <w:rFonts w:hint="eastAsia" w:ascii="宋体" w:hAnsi="宋体" w:eastAsia="宋体" w:cs="宋体"/>
                <w:caps w:val="0"/>
                <w:smallCaps w:val="0"/>
                <w:snapToGrid w:val="0"/>
                <w:color w:val="auto"/>
                <w:spacing w:val="0"/>
                <w:kern w:val="0"/>
                <w:sz w:val="24"/>
                <w:szCs w:val="24"/>
                <w:highlight w:val="none"/>
                <w:u w:val="none"/>
                <w:lang w:val="en-US" w:eastAsia="zh-CN" w:bidi="ar-SA"/>
              </w:rPr>
              <w:t>注册建造师</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eastAsia="zh-CN"/>
              </w:rPr>
              <w:t>应持有住建部门印发的在使用有效期内的有效电子注册证书。同时均须具备有效安全生产考核合格证明（B 证），且未担任其他在施（包括已中标未开工、已开工未竣工）建设工程项目的项目经理。</w:t>
            </w:r>
          </w:p>
          <w:p w14:paraId="795CFE9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3.2 </w:t>
            </w:r>
            <w:r>
              <w:rPr>
                <w:rFonts w:hint="eastAsia" w:ascii="宋体" w:hAnsi="宋体" w:eastAsia="宋体" w:cs="宋体"/>
                <w:snapToGrid w:val="0"/>
                <w:color w:val="auto"/>
                <w:kern w:val="0"/>
                <w:sz w:val="24"/>
                <w:szCs w:val="24"/>
                <w:highlight w:val="none"/>
              </w:rPr>
              <w:t>拟派项目技术负责人须具备</w:t>
            </w:r>
            <w:r>
              <w:rPr>
                <w:rFonts w:hint="eastAsia" w:ascii="宋体" w:hAnsi="宋体" w:eastAsia="宋体" w:cs="宋体"/>
                <w:b/>
                <w:bCs/>
                <w:color w:val="auto"/>
                <w:kern w:val="0"/>
                <w:sz w:val="24"/>
                <w:szCs w:val="24"/>
                <w:highlight w:val="none"/>
                <w:u w:val="single"/>
                <w:lang w:eastAsia="zh-CN"/>
              </w:rPr>
              <w:t>市政类</w:t>
            </w:r>
            <w:r>
              <w:rPr>
                <w:rFonts w:hint="eastAsia" w:ascii="宋体" w:hAnsi="宋体" w:eastAsia="宋体" w:cs="宋体"/>
                <w:color w:val="auto"/>
                <w:kern w:val="0"/>
                <w:sz w:val="24"/>
                <w:szCs w:val="24"/>
                <w:highlight w:val="none"/>
                <w:u w:val="none"/>
              </w:rPr>
              <w:t>相关</w:t>
            </w:r>
            <w:r>
              <w:rPr>
                <w:rFonts w:hint="eastAsia" w:ascii="宋体" w:hAnsi="宋体" w:eastAsia="宋体" w:cs="宋体"/>
                <w:snapToGrid w:val="0"/>
                <w:color w:val="auto"/>
                <w:kern w:val="0"/>
                <w:sz w:val="24"/>
                <w:szCs w:val="24"/>
                <w:highlight w:val="none"/>
              </w:rPr>
              <w:t>专业</w:t>
            </w:r>
            <w:r>
              <w:rPr>
                <w:rFonts w:hint="eastAsia" w:ascii="宋体" w:hAnsi="宋体" w:eastAsia="宋体" w:cs="宋体"/>
                <w:b/>
                <w:bCs/>
                <w:snapToGrid w:val="0"/>
                <w:color w:val="auto"/>
                <w:kern w:val="0"/>
                <w:sz w:val="24"/>
                <w:szCs w:val="24"/>
                <w:highlight w:val="none"/>
                <w:u w:val="single"/>
                <w:lang w:eastAsia="zh-CN"/>
              </w:rPr>
              <w:t>中</w:t>
            </w:r>
            <w:r>
              <w:rPr>
                <w:rFonts w:hint="eastAsia" w:ascii="宋体" w:hAnsi="宋体" w:eastAsia="宋体" w:cs="宋体"/>
                <w:snapToGrid w:val="0"/>
                <w:color w:val="auto"/>
                <w:kern w:val="0"/>
                <w:sz w:val="24"/>
                <w:szCs w:val="24"/>
                <w:highlight w:val="none"/>
              </w:rPr>
              <w:t>级或以上技术职称</w:t>
            </w:r>
            <w:r>
              <w:rPr>
                <w:rFonts w:hint="eastAsia" w:ascii="宋体" w:hAnsi="宋体" w:eastAsia="宋体" w:cs="宋体"/>
                <w:color w:val="auto"/>
                <w:sz w:val="24"/>
                <w:szCs w:val="24"/>
                <w:highlight w:val="none"/>
              </w:rPr>
              <w:t>。</w:t>
            </w:r>
          </w:p>
          <w:p w14:paraId="7BD0033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bCs/>
                <w:color w:val="auto"/>
                <w:sz w:val="24"/>
                <w:szCs w:val="24"/>
                <w:highlight w:val="none"/>
                <w:u w:val="single"/>
                <w:lang w:val="en-US" w:eastAsia="zh-CN"/>
              </w:rPr>
              <w:t xml:space="preserve"> 1 </w:t>
            </w:r>
            <w:r>
              <w:rPr>
                <w:rFonts w:hint="eastAsia" w:ascii="宋体" w:hAnsi="宋体" w:eastAsia="宋体" w:cs="宋体"/>
                <w:b/>
                <w:bCs/>
                <w:color w:val="auto"/>
                <w:sz w:val="24"/>
                <w:szCs w:val="24"/>
                <w:highlight w:val="none"/>
              </w:rPr>
              <w:t>人</w:t>
            </w:r>
            <w:r>
              <w:rPr>
                <w:rFonts w:hint="eastAsia" w:ascii="宋体" w:hAnsi="宋体" w:eastAsia="宋体" w:cs="宋体"/>
                <w:color w:val="auto"/>
                <w:sz w:val="24"/>
                <w:szCs w:val="24"/>
                <w:highlight w:val="none"/>
              </w:rPr>
              <w:t>。</w:t>
            </w:r>
          </w:p>
          <w:p w14:paraId="6F832D1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3.4</w:t>
            </w:r>
            <w:r>
              <w:rPr>
                <w:rFonts w:hint="eastAsia" w:ascii="宋体" w:hAnsi="宋体" w:eastAsia="宋体" w:cs="宋体"/>
                <w:color w:val="auto"/>
                <w:sz w:val="24"/>
                <w:szCs w:val="24"/>
                <w:highlight w:val="none"/>
                <w:lang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5F3F0FE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禁止投标条款：</w:t>
            </w:r>
          </w:p>
          <w:p w14:paraId="3AFD759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投标人不得存在下列情形之一：</w:t>
            </w:r>
          </w:p>
          <w:p w14:paraId="007E7839">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（1）为招标人不具有独立法人资格的附属机构（单位）；</w:t>
            </w:r>
          </w:p>
          <w:p w14:paraId="0C8891D4">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（2）为本招标项目前期准备提供设计或咨询服务的；</w:t>
            </w:r>
          </w:p>
          <w:p w14:paraId="18E45236">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（3）与本招标项目的其他投标人为同一个单位负责人；</w:t>
            </w:r>
          </w:p>
          <w:p w14:paraId="6C26D677">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（4）与本招标项目的其他投标人存在控股、管理关系；</w:t>
            </w:r>
          </w:p>
          <w:p w14:paraId="739F421D">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（5）为本招标项目的监理人；</w:t>
            </w:r>
          </w:p>
          <w:p w14:paraId="29FC2536">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（6）为本招标项目的代建人；</w:t>
            </w:r>
          </w:p>
          <w:p w14:paraId="6DF31AC9">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（7）为本招标项目的招标代理机构；</w:t>
            </w:r>
          </w:p>
          <w:p w14:paraId="05DA8032">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（8）与本招标项目的监理人或代建人或招标代理机构同为一个法定代表人；</w:t>
            </w:r>
          </w:p>
          <w:p w14:paraId="7C13DA92">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（9）与本招标项目的监理人或代建人或招标代理机构存在控股或参股关系；</w:t>
            </w:r>
          </w:p>
          <w:p w14:paraId="73493EE6">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（10）与本招标项目的监理人或代建人或招标代理机构存在相互任职或工作关系；</w:t>
            </w:r>
          </w:p>
          <w:p w14:paraId="385F94CF">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（11）被依法暂停或者取消投标资格；</w:t>
            </w:r>
          </w:p>
          <w:p w14:paraId="77AFAB8A">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（12）被责令停产停业、暂扣或者吊销许可证、暂扣或者吊销执照；</w:t>
            </w:r>
          </w:p>
          <w:p w14:paraId="55010F65">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（13）进入清算程序，或被宣告破产，或其他丧失履约能力的情形；</w:t>
            </w:r>
          </w:p>
          <w:p w14:paraId="2CA84F4A">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（14）在最近三年内发生重大工程质量或安全问题（以相关行业主管部门的行政处罚决定或司法机关出具的有关法律文书为准）；</w:t>
            </w:r>
          </w:p>
          <w:p w14:paraId="7047B0B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rPr>
              <w:t>（15）被“信用中国”网站（https</w:t>
            </w:r>
            <w:r>
              <w:rPr>
                <w:rFonts w:hint="eastAsia" w:ascii="宋体" w:hAnsi="宋体" w:eastAsia="宋体" w:cs="宋体"/>
                <w:i w:val="0"/>
                <w:iCs w:val="0"/>
                <w:caps w:val="0"/>
                <w:color w:val="auto"/>
                <w:spacing w:val="0"/>
                <w:sz w:val="24"/>
                <w:szCs w:val="24"/>
                <w:highlight w:val="none"/>
                <w:lang w:eastAsia="zh-CN"/>
              </w:rPr>
              <w:t>：</w:t>
            </w:r>
            <w:r>
              <w:rPr>
                <w:rFonts w:hint="eastAsia" w:ascii="宋体" w:hAnsi="宋体" w:eastAsia="宋体" w:cs="宋体"/>
                <w:i w:val="0"/>
                <w:iCs w:val="0"/>
                <w:caps w:val="0"/>
                <w:color w:val="auto"/>
                <w:spacing w:val="0"/>
                <w:sz w:val="24"/>
                <w:szCs w:val="24"/>
                <w:highlight w:val="none"/>
              </w:rPr>
              <w:t>//www.creditchina.gov.cn）发布的《法人和非法人组织公共信用信息报告》列为严重失信主体名单的。</w:t>
            </w:r>
          </w:p>
          <w:p w14:paraId="2FFA59C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 招标人拒绝以下名单中的单位参加本次投标：</w:t>
            </w:r>
          </w:p>
          <w:tbl>
            <w:tblPr>
              <w:tblStyle w:val="21"/>
              <w:tblW w:w="7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3578"/>
              <w:gridCol w:w="3077"/>
            </w:tblGrid>
            <w:tr w14:paraId="66DF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jc w:val="center"/>
              </w:trPr>
              <w:tc>
                <w:tcPr>
                  <w:tcW w:w="523" w:type="dxa"/>
                  <w:tcBorders>
                    <w:top w:val="single" w:color="auto" w:sz="4" w:space="0"/>
                    <w:left w:val="single" w:color="auto" w:sz="4" w:space="0"/>
                    <w:bottom w:val="single" w:color="auto" w:sz="4" w:space="0"/>
                    <w:right w:val="single" w:color="auto" w:sz="4" w:space="0"/>
                  </w:tcBorders>
                  <w:noWrap w:val="0"/>
                  <w:vAlign w:val="center"/>
                </w:tcPr>
                <w:p w14:paraId="4E2A6B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序号</w:t>
                  </w:r>
                </w:p>
              </w:tc>
              <w:tc>
                <w:tcPr>
                  <w:tcW w:w="3578" w:type="dxa"/>
                  <w:tcBorders>
                    <w:top w:val="single" w:color="auto" w:sz="4" w:space="0"/>
                    <w:left w:val="single" w:color="auto" w:sz="4" w:space="0"/>
                    <w:bottom w:val="single" w:color="auto" w:sz="4" w:space="0"/>
                    <w:right w:val="single" w:color="auto" w:sz="4" w:space="0"/>
                  </w:tcBorders>
                  <w:noWrap w:val="0"/>
                  <w:vAlign w:val="center"/>
                </w:tcPr>
                <w:p w14:paraId="5F7D18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单位名称</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2A1CF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拒绝原因</w:t>
                  </w:r>
                </w:p>
              </w:tc>
            </w:tr>
            <w:tr w14:paraId="33DE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550AFA">
                  <w:pPr>
                    <w:pStyle w:val="3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w:t>
                  </w:r>
                </w:p>
              </w:tc>
              <w:tc>
                <w:tcPr>
                  <w:tcW w:w="35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51D9BE">
                  <w:pPr>
                    <w:pStyle w:val="3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韶关高新技术产业开发区创业服务中心</w:t>
                  </w:r>
                </w:p>
              </w:tc>
              <w:tc>
                <w:tcPr>
                  <w:tcW w:w="30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E3B9E6">
                  <w:pPr>
                    <w:pStyle w:val="3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为本项目的项目业主</w:t>
                  </w:r>
                </w:p>
              </w:tc>
            </w:tr>
            <w:tr w14:paraId="4500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970525">
                  <w:pPr>
                    <w:pStyle w:val="30"/>
                    <w:keepNext w:val="0"/>
                    <w:keepLines w:val="0"/>
                    <w:numPr>
                      <w:ilvl w:val="0"/>
                      <w:numId w:val="0"/>
                    </w:numPr>
                    <w:suppressLineNumbers w:val="0"/>
                    <w:wordWrap w:val="0"/>
                    <w:adjustRightInd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c>
                <w:tcPr>
                  <w:tcW w:w="3578" w:type="dxa"/>
                  <w:tcBorders>
                    <w:top w:val="single" w:color="auto" w:sz="4" w:space="0"/>
                    <w:left w:val="single" w:color="auto" w:sz="4" w:space="0"/>
                    <w:bottom w:val="single" w:color="auto" w:sz="4" w:space="0"/>
                    <w:right w:val="single" w:color="auto" w:sz="4" w:space="0"/>
                  </w:tcBorders>
                  <w:noWrap w:val="0"/>
                  <w:vAlign w:val="center"/>
                </w:tcPr>
                <w:p w14:paraId="07A92FB5">
                  <w:pPr>
                    <w:pStyle w:val="30"/>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bCs/>
                      <w:snapToGrid w:val="0"/>
                      <w:color w:val="auto"/>
                      <w:kern w:val="0"/>
                      <w:sz w:val="24"/>
                      <w:szCs w:val="24"/>
                      <w:highlight w:val="none"/>
                      <w:lang w:val="en-US" w:eastAsia="zh-CN"/>
                    </w:rPr>
                    <w:t>韶关工业园投资建设有限公司</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4EC8C769">
                  <w:pPr>
                    <w:pStyle w:val="30"/>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为本招标项目的招标人</w:t>
                  </w:r>
                </w:p>
              </w:tc>
            </w:tr>
            <w:tr w14:paraId="1098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634F79">
                  <w:pPr>
                    <w:pStyle w:val="30"/>
                    <w:keepNext w:val="0"/>
                    <w:keepLines w:val="0"/>
                    <w:numPr>
                      <w:ilvl w:val="0"/>
                      <w:numId w:val="0"/>
                    </w:numPr>
                    <w:suppressLineNumbers w:val="0"/>
                    <w:wordWrap w:val="0"/>
                    <w:adjustRightInd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3578" w:type="dxa"/>
                  <w:tcBorders>
                    <w:top w:val="single" w:color="auto" w:sz="4" w:space="0"/>
                    <w:left w:val="single" w:color="auto" w:sz="4" w:space="0"/>
                    <w:bottom w:val="single" w:color="auto" w:sz="4" w:space="0"/>
                    <w:right w:val="single" w:color="auto" w:sz="4" w:space="0"/>
                  </w:tcBorders>
                  <w:noWrap w:val="0"/>
                  <w:vAlign w:val="center"/>
                </w:tcPr>
                <w:p w14:paraId="0EFDBD86">
                  <w:pPr>
                    <w:pStyle w:val="30"/>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广东明正项目管理有限公司</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6245F103">
                  <w:pPr>
                    <w:pStyle w:val="30"/>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为本招标项目的招标代理机构</w:t>
                  </w:r>
                </w:p>
              </w:tc>
            </w:tr>
            <w:tr w14:paraId="771A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1091DB">
                  <w:pPr>
                    <w:pStyle w:val="30"/>
                    <w:keepNext w:val="0"/>
                    <w:keepLines w:val="0"/>
                    <w:numPr>
                      <w:ilvl w:val="0"/>
                      <w:numId w:val="0"/>
                    </w:numPr>
                    <w:suppressLineNumbers w:val="0"/>
                    <w:wordWrap w:val="0"/>
                    <w:adjustRightInd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w:t>
                  </w:r>
                </w:p>
              </w:tc>
              <w:tc>
                <w:tcPr>
                  <w:tcW w:w="3578" w:type="dxa"/>
                  <w:tcBorders>
                    <w:top w:val="single" w:color="auto" w:sz="4" w:space="0"/>
                    <w:left w:val="single" w:color="auto" w:sz="4" w:space="0"/>
                    <w:bottom w:val="single" w:color="auto" w:sz="4" w:space="0"/>
                    <w:right w:val="single" w:color="auto" w:sz="4" w:space="0"/>
                  </w:tcBorders>
                  <w:noWrap w:val="0"/>
                  <w:vAlign w:val="center"/>
                </w:tcPr>
                <w:p w14:paraId="5234F6C2">
                  <w:pPr>
                    <w:pStyle w:val="30"/>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韶关市新辉项目管理有限公司</w:t>
                  </w:r>
                </w:p>
              </w:tc>
              <w:tc>
                <w:tcPr>
                  <w:tcW w:w="3077" w:type="dxa"/>
                  <w:tcBorders>
                    <w:top w:val="single" w:color="auto" w:sz="4" w:space="0"/>
                    <w:left w:val="single" w:color="auto" w:sz="4" w:space="0"/>
                    <w:bottom w:val="single" w:color="auto" w:sz="4" w:space="0"/>
                    <w:right w:val="single" w:color="auto" w:sz="4" w:space="0"/>
                  </w:tcBorders>
                  <w:noWrap w:val="0"/>
                  <w:vAlign w:val="center"/>
                </w:tcPr>
                <w:p w14:paraId="56BF5005">
                  <w:pPr>
                    <w:pStyle w:val="30"/>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kern w:val="2"/>
                      <w:sz w:val="24"/>
                      <w:szCs w:val="24"/>
                      <w:highlight w:val="none"/>
                      <w:lang w:val="en-US" w:eastAsia="zh-CN" w:bidi="ar-SA"/>
                    </w:rPr>
                  </w:pPr>
                  <w:bookmarkStart w:id="25" w:name="OLE_LINK6"/>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全过程</w:t>
                  </w:r>
                  <w:r>
                    <w:rPr>
                      <w:rFonts w:hint="eastAsia" w:ascii="宋体" w:hAnsi="宋体" w:eastAsia="宋体" w:cs="宋体"/>
                      <w:snapToGrid w:val="0"/>
                      <w:color w:val="auto"/>
                      <w:kern w:val="0"/>
                      <w:sz w:val="24"/>
                      <w:szCs w:val="24"/>
                      <w:highlight w:val="none"/>
                    </w:rPr>
                    <w:t>造价咨询单位</w:t>
                  </w:r>
                  <w:bookmarkEnd w:id="25"/>
                </w:p>
              </w:tc>
            </w:tr>
            <w:tr w14:paraId="3A96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33A01E">
                  <w:pPr>
                    <w:pStyle w:val="30"/>
                    <w:keepNext w:val="0"/>
                    <w:keepLines w:val="0"/>
                    <w:numPr>
                      <w:ilvl w:val="0"/>
                      <w:numId w:val="0"/>
                    </w:numPr>
                    <w:suppressLineNumbers w:val="0"/>
                    <w:wordWrap w:val="0"/>
                    <w:adjustRightInd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5</w:t>
                  </w:r>
                </w:p>
              </w:tc>
              <w:tc>
                <w:tcPr>
                  <w:tcW w:w="35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C92630">
                  <w:pPr>
                    <w:pStyle w:val="30"/>
                    <w:keepNext w:val="0"/>
                    <w:keepLines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深圳建昌工程设计有限公司</w:t>
                  </w:r>
                </w:p>
              </w:tc>
              <w:tc>
                <w:tcPr>
                  <w:tcW w:w="30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62CEFF">
                  <w:pPr>
                    <w:pStyle w:val="30"/>
                    <w:keepNext w:val="0"/>
                    <w:keepLines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勘察设计</w:t>
                  </w:r>
                  <w:r>
                    <w:rPr>
                      <w:rFonts w:hint="eastAsia" w:ascii="宋体" w:hAnsi="宋体" w:eastAsia="宋体" w:cs="宋体"/>
                      <w:snapToGrid w:val="0"/>
                      <w:color w:val="auto"/>
                      <w:kern w:val="0"/>
                      <w:sz w:val="24"/>
                      <w:szCs w:val="24"/>
                      <w:highlight w:val="none"/>
                    </w:rPr>
                    <w:t>单位</w:t>
                  </w:r>
                </w:p>
              </w:tc>
            </w:tr>
            <w:tr w14:paraId="1E3B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2032E6">
                  <w:pPr>
                    <w:pStyle w:val="30"/>
                    <w:keepNext w:val="0"/>
                    <w:keepLines w:val="0"/>
                    <w:numPr>
                      <w:ilvl w:val="0"/>
                      <w:numId w:val="0"/>
                    </w:numPr>
                    <w:suppressLineNumbers w:val="0"/>
                    <w:wordWrap w:val="0"/>
                    <w:adjustRightInd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5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94BC43">
                  <w:pPr>
                    <w:pStyle w:val="30"/>
                    <w:keepNext w:val="0"/>
                    <w:keepLines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待定</w:t>
                  </w:r>
                </w:p>
              </w:tc>
              <w:tc>
                <w:tcPr>
                  <w:tcW w:w="30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A08DDE">
                  <w:pPr>
                    <w:pStyle w:val="30"/>
                    <w:keepNext w:val="0"/>
                    <w:keepLines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监理</w:t>
                  </w:r>
                  <w:r>
                    <w:rPr>
                      <w:rFonts w:hint="eastAsia" w:ascii="宋体" w:hAnsi="宋体" w:eastAsia="宋体" w:cs="宋体"/>
                      <w:snapToGrid w:val="0"/>
                      <w:color w:val="auto"/>
                      <w:kern w:val="0"/>
                      <w:sz w:val="24"/>
                      <w:szCs w:val="24"/>
                      <w:highlight w:val="none"/>
                    </w:rPr>
                    <w:t>单位</w:t>
                  </w:r>
                </w:p>
              </w:tc>
            </w:tr>
          </w:tbl>
          <w:p w14:paraId="78D56EB8">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5.其他要求</w:t>
            </w:r>
          </w:p>
          <w:p w14:paraId="5BD6C9CA">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省外企业</w:t>
            </w:r>
            <w:r>
              <w:rPr>
                <w:rStyle w:val="26"/>
                <w:rFonts w:hint="eastAsia" w:ascii="宋体" w:hAnsi="宋体" w:eastAsia="宋体" w:cs="宋体"/>
                <w:color w:val="auto"/>
                <w:kern w:val="0"/>
                <w:sz w:val="24"/>
                <w:szCs w:val="24"/>
                <w:highlight w:val="none"/>
                <w:lang w:eastAsia="zh-CN"/>
              </w:rPr>
              <w:t>（</w:t>
            </w:r>
            <w:r>
              <w:rPr>
                <w:rStyle w:val="26"/>
                <w:rFonts w:hint="eastAsia" w:ascii="宋体" w:hAnsi="宋体" w:eastAsia="宋体" w:cs="宋体"/>
                <w:color w:val="auto"/>
                <w:kern w:val="0"/>
                <w:sz w:val="24"/>
                <w:szCs w:val="24"/>
                <w:highlight w:val="none"/>
              </w:rPr>
              <w:t>包括组成联合体的所有成员单位）</w:t>
            </w:r>
            <w:r>
              <w:rPr>
                <w:rFonts w:hint="eastAsia" w:ascii="宋体" w:hAnsi="宋体" w:eastAsia="宋体" w:cs="宋体"/>
                <w:color w:val="auto"/>
                <w:kern w:val="2"/>
                <w:sz w:val="24"/>
                <w:szCs w:val="24"/>
                <w:highlight w:val="none"/>
                <w:lang w:val="en-US" w:eastAsia="zh-CN" w:bidi="ar-SA"/>
              </w:rPr>
              <w:t>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0E62E0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114F376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28</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198B5B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投标有效期</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0353A7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本次招标的投标有效期为90个日历天。</w:t>
            </w:r>
          </w:p>
        </w:tc>
      </w:tr>
      <w:tr w14:paraId="613CE5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04FB1AD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w:t>
            </w:r>
            <w:r>
              <w:rPr>
                <w:rFonts w:hint="eastAsia" w:ascii="宋体" w:hAnsi="宋体" w:eastAsia="宋体" w:cs="宋体"/>
                <w:snapToGrid w:val="0"/>
                <w:color w:val="auto"/>
                <w:kern w:val="0"/>
                <w:sz w:val="24"/>
                <w:szCs w:val="24"/>
                <w:highlight w:val="none"/>
                <w:lang w:val="en-US" w:eastAsia="zh-CN"/>
              </w:rPr>
              <w:t>9</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9D399B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投标文件组成</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780E7B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投标文件包括商务标书、经济标书、施工组织设计和定标文件四个分册</w:t>
            </w:r>
          </w:p>
        </w:tc>
      </w:tr>
      <w:tr w14:paraId="6D1E0B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7E6092F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30</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AC4F04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20ED5BC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评审方式</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31BC49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本次招标施工组织设计不采用 “暗标”方式进行评审。</w:t>
            </w:r>
          </w:p>
        </w:tc>
      </w:tr>
      <w:tr w14:paraId="224B06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235F828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w:t>
            </w:r>
            <w:r>
              <w:rPr>
                <w:rFonts w:hint="eastAsia" w:ascii="宋体" w:hAnsi="宋体" w:eastAsia="宋体" w:cs="宋体"/>
                <w:snapToGrid w:val="0"/>
                <w:color w:val="auto"/>
                <w:kern w:val="0"/>
                <w:sz w:val="24"/>
                <w:szCs w:val="24"/>
                <w:highlight w:val="none"/>
                <w:lang w:val="en-US" w:eastAsia="zh-CN"/>
              </w:rPr>
              <w:t>1</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180442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评标委员会</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6EE8B8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评标委员会由5人组成，其中招标人代表0人，专家5人。专家从广东省综合评标评审专家库－韶关区域中随机抽取，其中技术类专家 3 人，经济类专家2人。</w:t>
            </w:r>
          </w:p>
        </w:tc>
      </w:tr>
      <w:tr w14:paraId="44D33A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0279D1F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32</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92FCA1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lang w:eastAsia="zh-CN"/>
              </w:rPr>
              <w:t>定</w:t>
            </w:r>
            <w:r>
              <w:rPr>
                <w:rFonts w:hint="eastAsia" w:ascii="宋体" w:hAnsi="宋体" w:eastAsia="宋体" w:cs="宋体"/>
                <w:color w:val="auto"/>
                <w:sz w:val="24"/>
                <w:szCs w:val="24"/>
                <w:highlight w:val="none"/>
              </w:rPr>
              <w:t>标委员会</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2E09D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u w:val="none"/>
                <w:lang w:val="en-US" w:eastAsia="zh-CN"/>
              </w:rPr>
              <w:t>本</w:t>
            </w:r>
            <w:r>
              <w:rPr>
                <w:rFonts w:hint="eastAsia" w:ascii="宋体" w:hAnsi="宋体" w:eastAsia="宋体" w:cs="宋体"/>
                <w:color w:val="auto"/>
                <w:sz w:val="24"/>
                <w:szCs w:val="24"/>
                <w:highlight w:val="none"/>
                <w:u w:val="none"/>
                <w:lang w:eastAsia="zh-CN"/>
              </w:rPr>
              <w:t>项目</w:t>
            </w:r>
            <w:r>
              <w:rPr>
                <w:rFonts w:hint="eastAsia" w:ascii="宋体" w:hAnsi="宋体" w:eastAsia="宋体" w:cs="宋体"/>
                <w:color w:val="auto"/>
                <w:sz w:val="24"/>
                <w:szCs w:val="24"/>
                <w:highlight w:val="none"/>
                <w:u w:val="none"/>
              </w:rPr>
              <w:t>定标委员会</w:t>
            </w:r>
            <w:r>
              <w:rPr>
                <w:rFonts w:hint="eastAsia" w:ascii="宋体" w:hAnsi="宋体" w:eastAsia="宋体" w:cs="宋体"/>
                <w:color w:val="auto"/>
                <w:sz w:val="24"/>
                <w:szCs w:val="24"/>
                <w:highlight w:val="none"/>
                <w:u w:val="none"/>
                <w:lang w:eastAsia="zh-CN"/>
              </w:rPr>
              <w:t>组成人</w:t>
            </w:r>
            <w:r>
              <w:rPr>
                <w:rFonts w:hint="eastAsia" w:ascii="宋体" w:hAnsi="宋体" w:eastAsia="宋体" w:cs="宋体"/>
                <w:color w:val="auto"/>
                <w:sz w:val="24"/>
                <w:szCs w:val="24"/>
                <w:highlight w:val="none"/>
                <w:u w:val="none"/>
              </w:rPr>
              <w:t>员为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7 </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u w:val="none"/>
                <w:lang w:eastAsia="zh-CN"/>
              </w:rPr>
              <w:t>。</w:t>
            </w:r>
          </w:p>
        </w:tc>
      </w:tr>
      <w:tr w14:paraId="6E42E3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62A790E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w:t>
            </w:r>
            <w:r>
              <w:rPr>
                <w:rFonts w:hint="eastAsia" w:ascii="宋体" w:hAnsi="宋体" w:eastAsia="宋体" w:cs="宋体"/>
                <w:snapToGrid w:val="0"/>
                <w:color w:val="auto"/>
                <w:kern w:val="0"/>
                <w:sz w:val="24"/>
                <w:szCs w:val="24"/>
                <w:highlight w:val="none"/>
                <w:lang w:val="en-US" w:eastAsia="zh-CN"/>
              </w:rPr>
              <w:t>3</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03983D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评标方法</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04C44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 A＋B 值评标法    □经评审的最低投标价法   ☑综合评估法</w:t>
            </w:r>
          </w:p>
        </w:tc>
      </w:tr>
      <w:tr w14:paraId="7FB695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3E92066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w:t>
            </w:r>
            <w:r>
              <w:rPr>
                <w:rFonts w:hint="eastAsia" w:ascii="宋体" w:hAnsi="宋体" w:eastAsia="宋体" w:cs="宋体"/>
                <w:snapToGrid w:val="0"/>
                <w:color w:val="auto"/>
                <w:kern w:val="0"/>
                <w:sz w:val="24"/>
                <w:szCs w:val="24"/>
                <w:highlight w:val="none"/>
                <w:lang w:val="en-US" w:eastAsia="zh-CN"/>
              </w:rPr>
              <w:t>4</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A0F368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投标文件编制</w:t>
            </w:r>
            <w:r>
              <w:rPr>
                <w:rFonts w:hint="eastAsia" w:ascii="宋体" w:hAnsi="宋体" w:eastAsia="宋体" w:cs="宋体"/>
                <w:snapToGrid w:val="0"/>
                <w:color w:val="auto"/>
                <w:kern w:val="0"/>
                <w:sz w:val="24"/>
                <w:szCs w:val="24"/>
                <w:highlight w:val="none"/>
                <w:lang w:eastAsia="zh-CN"/>
              </w:rPr>
              <w:t>及</w:t>
            </w:r>
            <w:r>
              <w:rPr>
                <w:rFonts w:hint="eastAsia" w:ascii="宋体" w:hAnsi="宋体" w:eastAsia="宋体" w:cs="宋体"/>
                <w:snapToGrid w:val="0"/>
                <w:color w:val="auto"/>
                <w:kern w:val="0"/>
                <w:sz w:val="24"/>
                <w:szCs w:val="24"/>
                <w:highlight w:val="none"/>
              </w:rPr>
              <w:t>份数要求</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4FED5F1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80" w:lineRule="exact"/>
              <w:ind w:right="0" w:firstLine="480" w:firstLineChars="200"/>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投标人须上传（递交）投标文件：</w:t>
            </w:r>
          </w:p>
          <w:p w14:paraId="565E759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80" w:lineRule="exact"/>
              <w:ind w:right="0" w:firstLine="480" w:firstLineChars="200"/>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1.电子投标文件一套：</w:t>
            </w:r>
          </w:p>
          <w:p w14:paraId="17667AF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80" w:lineRule="exact"/>
              <w:ind w:right="0" w:firstLine="480" w:firstLineChars="200"/>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（1）商务标书1份；</w:t>
            </w:r>
          </w:p>
          <w:p w14:paraId="12B2140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80" w:lineRule="exact"/>
              <w:ind w:right="0" w:firstLine="480" w:firstLineChars="200"/>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（2）经济标书1份；</w:t>
            </w:r>
          </w:p>
          <w:p w14:paraId="19E19B9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80" w:lineRule="exact"/>
              <w:ind w:right="0" w:firstLine="480" w:firstLineChars="200"/>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（3）施工组织设计1份；</w:t>
            </w:r>
          </w:p>
          <w:p w14:paraId="73EFF77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80" w:lineRule="exact"/>
              <w:ind w:right="0" w:firstLine="480" w:firstLineChars="200"/>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（4）定标文件1份；</w:t>
            </w:r>
          </w:p>
          <w:p w14:paraId="3EF2E70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80" w:lineRule="exact"/>
              <w:ind w:right="0" w:firstLine="480" w:firstLineChars="200"/>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2.对应评审要求的分项响应文件（如有）。</w:t>
            </w:r>
          </w:p>
          <w:p w14:paraId="109192C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80" w:lineRule="exact"/>
              <w:ind w:right="0" w:firstLine="480" w:firstLineChars="200"/>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https://ygp.gdzwfw.gov.cn/ggzy-portal/#/440200/index）交易指引。</w:t>
            </w:r>
          </w:p>
          <w:p w14:paraId="08088DD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80" w:lineRule="exact"/>
              <w:ind w:right="0" w:firstLine="480" w:firstLineChars="20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Cs/>
                <w:snapToGrid w:val="0"/>
                <w:color w:val="auto"/>
                <w:kern w:val="0"/>
                <w:sz w:val="24"/>
                <w:szCs w:val="24"/>
                <w:highlight w:val="none"/>
                <w:lang w:val="en-US" w:eastAsia="zh-CN"/>
              </w:rPr>
              <w:t>注：投标人被确定为中标人后，应从交易系统打印二套纸质投标文件（含签名盖章页），内容同电子投标文件，在签订本招标项目承包合同前分别提交给招标人和招标管理部门。（除招标文件约定外，纸质标书须与电子标书一致，不一致的以电子标书为准）。</w:t>
            </w:r>
          </w:p>
        </w:tc>
      </w:tr>
      <w:tr w14:paraId="6C9ADC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699253C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35</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0248BC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定标办法</w:t>
            </w:r>
          </w:p>
        </w:tc>
        <w:tc>
          <w:tcPr>
            <w:tcW w:w="7444" w:type="dxa"/>
            <w:tcBorders>
              <w:top w:val="single" w:color="auto" w:sz="4" w:space="0"/>
              <w:left w:val="single" w:color="auto" w:sz="4" w:space="0"/>
              <w:bottom w:val="single" w:color="auto" w:sz="4" w:space="0"/>
              <w:right w:val="single" w:color="auto" w:sz="4" w:space="0"/>
            </w:tcBorders>
            <w:noWrap w:val="0"/>
            <w:vAlign w:val="center"/>
          </w:tcPr>
          <w:p w14:paraId="1119C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采用</w:t>
            </w:r>
            <w:r>
              <w:rPr>
                <w:rFonts w:hint="eastAsia" w:ascii="宋体" w:hAnsi="宋体" w:eastAsia="宋体" w:cs="宋体"/>
                <w:b/>
                <w:bCs w:val="0"/>
                <w:snapToGrid w:val="0"/>
                <w:color w:val="auto"/>
                <w:kern w:val="0"/>
                <w:sz w:val="24"/>
                <w:szCs w:val="24"/>
                <w:highlight w:val="none"/>
                <w:lang w:val="en-US" w:eastAsia="zh-CN"/>
              </w:rPr>
              <w:t>评定分离</w:t>
            </w:r>
            <w:r>
              <w:rPr>
                <w:rFonts w:hint="eastAsia" w:ascii="宋体" w:hAnsi="宋体" w:eastAsia="宋体" w:cs="宋体"/>
                <w:bCs/>
                <w:snapToGrid w:val="0"/>
                <w:color w:val="auto"/>
                <w:kern w:val="0"/>
                <w:sz w:val="24"/>
                <w:szCs w:val="24"/>
                <w:highlight w:val="none"/>
                <w:lang w:val="en-US" w:eastAsia="zh-CN"/>
              </w:rPr>
              <w:t>的项目，应选定下列定标办法：</w:t>
            </w:r>
          </w:p>
          <w:p w14:paraId="19EAEC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☑票决数量法</w:t>
            </w:r>
          </w:p>
          <w:p w14:paraId="6E7397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□票决计分法</w:t>
            </w:r>
          </w:p>
          <w:p w14:paraId="2FF3BC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□集体议事法</w:t>
            </w:r>
          </w:p>
          <w:p w14:paraId="59E12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□其他方法：</w:t>
            </w:r>
          </w:p>
        </w:tc>
      </w:tr>
      <w:tr w14:paraId="2D19BC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602FB4E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36</w:t>
            </w:r>
          </w:p>
        </w:tc>
        <w:tc>
          <w:tcPr>
            <w:tcW w:w="17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C15CA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招标文件要求提交的用于评审的证书、证件、证明原件</w:t>
            </w:r>
          </w:p>
        </w:tc>
        <w:tc>
          <w:tcPr>
            <w:tcW w:w="7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68D7A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80" w:lineRule="exact"/>
              <w:ind w:right="0" w:firstLine="480" w:firstLineChars="200"/>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投标人提交用于评审的证书、证件、证明原件的，投标人应自行将所需原件密封于文件袋（箱）中，并自行准备两张“原件一览表”（详见格式十七，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彩色扫描件与原件不一致，评审时相应证明材料不予认可。</w:t>
            </w:r>
          </w:p>
        </w:tc>
      </w:tr>
      <w:tr w14:paraId="0E3EB9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44CAACD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37</w:t>
            </w:r>
          </w:p>
        </w:tc>
        <w:tc>
          <w:tcPr>
            <w:tcW w:w="17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9161D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4D937D7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213B32">
            <w:pPr>
              <w:keepNext w:val="0"/>
              <w:keepLines w:val="0"/>
              <w:widowControl/>
              <w:suppressLineNumbers w:val="0"/>
              <w:wordWrap w:val="0"/>
              <w:snapToGrid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单位名称：韶关工业园投资建设有限公司</w:t>
            </w:r>
          </w:p>
          <w:p w14:paraId="27E9168F">
            <w:pPr>
              <w:keepNext w:val="0"/>
              <w:keepLines w:val="0"/>
              <w:widowControl/>
              <w:suppressLineNumbers w:val="0"/>
              <w:wordWrap w:val="0"/>
              <w:snapToGrid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办公地址：韶关市武江区沐溪大道168莞韶大厦B320室</w:t>
            </w:r>
          </w:p>
          <w:p w14:paraId="4FE5CF36">
            <w:pPr>
              <w:keepNext w:val="0"/>
              <w:keepLines w:val="0"/>
              <w:widowControl/>
              <w:suppressLineNumbers w:val="0"/>
              <w:wordWrap w:val="0"/>
              <w:snapToGrid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联系人（部门）：黄工</w:t>
            </w:r>
          </w:p>
          <w:p w14:paraId="1B8F00D8">
            <w:pPr>
              <w:keepNext w:val="0"/>
              <w:keepLines w:val="0"/>
              <w:widowControl/>
              <w:suppressLineNumbers w:val="0"/>
              <w:wordWrap w:val="0"/>
              <w:snapToGrid w:val="0"/>
              <w:spacing w:before="0" w:beforeAutospacing="0" w:after="0" w:afterAutospacing="0" w:line="400" w:lineRule="exact"/>
              <w:ind w:left="0" w:leftChars="0" w:right="0" w:rightChars="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联系电话：0751-8707060</w:t>
            </w:r>
          </w:p>
        </w:tc>
      </w:tr>
      <w:tr w14:paraId="28DD6D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7551F83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38</w:t>
            </w:r>
          </w:p>
        </w:tc>
        <w:tc>
          <w:tcPr>
            <w:tcW w:w="17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60D7BD">
            <w:pPr>
              <w:keepNext w:val="0"/>
              <w:keepLines w:val="0"/>
              <w:widowControl/>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627000A6">
            <w:pPr>
              <w:keepNext w:val="0"/>
              <w:keepLines w:val="0"/>
              <w:widowControl/>
              <w:suppressLineNumbers w:val="0"/>
              <w:wordWrap w:val="0"/>
              <w:adjustRightInd w:val="0"/>
              <w:snapToGrid w:val="0"/>
              <w:spacing w:before="0" w:beforeAutospacing="0" w:after="0" w:afterAutospacing="0" w:line="360" w:lineRule="exact"/>
              <w:ind w:left="0" w:leftChars="0" w:right="0" w:rightChars="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697D1C">
            <w:pPr>
              <w:keepNext w:val="0"/>
              <w:keepLines w:val="0"/>
              <w:widowControl/>
              <w:suppressLineNumbers w:val="0"/>
              <w:wordWrap w:val="0"/>
              <w:snapToGrid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单位名称：广东明正项目管理有限公司</w:t>
            </w:r>
          </w:p>
          <w:p w14:paraId="44688E2C">
            <w:pPr>
              <w:keepNext w:val="0"/>
              <w:keepLines w:val="0"/>
              <w:widowControl/>
              <w:suppressLineNumbers w:val="0"/>
              <w:wordWrap w:val="0"/>
              <w:snapToGrid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办公地址：韶关市武江区惠民北路428号7楼</w:t>
            </w:r>
          </w:p>
          <w:p w14:paraId="5D77930D">
            <w:pPr>
              <w:keepNext w:val="0"/>
              <w:keepLines w:val="0"/>
              <w:widowControl/>
              <w:suppressLineNumbers w:val="0"/>
              <w:wordWrap w:val="0"/>
              <w:snapToGrid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联系人：杨工、潘工</w:t>
            </w:r>
          </w:p>
          <w:p w14:paraId="67D66D95">
            <w:pPr>
              <w:keepNext w:val="0"/>
              <w:keepLines w:val="0"/>
              <w:widowControl/>
              <w:suppressLineNumbers w:val="0"/>
              <w:wordWrap w:val="0"/>
              <w:snapToGrid w:val="0"/>
              <w:spacing w:before="0" w:beforeAutospacing="0" w:after="0" w:afterAutospacing="0" w:line="400" w:lineRule="exact"/>
              <w:ind w:left="0" w:leftChars="0" w:right="0" w:rightChars="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联系电话：0751-8606998</w:t>
            </w:r>
          </w:p>
        </w:tc>
      </w:tr>
      <w:tr w14:paraId="1D3E5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7C908D1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39</w:t>
            </w:r>
          </w:p>
        </w:tc>
        <w:tc>
          <w:tcPr>
            <w:tcW w:w="17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23AEA4">
            <w:pPr>
              <w:keepNext w:val="0"/>
              <w:keepLines w:val="0"/>
              <w:widowControl/>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3D4D1347">
            <w:pPr>
              <w:keepNext w:val="0"/>
              <w:keepLines w:val="0"/>
              <w:widowControl/>
              <w:suppressLineNumbers w:val="0"/>
              <w:wordWrap w:val="0"/>
              <w:adjustRightInd w:val="0"/>
              <w:snapToGrid w:val="0"/>
              <w:spacing w:before="0" w:beforeAutospacing="0" w:after="0" w:afterAutospacing="0" w:line="360" w:lineRule="exact"/>
              <w:ind w:left="0" w:leftChars="0" w:right="0" w:rightChars="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39E935">
            <w:pPr>
              <w:keepNext w:val="0"/>
              <w:keepLines w:val="0"/>
              <w:widowControl/>
              <w:suppressLineNumbers w:val="0"/>
              <w:wordWrap w:val="0"/>
              <w:snapToGrid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单位名称：韶关市公共资源交易中心</w:t>
            </w:r>
          </w:p>
          <w:p w14:paraId="1CDAF274">
            <w:pPr>
              <w:keepNext w:val="0"/>
              <w:keepLines w:val="0"/>
              <w:widowControl/>
              <w:suppressLineNumbers w:val="0"/>
              <w:wordWrap w:val="0"/>
              <w:snapToGrid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办公地址：广东省韶关市武江区西联镇</w:t>
            </w:r>
          </w:p>
          <w:p w14:paraId="594DE14A">
            <w:pPr>
              <w:keepNext w:val="0"/>
              <w:keepLines w:val="0"/>
              <w:widowControl/>
              <w:suppressLineNumbers w:val="0"/>
              <w:wordWrap w:val="0"/>
              <w:snapToGrid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联系人（部门）：工程交易部</w:t>
            </w:r>
          </w:p>
          <w:p w14:paraId="265DD44E">
            <w:pPr>
              <w:keepNext w:val="0"/>
              <w:keepLines w:val="0"/>
              <w:widowControl/>
              <w:suppressLineNumbers w:val="0"/>
              <w:wordWrap w:val="0"/>
              <w:snapToGrid w:val="0"/>
              <w:spacing w:before="0" w:beforeAutospacing="0" w:after="0" w:afterAutospacing="0" w:line="400" w:lineRule="exact"/>
              <w:ind w:left="0" w:leftChars="0" w:right="0" w:rightChars="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联系电话：0751-8633071、0751-8633211</w:t>
            </w:r>
          </w:p>
        </w:tc>
      </w:tr>
      <w:tr w14:paraId="375CD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5AB9A0B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40</w:t>
            </w:r>
          </w:p>
        </w:tc>
        <w:tc>
          <w:tcPr>
            <w:tcW w:w="17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1545B5">
            <w:pPr>
              <w:keepNext w:val="0"/>
              <w:keepLines w:val="0"/>
              <w:widowControl/>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34CBEE68">
            <w:pPr>
              <w:keepNext w:val="0"/>
              <w:keepLines w:val="0"/>
              <w:widowControl/>
              <w:suppressLineNumbers w:val="0"/>
              <w:wordWrap w:val="0"/>
              <w:adjustRightInd w:val="0"/>
              <w:snapToGrid w:val="0"/>
              <w:spacing w:before="0" w:beforeAutospacing="0" w:after="0" w:afterAutospacing="0" w:line="360" w:lineRule="exact"/>
              <w:ind w:left="0" w:leftChars="0" w:right="0" w:rightChars="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4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999FDD">
            <w:pPr>
              <w:keepNext w:val="0"/>
              <w:keepLines w:val="0"/>
              <w:widowControl/>
              <w:suppressLineNumbers w:val="0"/>
              <w:wordWrap w:val="0"/>
              <w:snapToGrid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单位名称：韶关高新技术产业开发区管理委员会</w:t>
            </w:r>
          </w:p>
          <w:p w14:paraId="4E33D823">
            <w:pPr>
              <w:keepNext w:val="0"/>
              <w:keepLines w:val="0"/>
              <w:widowControl/>
              <w:suppressLineNumbers w:val="0"/>
              <w:wordWrap w:val="0"/>
              <w:snapToGrid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办公地址：韶关市武江区粤港澳大湾区数据应用产业园E栋</w:t>
            </w:r>
          </w:p>
          <w:p w14:paraId="7149C4E2">
            <w:pPr>
              <w:keepNext w:val="0"/>
              <w:keepLines w:val="0"/>
              <w:widowControl/>
              <w:suppressLineNumbers w:val="0"/>
              <w:wordWrap w:val="0"/>
              <w:snapToGrid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联系人（部门）：自然资源和建设局</w:t>
            </w:r>
          </w:p>
          <w:p w14:paraId="23BF3048">
            <w:pPr>
              <w:keepNext w:val="0"/>
              <w:keepLines w:val="0"/>
              <w:widowControl/>
              <w:suppressLineNumbers w:val="0"/>
              <w:wordWrap w:val="0"/>
              <w:snapToGrid w:val="0"/>
              <w:spacing w:before="0" w:beforeAutospacing="0" w:after="0" w:afterAutospacing="0" w:line="400" w:lineRule="exact"/>
              <w:ind w:left="0" w:leftChars="0" w:right="0" w:rightChars="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联系电话：0751-8175926</w:t>
            </w:r>
          </w:p>
        </w:tc>
      </w:tr>
    </w:tbl>
    <w:p w14:paraId="6E3CF094">
      <w:pPr>
        <w:rPr>
          <w:rFonts w:hint="eastAsia" w:ascii="宋体" w:hAnsi="宋体" w:eastAsia="宋体" w:cs="宋体"/>
          <w:color w:val="auto"/>
        </w:rPr>
      </w:pPr>
    </w:p>
    <w:p w14:paraId="3CBD88FC">
      <w:pPr>
        <w:rPr>
          <w:rFonts w:hint="eastAsia" w:ascii="宋体" w:hAnsi="宋体" w:eastAsia="宋体" w:cs="宋体"/>
          <w:color w:val="auto"/>
        </w:rPr>
      </w:pPr>
    </w:p>
    <w:p w14:paraId="6E8BC31A">
      <w:pPr>
        <w:rPr>
          <w:rFonts w:hint="eastAsia" w:ascii="宋体" w:hAnsi="宋体" w:eastAsia="宋体" w:cs="宋体"/>
          <w:color w:val="auto"/>
        </w:rPr>
      </w:pPr>
    </w:p>
    <w:p w14:paraId="44181262">
      <w:pPr>
        <w:rPr>
          <w:rFonts w:hint="eastAsia" w:ascii="宋体" w:hAnsi="宋体" w:eastAsia="宋体" w:cs="宋体"/>
          <w:color w:val="auto"/>
        </w:rPr>
      </w:pPr>
    </w:p>
    <w:p w14:paraId="0BD1738D">
      <w:pPr>
        <w:rPr>
          <w:rFonts w:hint="eastAsia" w:ascii="宋体" w:hAnsi="宋体" w:eastAsia="宋体" w:cs="宋体"/>
          <w:color w:val="auto"/>
        </w:rPr>
      </w:pPr>
    </w:p>
    <w:p w14:paraId="528AE93A">
      <w:pPr>
        <w:rPr>
          <w:rFonts w:hint="eastAsia" w:ascii="宋体" w:hAnsi="宋体" w:eastAsia="宋体" w:cs="宋体"/>
          <w:color w:val="auto"/>
        </w:rPr>
      </w:pPr>
    </w:p>
    <w:p w14:paraId="33D13DD1">
      <w:pPr>
        <w:rPr>
          <w:rFonts w:hint="eastAsia" w:ascii="宋体" w:hAnsi="宋体" w:eastAsia="宋体" w:cs="宋体"/>
          <w:color w:val="auto"/>
        </w:rPr>
      </w:pPr>
    </w:p>
    <w:p w14:paraId="5BA4935C">
      <w:pPr>
        <w:rPr>
          <w:rFonts w:hint="eastAsia" w:ascii="宋体" w:hAnsi="宋体" w:eastAsia="宋体" w:cs="宋体"/>
          <w:color w:val="auto"/>
        </w:rPr>
      </w:pPr>
    </w:p>
    <w:p w14:paraId="58D7B077">
      <w:pPr>
        <w:rPr>
          <w:rFonts w:hint="eastAsia" w:ascii="宋体" w:hAnsi="宋体" w:eastAsia="宋体" w:cs="宋体"/>
          <w:color w:val="auto"/>
        </w:rPr>
      </w:pPr>
    </w:p>
    <w:p w14:paraId="6867A16E">
      <w:pPr>
        <w:rPr>
          <w:rFonts w:hint="eastAsia" w:ascii="宋体" w:hAnsi="宋体" w:eastAsia="宋体" w:cs="宋体"/>
          <w:color w:val="auto"/>
        </w:rPr>
      </w:pPr>
    </w:p>
    <w:p w14:paraId="3801194A">
      <w:pPr>
        <w:rPr>
          <w:rFonts w:hint="eastAsia" w:ascii="宋体" w:hAnsi="宋体" w:eastAsia="宋体" w:cs="宋体"/>
          <w:color w:val="auto"/>
        </w:rPr>
      </w:pPr>
    </w:p>
    <w:p w14:paraId="710A32E9">
      <w:pPr>
        <w:rPr>
          <w:rFonts w:hint="eastAsia" w:ascii="宋体" w:hAnsi="宋体" w:eastAsia="宋体" w:cs="宋体"/>
          <w:color w:val="auto"/>
        </w:rPr>
      </w:pPr>
    </w:p>
    <w:p w14:paraId="503B9A3F">
      <w:pPr>
        <w:rPr>
          <w:rFonts w:hint="eastAsia" w:ascii="宋体" w:hAnsi="宋体" w:eastAsia="宋体" w:cs="宋体"/>
          <w:color w:val="auto"/>
        </w:rPr>
      </w:pPr>
    </w:p>
    <w:p w14:paraId="094E1E93">
      <w:pPr>
        <w:rPr>
          <w:rFonts w:hint="eastAsia" w:ascii="宋体" w:hAnsi="宋体" w:eastAsia="宋体" w:cs="宋体"/>
          <w:color w:val="auto"/>
        </w:rPr>
      </w:pPr>
    </w:p>
    <w:p w14:paraId="7C2C7C14">
      <w:pPr>
        <w:rPr>
          <w:rFonts w:hint="eastAsia" w:ascii="宋体" w:hAnsi="宋体" w:eastAsia="宋体" w:cs="宋体"/>
          <w:color w:val="auto"/>
        </w:rPr>
      </w:pPr>
    </w:p>
    <w:p w14:paraId="138FF6BC">
      <w:pPr>
        <w:rPr>
          <w:rFonts w:hint="eastAsia" w:ascii="宋体" w:hAnsi="宋体" w:eastAsia="宋体" w:cs="宋体"/>
          <w:color w:val="auto"/>
        </w:rPr>
      </w:pPr>
    </w:p>
    <w:p w14:paraId="42BB537C">
      <w:pPr>
        <w:rPr>
          <w:rFonts w:hint="eastAsia" w:ascii="宋体" w:hAnsi="宋体" w:eastAsia="宋体" w:cs="宋体"/>
          <w:color w:val="auto"/>
        </w:rPr>
      </w:pPr>
    </w:p>
    <w:p w14:paraId="2B92EAF0">
      <w:pPr>
        <w:rPr>
          <w:rFonts w:hint="eastAsia" w:ascii="宋体" w:hAnsi="宋体" w:eastAsia="宋体" w:cs="宋体"/>
          <w:color w:val="auto"/>
        </w:rPr>
      </w:pPr>
    </w:p>
    <w:p w14:paraId="27EC80E6">
      <w:pPr>
        <w:rPr>
          <w:rFonts w:hint="eastAsia" w:ascii="宋体" w:hAnsi="宋体" w:eastAsia="宋体" w:cs="宋体"/>
          <w:color w:val="auto"/>
          <w:lang w:val="en-US" w:eastAsia="zh-CN"/>
        </w:rPr>
      </w:pPr>
    </w:p>
    <w:p w14:paraId="38BE05FD">
      <w:pPr>
        <w:rPr>
          <w:rFonts w:hint="eastAsia" w:ascii="宋体" w:hAnsi="宋体" w:eastAsia="宋体" w:cs="宋体"/>
          <w:color w:val="auto"/>
        </w:rPr>
      </w:pPr>
    </w:p>
    <w:p w14:paraId="17E38941">
      <w:pPr>
        <w:rPr>
          <w:rFonts w:hint="eastAsia" w:ascii="宋体" w:hAnsi="宋体" w:eastAsia="宋体" w:cs="宋体"/>
          <w:color w:val="auto"/>
        </w:rPr>
      </w:pPr>
    </w:p>
    <w:p w14:paraId="477FC6CD">
      <w:pPr>
        <w:rPr>
          <w:rFonts w:hint="eastAsia" w:ascii="宋体" w:hAnsi="宋体" w:eastAsia="宋体" w:cs="宋体"/>
          <w:color w:val="auto"/>
        </w:rPr>
      </w:pPr>
    </w:p>
    <w:p w14:paraId="5E3572D8">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26" w:name="_Toc18767"/>
      <w:bookmarkStart w:id="27" w:name="_Toc11396"/>
      <w:bookmarkStart w:id="28" w:name="_Toc30618"/>
      <w:bookmarkStart w:id="29" w:name="_Toc11352"/>
      <w:bookmarkStart w:id="30" w:name="_Toc16802"/>
      <w:bookmarkStart w:id="31" w:name="_Toc11705"/>
      <w:bookmarkStart w:id="32" w:name="_Toc3663"/>
      <w:bookmarkStart w:id="33" w:name="_Toc30806"/>
      <w:bookmarkStart w:id="34" w:name="_Toc30944"/>
      <w:bookmarkStart w:id="35" w:name="_Toc32120"/>
      <w:bookmarkStart w:id="36" w:name="_Toc24650"/>
      <w:bookmarkStart w:id="37" w:name="_Toc12413"/>
      <w:r>
        <w:rPr>
          <w:rFonts w:hint="eastAsia" w:ascii="宋体" w:hAnsi="宋体" w:eastAsia="宋体" w:cs="宋体"/>
          <w:color w:val="auto"/>
          <w:kern w:val="2"/>
          <w:sz w:val="28"/>
          <w:szCs w:val="24"/>
          <w:lang w:val="en-US" w:eastAsia="zh-CN"/>
        </w:rPr>
        <w:t>第二节   重要事项时间地点一览表</w:t>
      </w:r>
      <w:bookmarkEnd w:id="26"/>
      <w:bookmarkEnd w:id="27"/>
      <w:bookmarkEnd w:id="28"/>
      <w:bookmarkEnd w:id="29"/>
      <w:bookmarkEnd w:id="30"/>
      <w:bookmarkEnd w:id="31"/>
      <w:bookmarkEnd w:id="32"/>
      <w:bookmarkEnd w:id="33"/>
      <w:bookmarkEnd w:id="34"/>
      <w:bookmarkEnd w:id="35"/>
      <w:bookmarkEnd w:id="36"/>
      <w:bookmarkEnd w:id="37"/>
    </w:p>
    <w:tbl>
      <w:tblPr>
        <w:tblStyle w:val="21"/>
        <w:tblW w:w="9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60"/>
        <w:gridCol w:w="1470"/>
        <w:gridCol w:w="7466"/>
      </w:tblGrid>
      <w:tr w14:paraId="69CE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60" w:type="dxa"/>
            <w:shd w:val="clear" w:color="auto" w:fill="FFFFFF"/>
            <w:noWrap w:val="0"/>
            <w:vAlign w:val="center"/>
          </w:tcPr>
          <w:p w14:paraId="1ECD1777">
            <w:pPr>
              <w:pStyle w:val="30"/>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1</w:t>
            </w:r>
          </w:p>
        </w:tc>
        <w:tc>
          <w:tcPr>
            <w:tcW w:w="1470" w:type="dxa"/>
            <w:shd w:val="clear" w:color="auto" w:fill="FFFFFF"/>
            <w:noWrap w:val="0"/>
            <w:vAlign w:val="center"/>
          </w:tcPr>
          <w:p w14:paraId="75E600E5">
            <w:pPr>
              <w:pStyle w:val="30"/>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2159B1FB">
            <w:pPr>
              <w:pStyle w:val="30"/>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发布时间</w:t>
            </w:r>
          </w:p>
        </w:tc>
        <w:tc>
          <w:tcPr>
            <w:tcW w:w="7466" w:type="dxa"/>
            <w:shd w:val="clear" w:color="auto" w:fill="FFFFFF"/>
            <w:noWrap w:val="0"/>
            <w:vAlign w:val="center"/>
          </w:tcPr>
          <w:p w14:paraId="602DC850">
            <w:pPr>
              <w:pStyle w:val="30"/>
              <w:wordWrap w:val="0"/>
              <w:adjustRightInd w:val="0"/>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u w:val="none"/>
                <w:lang w:val="en-US" w:eastAsia="zh-CN"/>
              </w:rPr>
              <w:t>2026</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06</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26</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17</w:t>
            </w:r>
            <w:r>
              <w:rPr>
                <w:rFonts w:hint="eastAsia" w:ascii="宋体" w:hAnsi="宋体" w:eastAsia="宋体" w:cs="宋体"/>
                <w:snapToGrid w:val="0"/>
                <w:color w:val="auto"/>
                <w:kern w:val="0"/>
                <w:sz w:val="24"/>
                <w:szCs w:val="24"/>
                <w:highlight w:val="none"/>
                <w:u w:val="none"/>
              </w:rPr>
              <w:t>时</w:t>
            </w:r>
            <w:r>
              <w:rPr>
                <w:rFonts w:hint="eastAsia" w:ascii="宋体" w:hAnsi="宋体" w:eastAsia="宋体" w:cs="宋体"/>
                <w:snapToGrid w:val="0"/>
                <w:color w:val="auto"/>
                <w:kern w:val="0"/>
                <w:sz w:val="24"/>
                <w:szCs w:val="24"/>
                <w:highlight w:val="none"/>
                <w:u w:val="none"/>
                <w:lang w:val="en-US" w:eastAsia="zh-CN"/>
              </w:rPr>
              <w:t>00</w:t>
            </w:r>
            <w:r>
              <w:rPr>
                <w:rFonts w:hint="eastAsia" w:ascii="宋体" w:hAnsi="宋体" w:eastAsia="宋体" w:cs="宋体"/>
                <w:snapToGrid w:val="0"/>
                <w:color w:val="auto"/>
                <w:kern w:val="0"/>
                <w:sz w:val="24"/>
                <w:szCs w:val="24"/>
                <w:highlight w:val="none"/>
              </w:rPr>
              <w:t>分</w:t>
            </w:r>
          </w:p>
        </w:tc>
      </w:tr>
      <w:tr w14:paraId="381D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4" w:hRule="atLeast"/>
          <w:jc w:val="center"/>
        </w:trPr>
        <w:tc>
          <w:tcPr>
            <w:tcW w:w="660" w:type="dxa"/>
            <w:shd w:val="clear" w:color="auto" w:fill="FFFFFF"/>
            <w:noWrap w:val="0"/>
            <w:vAlign w:val="center"/>
          </w:tcPr>
          <w:p w14:paraId="64D294D9">
            <w:pPr>
              <w:pStyle w:val="30"/>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2</w:t>
            </w:r>
          </w:p>
        </w:tc>
        <w:tc>
          <w:tcPr>
            <w:tcW w:w="1470" w:type="dxa"/>
            <w:shd w:val="clear" w:color="auto" w:fill="FFFFFF"/>
            <w:noWrap w:val="0"/>
            <w:vAlign w:val="center"/>
          </w:tcPr>
          <w:p w14:paraId="05F0BCC8">
            <w:pPr>
              <w:pStyle w:val="30"/>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w:t>
            </w:r>
          </w:p>
          <w:p w14:paraId="4C5265B2">
            <w:pPr>
              <w:pStyle w:val="30"/>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截止时间</w:t>
            </w:r>
          </w:p>
        </w:tc>
        <w:tc>
          <w:tcPr>
            <w:tcW w:w="7466" w:type="dxa"/>
            <w:shd w:val="clear" w:color="auto" w:fill="FFFFFF"/>
            <w:noWrap w:val="0"/>
            <w:vAlign w:val="center"/>
          </w:tcPr>
          <w:p w14:paraId="6F173737">
            <w:pPr>
              <w:pStyle w:val="30"/>
              <w:wordWrap w:val="0"/>
              <w:adjustRightInd w:val="0"/>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u w:val="none"/>
                <w:lang w:val="en-US" w:eastAsia="zh-CN"/>
              </w:rPr>
              <w:t>2026</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1</w:t>
            </w:r>
            <w:r>
              <w:rPr>
                <w:rFonts w:hint="eastAsia" w:ascii="宋体" w:hAnsi="宋体" w:cs="宋体"/>
                <w:snapToGrid w:val="0"/>
                <w:color w:val="auto"/>
                <w:kern w:val="0"/>
                <w:sz w:val="24"/>
                <w:szCs w:val="24"/>
                <w:highlight w:val="none"/>
                <w:u w:val="none"/>
                <w:lang w:val="en-US" w:eastAsia="zh-CN"/>
              </w:rPr>
              <w:t>7</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09</w:t>
            </w:r>
            <w:r>
              <w:rPr>
                <w:rFonts w:hint="eastAsia" w:ascii="宋体" w:hAnsi="宋体" w:eastAsia="宋体" w:cs="宋体"/>
                <w:snapToGrid w:val="0"/>
                <w:color w:val="auto"/>
                <w:kern w:val="0"/>
                <w:sz w:val="24"/>
                <w:szCs w:val="24"/>
                <w:highlight w:val="none"/>
                <w:u w:val="none"/>
              </w:rPr>
              <w:t>时</w:t>
            </w:r>
            <w:r>
              <w:rPr>
                <w:rFonts w:hint="eastAsia" w:ascii="宋体" w:hAnsi="宋体" w:eastAsia="宋体" w:cs="宋体"/>
                <w:snapToGrid w:val="0"/>
                <w:color w:val="auto"/>
                <w:kern w:val="0"/>
                <w:sz w:val="24"/>
                <w:szCs w:val="24"/>
                <w:highlight w:val="none"/>
                <w:u w:val="none"/>
                <w:lang w:val="en-US" w:eastAsia="zh-CN"/>
              </w:rPr>
              <w:t>30</w:t>
            </w:r>
            <w:r>
              <w:rPr>
                <w:rFonts w:hint="eastAsia" w:ascii="宋体" w:hAnsi="宋体" w:eastAsia="宋体" w:cs="宋体"/>
                <w:snapToGrid w:val="0"/>
                <w:color w:val="auto"/>
                <w:kern w:val="0"/>
                <w:sz w:val="24"/>
                <w:szCs w:val="24"/>
                <w:highlight w:val="none"/>
              </w:rPr>
              <w:t>分</w:t>
            </w:r>
          </w:p>
        </w:tc>
      </w:tr>
      <w:tr w14:paraId="0CC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4" w:hRule="atLeast"/>
          <w:jc w:val="center"/>
        </w:trPr>
        <w:tc>
          <w:tcPr>
            <w:tcW w:w="660" w:type="dxa"/>
            <w:shd w:val="clear" w:color="auto" w:fill="FFFFFF"/>
            <w:noWrap w:val="0"/>
            <w:vAlign w:val="center"/>
          </w:tcPr>
          <w:p w14:paraId="1B1CBC0E">
            <w:pPr>
              <w:pStyle w:val="30"/>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w:t>
            </w:r>
          </w:p>
        </w:tc>
        <w:tc>
          <w:tcPr>
            <w:tcW w:w="1470" w:type="dxa"/>
            <w:shd w:val="clear" w:color="auto" w:fill="FFFFFF"/>
            <w:noWrap w:val="0"/>
            <w:vAlign w:val="center"/>
          </w:tcPr>
          <w:p w14:paraId="6D42F957">
            <w:pPr>
              <w:pStyle w:val="30"/>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5E030563">
            <w:pPr>
              <w:pStyle w:val="30"/>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截止时间</w:t>
            </w:r>
          </w:p>
        </w:tc>
        <w:tc>
          <w:tcPr>
            <w:tcW w:w="7466" w:type="dxa"/>
            <w:shd w:val="clear" w:color="auto" w:fill="FFFFFF"/>
            <w:noWrap w:val="0"/>
            <w:vAlign w:val="center"/>
          </w:tcPr>
          <w:p w14:paraId="5558025F">
            <w:pPr>
              <w:rPr>
                <w:rFonts w:hint="eastAsia" w:ascii="宋体" w:hAnsi="宋体" w:eastAsia="宋体" w:cs="宋体"/>
                <w:snapToGrid w:val="0"/>
                <w:color w:val="auto"/>
                <w:kern w:val="0"/>
                <w:sz w:val="24"/>
                <w:szCs w:val="24"/>
                <w:highlight w:val="none"/>
                <w:u w:val="none"/>
                <w:lang w:val="en-US" w:eastAsia="zh-CN" w:bidi="ar"/>
              </w:rPr>
            </w:pPr>
            <w:r>
              <w:rPr>
                <w:rFonts w:hint="eastAsia" w:ascii="宋体" w:hAnsi="宋体" w:eastAsia="宋体" w:cs="宋体"/>
                <w:snapToGrid w:val="0"/>
                <w:color w:val="auto"/>
                <w:kern w:val="0"/>
                <w:sz w:val="24"/>
                <w:szCs w:val="24"/>
                <w:highlight w:val="none"/>
                <w:u w:val="none"/>
                <w:lang w:val="en-US" w:eastAsia="zh-CN"/>
              </w:rPr>
              <w:t>2026</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月</w:t>
            </w:r>
            <w:r>
              <w:rPr>
                <w:rFonts w:hint="eastAsia"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lang w:val="en-US" w:eastAsia="zh-CN" w:bidi="ar"/>
              </w:rPr>
              <w:t>日16时00分</w:t>
            </w:r>
          </w:p>
        </w:tc>
      </w:tr>
      <w:tr w14:paraId="7835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4" w:hRule="atLeast"/>
          <w:jc w:val="center"/>
        </w:trPr>
        <w:tc>
          <w:tcPr>
            <w:tcW w:w="660" w:type="dxa"/>
            <w:shd w:val="clear" w:color="auto" w:fill="FFFFFF"/>
            <w:noWrap w:val="0"/>
            <w:vAlign w:val="center"/>
          </w:tcPr>
          <w:p w14:paraId="2136CF13">
            <w:pPr>
              <w:pStyle w:val="30"/>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4</w:t>
            </w:r>
          </w:p>
        </w:tc>
        <w:tc>
          <w:tcPr>
            <w:tcW w:w="1470" w:type="dxa"/>
            <w:shd w:val="clear" w:color="auto" w:fill="FFFFFF"/>
            <w:noWrap w:val="0"/>
            <w:vAlign w:val="center"/>
          </w:tcPr>
          <w:p w14:paraId="7E595664">
            <w:pPr>
              <w:pStyle w:val="30"/>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793EB79D">
            <w:pPr>
              <w:pStyle w:val="30"/>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时间</w:t>
            </w:r>
          </w:p>
        </w:tc>
        <w:tc>
          <w:tcPr>
            <w:tcW w:w="7466" w:type="dxa"/>
            <w:shd w:val="clear" w:color="auto" w:fill="FFFFFF"/>
            <w:noWrap w:val="0"/>
            <w:vAlign w:val="center"/>
          </w:tcPr>
          <w:p w14:paraId="0BC510C8">
            <w:pPr>
              <w:rPr>
                <w:rFonts w:hint="eastAsia" w:ascii="宋体" w:hAnsi="宋体" w:eastAsia="宋体" w:cs="宋体"/>
                <w:snapToGrid w:val="0"/>
                <w:color w:val="auto"/>
                <w:kern w:val="0"/>
                <w:sz w:val="24"/>
                <w:szCs w:val="24"/>
                <w:highlight w:val="none"/>
                <w:u w:val="none"/>
                <w:lang w:val="en-US" w:eastAsia="zh-CN" w:bidi="ar"/>
              </w:rPr>
            </w:pPr>
            <w:r>
              <w:rPr>
                <w:rFonts w:hint="eastAsia" w:ascii="宋体" w:hAnsi="宋体" w:eastAsia="宋体" w:cs="宋体"/>
                <w:snapToGrid w:val="0"/>
                <w:color w:val="auto"/>
                <w:kern w:val="0"/>
                <w:sz w:val="24"/>
                <w:szCs w:val="24"/>
                <w:highlight w:val="none"/>
                <w:u w:val="none"/>
                <w:lang w:val="en-US" w:eastAsia="zh-CN"/>
              </w:rPr>
              <w:t>2026</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月</w:t>
            </w:r>
            <w:r>
              <w:rPr>
                <w:rFonts w:hint="eastAsia"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lang w:val="en-US" w:eastAsia="zh-CN" w:bidi="ar"/>
              </w:rPr>
              <w:t>日16时30分至</w:t>
            </w:r>
            <w:r>
              <w:rPr>
                <w:rFonts w:hint="eastAsia" w:ascii="宋体" w:hAnsi="宋体" w:eastAsia="宋体" w:cs="宋体"/>
                <w:snapToGrid w:val="0"/>
                <w:color w:val="auto"/>
                <w:kern w:val="0"/>
                <w:sz w:val="24"/>
                <w:szCs w:val="24"/>
                <w:highlight w:val="none"/>
                <w:u w:val="none"/>
                <w:lang w:val="en-US" w:eastAsia="zh-CN"/>
              </w:rPr>
              <w:t>2026</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1</w:t>
            </w:r>
            <w:r>
              <w:rPr>
                <w:rFonts w:hint="eastAsia" w:cs="宋体"/>
                <w:snapToGrid w:val="0"/>
                <w:color w:val="auto"/>
                <w:kern w:val="0"/>
                <w:sz w:val="24"/>
                <w:szCs w:val="24"/>
                <w:highlight w:val="none"/>
                <w:u w:val="none"/>
                <w:lang w:val="en-US" w:eastAsia="zh-CN"/>
              </w:rPr>
              <w:t>0</w:t>
            </w:r>
            <w:r>
              <w:rPr>
                <w:rFonts w:hint="eastAsia" w:ascii="宋体" w:hAnsi="宋体" w:eastAsia="宋体" w:cs="宋体"/>
                <w:snapToGrid w:val="0"/>
                <w:color w:val="auto"/>
                <w:kern w:val="0"/>
                <w:sz w:val="24"/>
                <w:szCs w:val="24"/>
                <w:highlight w:val="none"/>
                <w:u w:val="none"/>
                <w:lang w:val="en-US" w:eastAsia="zh-CN" w:bidi="ar"/>
              </w:rPr>
              <w:t>日16时00分</w:t>
            </w:r>
          </w:p>
        </w:tc>
      </w:tr>
      <w:tr w14:paraId="510C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20" w:hRule="atLeast"/>
          <w:jc w:val="center"/>
        </w:trPr>
        <w:tc>
          <w:tcPr>
            <w:tcW w:w="660" w:type="dxa"/>
            <w:shd w:val="clear" w:color="auto" w:fill="FFFFFF"/>
            <w:noWrap w:val="0"/>
            <w:vAlign w:val="center"/>
          </w:tcPr>
          <w:p w14:paraId="4490816F">
            <w:pPr>
              <w:pStyle w:val="30"/>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5</w:t>
            </w:r>
          </w:p>
        </w:tc>
        <w:tc>
          <w:tcPr>
            <w:tcW w:w="1470" w:type="dxa"/>
            <w:shd w:val="clear" w:color="auto" w:fill="FFFFFF"/>
            <w:noWrap w:val="0"/>
            <w:vAlign w:val="center"/>
          </w:tcPr>
          <w:p w14:paraId="6EA8A05A">
            <w:pPr>
              <w:pStyle w:val="30"/>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4A3C97C7">
            <w:pPr>
              <w:pStyle w:val="30"/>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466" w:type="dxa"/>
            <w:shd w:val="clear" w:color="auto" w:fill="FFFFFF"/>
            <w:noWrap w:val="0"/>
            <w:vAlign w:val="center"/>
          </w:tcPr>
          <w:p w14:paraId="28C80425">
            <w:pPr>
              <w:pStyle w:val="30"/>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投标保证金到账截止时间：</w:t>
            </w:r>
            <w:r>
              <w:rPr>
                <w:rFonts w:hint="eastAsia" w:ascii="宋体" w:hAnsi="宋体" w:eastAsia="宋体" w:cs="宋体"/>
                <w:snapToGrid w:val="0"/>
                <w:color w:val="auto"/>
                <w:kern w:val="0"/>
                <w:sz w:val="24"/>
                <w:szCs w:val="24"/>
                <w:highlight w:val="none"/>
                <w:u w:val="none"/>
                <w:lang w:val="en-US" w:eastAsia="zh-CN"/>
              </w:rPr>
              <w:t>2026</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1</w:t>
            </w:r>
            <w:r>
              <w:rPr>
                <w:rFonts w:hint="eastAsia" w:ascii="宋体" w:hAnsi="宋体" w:cs="宋体"/>
                <w:snapToGrid w:val="0"/>
                <w:color w:val="auto"/>
                <w:kern w:val="0"/>
                <w:sz w:val="24"/>
                <w:szCs w:val="24"/>
                <w:highlight w:val="none"/>
                <w:u w:val="none"/>
                <w:lang w:val="en-US" w:eastAsia="zh-CN"/>
              </w:rPr>
              <w:t>6</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09</w:t>
            </w:r>
            <w:r>
              <w:rPr>
                <w:rFonts w:hint="eastAsia" w:ascii="宋体" w:hAnsi="宋体" w:eastAsia="宋体" w:cs="宋体"/>
                <w:snapToGrid w:val="0"/>
                <w:color w:val="auto"/>
                <w:kern w:val="0"/>
                <w:sz w:val="24"/>
                <w:szCs w:val="24"/>
                <w:highlight w:val="none"/>
                <w:u w:val="none"/>
              </w:rPr>
              <w:t>时</w:t>
            </w:r>
            <w:r>
              <w:rPr>
                <w:rFonts w:hint="eastAsia" w:ascii="宋体" w:hAnsi="宋体" w:eastAsia="宋体" w:cs="宋体"/>
                <w:snapToGrid w:val="0"/>
                <w:color w:val="auto"/>
                <w:kern w:val="0"/>
                <w:sz w:val="24"/>
                <w:szCs w:val="24"/>
                <w:highlight w:val="none"/>
                <w:u w:val="none"/>
                <w:lang w:val="en-US" w:eastAsia="zh-CN"/>
              </w:rPr>
              <w:t>30</w:t>
            </w:r>
            <w:r>
              <w:rPr>
                <w:rFonts w:hint="eastAsia" w:ascii="宋体" w:hAnsi="宋体" w:eastAsia="宋体" w:cs="宋体"/>
                <w:snapToGrid w:val="0"/>
                <w:color w:val="auto"/>
                <w:kern w:val="0"/>
                <w:sz w:val="24"/>
                <w:szCs w:val="24"/>
                <w:highlight w:val="none"/>
              </w:rPr>
              <w:t>分</w:t>
            </w:r>
          </w:p>
          <w:p w14:paraId="187AA88E">
            <w:pPr>
              <w:pStyle w:val="30"/>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投标保证担保上传截止时间：</w:t>
            </w:r>
            <w:r>
              <w:rPr>
                <w:rFonts w:hint="eastAsia" w:ascii="宋体" w:hAnsi="宋体" w:eastAsia="宋体" w:cs="宋体"/>
                <w:snapToGrid w:val="0"/>
                <w:color w:val="auto"/>
                <w:kern w:val="0"/>
                <w:sz w:val="24"/>
                <w:szCs w:val="24"/>
                <w:highlight w:val="none"/>
                <w:u w:val="none"/>
                <w:lang w:val="en-US" w:eastAsia="zh-CN"/>
              </w:rPr>
              <w:t>2026</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1</w:t>
            </w:r>
            <w:r>
              <w:rPr>
                <w:rFonts w:hint="eastAsia" w:ascii="宋体" w:hAnsi="宋体" w:cs="宋体"/>
                <w:snapToGrid w:val="0"/>
                <w:color w:val="auto"/>
                <w:kern w:val="0"/>
                <w:sz w:val="24"/>
                <w:szCs w:val="24"/>
                <w:highlight w:val="none"/>
                <w:u w:val="none"/>
                <w:lang w:val="en-US" w:eastAsia="zh-CN"/>
              </w:rPr>
              <w:t>6</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09</w:t>
            </w:r>
            <w:r>
              <w:rPr>
                <w:rFonts w:hint="eastAsia" w:ascii="宋体" w:hAnsi="宋体" w:eastAsia="宋体" w:cs="宋体"/>
                <w:snapToGrid w:val="0"/>
                <w:color w:val="auto"/>
                <w:kern w:val="0"/>
                <w:sz w:val="24"/>
                <w:szCs w:val="24"/>
                <w:highlight w:val="none"/>
                <w:u w:val="none"/>
              </w:rPr>
              <w:t>时</w:t>
            </w:r>
            <w:r>
              <w:rPr>
                <w:rFonts w:hint="eastAsia" w:ascii="宋体" w:hAnsi="宋体" w:eastAsia="宋体" w:cs="宋体"/>
                <w:snapToGrid w:val="0"/>
                <w:color w:val="auto"/>
                <w:kern w:val="0"/>
                <w:sz w:val="24"/>
                <w:szCs w:val="24"/>
                <w:highlight w:val="none"/>
                <w:u w:val="none"/>
                <w:lang w:val="en-US" w:eastAsia="zh-CN"/>
              </w:rPr>
              <w:t>30</w:t>
            </w:r>
            <w:r>
              <w:rPr>
                <w:rFonts w:hint="eastAsia" w:ascii="宋体" w:hAnsi="宋体" w:eastAsia="宋体" w:cs="宋体"/>
                <w:snapToGrid w:val="0"/>
                <w:color w:val="auto"/>
                <w:kern w:val="0"/>
                <w:sz w:val="24"/>
                <w:szCs w:val="24"/>
                <w:highlight w:val="none"/>
              </w:rPr>
              <w:t>分</w:t>
            </w:r>
          </w:p>
          <w:p w14:paraId="49ADAE65">
            <w:pPr>
              <w:pStyle w:val="30"/>
              <w:wordWrap w:val="0"/>
              <w:adjustRightInd w:val="0"/>
              <w:snapToGrid w:val="0"/>
              <w:spacing w:line="360" w:lineRule="auto"/>
              <w:ind w:firstLine="240" w:firstLineChars="100"/>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u w:val="none"/>
              </w:rPr>
              <w:t>投标保证保险投保截止时间：</w:t>
            </w:r>
            <w:r>
              <w:rPr>
                <w:rFonts w:hint="eastAsia" w:ascii="宋体" w:hAnsi="宋体" w:eastAsia="宋体" w:cs="宋体"/>
                <w:snapToGrid w:val="0"/>
                <w:color w:val="auto"/>
                <w:kern w:val="0"/>
                <w:sz w:val="24"/>
                <w:szCs w:val="24"/>
                <w:highlight w:val="none"/>
                <w:u w:val="none"/>
                <w:lang w:val="en-US" w:eastAsia="zh-CN"/>
              </w:rPr>
              <w:t>2026</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1</w:t>
            </w:r>
            <w:r>
              <w:rPr>
                <w:rFonts w:hint="eastAsia" w:ascii="宋体" w:hAnsi="宋体" w:cs="宋体"/>
                <w:snapToGrid w:val="0"/>
                <w:color w:val="auto"/>
                <w:kern w:val="0"/>
                <w:sz w:val="24"/>
                <w:szCs w:val="24"/>
                <w:highlight w:val="none"/>
                <w:u w:val="none"/>
                <w:lang w:val="en-US" w:eastAsia="zh-CN"/>
              </w:rPr>
              <w:t>6</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09</w:t>
            </w:r>
            <w:r>
              <w:rPr>
                <w:rFonts w:hint="eastAsia" w:ascii="宋体" w:hAnsi="宋体" w:eastAsia="宋体" w:cs="宋体"/>
                <w:snapToGrid w:val="0"/>
                <w:color w:val="auto"/>
                <w:kern w:val="0"/>
                <w:sz w:val="24"/>
                <w:szCs w:val="24"/>
                <w:highlight w:val="none"/>
                <w:u w:val="none"/>
              </w:rPr>
              <w:t>时</w:t>
            </w:r>
            <w:r>
              <w:rPr>
                <w:rFonts w:hint="eastAsia" w:ascii="宋体" w:hAnsi="宋体" w:eastAsia="宋体" w:cs="宋体"/>
                <w:snapToGrid w:val="0"/>
                <w:color w:val="auto"/>
                <w:kern w:val="0"/>
                <w:sz w:val="24"/>
                <w:szCs w:val="24"/>
                <w:highlight w:val="none"/>
                <w:u w:val="none"/>
                <w:lang w:val="en-US" w:eastAsia="zh-CN"/>
              </w:rPr>
              <w:t>30</w:t>
            </w:r>
            <w:r>
              <w:rPr>
                <w:rFonts w:hint="eastAsia" w:ascii="宋体" w:hAnsi="宋体" w:eastAsia="宋体" w:cs="宋体"/>
                <w:snapToGrid w:val="0"/>
                <w:color w:val="auto"/>
                <w:kern w:val="0"/>
                <w:sz w:val="24"/>
                <w:szCs w:val="24"/>
                <w:highlight w:val="none"/>
              </w:rPr>
              <w:t>分</w:t>
            </w:r>
          </w:p>
        </w:tc>
      </w:tr>
      <w:tr w14:paraId="54CE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50" w:hRule="atLeast"/>
          <w:jc w:val="center"/>
        </w:trPr>
        <w:tc>
          <w:tcPr>
            <w:tcW w:w="660" w:type="dxa"/>
            <w:shd w:val="clear" w:color="auto" w:fill="FFFFFF"/>
            <w:noWrap w:val="0"/>
            <w:vAlign w:val="center"/>
          </w:tcPr>
          <w:p w14:paraId="4430112C">
            <w:pPr>
              <w:pStyle w:val="30"/>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6</w:t>
            </w:r>
          </w:p>
        </w:tc>
        <w:tc>
          <w:tcPr>
            <w:tcW w:w="1470" w:type="dxa"/>
            <w:shd w:val="clear" w:color="auto" w:fill="FFFFFF"/>
            <w:noWrap w:val="0"/>
            <w:vAlign w:val="center"/>
          </w:tcPr>
          <w:p w14:paraId="5B3C2014">
            <w:pPr>
              <w:pStyle w:val="30"/>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电子投标</w:t>
            </w:r>
          </w:p>
          <w:p w14:paraId="57BFA074">
            <w:pPr>
              <w:pStyle w:val="30"/>
              <w:wordWrap w:val="0"/>
              <w:adjustRightInd w:val="0"/>
              <w:snapToGrid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lang w:val="en-US" w:eastAsia="zh-CN"/>
              </w:rPr>
              <w:t>截止时间</w:t>
            </w:r>
          </w:p>
        </w:tc>
        <w:tc>
          <w:tcPr>
            <w:tcW w:w="7466" w:type="dxa"/>
            <w:shd w:val="clear" w:color="auto" w:fill="FFFFFF"/>
            <w:noWrap w:val="0"/>
            <w:vAlign w:val="center"/>
          </w:tcPr>
          <w:p w14:paraId="31A4E8C4">
            <w:pPr>
              <w:pStyle w:val="30"/>
              <w:wordWrap w:val="0"/>
              <w:adjustRightInd w:val="0"/>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u w:val="none"/>
                <w:lang w:val="en-US" w:eastAsia="zh-CN"/>
              </w:rPr>
              <w:t>2026</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17</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09</w:t>
            </w:r>
            <w:r>
              <w:rPr>
                <w:rFonts w:hint="eastAsia" w:ascii="宋体" w:hAnsi="宋体" w:eastAsia="宋体" w:cs="宋体"/>
                <w:snapToGrid w:val="0"/>
                <w:color w:val="auto"/>
                <w:kern w:val="0"/>
                <w:sz w:val="24"/>
                <w:szCs w:val="24"/>
                <w:highlight w:val="none"/>
                <w:u w:val="none"/>
              </w:rPr>
              <w:t>时</w:t>
            </w:r>
            <w:r>
              <w:rPr>
                <w:rFonts w:hint="eastAsia" w:ascii="宋体" w:hAnsi="宋体" w:eastAsia="宋体" w:cs="宋体"/>
                <w:snapToGrid w:val="0"/>
                <w:color w:val="auto"/>
                <w:kern w:val="0"/>
                <w:sz w:val="24"/>
                <w:szCs w:val="24"/>
                <w:highlight w:val="none"/>
                <w:u w:val="none"/>
                <w:lang w:val="en-US" w:eastAsia="zh-CN"/>
              </w:rPr>
              <w:t>30</w:t>
            </w:r>
            <w:r>
              <w:rPr>
                <w:rFonts w:hint="eastAsia" w:ascii="宋体" w:hAnsi="宋体" w:eastAsia="宋体" w:cs="宋体"/>
                <w:snapToGrid w:val="0"/>
                <w:color w:val="auto"/>
                <w:kern w:val="0"/>
                <w:sz w:val="24"/>
                <w:szCs w:val="24"/>
                <w:highlight w:val="none"/>
              </w:rPr>
              <w:t>分</w:t>
            </w:r>
          </w:p>
        </w:tc>
      </w:tr>
      <w:tr w14:paraId="3131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77" w:hRule="atLeast"/>
          <w:jc w:val="center"/>
        </w:trPr>
        <w:tc>
          <w:tcPr>
            <w:tcW w:w="660" w:type="dxa"/>
            <w:shd w:val="clear" w:color="auto" w:fill="FFFFFF"/>
            <w:noWrap w:val="0"/>
            <w:vAlign w:val="center"/>
          </w:tcPr>
          <w:p w14:paraId="6FDA8AD6">
            <w:pPr>
              <w:pStyle w:val="30"/>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7</w:t>
            </w:r>
          </w:p>
        </w:tc>
        <w:tc>
          <w:tcPr>
            <w:tcW w:w="1470" w:type="dxa"/>
            <w:shd w:val="clear" w:color="auto" w:fill="FFFFFF"/>
            <w:noWrap w:val="0"/>
            <w:vAlign w:val="center"/>
          </w:tcPr>
          <w:p w14:paraId="6AA26F3E">
            <w:pPr>
              <w:pStyle w:val="30"/>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投标相关资料（如有）递交时间</w:t>
            </w:r>
          </w:p>
        </w:tc>
        <w:tc>
          <w:tcPr>
            <w:tcW w:w="7466" w:type="dxa"/>
            <w:shd w:val="clear" w:color="auto" w:fill="FFFFFF"/>
            <w:noWrap w:val="0"/>
            <w:vAlign w:val="center"/>
          </w:tcPr>
          <w:p w14:paraId="4118D5E6">
            <w:pPr>
              <w:pStyle w:val="30"/>
              <w:wordWrap w:val="0"/>
              <w:adjustRightInd w:val="0"/>
              <w:snapToGrid w:val="0"/>
              <w:spacing w:line="360" w:lineRule="auto"/>
              <w:jc w:val="left"/>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u w:val="none"/>
                <w:lang w:val="en-US" w:eastAsia="zh-CN"/>
              </w:rPr>
              <w:t>2026</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17</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09</w:t>
            </w:r>
            <w:r>
              <w:rPr>
                <w:rFonts w:hint="eastAsia" w:ascii="宋体" w:hAnsi="宋体" w:eastAsia="宋体" w:cs="宋体"/>
                <w:snapToGrid w:val="0"/>
                <w:color w:val="auto"/>
                <w:kern w:val="0"/>
                <w:sz w:val="24"/>
                <w:szCs w:val="24"/>
                <w:highlight w:val="none"/>
                <w:u w:val="none"/>
              </w:rPr>
              <w:t>时</w:t>
            </w:r>
            <w:r>
              <w:rPr>
                <w:rFonts w:hint="eastAsia" w:ascii="宋体" w:hAnsi="宋体" w:cs="宋体"/>
                <w:snapToGrid w:val="0"/>
                <w:color w:val="auto"/>
                <w:kern w:val="0"/>
                <w:sz w:val="24"/>
                <w:szCs w:val="24"/>
                <w:highlight w:val="none"/>
                <w:u w:val="none"/>
                <w:lang w:val="en-US" w:eastAsia="zh-CN"/>
              </w:rPr>
              <w:t>0</w:t>
            </w:r>
            <w:r>
              <w:rPr>
                <w:rFonts w:hint="eastAsia" w:ascii="宋体" w:hAnsi="宋体" w:eastAsia="宋体" w:cs="宋体"/>
                <w:snapToGrid w:val="0"/>
                <w:color w:val="auto"/>
                <w:kern w:val="0"/>
                <w:sz w:val="24"/>
                <w:szCs w:val="24"/>
                <w:highlight w:val="none"/>
                <w:u w:val="none"/>
                <w:lang w:val="en-US" w:eastAsia="zh-CN"/>
              </w:rPr>
              <w:t>0</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u w:val="none"/>
              </w:rPr>
              <w:t>至</w:t>
            </w:r>
            <w:r>
              <w:rPr>
                <w:rFonts w:hint="eastAsia" w:ascii="宋体" w:hAnsi="宋体" w:eastAsia="宋体" w:cs="宋体"/>
                <w:snapToGrid w:val="0"/>
                <w:color w:val="auto"/>
                <w:kern w:val="0"/>
                <w:sz w:val="24"/>
                <w:szCs w:val="24"/>
                <w:highlight w:val="none"/>
                <w:u w:val="none"/>
                <w:lang w:val="en-US" w:eastAsia="zh-CN"/>
              </w:rPr>
              <w:t>2026</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17</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09</w:t>
            </w:r>
            <w:r>
              <w:rPr>
                <w:rFonts w:hint="eastAsia" w:ascii="宋体" w:hAnsi="宋体" w:eastAsia="宋体" w:cs="宋体"/>
                <w:snapToGrid w:val="0"/>
                <w:color w:val="auto"/>
                <w:kern w:val="0"/>
                <w:sz w:val="24"/>
                <w:szCs w:val="24"/>
                <w:highlight w:val="none"/>
                <w:u w:val="none"/>
              </w:rPr>
              <w:t>时</w:t>
            </w:r>
            <w:r>
              <w:rPr>
                <w:rFonts w:hint="eastAsia" w:ascii="宋体" w:hAnsi="宋体" w:eastAsia="宋体" w:cs="宋体"/>
                <w:snapToGrid w:val="0"/>
                <w:color w:val="auto"/>
                <w:kern w:val="0"/>
                <w:sz w:val="24"/>
                <w:szCs w:val="24"/>
                <w:highlight w:val="none"/>
                <w:u w:val="none"/>
                <w:lang w:val="en-US" w:eastAsia="zh-CN"/>
              </w:rPr>
              <w:t>30</w:t>
            </w:r>
            <w:r>
              <w:rPr>
                <w:rFonts w:hint="eastAsia" w:ascii="宋体" w:hAnsi="宋体" w:eastAsia="宋体" w:cs="宋体"/>
                <w:snapToGrid w:val="0"/>
                <w:color w:val="auto"/>
                <w:kern w:val="0"/>
                <w:sz w:val="24"/>
                <w:szCs w:val="24"/>
                <w:highlight w:val="none"/>
              </w:rPr>
              <w:t>分</w:t>
            </w:r>
          </w:p>
        </w:tc>
      </w:tr>
      <w:tr w14:paraId="26D1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77" w:hRule="atLeast"/>
          <w:jc w:val="center"/>
        </w:trPr>
        <w:tc>
          <w:tcPr>
            <w:tcW w:w="660" w:type="dxa"/>
            <w:shd w:val="clear" w:color="auto" w:fill="FFFFFF"/>
            <w:noWrap w:val="0"/>
            <w:vAlign w:val="center"/>
          </w:tcPr>
          <w:p w14:paraId="0D34D715">
            <w:pPr>
              <w:pStyle w:val="30"/>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8</w:t>
            </w:r>
          </w:p>
        </w:tc>
        <w:tc>
          <w:tcPr>
            <w:tcW w:w="1470" w:type="dxa"/>
            <w:shd w:val="clear" w:color="auto" w:fill="FFFFFF"/>
            <w:noWrap w:val="0"/>
            <w:vAlign w:val="center"/>
          </w:tcPr>
          <w:p w14:paraId="7B09109B">
            <w:pPr>
              <w:pStyle w:val="30"/>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投标相关资料（如有）递交地点</w:t>
            </w:r>
          </w:p>
        </w:tc>
        <w:tc>
          <w:tcPr>
            <w:tcW w:w="7466" w:type="dxa"/>
            <w:shd w:val="clear" w:color="auto" w:fill="FFFFFF"/>
            <w:noWrap w:val="0"/>
            <w:vAlign w:val="center"/>
          </w:tcPr>
          <w:p w14:paraId="291901A9">
            <w:pPr>
              <w:pStyle w:val="17"/>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u w:val="none"/>
                <w:lang w:eastAsia="zh-CN"/>
              </w:rPr>
            </w:pPr>
            <w:r>
              <w:rPr>
                <w:rFonts w:hint="eastAsia" w:ascii="宋体" w:hAnsi="宋体" w:eastAsia="宋体" w:cs="宋体"/>
                <w:snapToGrid w:val="0"/>
                <w:color w:val="auto"/>
                <w:kern w:val="0"/>
                <w:sz w:val="24"/>
                <w:szCs w:val="24"/>
                <w:highlight w:val="none"/>
                <w:u w:val="none"/>
                <w:lang w:eastAsia="zh-CN"/>
              </w:rPr>
              <w:t>递交</w:t>
            </w:r>
            <w:r>
              <w:rPr>
                <w:rFonts w:hint="eastAsia" w:ascii="宋体" w:hAnsi="宋体" w:eastAsia="宋体" w:cs="宋体"/>
                <w:snapToGrid w:val="0"/>
                <w:color w:val="auto"/>
                <w:kern w:val="0"/>
                <w:sz w:val="24"/>
                <w:szCs w:val="24"/>
                <w:highlight w:val="none"/>
                <w:u w:val="none"/>
              </w:rPr>
              <w:t>场所：</w:t>
            </w:r>
            <w:r>
              <w:rPr>
                <w:rFonts w:hint="eastAsia" w:ascii="宋体" w:hAnsi="宋体" w:eastAsia="宋体" w:cs="宋体"/>
                <w:snapToGrid w:val="0"/>
                <w:color w:val="auto"/>
                <w:kern w:val="0"/>
                <w:sz w:val="24"/>
                <w:szCs w:val="24"/>
                <w:highlight w:val="none"/>
                <w:u w:val="none"/>
                <w:lang w:val="en-US" w:eastAsia="zh-CN"/>
              </w:rPr>
              <w:t>韶关市公共资源交易中心</w:t>
            </w:r>
          </w:p>
          <w:p w14:paraId="6E7F3111">
            <w:pPr>
              <w:pStyle w:val="58"/>
              <w:widowControl w:val="0"/>
              <w:wordWrap w:val="0"/>
              <w:snapToGrid w:val="0"/>
              <w:spacing w:before="0" w:beforeAutospacing="0" w:after="0" w:afterAutospacing="0" w:line="360" w:lineRule="auto"/>
              <w:ind w:firstLine="240" w:firstLineChars="100"/>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u w:val="none"/>
                <w:lang w:val="en-US" w:eastAsia="zh-CN" w:bidi="ar-SA"/>
              </w:rPr>
              <w:t>地址：广东省韶关市武江区西联镇，具体房间号以当日现场通知为准。</w:t>
            </w:r>
          </w:p>
        </w:tc>
      </w:tr>
      <w:tr w14:paraId="7DF7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37" w:hRule="atLeast"/>
          <w:jc w:val="center"/>
        </w:trPr>
        <w:tc>
          <w:tcPr>
            <w:tcW w:w="660" w:type="dxa"/>
            <w:shd w:val="clear" w:color="auto" w:fill="FFFFFF"/>
            <w:noWrap w:val="0"/>
            <w:vAlign w:val="center"/>
          </w:tcPr>
          <w:p w14:paraId="31E3BE7B">
            <w:pPr>
              <w:pStyle w:val="30"/>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highlight w:val="none"/>
              </w:rPr>
              <w:t>9</w:t>
            </w:r>
          </w:p>
        </w:tc>
        <w:tc>
          <w:tcPr>
            <w:tcW w:w="1470" w:type="dxa"/>
            <w:shd w:val="clear" w:color="auto" w:fill="FFFFFF"/>
            <w:noWrap w:val="0"/>
            <w:vAlign w:val="center"/>
          </w:tcPr>
          <w:p w14:paraId="6F526C1E">
            <w:pPr>
              <w:pStyle w:val="30"/>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rPr>
              <w:t>开标时间</w:t>
            </w:r>
          </w:p>
        </w:tc>
        <w:tc>
          <w:tcPr>
            <w:tcW w:w="7466" w:type="dxa"/>
            <w:shd w:val="clear" w:color="auto" w:fill="FFFFFF"/>
            <w:noWrap w:val="0"/>
            <w:vAlign w:val="center"/>
          </w:tcPr>
          <w:p w14:paraId="220196E9">
            <w:pPr>
              <w:pStyle w:val="30"/>
              <w:wordWrap w:val="0"/>
              <w:adjustRightInd w:val="0"/>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u w:val="none"/>
                <w:lang w:val="en-US" w:eastAsia="zh-CN"/>
              </w:rPr>
              <w:t>2026</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17</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09</w:t>
            </w:r>
            <w:r>
              <w:rPr>
                <w:rFonts w:hint="eastAsia" w:ascii="宋体" w:hAnsi="宋体" w:eastAsia="宋体" w:cs="宋体"/>
                <w:snapToGrid w:val="0"/>
                <w:color w:val="auto"/>
                <w:kern w:val="0"/>
                <w:sz w:val="24"/>
                <w:szCs w:val="24"/>
                <w:highlight w:val="none"/>
                <w:u w:val="none"/>
              </w:rPr>
              <w:t>时</w:t>
            </w:r>
            <w:r>
              <w:rPr>
                <w:rFonts w:hint="eastAsia" w:ascii="宋体" w:hAnsi="宋体" w:eastAsia="宋体" w:cs="宋体"/>
                <w:snapToGrid w:val="0"/>
                <w:color w:val="auto"/>
                <w:kern w:val="0"/>
                <w:sz w:val="24"/>
                <w:szCs w:val="24"/>
                <w:highlight w:val="none"/>
                <w:u w:val="none"/>
                <w:lang w:val="en-US" w:eastAsia="zh-CN"/>
              </w:rPr>
              <w:t>30</w:t>
            </w:r>
            <w:r>
              <w:rPr>
                <w:rFonts w:hint="eastAsia" w:ascii="宋体" w:hAnsi="宋体" w:eastAsia="宋体" w:cs="宋体"/>
                <w:snapToGrid w:val="0"/>
                <w:color w:val="auto"/>
                <w:kern w:val="0"/>
                <w:sz w:val="24"/>
                <w:szCs w:val="24"/>
                <w:highlight w:val="none"/>
              </w:rPr>
              <w:t>分</w:t>
            </w:r>
          </w:p>
        </w:tc>
      </w:tr>
      <w:tr w14:paraId="43FD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77" w:hRule="atLeast"/>
          <w:jc w:val="center"/>
        </w:trPr>
        <w:tc>
          <w:tcPr>
            <w:tcW w:w="660" w:type="dxa"/>
            <w:shd w:val="clear" w:color="auto" w:fill="FFFFFF"/>
            <w:noWrap w:val="0"/>
            <w:vAlign w:val="center"/>
          </w:tcPr>
          <w:p w14:paraId="2A676CE8">
            <w:pPr>
              <w:pStyle w:val="30"/>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10</w:t>
            </w:r>
          </w:p>
        </w:tc>
        <w:tc>
          <w:tcPr>
            <w:tcW w:w="1470" w:type="dxa"/>
            <w:shd w:val="clear" w:color="auto" w:fill="FFFFFF"/>
            <w:noWrap w:val="0"/>
            <w:vAlign w:val="center"/>
          </w:tcPr>
          <w:p w14:paraId="2971D890">
            <w:pPr>
              <w:pStyle w:val="30"/>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开标地点</w:t>
            </w:r>
          </w:p>
        </w:tc>
        <w:tc>
          <w:tcPr>
            <w:tcW w:w="7466" w:type="dxa"/>
            <w:shd w:val="clear" w:color="auto" w:fill="FFFFFF"/>
            <w:noWrap w:val="0"/>
            <w:vAlign w:val="center"/>
          </w:tcPr>
          <w:p w14:paraId="16A1BFFA">
            <w:pPr>
              <w:pStyle w:val="17"/>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开标场所：</w:t>
            </w:r>
            <w:r>
              <w:rPr>
                <w:rFonts w:hint="eastAsia" w:ascii="宋体" w:hAnsi="宋体" w:eastAsia="宋体" w:cs="宋体"/>
                <w:snapToGrid w:val="0"/>
                <w:color w:val="auto"/>
                <w:kern w:val="0"/>
                <w:sz w:val="24"/>
                <w:szCs w:val="24"/>
                <w:highlight w:val="none"/>
                <w:lang w:val="en-US" w:eastAsia="zh-CN"/>
              </w:rPr>
              <w:t>韶关市公共资源交易中心</w:t>
            </w:r>
          </w:p>
          <w:p w14:paraId="2ED5063C">
            <w:pPr>
              <w:pStyle w:val="58"/>
              <w:widowControl w:val="0"/>
              <w:wordWrap w:val="0"/>
              <w:snapToGrid w:val="0"/>
              <w:spacing w:before="0" w:beforeAutospacing="0" w:after="0" w:afterAutospacing="0"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地址：广东省韶关市武江区西联镇</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具体房间号以当日现场通知为准。</w:t>
            </w:r>
          </w:p>
        </w:tc>
      </w:tr>
      <w:tr w14:paraId="1C48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77" w:hRule="atLeast"/>
          <w:jc w:val="center"/>
        </w:trPr>
        <w:tc>
          <w:tcPr>
            <w:tcW w:w="660" w:type="dxa"/>
            <w:shd w:val="clear" w:color="auto" w:fill="FFFFFF"/>
            <w:noWrap w:val="0"/>
            <w:vAlign w:val="center"/>
          </w:tcPr>
          <w:p w14:paraId="18BEC9A9">
            <w:pPr>
              <w:pStyle w:val="30"/>
              <w:wordWrap w:val="0"/>
              <w:adjustRightInd w:val="0"/>
              <w:snapToGrid w:val="0"/>
              <w:spacing w:line="360" w:lineRule="auto"/>
              <w:jc w:val="center"/>
              <w:rPr>
                <w:rFonts w:hint="eastAsia" w:ascii="宋体" w:hAnsi="宋体" w:eastAsia="宋体" w:cs="宋体"/>
                <w:i w:val="0"/>
                <w:caps w:val="0"/>
                <w:color w:val="auto"/>
                <w:spacing w:val="0"/>
                <w:sz w:val="24"/>
                <w:szCs w:val="24"/>
                <w:highlight w:val="none"/>
                <w:lang w:val="en-US"/>
              </w:rPr>
            </w:pPr>
            <w:r>
              <w:rPr>
                <w:rFonts w:hint="eastAsia" w:ascii="宋体" w:hAnsi="宋体" w:eastAsia="宋体" w:cs="宋体"/>
                <w:snapToGrid w:val="0"/>
                <w:color w:val="auto"/>
                <w:kern w:val="0"/>
                <w:sz w:val="24"/>
                <w:szCs w:val="24"/>
                <w:highlight w:val="none"/>
              </w:rPr>
              <w:t>11</w:t>
            </w:r>
          </w:p>
        </w:tc>
        <w:tc>
          <w:tcPr>
            <w:tcW w:w="1470" w:type="dxa"/>
            <w:shd w:val="clear" w:color="auto" w:fill="FFFFFF"/>
            <w:noWrap w:val="0"/>
            <w:vAlign w:val="center"/>
          </w:tcPr>
          <w:p w14:paraId="4FC398B1">
            <w:pPr>
              <w:pStyle w:val="30"/>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其他</w:t>
            </w:r>
          </w:p>
        </w:tc>
        <w:tc>
          <w:tcPr>
            <w:tcW w:w="7466" w:type="dxa"/>
            <w:shd w:val="clear" w:color="auto" w:fill="FFFFFF"/>
            <w:noWrap w:val="0"/>
            <w:vAlign w:val="center"/>
          </w:tcPr>
          <w:p w14:paraId="43A57DF3">
            <w:pPr>
              <w:pStyle w:val="17"/>
              <w:wordWrap w:val="0"/>
              <w:adjustRightInd w:val="0"/>
              <w:snapToGrid w:val="0"/>
              <w:spacing w:line="360" w:lineRule="auto"/>
              <w:ind w:firstLine="240" w:firstLineChars="100"/>
              <w:jc w:val="left"/>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color w:val="auto"/>
                <w:sz w:val="24"/>
                <w:szCs w:val="24"/>
                <w:highlight w:val="none"/>
                <w:shd w:val="clear" w:color="auto" w:fill="FFFFFF"/>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420C9E17">
      <w:pPr>
        <w:rPr>
          <w:rFonts w:hint="eastAsia" w:ascii="宋体" w:hAnsi="宋体" w:eastAsia="宋体" w:cs="宋体"/>
          <w:color w:val="auto"/>
          <w:lang w:val="en-US" w:eastAsia="zh-CN"/>
        </w:rPr>
      </w:pPr>
    </w:p>
    <w:p w14:paraId="0EC1E7FF">
      <w:pPr>
        <w:rPr>
          <w:rFonts w:hint="eastAsia" w:ascii="宋体" w:hAnsi="宋体" w:eastAsia="宋体" w:cs="宋体"/>
          <w:color w:val="auto"/>
          <w:lang w:val="en-US" w:eastAsia="zh-CN"/>
        </w:rPr>
      </w:pPr>
    </w:p>
    <w:p w14:paraId="0041AC8A">
      <w:pPr>
        <w:rPr>
          <w:rFonts w:hint="eastAsia" w:ascii="宋体" w:hAnsi="宋体" w:eastAsia="宋体" w:cs="宋体"/>
          <w:color w:val="auto"/>
          <w:lang w:val="en-US" w:eastAsia="zh-CN"/>
        </w:rPr>
      </w:pPr>
    </w:p>
    <w:p w14:paraId="0C86804C">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38" w:name="_Toc7725"/>
      <w:bookmarkStart w:id="39" w:name="_Toc21763"/>
      <w:bookmarkStart w:id="40" w:name="_Toc26764"/>
      <w:bookmarkStart w:id="41" w:name="_Toc5521"/>
      <w:bookmarkStart w:id="42" w:name="_Toc7836"/>
      <w:bookmarkStart w:id="43" w:name="_Toc12489"/>
      <w:bookmarkStart w:id="44" w:name="_Toc16435"/>
      <w:bookmarkStart w:id="45" w:name="_Toc4501"/>
      <w:bookmarkStart w:id="46" w:name="_Toc28559"/>
      <w:bookmarkStart w:id="47" w:name="_Toc26910"/>
      <w:bookmarkStart w:id="48" w:name="_Toc31767"/>
      <w:bookmarkStart w:id="49" w:name="_Toc5177"/>
      <w:r>
        <w:rPr>
          <w:rFonts w:hint="eastAsia" w:ascii="宋体" w:hAnsi="宋体" w:eastAsia="宋体" w:cs="宋体"/>
          <w:color w:val="auto"/>
          <w:kern w:val="2"/>
          <w:sz w:val="28"/>
          <w:szCs w:val="24"/>
          <w:lang w:val="en-US" w:eastAsia="zh-CN"/>
        </w:rPr>
        <w:t>第三节   投标人须知正文</w:t>
      </w:r>
      <w:bookmarkEnd w:id="38"/>
      <w:bookmarkEnd w:id="39"/>
      <w:bookmarkEnd w:id="40"/>
      <w:bookmarkEnd w:id="41"/>
      <w:bookmarkEnd w:id="42"/>
      <w:bookmarkEnd w:id="43"/>
      <w:bookmarkEnd w:id="44"/>
      <w:bookmarkEnd w:id="45"/>
      <w:bookmarkEnd w:id="46"/>
      <w:bookmarkEnd w:id="47"/>
      <w:bookmarkEnd w:id="48"/>
      <w:bookmarkEnd w:id="49"/>
    </w:p>
    <w:p w14:paraId="34B1517B">
      <w:pPr>
        <w:pStyle w:val="7"/>
        <w:keepNext w:val="0"/>
        <w:keepLines w:val="0"/>
        <w:pageBreakBefore w:val="0"/>
        <w:widowControl w:val="0"/>
        <w:kinsoku w:val="0"/>
        <w:overflowPunct w:val="0"/>
        <w:topLinePunct w:val="0"/>
        <w:autoSpaceDE w:val="0"/>
        <w:autoSpaceDN w:val="0"/>
        <w:bidi w:val="0"/>
        <w:adjustRightInd/>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highlight w:val="none"/>
          <w:u w:val="single"/>
          <w:lang w:val="en-US" w:eastAsia="zh-CN"/>
        </w:rPr>
        <w:t>广东省韶关市韶关高新技术产业开发区园区配套基础设施建设项目</w:t>
      </w:r>
      <w:r>
        <w:rPr>
          <w:rFonts w:hint="eastAsia" w:ascii="宋体" w:hAnsi="宋体" w:eastAsia="宋体" w:cs="宋体"/>
          <w:snapToGrid w:val="0"/>
          <w:color w:val="auto"/>
          <w:kern w:val="0"/>
          <w:highlight w:val="none"/>
        </w:rPr>
        <w:t>经</w:t>
      </w:r>
      <w:r>
        <w:rPr>
          <w:rFonts w:hint="eastAsia" w:ascii="宋体" w:hAnsi="宋体" w:eastAsia="宋体" w:cs="宋体"/>
          <w:snapToGrid w:val="0"/>
          <w:color w:val="auto"/>
          <w:kern w:val="0"/>
          <w:sz w:val="24"/>
          <w:szCs w:val="24"/>
          <w:highlight w:val="none"/>
          <w:u w:val="single"/>
          <w:lang w:eastAsia="zh-CN"/>
        </w:rPr>
        <w:t>韶关高新技术产业开发区管理委员会</w:t>
      </w:r>
      <w:r>
        <w:rPr>
          <w:rFonts w:hint="eastAsia" w:ascii="宋体" w:hAnsi="宋体" w:eastAsia="宋体" w:cs="宋体"/>
          <w:snapToGrid w:val="0"/>
          <w:color w:val="auto"/>
          <w:kern w:val="0"/>
          <w:sz w:val="24"/>
          <w:szCs w:val="24"/>
          <w:highlight w:val="none"/>
        </w:rPr>
        <w:t>以</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u w:val="single"/>
          <w:lang w:eastAsia="zh-CN"/>
        </w:rPr>
        <w:t>关于广东省韶关市韶关高新技术产业开发区园区配套基础设施建设项目可行性研究报告的批复</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u w:val="single"/>
          <w:lang w:eastAsia="zh-CN"/>
        </w:rPr>
        <w:t>韶高</w:t>
      </w:r>
      <w:r>
        <w:rPr>
          <w:rFonts w:hint="eastAsia" w:ascii="宋体" w:hAnsi="宋体" w:eastAsia="宋体" w:cs="宋体"/>
          <w:snapToGrid w:val="0"/>
          <w:color w:val="auto"/>
          <w:kern w:val="0"/>
          <w:sz w:val="24"/>
          <w:szCs w:val="24"/>
          <w:highlight w:val="none"/>
          <w:u w:val="single"/>
          <w:lang w:val="en-US" w:eastAsia="zh-CN"/>
        </w:rPr>
        <w:t>新批字〔2022〕10号</w:t>
      </w:r>
      <w:r>
        <w:rPr>
          <w:rFonts w:hint="eastAsia" w:ascii="宋体" w:hAnsi="宋体" w:eastAsia="宋体" w:cs="宋体"/>
          <w:snapToGrid w:val="0"/>
          <w:color w:val="auto"/>
          <w:kern w:val="0"/>
          <w:sz w:val="24"/>
          <w:szCs w:val="24"/>
          <w:highlight w:val="none"/>
        </w:rPr>
        <w:t>批准建设，项目代码为</w:t>
      </w:r>
      <w:r>
        <w:rPr>
          <w:rFonts w:hint="eastAsia" w:ascii="宋体" w:hAnsi="宋体" w:eastAsia="宋体" w:cs="宋体"/>
          <w:snapToGrid w:val="0"/>
          <w:color w:val="auto"/>
          <w:kern w:val="0"/>
          <w:sz w:val="24"/>
          <w:szCs w:val="24"/>
          <w:highlight w:val="none"/>
          <w:u w:val="single"/>
          <w:lang w:val="en-US" w:eastAsia="zh-CN"/>
        </w:rPr>
        <w:t>2209-440200-04-01-487589</w:t>
      </w:r>
      <w:r>
        <w:rPr>
          <w:rFonts w:hint="eastAsia" w:ascii="宋体" w:hAnsi="宋体" w:eastAsia="宋体" w:cs="宋体"/>
          <w:snapToGrid w:val="0"/>
          <w:color w:val="auto"/>
          <w:kern w:val="0"/>
          <w:highlight w:val="none"/>
        </w:rPr>
        <w:t>。本项目业主为</w:t>
      </w:r>
      <w:r>
        <w:rPr>
          <w:rFonts w:hint="eastAsia" w:ascii="宋体" w:hAnsi="宋体" w:eastAsia="宋体" w:cs="宋体"/>
          <w:snapToGrid w:val="0"/>
          <w:color w:val="auto"/>
          <w:kern w:val="0"/>
          <w:highlight w:val="none"/>
          <w:u w:val="single"/>
          <w:lang w:eastAsia="zh-CN"/>
        </w:rPr>
        <w:t>韶关高新技术产业开发区创业服务中心</w:t>
      </w:r>
      <w:r>
        <w:rPr>
          <w:rFonts w:hint="eastAsia" w:ascii="宋体" w:hAnsi="宋体" w:eastAsia="宋体" w:cs="宋体"/>
          <w:snapToGrid w:val="0"/>
          <w:color w:val="auto"/>
          <w:kern w:val="0"/>
          <w:highlight w:val="none"/>
        </w:rPr>
        <w:t>，建设资金来自</w:t>
      </w:r>
      <w:r>
        <w:rPr>
          <w:rFonts w:hint="eastAsia" w:ascii="宋体" w:hAnsi="宋体" w:eastAsia="宋体" w:cs="宋体"/>
          <w:snapToGrid w:val="0"/>
          <w:color w:val="auto"/>
          <w:kern w:val="0"/>
          <w:highlight w:val="none"/>
          <w:u w:val="single"/>
          <w:lang w:val="en-US" w:eastAsia="zh-CN"/>
        </w:rPr>
        <w:t>财政性资金、申请地方政府专项债券予以解决</w:t>
      </w:r>
      <w:r>
        <w:rPr>
          <w:rFonts w:hint="eastAsia" w:ascii="宋体" w:hAnsi="宋体" w:eastAsia="宋体" w:cs="宋体"/>
          <w:snapToGrid w:val="0"/>
          <w:color w:val="auto"/>
          <w:kern w:val="0"/>
          <w:highlight w:val="none"/>
        </w:rPr>
        <w:t>，出资比例为</w:t>
      </w:r>
      <w:r>
        <w:rPr>
          <w:rFonts w:hint="eastAsia" w:ascii="宋体" w:hAnsi="宋体" w:eastAsia="宋体" w:cs="宋体"/>
          <w:snapToGrid w:val="0"/>
          <w:color w:val="auto"/>
          <w:kern w:val="0"/>
          <w:highlight w:val="none"/>
          <w:u w:val="single"/>
          <w:lang w:val="en-US" w:eastAsia="zh-CN"/>
        </w:rPr>
        <w:t>100%</w:t>
      </w:r>
      <w:r>
        <w:rPr>
          <w:rFonts w:hint="eastAsia" w:ascii="宋体" w:hAnsi="宋体" w:eastAsia="宋体" w:cs="宋体"/>
          <w:snapToGrid w:val="0"/>
          <w:color w:val="auto"/>
          <w:kern w:val="0"/>
          <w:highlight w:val="none"/>
        </w:rPr>
        <w:t>，招标人为</w:t>
      </w:r>
      <w:r>
        <w:rPr>
          <w:rFonts w:hint="eastAsia" w:ascii="宋体" w:hAnsi="宋体" w:eastAsia="宋体" w:cs="宋体"/>
          <w:snapToGrid w:val="0"/>
          <w:color w:val="auto"/>
          <w:kern w:val="0"/>
          <w:highlight w:val="none"/>
          <w:u w:val="single"/>
          <w:lang w:eastAsia="zh-CN"/>
        </w:rPr>
        <w:t>韶关工业园投资建设有限公司</w:t>
      </w:r>
      <w:r>
        <w:rPr>
          <w:rFonts w:hint="eastAsia" w:ascii="宋体" w:hAnsi="宋体" w:eastAsia="宋体" w:cs="宋体"/>
          <w:snapToGrid w:val="0"/>
          <w:color w:val="auto"/>
          <w:kern w:val="0"/>
          <w:highlight w:val="none"/>
        </w:rPr>
        <w:t>，招标代理机构为</w:t>
      </w:r>
      <w:r>
        <w:rPr>
          <w:rFonts w:hint="eastAsia" w:ascii="宋体" w:hAnsi="宋体" w:eastAsia="宋体" w:cs="宋体"/>
          <w:snapToGrid w:val="0"/>
          <w:color w:val="auto"/>
          <w:kern w:val="0"/>
          <w:highlight w:val="none"/>
          <w:u w:val="single"/>
          <w:lang w:eastAsia="zh-CN"/>
        </w:rPr>
        <w:t>广东明正项目管理有限公司</w:t>
      </w:r>
      <w:r>
        <w:rPr>
          <w:rFonts w:hint="eastAsia" w:ascii="宋体" w:hAnsi="宋体" w:eastAsia="宋体" w:cs="宋体"/>
          <w:snapToGrid w:val="0"/>
          <w:color w:val="auto"/>
          <w:kern w:val="0"/>
          <w:highlight w:val="none"/>
        </w:rPr>
        <w:t>。</w:t>
      </w:r>
      <w:r>
        <w:rPr>
          <w:rFonts w:hint="eastAsia" w:ascii="宋体" w:hAnsi="宋体" w:eastAsia="宋体" w:cs="宋体"/>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eastAsia="zh-CN"/>
        </w:rPr>
        <w:t>广东省韶关市韶关高新技术产业开发区园区配套基础设施建设项目莞韶产业园甘棠片区GT0402A-02-02地块三通一平及地块西侧道路建设工程（B地块）施工</w:t>
      </w:r>
      <w:r>
        <w:rPr>
          <w:rFonts w:hint="eastAsia" w:ascii="宋体" w:hAnsi="宋体" w:eastAsia="宋体" w:cs="宋体"/>
          <w:color w:val="auto"/>
          <w:kern w:val="0"/>
          <w:sz w:val="24"/>
          <w:szCs w:val="24"/>
          <w:highlight w:val="none"/>
        </w:rPr>
        <w:t>进行公开招标。</w:t>
      </w:r>
    </w:p>
    <w:p w14:paraId="4DC7A7F5">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1．工程概况、招标范围和标段划分、投标费用</w:t>
      </w:r>
    </w:p>
    <w:p w14:paraId="2CFD9FBC">
      <w:pPr>
        <w:pStyle w:val="31"/>
        <w:keepNext w:val="0"/>
        <w:keepLines w:val="0"/>
        <w:pageBreakBefore w:val="0"/>
        <w:widowControl w:val="0"/>
        <w:kinsoku/>
        <w:overflowPunct/>
        <w:topLinePunct w:val="0"/>
        <w:autoSpaceDE/>
        <w:autoSpaceDN/>
        <w:bidi w:val="0"/>
        <w:adjustRightInd/>
        <w:snapToGrid/>
        <w:spacing w:line="360" w:lineRule="auto"/>
        <w:ind w:firstLine="482" w:firstLineChars="200"/>
        <w:jc w:val="left"/>
        <w:rPr>
          <w:rStyle w:val="26"/>
          <w:rFonts w:hint="eastAsia" w:ascii="宋体" w:hAnsi="宋体" w:eastAsia="宋体" w:cs="宋体"/>
          <w:b/>
          <w:bCs/>
          <w:color w:val="auto"/>
          <w:kern w:val="0"/>
          <w:sz w:val="24"/>
          <w:szCs w:val="24"/>
          <w:highlight w:val="none"/>
        </w:rPr>
      </w:pPr>
      <w:r>
        <w:rPr>
          <w:rStyle w:val="26"/>
          <w:rFonts w:hint="eastAsia" w:ascii="宋体" w:hAnsi="宋体" w:eastAsia="宋体" w:cs="宋体"/>
          <w:b/>
          <w:bCs/>
          <w:color w:val="auto"/>
          <w:kern w:val="0"/>
          <w:sz w:val="24"/>
          <w:szCs w:val="24"/>
          <w:highlight w:val="none"/>
        </w:rPr>
        <w:t>1.1 工程概况</w:t>
      </w:r>
    </w:p>
    <w:p w14:paraId="6867C35B">
      <w:pPr>
        <w:pStyle w:val="31"/>
        <w:keepNext w:val="0"/>
        <w:keepLines w:val="0"/>
        <w:pageBreakBefore w:val="0"/>
        <w:widowControl w:val="0"/>
        <w:kinsoku/>
        <w:overflowPunct/>
        <w:topLinePunct w:val="0"/>
        <w:autoSpaceDE/>
        <w:autoSpaceDN/>
        <w:bidi w:val="0"/>
        <w:adjustRightInd/>
        <w:snapToGrid/>
        <w:spacing w:line="360" w:lineRule="auto"/>
        <w:ind w:firstLine="482" w:firstLineChars="200"/>
        <w:jc w:val="left"/>
        <w:rPr>
          <w:rStyle w:val="26"/>
          <w:rFonts w:hint="eastAsia" w:ascii="宋体" w:hAnsi="宋体" w:eastAsia="宋体" w:cs="宋体"/>
          <w:color w:val="auto"/>
          <w:kern w:val="0"/>
          <w:sz w:val="24"/>
          <w:szCs w:val="24"/>
          <w:highlight w:val="none"/>
          <w:lang w:val="en-US" w:eastAsia="zh-CN"/>
        </w:rPr>
      </w:pPr>
      <w:r>
        <w:rPr>
          <w:rStyle w:val="26"/>
          <w:rFonts w:hint="eastAsia" w:ascii="宋体" w:hAnsi="宋体" w:eastAsia="宋体" w:cs="宋体"/>
          <w:b/>
          <w:bCs/>
          <w:color w:val="auto"/>
          <w:kern w:val="0"/>
          <w:sz w:val="24"/>
          <w:szCs w:val="24"/>
          <w:highlight w:val="none"/>
        </w:rPr>
        <w:t>1.1.1</w:t>
      </w:r>
      <w:r>
        <w:rPr>
          <w:rStyle w:val="26"/>
          <w:rFonts w:hint="eastAsia" w:ascii="宋体" w:hAnsi="宋体" w:eastAsia="宋体" w:cs="宋体"/>
          <w:color w:val="auto"/>
          <w:kern w:val="0"/>
          <w:sz w:val="24"/>
          <w:szCs w:val="24"/>
          <w:highlight w:val="none"/>
        </w:rPr>
        <w:t xml:space="preserve"> 建设地点：</w:t>
      </w:r>
      <w:r>
        <w:rPr>
          <w:rStyle w:val="26"/>
          <w:rFonts w:hint="eastAsia" w:ascii="宋体" w:hAnsi="宋体" w:eastAsia="宋体" w:cs="宋体"/>
          <w:color w:val="auto"/>
          <w:kern w:val="0"/>
          <w:sz w:val="24"/>
          <w:szCs w:val="24"/>
          <w:highlight w:val="none"/>
          <w:lang w:val="en-US" w:eastAsia="zh-CN" w:bidi="ar-SA"/>
        </w:rPr>
        <w:t>广东省韶关市高新技术产业开发区园区莞韶产业园甘棠片区。</w:t>
      </w:r>
    </w:p>
    <w:p w14:paraId="210ECDF7">
      <w:pPr>
        <w:pStyle w:val="30"/>
        <w:keepNext w:val="0"/>
        <w:keepLines w:val="0"/>
        <w:pageBreakBefore w:val="0"/>
        <w:kinsoku/>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lang w:val="en-US" w:eastAsia="zh-CN" w:bidi="ar"/>
        </w:rPr>
      </w:pPr>
      <w:r>
        <w:rPr>
          <w:rStyle w:val="26"/>
          <w:rFonts w:hint="eastAsia" w:ascii="宋体" w:hAnsi="宋体" w:eastAsia="宋体" w:cs="宋体"/>
          <w:b/>
          <w:bCs/>
          <w:color w:val="auto"/>
          <w:kern w:val="0"/>
          <w:sz w:val="24"/>
          <w:szCs w:val="24"/>
          <w:highlight w:val="none"/>
        </w:rPr>
        <w:t>1.1.2</w:t>
      </w:r>
      <w:r>
        <w:rPr>
          <w:rStyle w:val="26"/>
          <w:rFonts w:hint="eastAsia" w:ascii="宋体" w:hAnsi="宋体" w:eastAsia="宋体" w:cs="宋体"/>
          <w:color w:val="auto"/>
          <w:kern w:val="0"/>
          <w:sz w:val="24"/>
          <w:szCs w:val="24"/>
          <w:highlight w:val="none"/>
        </w:rPr>
        <w:t xml:space="preserve"> 建设内容和规模：</w:t>
      </w:r>
      <w:r>
        <w:rPr>
          <w:rFonts w:hint="eastAsia" w:ascii="宋体" w:hAnsi="宋体" w:eastAsia="宋体" w:cs="宋体"/>
          <w:bCs/>
          <w:snapToGrid w:val="0"/>
          <w:color w:val="auto"/>
          <w:kern w:val="0"/>
          <w:sz w:val="24"/>
          <w:szCs w:val="24"/>
          <w:highlight w:val="none"/>
          <w:lang w:val="en-US" w:eastAsia="zh-CN"/>
        </w:rPr>
        <w:t>项目位于广东省韶关市高新技术产业开发区莞韶产业园甘棠片区，项目用地红线面积为39790.74平方米，工程设计内容主要包含场地土石方平整、挡土墙支护、B地块场地土方回填压实和周边山体排水工程等。</w:t>
      </w:r>
    </w:p>
    <w:p w14:paraId="41360A9D">
      <w:pPr>
        <w:pStyle w:val="31"/>
        <w:keepNext w:val="0"/>
        <w:keepLines w:val="0"/>
        <w:pageBreakBefore w:val="0"/>
        <w:widowControl w:val="0"/>
        <w:kinsoku/>
        <w:overflowPunct/>
        <w:topLinePunct w:val="0"/>
        <w:autoSpaceDE/>
        <w:autoSpaceDN/>
        <w:bidi w:val="0"/>
        <w:adjustRightInd/>
        <w:snapToGrid/>
        <w:spacing w:line="360" w:lineRule="auto"/>
        <w:ind w:firstLine="482" w:firstLineChars="200"/>
        <w:jc w:val="left"/>
        <w:rPr>
          <w:rStyle w:val="26"/>
          <w:rFonts w:hint="eastAsia" w:ascii="宋体" w:hAnsi="宋体" w:eastAsia="宋体" w:cs="宋体"/>
          <w:color w:val="auto"/>
          <w:kern w:val="0"/>
          <w:sz w:val="24"/>
          <w:szCs w:val="24"/>
          <w:highlight w:val="none"/>
          <w:lang w:val="en-US" w:eastAsia="zh-CN" w:bidi="ar"/>
        </w:rPr>
      </w:pPr>
      <w:r>
        <w:rPr>
          <w:rStyle w:val="26"/>
          <w:rFonts w:hint="eastAsia" w:ascii="宋体" w:hAnsi="宋体" w:eastAsia="宋体" w:cs="宋体"/>
          <w:b/>
          <w:bCs/>
          <w:color w:val="auto"/>
          <w:kern w:val="0"/>
          <w:sz w:val="24"/>
          <w:szCs w:val="24"/>
          <w:highlight w:val="none"/>
          <w:lang w:val="en-US" w:eastAsia="zh-CN" w:bidi="ar"/>
        </w:rPr>
        <w:t xml:space="preserve">1.1.3 </w:t>
      </w:r>
      <w:r>
        <w:rPr>
          <w:rStyle w:val="26"/>
          <w:rFonts w:hint="eastAsia" w:ascii="宋体" w:hAnsi="宋体" w:eastAsia="宋体" w:cs="宋体"/>
          <w:color w:val="auto"/>
          <w:kern w:val="0"/>
          <w:sz w:val="24"/>
          <w:szCs w:val="24"/>
          <w:highlight w:val="none"/>
          <w:lang w:val="en-US" w:eastAsia="zh-CN" w:bidi="ar"/>
        </w:rPr>
        <w:t>项目总投资：</w:t>
      </w:r>
      <w:r>
        <w:rPr>
          <w:rFonts w:hint="eastAsia" w:ascii="宋体" w:hAnsi="宋体" w:eastAsia="宋体" w:cs="宋体"/>
          <w:snapToGrid w:val="0"/>
          <w:color w:val="auto"/>
          <w:kern w:val="0"/>
          <w:sz w:val="24"/>
          <w:szCs w:val="24"/>
          <w:highlight w:val="none"/>
          <w:lang w:val="en-US" w:eastAsia="zh-CN"/>
        </w:rPr>
        <w:t>工程概算总投资为828.84万元，其中，建安工程费679.77万元，工程建设其他费用124.93万元，预备费24.14万元。</w:t>
      </w:r>
    </w:p>
    <w:p w14:paraId="039822CA">
      <w:pPr>
        <w:pStyle w:val="31"/>
        <w:keepNext w:val="0"/>
        <w:keepLines w:val="0"/>
        <w:pageBreakBefore w:val="0"/>
        <w:widowControl w:val="0"/>
        <w:kinsoku/>
        <w:overflowPunct/>
        <w:topLinePunct w:val="0"/>
        <w:autoSpaceDE/>
        <w:autoSpaceDN/>
        <w:bidi w:val="0"/>
        <w:adjustRightInd/>
        <w:snapToGrid/>
        <w:spacing w:line="360" w:lineRule="auto"/>
        <w:ind w:firstLine="482" w:firstLineChars="200"/>
        <w:jc w:val="left"/>
        <w:rPr>
          <w:rStyle w:val="26"/>
          <w:rFonts w:hint="eastAsia" w:ascii="宋体" w:hAnsi="宋体" w:eastAsia="宋体" w:cs="宋体"/>
          <w:b/>
          <w:bCs/>
          <w:color w:val="auto"/>
          <w:kern w:val="0"/>
          <w:sz w:val="24"/>
          <w:szCs w:val="24"/>
          <w:highlight w:val="none"/>
        </w:rPr>
      </w:pPr>
      <w:r>
        <w:rPr>
          <w:rStyle w:val="26"/>
          <w:rFonts w:hint="eastAsia" w:ascii="宋体" w:hAnsi="宋体" w:eastAsia="宋体" w:cs="宋体"/>
          <w:b/>
          <w:bCs/>
          <w:color w:val="auto"/>
          <w:kern w:val="0"/>
          <w:sz w:val="24"/>
          <w:szCs w:val="24"/>
          <w:highlight w:val="none"/>
        </w:rPr>
        <w:t>1.2 招标范围和标段划分</w:t>
      </w:r>
    </w:p>
    <w:p w14:paraId="5619B103">
      <w:pPr>
        <w:pStyle w:val="31"/>
        <w:keepNext w:val="0"/>
        <w:keepLines w:val="0"/>
        <w:pageBreakBefore w:val="0"/>
        <w:widowControl w:val="0"/>
        <w:kinsoku/>
        <w:overflowPunct/>
        <w:topLinePunct w:val="0"/>
        <w:autoSpaceDE/>
        <w:autoSpaceDN/>
        <w:bidi w:val="0"/>
        <w:adjustRightInd/>
        <w:snapToGrid/>
        <w:spacing w:line="360" w:lineRule="auto"/>
        <w:ind w:firstLine="482" w:firstLineChars="200"/>
        <w:jc w:val="left"/>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1.2.1</w:t>
      </w:r>
      <w:r>
        <w:rPr>
          <w:rStyle w:val="26"/>
          <w:rFonts w:hint="eastAsia" w:ascii="宋体" w:hAnsi="宋体" w:eastAsia="宋体" w:cs="宋体"/>
          <w:color w:val="auto"/>
          <w:kern w:val="0"/>
          <w:sz w:val="24"/>
          <w:szCs w:val="24"/>
          <w:highlight w:val="none"/>
        </w:rPr>
        <w:t xml:space="preserve"> 招标范围：按审查合格的施工图纸及工程量清单内容施工。</w:t>
      </w:r>
    </w:p>
    <w:p w14:paraId="53D7F7EC">
      <w:pPr>
        <w:pStyle w:val="29"/>
        <w:keepNext w:val="0"/>
        <w:keepLines w:val="0"/>
        <w:pageBreakBefore w:val="0"/>
        <w:widowControl w:val="0"/>
        <w:kinsoku/>
        <w:overflowPunct/>
        <w:topLinePunct w:val="0"/>
        <w:autoSpaceDE/>
        <w:autoSpaceDN/>
        <w:bidi w:val="0"/>
        <w:adjustRightInd/>
        <w:snapToGrid/>
        <w:spacing w:line="360" w:lineRule="auto"/>
        <w:ind w:firstLine="482" w:firstLineChars="200"/>
        <w:jc w:val="both"/>
        <w:rPr>
          <w:rStyle w:val="26"/>
          <w:rFonts w:hint="eastAsia" w:ascii="宋体" w:hAnsi="宋体" w:eastAsia="宋体" w:cs="宋体"/>
          <w:b/>
          <w:bCs/>
          <w:color w:val="auto"/>
          <w:sz w:val="24"/>
          <w:szCs w:val="24"/>
          <w:highlight w:val="none"/>
        </w:rPr>
      </w:pPr>
      <w:r>
        <w:rPr>
          <w:rStyle w:val="26"/>
          <w:rFonts w:hint="eastAsia" w:ascii="宋体" w:hAnsi="宋体" w:eastAsia="宋体" w:cs="宋体"/>
          <w:b/>
          <w:bCs/>
          <w:color w:val="auto"/>
          <w:sz w:val="24"/>
          <w:szCs w:val="24"/>
          <w:highlight w:val="none"/>
        </w:rPr>
        <w:t>1.2.2</w:t>
      </w:r>
      <w:r>
        <w:rPr>
          <w:rStyle w:val="26"/>
          <w:rFonts w:hint="eastAsia" w:ascii="宋体" w:hAnsi="宋体" w:eastAsia="宋体" w:cs="宋体"/>
          <w:color w:val="auto"/>
          <w:sz w:val="24"/>
          <w:szCs w:val="24"/>
          <w:highlight w:val="none"/>
        </w:rPr>
        <w:t xml:space="preserve"> 标段划分：本招标项目不划分标段。</w:t>
      </w:r>
    </w:p>
    <w:p w14:paraId="63CE3462">
      <w:pPr>
        <w:keepNext w:val="0"/>
        <w:keepLines w:val="0"/>
        <w:pageBreakBefore w:val="0"/>
        <w:widowControl w:val="0"/>
        <w:tabs>
          <w:tab w:val="left" w:pos="7020"/>
        </w:tabs>
        <w:wordWrap w:val="0"/>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snapToGrid w:val="0"/>
          <w:color w:val="auto"/>
          <w:kern w:val="0"/>
          <w:sz w:val="24"/>
          <w:szCs w:val="24"/>
          <w:highlight w:val="none"/>
        </w:rPr>
        <w:t xml:space="preserve"> 投标费用：投标人应承担所有准备和参加投标的相关费用，不论投标结果如何，招标人均无义务和责任承担这些费用。</w:t>
      </w:r>
    </w:p>
    <w:p w14:paraId="30967D2E">
      <w:pPr>
        <w:keepNext w:val="0"/>
        <w:keepLines w:val="0"/>
        <w:pageBreakBefore w:val="0"/>
        <w:widowControl w:val="0"/>
        <w:tabs>
          <w:tab w:val="left" w:pos="7020"/>
        </w:tabs>
        <w:wordWrap w:val="0"/>
        <w:topLinePunct w:val="0"/>
        <w:bidi w:val="0"/>
        <w:adjustRightInd/>
        <w:snapToGrid/>
        <w:spacing w:line="360" w:lineRule="auto"/>
        <w:ind w:firstLine="482" w:firstLineChars="200"/>
        <w:rPr>
          <w:rStyle w:val="26"/>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rPr>
        <w:t>1.4 招标代理费用：</w:t>
      </w:r>
      <w:r>
        <w:rPr>
          <w:rFonts w:hint="eastAsia" w:ascii="宋体" w:hAnsi="宋体" w:eastAsia="宋体" w:cs="宋体"/>
          <w:b w:val="0"/>
          <w:bCs w:val="0"/>
          <w:snapToGrid w:val="0"/>
          <w:color w:val="auto"/>
          <w:kern w:val="0"/>
          <w:sz w:val="24"/>
          <w:szCs w:val="24"/>
          <w:highlight w:val="none"/>
          <w:lang w:val="en-US" w:eastAsia="zh-CN"/>
        </w:rPr>
        <w:t>☑由招标人支付 □ 由中标人支付。</w:t>
      </w:r>
    </w:p>
    <w:p w14:paraId="11A47E6A">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．投标人资格要求</w:t>
      </w:r>
    </w:p>
    <w:p w14:paraId="435275F4">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120" w:rightChars="5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 xml:space="preserve">2.1 </w:t>
      </w:r>
      <w:r>
        <w:rPr>
          <w:rFonts w:hint="eastAsia" w:ascii="宋体" w:hAnsi="宋体" w:eastAsia="宋体" w:cs="宋体"/>
          <w:color w:val="auto"/>
          <w:sz w:val="24"/>
          <w:szCs w:val="24"/>
          <w:highlight w:val="none"/>
        </w:rPr>
        <w:t>本次招标</w:t>
      </w:r>
      <w:r>
        <w:rPr>
          <w:rFonts w:hint="eastAsia" w:ascii="宋体" w:hAnsi="宋体" w:eastAsia="宋体" w:cs="宋体"/>
          <w:b/>
          <w:bCs/>
          <w:color w:val="auto"/>
          <w:sz w:val="24"/>
          <w:szCs w:val="24"/>
          <w:highlight w:val="none"/>
          <w:u w:val="single"/>
        </w:rPr>
        <w:t>接受</w:t>
      </w:r>
      <w:r>
        <w:rPr>
          <w:rFonts w:hint="eastAsia" w:ascii="宋体" w:hAnsi="宋体" w:eastAsia="宋体" w:cs="宋体"/>
          <w:color w:val="auto"/>
          <w:sz w:val="24"/>
          <w:szCs w:val="24"/>
          <w:highlight w:val="none"/>
        </w:rPr>
        <w:t>联合体投标，联合体以一个投标人的身份共同投标。</w:t>
      </w:r>
    </w:p>
    <w:p w14:paraId="5AFCF58D">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120" w:rightChars="5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1.1</w:t>
      </w:r>
      <w:r>
        <w:rPr>
          <w:rFonts w:hint="eastAsia" w:ascii="宋体" w:hAnsi="宋体" w:eastAsia="宋体" w:cs="宋体"/>
          <w:color w:val="auto"/>
          <w:sz w:val="24"/>
          <w:szCs w:val="24"/>
          <w:highlight w:val="none"/>
        </w:rPr>
        <w:t>联合体成员数量不超过</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个。</w:t>
      </w:r>
    </w:p>
    <w:p w14:paraId="59165214">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120" w:rightChars="5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1.2</w:t>
      </w:r>
      <w:r>
        <w:rPr>
          <w:rFonts w:hint="eastAsia" w:ascii="宋体" w:hAnsi="宋体" w:eastAsia="宋体" w:cs="宋体"/>
          <w:color w:val="auto"/>
          <w:sz w:val="24"/>
          <w:szCs w:val="24"/>
          <w:highlight w:val="none"/>
        </w:rPr>
        <w:t>联合体各方应按招标文件提供的格式签订联合体协议书，明确联合体牵头人和各方权利义务，并承诺就中标项目向招标人承担连带责任。《联合体协议书》作为投标文件的组成部分向招标人提交。</w:t>
      </w:r>
    </w:p>
    <w:p w14:paraId="78061766">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120" w:rightChars="5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1.3</w:t>
      </w:r>
      <w:r>
        <w:rPr>
          <w:rFonts w:hint="eastAsia" w:ascii="宋体" w:hAnsi="宋体" w:eastAsia="宋体" w:cs="宋体"/>
          <w:color w:val="auto"/>
          <w:sz w:val="24"/>
          <w:szCs w:val="24"/>
          <w:highlight w:val="none"/>
        </w:rPr>
        <w:t>联合体成员单位均应具备拟承担的工作内容（以《联合体协议书》的约定为准）所规定的资格条件。若同一工作内容由两个或两个以上单位共同承担，该项工作内容按照资质等级较低的单位确定联合体资质等级。</w:t>
      </w:r>
    </w:p>
    <w:p w14:paraId="626EB5AA">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120" w:rightChars="50"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2.1.4</w:t>
      </w:r>
      <w:r>
        <w:rPr>
          <w:rFonts w:hint="eastAsia" w:ascii="宋体" w:hAnsi="宋体" w:eastAsia="宋体" w:cs="宋体"/>
          <w:color w:val="auto"/>
          <w:sz w:val="24"/>
          <w:szCs w:val="24"/>
          <w:highlight w:val="none"/>
          <w:lang w:val="en-US" w:eastAsia="zh-CN"/>
        </w:rPr>
        <w:t>联合体各方不得再以自己名义单独或参加其他联合体在本招标项目中投标，否则各相关投标均无效。</w:t>
      </w:r>
    </w:p>
    <w:p w14:paraId="2DEBC26E">
      <w:pPr>
        <w:keepNext w:val="0"/>
        <w:keepLines w:val="0"/>
        <w:pageBreakBefore w:val="0"/>
        <w:kinsoku/>
        <w:wordWrap w:val="0"/>
        <w:overflowPunct/>
        <w:topLinePunct w:val="0"/>
        <w:bidi w:val="0"/>
        <w:adjustRightInd w:val="0"/>
        <w:snapToGrid w:val="0"/>
        <w:spacing w:line="360" w:lineRule="auto"/>
        <w:ind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资格资质要求</w:t>
      </w:r>
    </w:p>
    <w:p w14:paraId="1225A77E">
      <w:pPr>
        <w:pStyle w:val="30"/>
        <w:keepNext w:val="0"/>
        <w:keepLines w:val="0"/>
        <w:pageBreakBefore w:val="0"/>
        <w:kinsoku/>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2.2.1</w:t>
      </w:r>
      <w:r>
        <w:rPr>
          <w:rFonts w:hint="eastAsia" w:ascii="宋体" w:hAnsi="宋体" w:eastAsia="宋体" w:cs="宋体"/>
          <w:snapToGrid w:val="0"/>
          <w:color w:val="auto"/>
          <w:kern w:val="0"/>
          <w:sz w:val="24"/>
          <w:szCs w:val="24"/>
          <w:highlight w:val="none"/>
        </w:rPr>
        <w:t xml:space="preserve"> 投标人须具备独立法人资格，按国家法律经营。</w:t>
      </w:r>
    </w:p>
    <w:p w14:paraId="15129C4F">
      <w:pPr>
        <w:pStyle w:val="30"/>
        <w:keepNext w:val="0"/>
        <w:keepLines w:val="0"/>
        <w:pageBreakBefore w:val="0"/>
        <w:kinsoku/>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2.2.2</w:t>
      </w:r>
      <w:r>
        <w:rPr>
          <w:rFonts w:hint="eastAsia" w:ascii="宋体" w:hAnsi="宋体" w:eastAsia="宋体" w:cs="宋体"/>
          <w:snapToGrid w:val="0"/>
          <w:color w:val="auto"/>
          <w:kern w:val="0"/>
          <w:sz w:val="24"/>
          <w:szCs w:val="24"/>
          <w:highlight w:val="none"/>
        </w:rPr>
        <w:t xml:space="preserve"> 投标人须持有建设行政主管部门颁发的企业资质证书及安全生产许可证。</w:t>
      </w:r>
    </w:p>
    <w:p w14:paraId="00F5DFCD">
      <w:pPr>
        <w:keepNext w:val="0"/>
        <w:keepLines w:val="0"/>
        <w:pageBreakBefore w:val="0"/>
        <w:widowControl w:val="0"/>
        <w:kinsoku/>
        <w:wordWrap w:val="0"/>
        <w:overflowPunct/>
        <w:topLinePunct w:val="0"/>
        <w:autoSpaceDE/>
        <w:autoSpaceDN/>
        <w:bidi w:val="0"/>
        <w:adjustRightInd/>
        <w:snapToGrid/>
        <w:spacing w:line="360" w:lineRule="auto"/>
        <w:ind w:right="120" w:rightChars="5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b/>
          <w:bCs/>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参加投标的投标人可以是单一独立法人或由不超过</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家独立法人组成的联合体【必须注明其中一家为牵头人】，联合体各方不得再以自己的名义单独申请，也不得同时参加两个或两个以上的联合体进行本项目的投标。</w:t>
      </w:r>
    </w:p>
    <w:p w14:paraId="4D875EC4">
      <w:pPr>
        <w:pStyle w:val="30"/>
        <w:keepNext w:val="0"/>
        <w:keepLines w:val="0"/>
        <w:pageBreakBefore w:val="0"/>
        <w:kinsoku/>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投标人</w:t>
      </w:r>
      <w:r>
        <w:rPr>
          <w:rFonts w:hint="eastAsia" w:ascii="宋体" w:hAnsi="宋体" w:eastAsia="宋体" w:cs="宋体"/>
          <w:color w:val="auto"/>
          <w:sz w:val="24"/>
          <w:szCs w:val="24"/>
          <w:highlight w:val="none"/>
          <w:lang w:eastAsia="zh-CN"/>
        </w:rPr>
        <w:t>（或组成联合体）</w:t>
      </w:r>
      <w:r>
        <w:rPr>
          <w:rFonts w:hint="eastAsia" w:ascii="宋体" w:hAnsi="宋体" w:eastAsia="宋体" w:cs="宋体"/>
          <w:snapToGrid w:val="0"/>
          <w:color w:val="auto"/>
          <w:kern w:val="0"/>
          <w:sz w:val="24"/>
          <w:szCs w:val="24"/>
          <w:highlight w:val="none"/>
        </w:rPr>
        <w:t>须具备以下资质：</w:t>
      </w:r>
      <w:r>
        <w:rPr>
          <w:rFonts w:hint="eastAsia" w:ascii="宋体" w:hAnsi="宋体" w:eastAsia="宋体" w:cs="宋体"/>
          <w:b/>
          <w:bCs/>
          <w:color w:val="auto"/>
          <w:sz w:val="24"/>
          <w:szCs w:val="24"/>
          <w:highlight w:val="none"/>
          <w:u w:val="single"/>
          <w:lang w:eastAsia="zh-CN"/>
        </w:rPr>
        <w:t>市政公用工程施工总承包</w:t>
      </w:r>
      <w:r>
        <w:rPr>
          <w:rFonts w:hint="eastAsia" w:ascii="宋体" w:hAnsi="宋体" w:eastAsia="宋体" w:cs="宋体"/>
          <w:b/>
          <w:bCs/>
          <w:color w:val="auto"/>
          <w:sz w:val="24"/>
          <w:szCs w:val="24"/>
          <w:highlight w:val="none"/>
          <w:u w:val="single"/>
          <w:lang w:val="en-US" w:eastAsia="zh-CN"/>
        </w:rPr>
        <w:t>叁</w:t>
      </w:r>
      <w:r>
        <w:rPr>
          <w:rFonts w:hint="eastAsia" w:ascii="宋体" w:hAnsi="宋体" w:eastAsia="宋体" w:cs="宋体"/>
          <w:b/>
          <w:bCs/>
          <w:color w:val="auto"/>
          <w:sz w:val="24"/>
          <w:szCs w:val="24"/>
          <w:highlight w:val="none"/>
          <w:u w:val="single"/>
          <w:lang w:eastAsia="zh-CN"/>
        </w:rPr>
        <w:t>级以上（含</w:t>
      </w:r>
      <w:r>
        <w:rPr>
          <w:rFonts w:hint="eastAsia" w:ascii="宋体" w:hAnsi="宋体" w:eastAsia="宋体" w:cs="宋体"/>
          <w:b/>
          <w:bCs/>
          <w:color w:val="auto"/>
          <w:sz w:val="24"/>
          <w:szCs w:val="24"/>
          <w:highlight w:val="none"/>
          <w:u w:val="single"/>
          <w:lang w:val="en-US" w:eastAsia="zh-CN"/>
        </w:rPr>
        <w:t>叁</w:t>
      </w:r>
      <w:r>
        <w:rPr>
          <w:rFonts w:hint="eastAsia" w:ascii="宋体" w:hAnsi="宋体" w:eastAsia="宋体" w:cs="宋体"/>
          <w:b/>
          <w:bCs/>
          <w:color w:val="auto"/>
          <w:sz w:val="24"/>
          <w:szCs w:val="24"/>
          <w:highlight w:val="none"/>
          <w:u w:val="single"/>
          <w:lang w:eastAsia="zh-CN"/>
        </w:rPr>
        <w:t>级）资质</w:t>
      </w:r>
      <w:r>
        <w:rPr>
          <w:rFonts w:hint="eastAsia" w:ascii="宋体" w:hAnsi="宋体" w:eastAsia="宋体" w:cs="宋体"/>
          <w:b/>
          <w:bCs/>
          <w:color w:val="auto"/>
          <w:sz w:val="24"/>
          <w:szCs w:val="24"/>
          <w:highlight w:val="none"/>
          <w:u w:val="single"/>
          <w:lang w:val="en-US" w:eastAsia="zh-CN"/>
        </w:rPr>
        <w:t>。</w:t>
      </w:r>
    </w:p>
    <w:p w14:paraId="6F4B3B3A">
      <w:pPr>
        <w:pStyle w:val="30"/>
        <w:keepNext w:val="0"/>
        <w:keepLines w:val="0"/>
        <w:pageBreakBefore w:val="0"/>
        <w:kinsoku/>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b/>
          <w:bCs/>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证明在开标日继续有效。</w:t>
      </w:r>
    </w:p>
    <w:p w14:paraId="14FE7120">
      <w:pPr>
        <w:pStyle w:val="30"/>
        <w:keepNext w:val="0"/>
        <w:keepLines w:val="0"/>
        <w:pageBreakBefore w:val="0"/>
        <w:kinsoku/>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相关人员要求</w:t>
      </w:r>
    </w:p>
    <w:p w14:paraId="211ABEC0">
      <w:pPr>
        <w:keepNext w:val="0"/>
        <w:keepLines w:val="0"/>
        <w:pageBreakBefore w:val="0"/>
        <w:kinsoku/>
        <w:wordWrap w:val="0"/>
        <w:overflowPunct/>
        <w:topLinePunct w:val="0"/>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2.3.1</w:t>
      </w:r>
      <w:r>
        <w:rPr>
          <w:rFonts w:hint="eastAsia" w:ascii="宋体" w:hAnsi="宋体" w:eastAsia="宋体" w:cs="宋体"/>
          <w:snapToGrid w:val="0"/>
          <w:color w:val="auto"/>
          <w:kern w:val="0"/>
          <w:sz w:val="24"/>
          <w:szCs w:val="24"/>
          <w:highlight w:val="none"/>
        </w:rPr>
        <w:t xml:space="preserve"> 拟派项目经理为</w:t>
      </w:r>
      <w:r>
        <w:rPr>
          <w:rFonts w:hint="eastAsia" w:ascii="宋体" w:hAnsi="宋体" w:eastAsia="宋体" w:cs="宋体"/>
          <w:b/>
          <w:bCs/>
          <w:snapToGrid w:val="0"/>
          <w:color w:val="auto"/>
          <w:kern w:val="0"/>
          <w:sz w:val="24"/>
          <w:szCs w:val="24"/>
          <w:highlight w:val="none"/>
          <w:u w:val="single"/>
          <w:lang w:eastAsia="zh-CN"/>
        </w:rPr>
        <w:t>市政公用工程</w:t>
      </w:r>
      <w:r>
        <w:rPr>
          <w:rFonts w:hint="eastAsia" w:ascii="宋体" w:hAnsi="宋体" w:eastAsia="宋体" w:cs="宋体"/>
          <w:snapToGrid w:val="0"/>
          <w:color w:val="auto"/>
          <w:kern w:val="0"/>
          <w:sz w:val="24"/>
          <w:szCs w:val="24"/>
          <w:highlight w:val="none"/>
        </w:rPr>
        <w:t>专业</w:t>
      </w:r>
      <w:r>
        <w:rPr>
          <w:rFonts w:hint="eastAsia" w:ascii="宋体" w:hAnsi="宋体" w:eastAsia="宋体" w:cs="宋体"/>
          <w:color w:val="auto"/>
          <w:sz w:val="24"/>
          <w:szCs w:val="24"/>
          <w:highlight w:val="none"/>
        </w:rPr>
        <w:t>一级或二级</w:t>
      </w:r>
      <w:r>
        <w:rPr>
          <w:rFonts w:hint="eastAsia" w:ascii="宋体" w:hAnsi="宋体" w:eastAsia="宋体" w:cs="宋体"/>
          <w:caps w:val="0"/>
          <w:smallCaps w:val="0"/>
          <w:snapToGrid w:val="0"/>
          <w:color w:val="auto"/>
          <w:spacing w:val="0"/>
          <w:kern w:val="0"/>
          <w:sz w:val="24"/>
          <w:szCs w:val="24"/>
          <w:highlight w:val="none"/>
          <w:u w:val="none"/>
          <w:lang w:val="en-US" w:eastAsia="zh-CN" w:bidi="ar-SA"/>
        </w:rPr>
        <w:t>注册建造师</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eastAsia="zh-CN"/>
        </w:rPr>
        <w:t>应持有住建部门印发的在使用有效期内的有效电子注册证书。同时均须具备有效安全生产考核合格证明（B 证），且未担任其他在施（包括已中标未开工、已开工未竣工）建设工程项目的项目经理。</w:t>
      </w:r>
    </w:p>
    <w:p w14:paraId="78C0465B">
      <w:pPr>
        <w:pStyle w:val="30"/>
        <w:keepNext w:val="0"/>
        <w:keepLines w:val="0"/>
        <w:pageBreakBefore w:val="0"/>
        <w:kinsoku/>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2.3.2</w:t>
      </w:r>
      <w:r>
        <w:rPr>
          <w:rFonts w:hint="eastAsia" w:ascii="宋体" w:hAnsi="宋体" w:eastAsia="宋体" w:cs="宋体"/>
          <w:snapToGrid w:val="0"/>
          <w:color w:val="auto"/>
          <w:kern w:val="0"/>
          <w:sz w:val="24"/>
          <w:szCs w:val="24"/>
          <w:highlight w:val="none"/>
        </w:rPr>
        <w:t xml:space="preserve"> 拟派项目技术负责人须具备</w:t>
      </w:r>
      <w:r>
        <w:rPr>
          <w:rFonts w:hint="eastAsia" w:ascii="宋体" w:hAnsi="宋体" w:eastAsia="宋体" w:cs="宋体"/>
          <w:b/>
          <w:bCs/>
          <w:snapToGrid w:val="0"/>
          <w:color w:val="auto"/>
          <w:kern w:val="0"/>
          <w:sz w:val="24"/>
          <w:szCs w:val="24"/>
          <w:highlight w:val="none"/>
          <w:u w:val="single"/>
          <w:lang w:val="en-US" w:eastAsia="zh-CN"/>
        </w:rPr>
        <w:t>市政类</w:t>
      </w:r>
      <w:r>
        <w:rPr>
          <w:rFonts w:hint="eastAsia" w:ascii="宋体" w:hAnsi="宋体" w:eastAsia="宋体" w:cs="宋体"/>
          <w:snapToGrid w:val="0"/>
          <w:color w:val="auto"/>
          <w:kern w:val="0"/>
          <w:sz w:val="24"/>
          <w:szCs w:val="24"/>
          <w:highlight w:val="none"/>
          <w:u w:val="none"/>
        </w:rPr>
        <w:t>相关</w:t>
      </w:r>
      <w:r>
        <w:rPr>
          <w:rFonts w:hint="eastAsia" w:ascii="宋体" w:hAnsi="宋体" w:eastAsia="宋体" w:cs="宋体"/>
          <w:snapToGrid w:val="0"/>
          <w:color w:val="auto"/>
          <w:kern w:val="0"/>
          <w:sz w:val="24"/>
          <w:szCs w:val="24"/>
          <w:highlight w:val="none"/>
        </w:rPr>
        <w:t>专业</w:t>
      </w:r>
      <w:r>
        <w:rPr>
          <w:rFonts w:hint="eastAsia" w:ascii="宋体" w:hAnsi="宋体" w:eastAsia="宋体" w:cs="宋体"/>
          <w:b/>
          <w:bCs/>
          <w:snapToGrid w:val="0"/>
          <w:color w:val="auto"/>
          <w:kern w:val="0"/>
          <w:sz w:val="24"/>
          <w:szCs w:val="24"/>
          <w:highlight w:val="none"/>
          <w:u w:val="single"/>
        </w:rPr>
        <w:t>中</w:t>
      </w:r>
      <w:r>
        <w:rPr>
          <w:rFonts w:hint="eastAsia" w:ascii="宋体" w:hAnsi="宋体" w:eastAsia="宋体" w:cs="宋体"/>
          <w:b/>
          <w:bCs/>
          <w:snapToGrid w:val="0"/>
          <w:color w:val="auto"/>
          <w:kern w:val="0"/>
          <w:sz w:val="24"/>
          <w:szCs w:val="24"/>
          <w:highlight w:val="none"/>
        </w:rPr>
        <w:t>级</w:t>
      </w:r>
      <w:r>
        <w:rPr>
          <w:rFonts w:hint="eastAsia" w:ascii="宋体" w:hAnsi="宋体" w:eastAsia="宋体" w:cs="宋体"/>
          <w:snapToGrid w:val="0"/>
          <w:color w:val="auto"/>
          <w:kern w:val="0"/>
          <w:sz w:val="24"/>
          <w:szCs w:val="24"/>
          <w:highlight w:val="none"/>
        </w:rPr>
        <w:t>或以上技术职称。</w:t>
      </w:r>
    </w:p>
    <w:p w14:paraId="609F2185">
      <w:pPr>
        <w:pStyle w:val="30"/>
        <w:keepNext w:val="0"/>
        <w:keepLines w:val="0"/>
        <w:pageBreakBefore w:val="0"/>
        <w:kinsoku/>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b/>
          <w:bCs/>
          <w:snapToGrid w:val="0"/>
          <w:color w:val="auto"/>
          <w:kern w:val="0"/>
          <w:sz w:val="24"/>
          <w:szCs w:val="24"/>
          <w:highlight w:val="none"/>
          <w:u w:val="single"/>
          <w:lang w:val="en-US" w:eastAsia="zh-CN"/>
        </w:rPr>
        <w:t xml:space="preserve">1 </w:t>
      </w:r>
      <w:r>
        <w:rPr>
          <w:rFonts w:hint="eastAsia" w:ascii="宋体" w:hAnsi="宋体" w:eastAsia="宋体" w:cs="宋体"/>
          <w:b/>
          <w:bCs/>
          <w:snapToGrid w:val="0"/>
          <w:color w:val="auto"/>
          <w:kern w:val="0"/>
          <w:sz w:val="24"/>
          <w:szCs w:val="24"/>
          <w:highlight w:val="none"/>
        </w:rPr>
        <w:t>人</w:t>
      </w:r>
      <w:r>
        <w:rPr>
          <w:rFonts w:hint="eastAsia" w:ascii="宋体" w:hAnsi="宋体" w:eastAsia="宋体" w:cs="宋体"/>
          <w:snapToGrid w:val="0"/>
          <w:color w:val="auto"/>
          <w:kern w:val="0"/>
          <w:sz w:val="24"/>
          <w:szCs w:val="24"/>
          <w:highlight w:val="none"/>
        </w:rPr>
        <w:t>。</w:t>
      </w:r>
    </w:p>
    <w:p w14:paraId="43B42DD3">
      <w:pPr>
        <w:pStyle w:val="31"/>
        <w:keepNext w:val="0"/>
        <w:keepLines w:val="0"/>
        <w:pageBreakBefore w:val="0"/>
        <w:widowControl w:val="0"/>
        <w:kinsoku/>
        <w:overflowPunct/>
        <w:topLinePunct w:val="0"/>
        <w:autoSpaceDE/>
        <w:autoSpaceDN/>
        <w:bidi w:val="0"/>
        <w:adjustRightInd/>
        <w:snapToGrid/>
        <w:spacing w:line="360" w:lineRule="auto"/>
        <w:ind w:firstLine="482" w:firstLineChars="200"/>
        <w:jc w:val="left"/>
        <w:rPr>
          <w:rStyle w:val="26"/>
          <w:rFonts w:hint="eastAsia" w:ascii="宋体" w:hAnsi="宋体" w:eastAsia="宋体" w:cs="宋体"/>
          <w:b w:val="0"/>
          <w:bCs w:val="0"/>
          <w:color w:val="auto"/>
          <w:kern w:val="0"/>
          <w:sz w:val="24"/>
          <w:szCs w:val="24"/>
          <w:highlight w:val="none"/>
        </w:rPr>
      </w:pPr>
      <w:r>
        <w:rPr>
          <w:rStyle w:val="26"/>
          <w:rFonts w:hint="eastAsia" w:ascii="宋体" w:hAnsi="宋体" w:eastAsia="宋体" w:cs="宋体"/>
          <w:b/>
          <w:bCs/>
          <w:color w:val="auto"/>
          <w:kern w:val="0"/>
          <w:sz w:val="24"/>
          <w:szCs w:val="24"/>
          <w:highlight w:val="none"/>
          <w:lang w:val="en-US" w:eastAsia="zh-CN"/>
        </w:rPr>
        <w:t>2.</w:t>
      </w:r>
      <w:r>
        <w:rPr>
          <w:rStyle w:val="26"/>
          <w:rFonts w:hint="eastAsia" w:ascii="宋体" w:hAnsi="宋体" w:eastAsia="宋体" w:cs="宋体"/>
          <w:b/>
          <w:bCs/>
          <w:color w:val="auto"/>
          <w:kern w:val="0"/>
          <w:sz w:val="24"/>
          <w:szCs w:val="24"/>
          <w:highlight w:val="none"/>
        </w:rPr>
        <w:t>3.</w:t>
      </w:r>
      <w:r>
        <w:rPr>
          <w:rStyle w:val="26"/>
          <w:rFonts w:hint="eastAsia" w:ascii="宋体" w:hAnsi="宋体" w:eastAsia="宋体" w:cs="宋体"/>
          <w:b/>
          <w:bCs/>
          <w:color w:val="auto"/>
          <w:kern w:val="0"/>
          <w:sz w:val="24"/>
          <w:szCs w:val="24"/>
          <w:highlight w:val="none"/>
          <w:lang w:val="en-US" w:eastAsia="zh-CN"/>
        </w:rPr>
        <w:t>4</w:t>
      </w:r>
      <w:r>
        <w:rPr>
          <w:rStyle w:val="26"/>
          <w:rFonts w:hint="eastAsia" w:ascii="宋体" w:hAnsi="宋体" w:eastAsia="宋体" w:cs="宋体"/>
          <w:b/>
          <w:bCs/>
          <w:color w:val="auto"/>
          <w:kern w:val="0"/>
          <w:sz w:val="24"/>
          <w:szCs w:val="24"/>
          <w:highlight w:val="none"/>
        </w:rPr>
        <w:t xml:space="preserve"> </w:t>
      </w:r>
      <w:r>
        <w:rPr>
          <w:rStyle w:val="26"/>
          <w:rFonts w:hint="eastAsia" w:ascii="宋体" w:hAnsi="宋体" w:eastAsia="宋体" w:cs="宋体"/>
          <w:b w:val="0"/>
          <w:bCs w:val="0"/>
          <w:color w:val="auto"/>
          <w:kern w:val="0"/>
          <w:sz w:val="24"/>
          <w:szCs w:val="24"/>
          <w:highlight w:val="none"/>
          <w:lang w:eastAsia="zh-CN"/>
        </w:rPr>
        <w:t>投标人</w:t>
      </w:r>
      <w:r>
        <w:rPr>
          <w:rFonts w:hint="eastAsia" w:ascii="宋体" w:hAnsi="宋体" w:eastAsia="宋体" w:cs="宋体"/>
          <w:color w:val="auto"/>
          <w:sz w:val="24"/>
          <w:szCs w:val="24"/>
          <w:highlight w:val="none"/>
          <w:lang w:val="en-US" w:eastAsia="zh-CN"/>
        </w:rPr>
        <w:t>（包括组成联合体的所有成员单位）</w:t>
      </w:r>
      <w:r>
        <w:rPr>
          <w:rStyle w:val="26"/>
          <w:rFonts w:hint="eastAsia" w:ascii="宋体" w:hAnsi="宋体" w:eastAsia="宋体" w:cs="宋体"/>
          <w:b w:val="0"/>
          <w:bCs w:val="0"/>
          <w:color w:val="auto"/>
          <w:kern w:val="0"/>
          <w:sz w:val="24"/>
          <w:szCs w:val="24"/>
          <w:highlight w:val="none"/>
          <w:lang w:eastAsia="zh-CN"/>
        </w:rPr>
        <w:t>与其拟派往本项目管理机构的所有人员之间必须具备合法、唯一的劳动聘用关系。拟派人员中具备注册执业资格的，其注册单位须与投标人保持一致（提供社保缴纳证明或劳动合同）。</w:t>
      </w:r>
    </w:p>
    <w:p w14:paraId="4D1417D0">
      <w:pPr>
        <w:pStyle w:val="31"/>
        <w:keepNext w:val="0"/>
        <w:keepLines w:val="0"/>
        <w:pageBreakBefore w:val="0"/>
        <w:widowControl w:val="0"/>
        <w:kinsoku/>
        <w:overflowPunct/>
        <w:topLinePunct w:val="0"/>
        <w:autoSpaceDE/>
        <w:autoSpaceDN/>
        <w:bidi w:val="0"/>
        <w:adjustRightInd/>
        <w:snapToGrid/>
        <w:spacing w:line="360" w:lineRule="auto"/>
        <w:ind w:firstLine="482" w:firstLineChars="200"/>
        <w:jc w:val="left"/>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2.4</w:t>
      </w:r>
      <w:r>
        <w:rPr>
          <w:rStyle w:val="26"/>
          <w:rFonts w:hint="eastAsia" w:ascii="宋体" w:hAnsi="宋体" w:eastAsia="宋体" w:cs="宋体"/>
          <w:color w:val="auto"/>
          <w:kern w:val="0"/>
          <w:sz w:val="24"/>
          <w:szCs w:val="24"/>
          <w:highlight w:val="none"/>
        </w:rPr>
        <w:t xml:space="preserve">  禁止投标条款</w:t>
      </w:r>
    </w:p>
    <w:p w14:paraId="4CDE2AC9">
      <w:pPr>
        <w:pStyle w:val="31"/>
        <w:keepNext w:val="0"/>
        <w:keepLines w:val="0"/>
        <w:pageBreakBefore w:val="0"/>
        <w:widowControl w:val="0"/>
        <w:kinsoku/>
        <w:overflowPunct/>
        <w:topLinePunct w:val="0"/>
        <w:autoSpaceDE/>
        <w:autoSpaceDN/>
        <w:bidi w:val="0"/>
        <w:adjustRightInd/>
        <w:snapToGrid/>
        <w:spacing w:line="360" w:lineRule="auto"/>
        <w:ind w:firstLine="482" w:firstLineChars="200"/>
        <w:jc w:val="left"/>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 xml:space="preserve">2.4.1 </w:t>
      </w:r>
      <w:r>
        <w:rPr>
          <w:rStyle w:val="26"/>
          <w:rFonts w:hint="eastAsia" w:ascii="宋体" w:hAnsi="宋体" w:eastAsia="宋体" w:cs="宋体"/>
          <w:color w:val="auto"/>
          <w:kern w:val="0"/>
          <w:sz w:val="24"/>
          <w:szCs w:val="24"/>
          <w:highlight w:val="none"/>
        </w:rPr>
        <w:t>投标人不得存在下列情形之一：</w:t>
      </w:r>
    </w:p>
    <w:p w14:paraId="6D11E4E6">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（1）为招标人不具有独立法人资格的附属机构（单位）；</w:t>
      </w:r>
    </w:p>
    <w:p w14:paraId="787F8B03">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（2）为本招标项目前期准备提供设计或咨询服务的；</w:t>
      </w:r>
    </w:p>
    <w:p w14:paraId="3A46CFA0">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（3）与本招标项目的其他投标人为同一个单位负责人；</w:t>
      </w:r>
    </w:p>
    <w:p w14:paraId="664D92C0">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（4）与本招标项目的其他投标人存在控股、管理关系；</w:t>
      </w:r>
    </w:p>
    <w:p w14:paraId="6568F79B">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（5）为本招标项目的监理人；</w:t>
      </w:r>
    </w:p>
    <w:p w14:paraId="1A2423CF">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（6）为本招标项目的代建人；</w:t>
      </w:r>
    </w:p>
    <w:p w14:paraId="2D4E6282">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（7）为本招标项目的招标代理机构；</w:t>
      </w:r>
    </w:p>
    <w:p w14:paraId="6B9DC815">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（8）与本招标项目的监理人或代建人或招标代理机构同为一个法定代表人；</w:t>
      </w:r>
    </w:p>
    <w:p w14:paraId="655EAF25">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（9）与本招标项目的监理人或代建人或招标代理机构存在控股或参股关系；</w:t>
      </w:r>
    </w:p>
    <w:p w14:paraId="50568ACF">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（10）与本招标项目的监理人或代建人或招标代理机构存在相互任职或工作关系；</w:t>
      </w:r>
    </w:p>
    <w:p w14:paraId="3EA61176">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（11）被依法暂停或者取消投标资格；</w:t>
      </w:r>
    </w:p>
    <w:p w14:paraId="5F32D9EB">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（12）被责令停产停业、暂扣或者吊销许可证、暂扣或者吊销执照；</w:t>
      </w:r>
    </w:p>
    <w:p w14:paraId="4FF551DC">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（13）进入清算程序，或被宣告破产，或其他丧失履约能力的情形；</w:t>
      </w:r>
    </w:p>
    <w:p w14:paraId="2A7D98B3">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（14）在最近三年内发生重大工程质量或安全问题（以相关行业主管部门的行政处罚决定或司法机关出具的有关法律文书为准）；</w:t>
      </w:r>
    </w:p>
    <w:p w14:paraId="6D69C7FC">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（15）被“信用中国”网站（https：//www.creditchina.gov.cn）发布的《法人和非法人组织公共信用信息报告》列为严重失信主体名单的。</w:t>
      </w:r>
    </w:p>
    <w:p w14:paraId="54BC9E27">
      <w:pPr>
        <w:keepNext w:val="0"/>
        <w:keepLines w:val="0"/>
        <w:pageBreakBefore w:val="0"/>
        <w:widowControl w:val="0"/>
        <w:kinsoku/>
        <w:overflowPunct/>
        <w:topLinePunct w:val="0"/>
        <w:autoSpaceDE/>
        <w:autoSpaceDN/>
        <w:bidi w:val="0"/>
        <w:adjustRightInd/>
        <w:snapToGrid/>
        <w:spacing w:line="360" w:lineRule="auto"/>
        <w:ind w:firstLine="482"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2.4.2</w:t>
      </w:r>
      <w:r>
        <w:rPr>
          <w:rStyle w:val="26"/>
          <w:rFonts w:hint="eastAsia" w:ascii="宋体" w:hAnsi="宋体" w:eastAsia="宋体" w:cs="宋体"/>
          <w:color w:val="auto"/>
          <w:kern w:val="0"/>
          <w:sz w:val="24"/>
          <w:szCs w:val="24"/>
          <w:highlight w:val="none"/>
        </w:rPr>
        <w:t xml:space="preserve"> 招标人拒绝以下名单中的单位参加本次投标：</w:t>
      </w:r>
    </w:p>
    <w:tbl>
      <w:tblPr>
        <w:tblStyle w:val="21"/>
        <w:tblW w:w="9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4381"/>
        <w:gridCol w:w="4536"/>
      </w:tblGrid>
      <w:tr w14:paraId="4F15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5" w:type="dxa"/>
            <w:tcBorders>
              <w:top w:val="single" w:color="auto" w:sz="4" w:space="0"/>
              <w:left w:val="single" w:color="auto" w:sz="4" w:space="0"/>
              <w:bottom w:val="single" w:color="auto" w:sz="4" w:space="0"/>
              <w:right w:val="single" w:color="auto" w:sz="4" w:space="0"/>
            </w:tcBorders>
            <w:noWrap w:val="0"/>
            <w:vAlign w:val="center"/>
          </w:tcPr>
          <w:p w14:paraId="5C48A4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序号</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2A37D6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单位名称</w:t>
            </w:r>
          </w:p>
        </w:tc>
        <w:tc>
          <w:tcPr>
            <w:tcW w:w="4536" w:type="dxa"/>
            <w:tcBorders>
              <w:top w:val="single" w:color="auto" w:sz="4" w:space="0"/>
              <w:left w:val="single" w:color="auto" w:sz="4" w:space="0"/>
              <w:bottom w:val="single" w:color="auto" w:sz="4" w:space="0"/>
              <w:right w:val="single" w:color="auto" w:sz="4" w:space="0"/>
            </w:tcBorders>
            <w:noWrap w:val="0"/>
            <w:vAlign w:val="center"/>
          </w:tcPr>
          <w:p w14:paraId="728F63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拒绝原因</w:t>
            </w:r>
          </w:p>
        </w:tc>
      </w:tr>
      <w:tr w14:paraId="266A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2B4F87">
            <w:pPr>
              <w:pStyle w:val="3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w:t>
            </w:r>
          </w:p>
        </w:tc>
        <w:tc>
          <w:tcPr>
            <w:tcW w:w="43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5A75C3">
            <w:pPr>
              <w:pStyle w:val="3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韶关高新技术产业开发区创业服务中心</w:t>
            </w:r>
          </w:p>
        </w:tc>
        <w:tc>
          <w:tcPr>
            <w:tcW w:w="45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C1DCF1">
            <w:pPr>
              <w:pStyle w:val="30"/>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为本项目的项目业主</w:t>
            </w:r>
          </w:p>
        </w:tc>
      </w:tr>
      <w:tr w14:paraId="4F85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6A2CE0">
            <w:pPr>
              <w:pStyle w:val="30"/>
              <w:keepNext w:val="0"/>
              <w:keepLines w:val="0"/>
              <w:numPr>
                <w:ilvl w:val="0"/>
                <w:numId w:val="0"/>
              </w:numPr>
              <w:suppressLineNumbers w:val="0"/>
              <w:wordWrap w:val="0"/>
              <w:adjustRightInd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4B62DE1E">
            <w:pPr>
              <w:pStyle w:val="30"/>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bCs/>
                <w:snapToGrid w:val="0"/>
                <w:color w:val="auto"/>
                <w:kern w:val="0"/>
                <w:sz w:val="24"/>
                <w:szCs w:val="24"/>
                <w:highlight w:val="none"/>
                <w:lang w:val="en-US" w:eastAsia="zh-CN"/>
              </w:rPr>
              <w:t>韶关工业园投资建设有限公司</w:t>
            </w:r>
          </w:p>
        </w:tc>
        <w:tc>
          <w:tcPr>
            <w:tcW w:w="4536" w:type="dxa"/>
            <w:tcBorders>
              <w:top w:val="single" w:color="auto" w:sz="4" w:space="0"/>
              <w:left w:val="single" w:color="auto" w:sz="4" w:space="0"/>
              <w:bottom w:val="single" w:color="auto" w:sz="4" w:space="0"/>
              <w:right w:val="single" w:color="auto" w:sz="4" w:space="0"/>
            </w:tcBorders>
            <w:noWrap w:val="0"/>
            <w:vAlign w:val="center"/>
          </w:tcPr>
          <w:p w14:paraId="0473E7C5">
            <w:pPr>
              <w:pStyle w:val="30"/>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为本招标项目的招标人</w:t>
            </w:r>
          </w:p>
        </w:tc>
      </w:tr>
      <w:tr w14:paraId="61FF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DE1563">
            <w:pPr>
              <w:pStyle w:val="30"/>
              <w:keepNext w:val="0"/>
              <w:keepLines w:val="0"/>
              <w:numPr>
                <w:ilvl w:val="0"/>
                <w:numId w:val="0"/>
              </w:numPr>
              <w:suppressLineNumbers w:val="0"/>
              <w:wordWrap w:val="0"/>
              <w:adjustRightInd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1B888C14">
            <w:pPr>
              <w:pStyle w:val="30"/>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广东明正项目管理有限公司</w:t>
            </w:r>
          </w:p>
        </w:tc>
        <w:tc>
          <w:tcPr>
            <w:tcW w:w="4536" w:type="dxa"/>
            <w:tcBorders>
              <w:top w:val="single" w:color="auto" w:sz="4" w:space="0"/>
              <w:left w:val="single" w:color="auto" w:sz="4" w:space="0"/>
              <w:bottom w:val="single" w:color="auto" w:sz="4" w:space="0"/>
              <w:right w:val="single" w:color="auto" w:sz="4" w:space="0"/>
            </w:tcBorders>
            <w:noWrap w:val="0"/>
            <w:vAlign w:val="center"/>
          </w:tcPr>
          <w:p w14:paraId="77C9ED47">
            <w:pPr>
              <w:pStyle w:val="30"/>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为本招标项目的招标代理机构</w:t>
            </w:r>
          </w:p>
        </w:tc>
      </w:tr>
      <w:tr w14:paraId="61F3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9395EB">
            <w:pPr>
              <w:pStyle w:val="30"/>
              <w:keepNext w:val="0"/>
              <w:keepLines w:val="0"/>
              <w:numPr>
                <w:ilvl w:val="0"/>
                <w:numId w:val="0"/>
              </w:numPr>
              <w:suppressLineNumbers w:val="0"/>
              <w:wordWrap w:val="0"/>
              <w:adjustRightInd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76B0BADC">
            <w:pPr>
              <w:pStyle w:val="30"/>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韶关市新辉项目管理有限公司</w:t>
            </w:r>
          </w:p>
        </w:tc>
        <w:tc>
          <w:tcPr>
            <w:tcW w:w="4536" w:type="dxa"/>
            <w:tcBorders>
              <w:top w:val="single" w:color="auto" w:sz="4" w:space="0"/>
              <w:left w:val="single" w:color="auto" w:sz="4" w:space="0"/>
              <w:bottom w:val="single" w:color="auto" w:sz="4" w:space="0"/>
              <w:right w:val="single" w:color="auto" w:sz="4" w:space="0"/>
            </w:tcBorders>
            <w:noWrap w:val="0"/>
            <w:vAlign w:val="center"/>
          </w:tcPr>
          <w:p w14:paraId="390646E0">
            <w:pPr>
              <w:pStyle w:val="30"/>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全过程</w:t>
            </w:r>
            <w:r>
              <w:rPr>
                <w:rFonts w:hint="eastAsia" w:ascii="宋体" w:hAnsi="宋体" w:eastAsia="宋体" w:cs="宋体"/>
                <w:snapToGrid w:val="0"/>
                <w:color w:val="auto"/>
                <w:kern w:val="0"/>
                <w:sz w:val="24"/>
                <w:szCs w:val="24"/>
                <w:highlight w:val="none"/>
              </w:rPr>
              <w:t>造价咨询单位</w:t>
            </w:r>
          </w:p>
        </w:tc>
      </w:tr>
      <w:tr w14:paraId="5F3B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5439E3">
            <w:pPr>
              <w:pStyle w:val="30"/>
              <w:keepNext w:val="0"/>
              <w:keepLines w:val="0"/>
              <w:numPr>
                <w:ilvl w:val="0"/>
                <w:numId w:val="0"/>
              </w:numPr>
              <w:suppressLineNumbers w:val="0"/>
              <w:wordWrap w:val="0"/>
              <w:adjustRightInd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5</w:t>
            </w:r>
          </w:p>
        </w:tc>
        <w:tc>
          <w:tcPr>
            <w:tcW w:w="43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1C0120">
            <w:pPr>
              <w:pStyle w:val="30"/>
              <w:keepNext w:val="0"/>
              <w:keepLines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深圳建昌工程设计有限公司</w:t>
            </w:r>
          </w:p>
        </w:tc>
        <w:tc>
          <w:tcPr>
            <w:tcW w:w="45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8059F4">
            <w:pPr>
              <w:pStyle w:val="30"/>
              <w:keepNext w:val="0"/>
              <w:keepLines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勘察设计</w:t>
            </w:r>
            <w:r>
              <w:rPr>
                <w:rFonts w:hint="eastAsia" w:ascii="宋体" w:hAnsi="宋体" w:eastAsia="宋体" w:cs="宋体"/>
                <w:snapToGrid w:val="0"/>
                <w:color w:val="auto"/>
                <w:kern w:val="0"/>
                <w:sz w:val="24"/>
                <w:szCs w:val="24"/>
                <w:highlight w:val="none"/>
              </w:rPr>
              <w:t>单位</w:t>
            </w:r>
          </w:p>
        </w:tc>
      </w:tr>
      <w:tr w14:paraId="0CE8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F2FBE1">
            <w:pPr>
              <w:pStyle w:val="30"/>
              <w:keepNext w:val="0"/>
              <w:keepLines w:val="0"/>
              <w:numPr>
                <w:ilvl w:val="0"/>
                <w:numId w:val="0"/>
              </w:numPr>
              <w:suppressLineNumbers w:val="0"/>
              <w:wordWrap w:val="0"/>
              <w:adjustRightInd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43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821C35">
            <w:pPr>
              <w:pStyle w:val="30"/>
              <w:keepNext w:val="0"/>
              <w:keepLines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待定</w:t>
            </w:r>
          </w:p>
        </w:tc>
        <w:tc>
          <w:tcPr>
            <w:tcW w:w="45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C21D8A">
            <w:pPr>
              <w:pStyle w:val="30"/>
              <w:keepNext w:val="0"/>
              <w:keepLines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监理</w:t>
            </w:r>
            <w:r>
              <w:rPr>
                <w:rFonts w:hint="eastAsia" w:ascii="宋体" w:hAnsi="宋体" w:eastAsia="宋体" w:cs="宋体"/>
                <w:snapToGrid w:val="0"/>
                <w:color w:val="auto"/>
                <w:kern w:val="0"/>
                <w:sz w:val="24"/>
                <w:szCs w:val="24"/>
                <w:highlight w:val="none"/>
              </w:rPr>
              <w:t>单位</w:t>
            </w:r>
          </w:p>
        </w:tc>
      </w:tr>
    </w:tbl>
    <w:p w14:paraId="3D7D5CDD">
      <w:pPr>
        <w:pStyle w:val="31"/>
        <w:keepNext w:val="0"/>
        <w:keepLines w:val="0"/>
        <w:pageBreakBefore w:val="0"/>
        <w:widowControl w:val="0"/>
        <w:kinsoku/>
        <w:overflowPunct/>
        <w:topLinePunct w:val="0"/>
        <w:autoSpaceDE/>
        <w:autoSpaceDN/>
        <w:bidi w:val="0"/>
        <w:adjustRightInd/>
        <w:snapToGrid/>
        <w:spacing w:line="360" w:lineRule="auto"/>
        <w:ind w:firstLine="482" w:firstLineChars="200"/>
        <w:jc w:val="left"/>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2.5</w:t>
      </w:r>
      <w:r>
        <w:rPr>
          <w:rStyle w:val="26"/>
          <w:rFonts w:hint="eastAsia" w:ascii="宋体" w:hAnsi="宋体" w:eastAsia="宋体" w:cs="宋体"/>
          <w:color w:val="auto"/>
          <w:kern w:val="0"/>
          <w:sz w:val="24"/>
          <w:szCs w:val="24"/>
          <w:highlight w:val="none"/>
        </w:rPr>
        <w:t xml:space="preserve"> 其他要求</w:t>
      </w:r>
    </w:p>
    <w:p w14:paraId="562AAA9B">
      <w:pPr>
        <w:pStyle w:val="31"/>
        <w:keepNext w:val="0"/>
        <w:keepLines w:val="0"/>
        <w:pageBreakBefore w:val="0"/>
        <w:widowControl w:val="0"/>
        <w:kinsoku/>
        <w:overflowPunct/>
        <w:topLinePunct w:val="0"/>
        <w:autoSpaceDE/>
        <w:autoSpaceDN/>
        <w:bidi w:val="0"/>
        <w:adjustRightInd/>
        <w:snapToGrid/>
        <w:spacing w:line="360" w:lineRule="auto"/>
        <w:ind w:firstLine="480" w:firstLineChars="200"/>
        <w:jc w:val="left"/>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省外企业</w:t>
      </w:r>
      <w:r>
        <w:rPr>
          <w:rStyle w:val="26"/>
          <w:rFonts w:hint="eastAsia" w:ascii="宋体" w:hAnsi="宋体" w:eastAsia="宋体" w:cs="宋体"/>
          <w:color w:val="auto"/>
          <w:kern w:val="0"/>
          <w:sz w:val="24"/>
          <w:szCs w:val="24"/>
          <w:highlight w:val="none"/>
          <w:lang w:eastAsia="zh-CN"/>
        </w:rPr>
        <w:t>（</w:t>
      </w:r>
      <w:r>
        <w:rPr>
          <w:rStyle w:val="26"/>
          <w:rFonts w:hint="eastAsia" w:ascii="宋体" w:hAnsi="宋体" w:eastAsia="宋体" w:cs="宋体"/>
          <w:color w:val="auto"/>
          <w:kern w:val="0"/>
          <w:sz w:val="24"/>
          <w:szCs w:val="24"/>
          <w:highlight w:val="none"/>
        </w:rPr>
        <w:t>包括组成联合体的所有成员单位）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685EAF9E">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3．招标文件的获取、提问和答疑</w:t>
      </w:r>
    </w:p>
    <w:p w14:paraId="4D5E789C">
      <w:pPr>
        <w:keepNext w:val="0"/>
        <w:keepLines w:val="0"/>
        <w:pageBreakBefore w:val="0"/>
        <w:widowControl w:val="0"/>
        <w:tabs>
          <w:tab w:val="left" w:pos="7020"/>
        </w:tabs>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本次招标实行电子投标。本项目招标文件随招标公告一并在广东省招标投标监管网（</w:t>
      </w:r>
      <w:r>
        <w:rPr>
          <w:rFonts w:hint="eastAsia" w:ascii="宋体" w:hAnsi="宋体" w:eastAsia="宋体" w:cs="宋体"/>
          <w:snapToGrid w:val="0"/>
          <w:color w:val="auto"/>
          <w:kern w:val="0"/>
          <w:sz w:val="24"/>
          <w:szCs w:val="24"/>
          <w:highlight w:val="none"/>
          <w:lang w:eastAsia="zh-CN"/>
        </w:rPr>
        <w:t>http：//zbtb.gd.gov.cn</w:t>
      </w:r>
      <w:r>
        <w:rPr>
          <w:rFonts w:hint="eastAsia" w:ascii="宋体" w:hAnsi="宋体" w:eastAsia="宋体" w:cs="宋体"/>
          <w:snapToGrid w:val="0"/>
          <w:color w:val="auto"/>
          <w:kern w:val="0"/>
          <w:sz w:val="24"/>
          <w:szCs w:val="24"/>
          <w:highlight w:val="none"/>
        </w:rPr>
        <w:t>）、全国公共资源交易平台（广东省·韶关市）（https</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ygp.gdzwfw.gov.cn/ggzy-portal/#/440200/index）网站发布。招标文件一经广东省招标投标监管网、全国公共资源交易平台（广东省·韶关市）发布，视为发送投标人，招标文件及相关附件由投标人自行在全国公共资源交易平台（广东省·韶关市）网站下载。请于招标文件获取期间</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eastAsia="zh-CN"/>
        </w:rPr>
        <w:t>见本招标文件</w:t>
      </w:r>
      <w:r>
        <w:rPr>
          <w:rFonts w:hint="eastAsia" w:ascii="宋体" w:hAnsi="宋体" w:eastAsia="宋体" w:cs="宋体"/>
          <w:snapToGrid w:val="0"/>
          <w:color w:val="auto"/>
          <w:kern w:val="0"/>
          <w:sz w:val="24"/>
          <w:szCs w:val="24"/>
          <w:highlight w:val="none"/>
        </w:rPr>
        <w:t>“重要事项时间地点一览表”）招标文件获取期间与招标公告发布时间一致，投标人须登录全国公共资源交易平台（广东省·韶关市）（https</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//ygp.gdzwfw.gov.cn/ggzy-portal/#/440200/index），使用新建设工程交易系统进行下载招标文件及相关附件，并于电子投标截止时间（</w:t>
      </w:r>
      <w:r>
        <w:rPr>
          <w:rFonts w:hint="eastAsia" w:ascii="宋体" w:hAnsi="宋体" w:eastAsia="宋体" w:cs="宋体"/>
          <w:snapToGrid w:val="0"/>
          <w:color w:val="auto"/>
          <w:kern w:val="0"/>
          <w:sz w:val="24"/>
          <w:szCs w:val="24"/>
          <w:highlight w:val="none"/>
          <w:lang w:eastAsia="zh-CN"/>
        </w:rPr>
        <w:t>见本招标文件</w:t>
      </w:r>
      <w:r>
        <w:rPr>
          <w:rFonts w:hint="eastAsia" w:ascii="宋体" w:hAnsi="宋体" w:eastAsia="宋体" w:cs="宋体"/>
          <w:snapToGrid w:val="0"/>
          <w:color w:val="auto"/>
          <w:kern w:val="0"/>
          <w:sz w:val="24"/>
          <w:szCs w:val="24"/>
          <w:highlight w:val="none"/>
        </w:rPr>
        <w:t>“重要事项时间地点一览表”）前完成电子投标。投标人可登录全国公共资源交易平台（广东省·韶关市）（https</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//ygp.gdzwfw.gov.cn/ggzy-portal/#/440200/index），在【服务指南】栏目中下载《韶关市公共资源建设工程交易系统</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投标人操作指南（电子评标）V1.3》，了解网上获取招标文件操作流程。技术咨询电话：18819797080/0751-8379671伍先生，业务咨询电话：0751-8633211、8633071。</w:t>
      </w:r>
    </w:p>
    <w:p w14:paraId="3F185A52">
      <w:pPr>
        <w:keepNext w:val="0"/>
        <w:keepLines w:val="0"/>
        <w:pageBreakBefore w:val="0"/>
        <w:widowControl w:val="0"/>
        <w:tabs>
          <w:tab w:val="left" w:pos="7020"/>
        </w:tabs>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29C63A2C">
      <w:pPr>
        <w:keepNext w:val="0"/>
        <w:keepLines w:val="0"/>
        <w:pageBreakBefore w:val="0"/>
        <w:widowControl w:val="0"/>
        <w:tabs>
          <w:tab w:val="left" w:pos="7020"/>
        </w:tabs>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首次在韶关市参与建设工程招标投标活动的投标人，必须在平台系统上传企业相关资料办理企业入库事宜。投标人可登录全国公共资源交易平台（广东省·韶关市）（https</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//ygp.gdzwfw.gov.cn/ggzy-portal/#/440200/index）办理企业入库、数字证书及电子印章事宜，具体请在平台查阅相应的交易指引。</w:t>
      </w:r>
    </w:p>
    <w:p w14:paraId="2BB7A4A7">
      <w:pPr>
        <w:keepNext w:val="0"/>
        <w:keepLines w:val="0"/>
        <w:pageBreakBefore w:val="0"/>
        <w:widowControl w:val="0"/>
        <w:tabs>
          <w:tab w:val="left" w:pos="7020"/>
        </w:tabs>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10E21D52">
      <w:pPr>
        <w:keepNext w:val="0"/>
        <w:keepLines w:val="0"/>
        <w:pageBreakBefore w:val="0"/>
        <w:widowControl w:val="0"/>
        <w:tabs>
          <w:tab w:val="left" w:pos="7020"/>
        </w:tabs>
        <w:kinsoku/>
        <w:wordWrap w:val="0"/>
        <w:overflowPunct/>
        <w:topLinePunct w:val="0"/>
        <w:autoSpaceDE/>
        <w:autoSpaceDN/>
        <w:bidi w:val="0"/>
        <w:adjustRightInd/>
        <w:snapToGrid/>
        <w:spacing w:line="360" w:lineRule="auto"/>
        <w:ind w:firstLine="480" w:firstLineChars="20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03AEEF79">
      <w:pPr>
        <w:keepNext w:val="0"/>
        <w:keepLines w:val="0"/>
        <w:pageBreakBefore w:val="0"/>
        <w:widowControl w:val="0"/>
        <w:tabs>
          <w:tab w:val="left" w:pos="7020"/>
        </w:tabs>
        <w:kinsoku/>
        <w:wordWrap w:val="0"/>
        <w:overflowPunct/>
        <w:topLinePunct w:val="0"/>
        <w:autoSpaceDE/>
        <w:autoSpaceDN/>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0E6F12E7">
      <w:pPr>
        <w:keepNext w:val="0"/>
        <w:keepLines w:val="0"/>
        <w:pageBreakBefore w:val="0"/>
        <w:widowControl w:val="0"/>
        <w:tabs>
          <w:tab w:val="left" w:pos="7020"/>
        </w:tabs>
        <w:kinsoku/>
        <w:wordWrap w:val="0"/>
        <w:overflowPunct/>
        <w:topLinePunct w:val="0"/>
        <w:autoSpaceDE/>
        <w:autoSpaceDN/>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Fonts w:hint="eastAsia" w:ascii="宋体" w:hAnsi="宋体" w:eastAsia="宋体" w:cs="宋体"/>
          <w:snapToGrid w:val="0"/>
          <w:color w:val="auto"/>
          <w:kern w:val="0"/>
          <w:sz w:val="24"/>
          <w:szCs w:val="24"/>
          <w:highlight w:val="none"/>
          <w:u w:val="single"/>
          <w:lang w:val="en-US" w:eastAsia="zh-CN"/>
        </w:rPr>
        <w:t>伍万元整</w:t>
      </w:r>
      <w:r>
        <w:rPr>
          <w:rFonts w:hint="eastAsia" w:ascii="宋体" w:hAnsi="宋体" w:eastAsia="宋体" w:cs="宋体"/>
          <w:snapToGrid w:val="0"/>
          <w:color w:val="auto"/>
          <w:kern w:val="0"/>
          <w:sz w:val="24"/>
          <w:szCs w:val="24"/>
          <w:highlight w:val="none"/>
        </w:rPr>
        <w:t>的投标保证。</w:t>
      </w:r>
    </w:p>
    <w:p w14:paraId="46D59218">
      <w:pPr>
        <w:keepNext w:val="0"/>
        <w:keepLines w:val="0"/>
        <w:pageBreakBefore w:val="0"/>
        <w:widowControl w:val="0"/>
        <w:tabs>
          <w:tab w:val="left" w:pos="7020"/>
        </w:tabs>
        <w:kinsoku/>
        <w:wordWrap w:val="0"/>
        <w:overflowPunct/>
        <w:topLinePunct w:val="0"/>
        <w:autoSpaceDE/>
        <w:autoSpaceDN/>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384AF173">
      <w:pPr>
        <w:keepNext w:val="0"/>
        <w:keepLines w:val="0"/>
        <w:pageBreakBefore w:val="0"/>
        <w:widowControl w:val="0"/>
        <w:tabs>
          <w:tab w:val="left" w:pos="7020"/>
        </w:tabs>
        <w:kinsoku/>
        <w:wordWrap w:val="0"/>
        <w:overflowPunct/>
        <w:topLinePunct w:val="0"/>
        <w:autoSpaceDE/>
        <w:autoSpaceDN/>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w:t>
      </w:r>
      <w:r>
        <w:rPr>
          <w:rFonts w:hint="eastAsia" w:ascii="宋体" w:hAnsi="宋体" w:eastAsia="宋体" w:cs="宋体"/>
          <w:snapToGrid w:val="0"/>
          <w:color w:val="auto"/>
          <w:kern w:val="0"/>
          <w:sz w:val="24"/>
          <w:szCs w:val="24"/>
          <w:highlight w:val="none"/>
          <w:lang w:eastAsia="zh-CN"/>
        </w:rPr>
        <w:t>见本招标文件</w:t>
      </w:r>
      <w:r>
        <w:rPr>
          <w:rFonts w:hint="eastAsia" w:ascii="宋体" w:hAnsi="宋体" w:eastAsia="宋体" w:cs="宋体"/>
          <w:snapToGrid w:val="0"/>
          <w:color w:val="auto"/>
          <w:kern w:val="0"/>
          <w:sz w:val="24"/>
          <w:szCs w:val="24"/>
          <w:highlight w:val="none"/>
        </w:rPr>
        <w:t>“重要事项时间地点一览表”）前，从其基本账户将投标保证金转账到指定的缴纳账号。逾期到账的、从非投标人基本账户转出的，其投标无效。</w:t>
      </w:r>
    </w:p>
    <w:p w14:paraId="7E44DC67">
      <w:pPr>
        <w:keepNext w:val="0"/>
        <w:keepLines w:val="0"/>
        <w:pageBreakBefore w:val="0"/>
        <w:widowControl w:val="0"/>
        <w:tabs>
          <w:tab w:val="left" w:pos="7020"/>
        </w:tabs>
        <w:kinsoku/>
        <w:wordWrap w:val="0"/>
        <w:overflowPunct/>
        <w:topLinePunct w:val="0"/>
        <w:autoSpaceDE/>
        <w:autoSpaceDN/>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（2）采用投标保证担保的，投标人应提交有效的电子保函或保证保险，电子保函或保证保险的有效期不得短于投标有效期。投标人必须在投标保证担保截止时间（详</w:t>
      </w:r>
      <w:r>
        <w:rPr>
          <w:rFonts w:hint="eastAsia" w:ascii="宋体" w:hAnsi="宋体" w:eastAsia="宋体" w:cs="宋体"/>
          <w:snapToGrid w:val="0"/>
          <w:color w:val="auto"/>
          <w:kern w:val="0"/>
          <w:sz w:val="24"/>
          <w:szCs w:val="24"/>
          <w:highlight w:val="none"/>
          <w:lang w:eastAsia="zh-CN"/>
        </w:rPr>
        <w:t>见本招标文件</w:t>
      </w:r>
      <w:r>
        <w:rPr>
          <w:rFonts w:hint="eastAsia" w:ascii="宋体" w:hAnsi="宋体" w:eastAsia="宋体" w:cs="宋体"/>
          <w:snapToGrid w:val="0"/>
          <w:color w:val="auto"/>
          <w:kern w:val="0"/>
          <w:sz w:val="24"/>
          <w:szCs w:val="24"/>
          <w:highlight w:val="none"/>
        </w:rPr>
        <w:t>“重要事项时间地点一览表”）前，使用工程建设交易系统完成网上办理电子保函或保证保险。</w:t>
      </w:r>
    </w:p>
    <w:p w14:paraId="627463EE">
      <w:pPr>
        <w:keepNext w:val="0"/>
        <w:keepLines w:val="0"/>
        <w:pageBreakBefore w:val="0"/>
        <w:widowControl w:val="0"/>
        <w:tabs>
          <w:tab w:val="left" w:pos="7020"/>
        </w:tabs>
        <w:kinsoku/>
        <w:wordWrap w:val="0"/>
        <w:overflowPunct/>
        <w:topLinePunct w:val="0"/>
        <w:autoSpaceDE/>
        <w:autoSpaceDN/>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w:t>
      </w:r>
      <w:r>
        <w:rPr>
          <w:rFonts w:hint="eastAsia" w:ascii="宋体" w:hAnsi="宋体" w:eastAsia="宋体" w:cs="宋体"/>
          <w:snapToGrid w:val="0"/>
          <w:color w:val="auto"/>
          <w:kern w:val="0"/>
          <w:sz w:val="24"/>
          <w:szCs w:val="24"/>
          <w:highlight w:val="none"/>
          <w:lang w:eastAsia="zh-CN"/>
        </w:rPr>
        <w:t>见本招标文件</w:t>
      </w:r>
      <w:r>
        <w:rPr>
          <w:rFonts w:hint="eastAsia" w:ascii="宋体" w:hAnsi="宋体" w:eastAsia="宋体" w:cs="宋体"/>
          <w:snapToGrid w:val="0"/>
          <w:color w:val="auto"/>
          <w:kern w:val="0"/>
          <w:sz w:val="24"/>
          <w:szCs w:val="24"/>
          <w:highlight w:val="none"/>
        </w:rPr>
        <w:t>“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//ygp.gdzwfw.gov.cn/ggzy-portal/#/440200/index），在【服务指南】栏目中下载《韶关市公共资源建设工程交易系统</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投标人操作指南（电子评标）V1.3》，了解网上投保具体操作流程。逾期投保的，其投标无效。</w:t>
      </w:r>
    </w:p>
    <w:p w14:paraId="42CB3AD3">
      <w:pPr>
        <w:keepNext w:val="0"/>
        <w:keepLines w:val="0"/>
        <w:pageBreakBefore w:val="0"/>
        <w:widowControl w:val="0"/>
        <w:tabs>
          <w:tab w:val="left" w:pos="7020"/>
        </w:tabs>
        <w:kinsoku/>
        <w:wordWrap w:val="0"/>
        <w:overflowPunct/>
        <w:topLinePunct w:val="0"/>
        <w:autoSpaceDE/>
        <w:autoSpaceDN/>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w:t>
      </w:r>
      <w:r>
        <w:rPr>
          <w:rFonts w:hint="eastAsia" w:ascii="宋体" w:hAnsi="宋体" w:eastAsia="宋体" w:cs="宋体"/>
          <w:snapToGrid w:val="0"/>
          <w:color w:val="auto"/>
          <w:kern w:val="0"/>
          <w:sz w:val="24"/>
          <w:szCs w:val="24"/>
          <w:highlight w:val="none"/>
          <w:lang w:eastAsia="zh-CN"/>
        </w:rPr>
        <w:t>示</w:t>
      </w:r>
      <w:r>
        <w:rPr>
          <w:rFonts w:hint="eastAsia" w:ascii="宋体" w:hAnsi="宋体" w:eastAsia="宋体" w:cs="宋体"/>
          <w:snapToGrid w:val="0"/>
          <w:color w:val="auto"/>
          <w:kern w:val="0"/>
          <w:sz w:val="24"/>
          <w:szCs w:val="24"/>
          <w:highlight w:val="none"/>
        </w:rPr>
        <w:t>：1.投标人采用投标保证担保或投标保证保险的，为避免在评标过程中因有效期发生争议，建议投标人将银行保函或电子保单有效期设置为较招标文件规定的投标有效期延长不少于20个日历天。</w:t>
      </w:r>
    </w:p>
    <w:p w14:paraId="70FC8DF0">
      <w:pPr>
        <w:pStyle w:val="7"/>
        <w:keepNext w:val="0"/>
        <w:keepLines w:val="0"/>
        <w:pageBreakBefore w:val="0"/>
        <w:widowControl w:val="0"/>
        <w:kinsoku/>
        <w:overflowPunct/>
        <w:topLinePunct w:val="0"/>
        <w:autoSpaceDE/>
        <w:autoSpaceDN/>
        <w:bidi w:val="0"/>
        <w:adjustRightInd/>
        <w:snapToGrid/>
        <w:spacing w:line="360" w:lineRule="auto"/>
        <w:ind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sz w:val="24"/>
          <w:szCs w:val="24"/>
          <w:highlight w:val="none"/>
        </w:rPr>
        <w:t>3.4</w:t>
      </w:r>
      <w:r>
        <w:rPr>
          <w:rFonts w:hint="eastAsia" w:ascii="宋体" w:hAnsi="宋体" w:eastAsia="宋体" w:cs="宋体"/>
          <w:snapToGrid w:val="0"/>
          <w:color w:val="auto"/>
          <w:sz w:val="24"/>
          <w:szCs w:val="24"/>
          <w:highlight w:val="none"/>
        </w:rPr>
        <w:t xml:space="preserve"> 若投标人因自身原因未能正确获取招标文件、电子投标、缴纳投标保证的，其投标无效。</w:t>
      </w:r>
    </w:p>
    <w:p w14:paraId="77829B04">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4．工期要求</w:t>
      </w:r>
    </w:p>
    <w:p w14:paraId="1BEDD3E2">
      <w:pPr>
        <w:keepNext w:val="0"/>
        <w:keepLines w:val="0"/>
        <w:pageBreakBefore w:val="0"/>
        <w:widowControl w:val="0"/>
        <w:tabs>
          <w:tab w:val="left" w:pos="7020"/>
        </w:tabs>
        <w:kinsoku/>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Style w:val="26"/>
          <w:rFonts w:hint="eastAsia" w:ascii="宋体" w:hAnsi="宋体" w:eastAsia="宋体" w:cs="宋体"/>
          <w:color w:val="auto"/>
          <w:kern w:val="0"/>
          <w:sz w:val="24"/>
          <w:szCs w:val="24"/>
          <w:highlight w:val="none"/>
        </w:rPr>
        <w:t>本招标项目施工招标工期为</w:t>
      </w:r>
      <w:r>
        <w:rPr>
          <w:rStyle w:val="26"/>
          <w:rFonts w:hint="eastAsia" w:ascii="宋体" w:hAnsi="宋体" w:eastAsia="宋体" w:cs="宋体"/>
          <w:color w:val="auto"/>
          <w:kern w:val="0"/>
          <w:sz w:val="24"/>
          <w:szCs w:val="24"/>
          <w:highlight w:val="none"/>
          <w:u w:val="single"/>
          <w:lang w:val="en-US" w:eastAsia="zh-CN"/>
        </w:rPr>
        <w:t xml:space="preserve"> 120</w:t>
      </w:r>
      <w:r>
        <w:rPr>
          <w:rStyle w:val="26"/>
          <w:rFonts w:hint="eastAsia" w:ascii="宋体" w:hAnsi="宋体" w:eastAsia="宋体" w:cs="宋体"/>
          <w:color w:val="auto"/>
          <w:kern w:val="0"/>
          <w:sz w:val="24"/>
          <w:szCs w:val="24"/>
          <w:highlight w:val="none"/>
        </w:rPr>
        <w:t>个日历天，中标人必须在招标工期内完成招标范围内的全部内容。</w:t>
      </w:r>
    </w:p>
    <w:p w14:paraId="3174E50D">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5．质量标准和材料、机械要求</w:t>
      </w:r>
    </w:p>
    <w:p w14:paraId="135F010E">
      <w:pPr>
        <w:keepNext w:val="0"/>
        <w:keepLines w:val="0"/>
        <w:pageBreakBefore w:val="0"/>
        <w:widowControl w:val="0"/>
        <w:tabs>
          <w:tab w:val="left" w:pos="6240"/>
        </w:tabs>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w:t>
      </w:r>
      <w:r>
        <w:rPr>
          <w:rFonts w:hint="eastAsia" w:ascii="宋体" w:hAnsi="宋体" w:eastAsia="宋体" w:cs="宋体"/>
          <w:snapToGrid w:val="0"/>
          <w:color w:val="auto"/>
          <w:kern w:val="0"/>
          <w:sz w:val="24"/>
          <w:szCs w:val="24"/>
          <w:highlight w:val="none"/>
          <w:u w:val="none"/>
        </w:rPr>
        <w:t>达到</w:t>
      </w:r>
      <w:r>
        <w:rPr>
          <w:rFonts w:hint="eastAsia" w:ascii="宋体" w:hAnsi="宋体" w:eastAsia="宋体" w:cs="宋体"/>
          <w:snapToGrid w:val="0"/>
          <w:color w:val="auto"/>
          <w:kern w:val="0"/>
          <w:sz w:val="24"/>
          <w:szCs w:val="24"/>
          <w:highlight w:val="none"/>
          <w:u w:val="single"/>
          <w:lang w:val="en-US" w:eastAsia="zh-CN"/>
        </w:rPr>
        <w:t>符合现行国家有关工程施工质量验收规范和标准的要求并达到合格</w:t>
      </w:r>
      <w:r>
        <w:rPr>
          <w:rFonts w:hint="eastAsia" w:ascii="宋体" w:hAnsi="宋体" w:eastAsia="宋体" w:cs="宋体"/>
          <w:snapToGrid w:val="0"/>
          <w:color w:val="auto"/>
          <w:kern w:val="0"/>
          <w:sz w:val="24"/>
          <w:szCs w:val="24"/>
          <w:highlight w:val="none"/>
          <w:u w:val="none"/>
          <w:lang w:eastAsia="zh-CN"/>
        </w:rPr>
        <w:t>。</w:t>
      </w:r>
      <w:r>
        <w:rPr>
          <w:rFonts w:hint="eastAsia" w:ascii="宋体" w:hAnsi="宋体" w:eastAsia="宋体" w:cs="宋体"/>
          <w:color w:val="auto"/>
          <w:sz w:val="24"/>
          <w:szCs w:val="24"/>
          <w:highlight w:val="none"/>
        </w:rPr>
        <w:t>如未达到合格标准，则按合同价款的</w:t>
      </w:r>
      <w:r>
        <w:rPr>
          <w:rFonts w:hint="eastAsia" w:ascii="宋体" w:hAnsi="宋体" w:eastAsia="宋体" w:cs="宋体"/>
          <w:color w:val="auto"/>
          <w:sz w:val="24"/>
          <w:szCs w:val="24"/>
          <w:highlight w:val="none"/>
          <w:u w:val="single"/>
        </w:rPr>
        <w:t xml:space="preserve"> 1 </w:t>
      </w:r>
      <w:r>
        <w:rPr>
          <w:rFonts w:hint="eastAsia" w:ascii="宋体" w:hAnsi="宋体" w:eastAsia="宋体" w:cs="宋体"/>
          <w:color w:val="auto"/>
          <w:sz w:val="24"/>
          <w:szCs w:val="24"/>
          <w:highlight w:val="none"/>
        </w:rPr>
        <w:t>%向招标人</w:t>
      </w:r>
      <w:r>
        <w:rPr>
          <w:rFonts w:hint="eastAsia" w:ascii="宋体" w:hAnsi="宋体" w:eastAsia="宋体" w:cs="宋体"/>
          <w:color w:val="auto"/>
          <w:sz w:val="24"/>
          <w:szCs w:val="24"/>
          <w:highlight w:val="none"/>
          <w:lang w:eastAsia="zh-CN"/>
        </w:rPr>
        <w:t>返还</w:t>
      </w:r>
      <w:r>
        <w:rPr>
          <w:rFonts w:hint="eastAsia" w:ascii="宋体" w:hAnsi="宋体" w:eastAsia="宋体" w:cs="宋体"/>
          <w:color w:val="auto"/>
          <w:sz w:val="24"/>
          <w:szCs w:val="24"/>
          <w:highlight w:val="none"/>
        </w:rPr>
        <w:t>质量违约金，并由中标人负责返修至达到</w:t>
      </w:r>
      <w:r>
        <w:rPr>
          <w:rFonts w:hint="eastAsia" w:ascii="宋体" w:hAnsi="宋体" w:eastAsia="宋体" w:cs="宋体"/>
          <w:b/>
          <w:bCs/>
          <w:color w:val="auto"/>
          <w:sz w:val="24"/>
          <w:szCs w:val="24"/>
          <w:highlight w:val="none"/>
          <w:u w:val="single"/>
        </w:rPr>
        <w:t>合格标准</w:t>
      </w:r>
      <w:r>
        <w:rPr>
          <w:rFonts w:hint="eastAsia" w:ascii="宋体" w:hAnsi="宋体" w:eastAsia="宋体" w:cs="宋体"/>
          <w:color w:val="auto"/>
          <w:sz w:val="24"/>
          <w:szCs w:val="24"/>
          <w:highlight w:val="none"/>
        </w:rPr>
        <w:t>，返修费用由中标人承担，同时承担所有的责任及经济损失</w:t>
      </w:r>
      <w:r>
        <w:rPr>
          <w:rFonts w:hint="eastAsia" w:ascii="宋体" w:hAnsi="宋体" w:eastAsia="宋体" w:cs="宋体"/>
          <w:color w:val="auto"/>
          <w:sz w:val="24"/>
          <w:szCs w:val="24"/>
          <w:highlight w:val="none"/>
          <w:lang w:eastAsia="zh-CN"/>
        </w:rPr>
        <w:t>。</w:t>
      </w:r>
    </w:p>
    <w:p w14:paraId="47D5ADE4">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3420EB79">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6CE9C090">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color w:val="auto"/>
          <w:kern w:val="2"/>
          <w:sz w:val="24"/>
          <w:szCs w:val="24"/>
          <w:highlight w:val="none"/>
        </w:rPr>
        <w:t>本招标项目</w:t>
      </w:r>
      <w:r>
        <w:rPr>
          <w:rFonts w:hint="eastAsia" w:ascii="宋体" w:hAnsi="宋体" w:eastAsia="宋体" w:cs="宋体"/>
          <w:snapToGrid/>
          <w:color w:val="auto"/>
          <w:kern w:val="2"/>
          <w:sz w:val="24"/>
          <w:szCs w:val="24"/>
          <w:highlight w:val="none"/>
          <w:lang w:val="en-US" w:eastAsia="zh-CN"/>
        </w:rPr>
        <w:t>不</w:t>
      </w:r>
      <w:r>
        <w:rPr>
          <w:rFonts w:hint="eastAsia" w:ascii="宋体" w:hAnsi="宋体" w:eastAsia="宋体" w:cs="宋体"/>
          <w:snapToGrid/>
          <w:color w:val="auto"/>
          <w:kern w:val="2"/>
          <w:sz w:val="24"/>
          <w:szCs w:val="24"/>
          <w:highlight w:val="none"/>
        </w:rPr>
        <w:t>纳入绿色建</w:t>
      </w:r>
      <w:r>
        <w:rPr>
          <w:rFonts w:hint="eastAsia" w:ascii="宋体" w:hAnsi="宋体" w:eastAsia="宋体" w:cs="宋体"/>
          <w:snapToGrid/>
          <w:color w:val="auto"/>
          <w:kern w:val="2"/>
          <w:sz w:val="24"/>
          <w:szCs w:val="24"/>
          <w:highlight w:val="none"/>
          <w:lang w:eastAsia="zh-CN"/>
        </w:rPr>
        <w:t>筑</w:t>
      </w:r>
      <w:r>
        <w:rPr>
          <w:rFonts w:hint="eastAsia" w:ascii="宋体" w:hAnsi="宋体" w:eastAsia="宋体" w:cs="宋体"/>
          <w:snapToGrid/>
          <w:color w:val="auto"/>
          <w:kern w:val="2"/>
          <w:sz w:val="24"/>
          <w:szCs w:val="24"/>
          <w:highlight w:val="none"/>
        </w:rPr>
        <w:t>实施范围</w:t>
      </w:r>
      <w:r>
        <w:rPr>
          <w:rFonts w:hint="eastAsia" w:ascii="宋体" w:hAnsi="宋体" w:eastAsia="宋体" w:cs="宋体"/>
          <w:color w:val="auto"/>
          <w:kern w:val="2"/>
          <w:sz w:val="24"/>
          <w:szCs w:val="24"/>
          <w:highlight w:val="none"/>
        </w:rPr>
        <w:t>。</w:t>
      </w:r>
    </w:p>
    <w:p w14:paraId="3E1C1CD9">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5.5 </w:t>
      </w:r>
      <w:r>
        <w:rPr>
          <w:rFonts w:hint="eastAsia" w:ascii="宋体" w:hAnsi="宋体" w:eastAsia="宋体" w:cs="宋体"/>
          <w:snapToGrid w:val="0"/>
          <w:color w:val="auto"/>
          <w:kern w:val="0"/>
          <w:sz w:val="24"/>
          <w:szCs w:val="24"/>
          <w:highlight w:val="none"/>
          <w:lang w:val="en-US" w:eastAsia="zh-CN"/>
        </w:rPr>
        <w:t>本招标项目不纳入装配式建造建设实施范围。</w:t>
      </w:r>
    </w:p>
    <w:p w14:paraId="2259ADB0">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eastAsia="zh-CN"/>
        </w:rPr>
        <w:t>其他</w:t>
      </w:r>
      <w:r>
        <w:rPr>
          <w:rFonts w:hint="eastAsia" w:ascii="宋体" w:hAnsi="宋体" w:eastAsia="宋体" w:cs="宋体"/>
          <w:snapToGrid w:val="0"/>
          <w:color w:val="auto"/>
          <w:kern w:val="0"/>
          <w:sz w:val="24"/>
          <w:szCs w:val="24"/>
          <w:highlight w:val="none"/>
        </w:rPr>
        <w:t>：本招标文件（包括答疑纪要、补充及修改文件）中招标人对材料或设备有明确要求的，投标人必须响应招标人要求，如投标人在投标文</w:t>
      </w:r>
      <w:r>
        <w:rPr>
          <w:rFonts w:hint="eastAsia" w:ascii="宋体" w:hAnsi="宋体" w:eastAsia="宋体" w:cs="宋体"/>
          <w:snapToGrid w:val="0"/>
          <w:color w:val="auto"/>
          <w:kern w:val="0"/>
          <w:sz w:val="24"/>
          <w:szCs w:val="24"/>
          <w:highlight w:val="none"/>
          <w:lang w:eastAsia="zh-CN"/>
        </w:rPr>
        <w:t>件中</w:t>
      </w:r>
      <w:r>
        <w:rPr>
          <w:rFonts w:hint="eastAsia" w:ascii="宋体" w:hAnsi="宋体" w:eastAsia="宋体" w:cs="宋体"/>
          <w:snapToGrid w:val="0"/>
          <w:color w:val="auto"/>
          <w:kern w:val="0"/>
          <w:sz w:val="24"/>
          <w:szCs w:val="24"/>
          <w:highlight w:val="none"/>
        </w:rPr>
        <w:t>未明确响应者视为默认；或投标人在投标文件</w:t>
      </w:r>
      <w:r>
        <w:rPr>
          <w:rFonts w:hint="eastAsia" w:ascii="宋体" w:hAnsi="宋体" w:eastAsia="宋体" w:cs="宋体"/>
          <w:snapToGrid w:val="0"/>
          <w:color w:val="auto"/>
          <w:kern w:val="0"/>
          <w:sz w:val="24"/>
          <w:szCs w:val="24"/>
          <w:highlight w:val="none"/>
          <w:lang w:eastAsia="zh-CN"/>
        </w:rPr>
        <w:t>中</w:t>
      </w:r>
      <w:r>
        <w:rPr>
          <w:rFonts w:hint="eastAsia" w:ascii="宋体" w:hAnsi="宋体" w:eastAsia="宋体" w:cs="宋体"/>
          <w:snapToGrid w:val="0"/>
          <w:color w:val="auto"/>
          <w:kern w:val="0"/>
          <w:sz w:val="24"/>
          <w:szCs w:val="24"/>
          <w:highlight w:val="none"/>
        </w:rPr>
        <w:t>虽有响应但不符合招标人要求的，视为无效响应，中标后必须按招标人要求执行。如招标人在招标文件中对材料或设备没有明确要求，则中标人必须使用合格材料或设备</w:t>
      </w:r>
      <w:r>
        <w:rPr>
          <w:rFonts w:hint="eastAsia" w:ascii="宋体" w:hAnsi="宋体" w:eastAsia="宋体" w:cs="宋体"/>
          <w:strike w:val="0"/>
          <w:dstrike w:val="0"/>
          <w:snapToGrid w:val="0"/>
          <w:color w:val="auto"/>
          <w:kern w:val="0"/>
          <w:sz w:val="24"/>
          <w:szCs w:val="24"/>
          <w:highlight w:val="none"/>
        </w:rPr>
        <w:t>。</w:t>
      </w:r>
    </w:p>
    <w:p w14:paraId="1F15505D">
      <w:pPr>
        <w:pStyle w:val="11"/>
        <w:keepNext w:val="0"/>
        <w:keepLines w:val="0"/>
        <w:pageBreakBefore w:val="0"/>
        <w:widowControl w:val="0"/>
        <w:kinsoku/>
        <w:overflowPunct/>
        <w:topLinePunct w:val="0"/>
        <w:bidi w:val="0"/>
        <w:adjustRightInd/>
        <w:snapToGrid/>
        <w:spacing w:line="360" w:lineRule="auto"/>
        <w:ind w:firstLine="482" w:firstLineChars="200"/>
        <w:rPr>
          <w:rFonts w:hint="eastAsia" w:ascii="宋体" w:hAnsi="宋体" w:eastAsia="宋体" w:cs="宋体"/>
          <w:b w:val="0"/>
          <w:bCs w:val="0"/>
          <w:color w:val="auto"/>
          <w:sz w:val="24"/>
          <w:szCs w:val="24"/>
          <w:highlight w:val="none"/>
          <w:lang w:val="en-US" w:eastAsia="zh-CN"/>
        </w:rPr>
      </w:pPr>
      <w:bookmarkStart w:id="50" w:name="_Hlt74496537"/>
      <w:bookmarkEnd w:id="50"/>
      <w:bookmarkStart w:id="51" w:name="_Hlt69699204"/>
      <w:bookmarkEnd w:id="51"/>
      <w:bookmarkStart w:id="52" w:name="_Hlt88974078"/>
      <w:bookmarkEnd w:id="52"/>
      <w:bookmarkStart w:id="53" w:name="_Hlt74493474"/>
      <w:bookmarkEnd w:id="53"/>
      <w:bookmarkStart w:id="54" w:name="_Hlt121563076"/>
      <w:bookmarkEnd w:id="54"/>
      <w:bookmarkStart w:id="55" w:name="_Hlt120502666"/>
      <w:bookmarkEnd w:id="55"/>
      <w:bookmarkStart w:id="56" w:name="_Hlt111690342"/>
      <w:bookmarkEnd w:id="56"/>
      <w:bookmarkStart w:id="57" w:name="_Hlt69356505"/>
      <w:bookmarkEnd w:id="57"/>
      <w:r>
        <w:rPr>
          <w:rFonts w:hint="eastAsia" w:ascii="宋体" w:hAnsi="宋体" w:eastAsia="宋体" w:cs="宋体"/>
          <w:b/>
          <w:bCs/>
          <w:color w:val="auto"/>
          <w:sz w:val="24"/>
          <w:szCs w:val="24"/>
          <w:highlight w:val="none"/>
          <w:lang w:val="en-US" w:eastAsia="zh-CN"/>
        </w:rPr>
        <w:t>5.7</w:t>
      </w:r>
      <w:r>
        <w:rPr>
          <w:rFonts w:hint="eastAsia" w:ascii="宋体" w:hAnsi="宋体" w:eastAsia="宋体" w:cs="宋体"/>
          <w:b w:val="0"/>
          <w:bCs w:val="0"/>
          <w:color w:val="auto"/>
          <w:sz w:val="24"/>
          <w:szCs w:val="24"/>
          <w:highlight w:val="none"/>
          <w:lang w:val="en-US" w:eastAsia="zh-CN"/>
        </w:rPr>
        <w:t>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5F8A85BA">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6．施工条件及现场踏勘</w:t>
      </w:r>
    </w:p>
    <w:p w14:paraId="26F45B66">
      <w:pPr>
        <w:pStyle w:val="9"/>
        <w:keepNext w:val="0"/>
        <w:keepLines w:val="0"/>
        <w:pageBreakBefore w:val="0"/>
        <w:widowControl w:val="0"/>
        <w:wordWrap w:val="0"/>
        <w:topLinePunct w:val="0"/>
        <w:bidi w:val="0"/>
        <w:adjustRightInd/>
        <w:snapToGrid/>
        <w:spacing w:line="360" w:lineRule="auto"/>
        <w:ind w:firstLine="482"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6.1 </w:t>
      </w:r>
      <w:r>
        <w:rPr>
          <w:rFonts w:hint="eastAsia" w:ascii="宋体" w:hAnsi="宋体" w:eastAsia="宋体" w:cs="宋体"/>
          <w:b w:val="0"/>
          <w:bCs w:val="0"/>
          <w:snapToGrid w:val="0"/>
          <w:color w:val="auto"/>
          <w:kern w:val="0"/>
          <w:sz w:val="24"/>
          <w:szCs w:val="24"/>
          <w:highlight w:val="none"/>
        </w:rPr>
        <w:t>招标人仅在本招标项目征地红线范围内提供场地，其他一切场地费用由中标人自行负责（含临时道路）。</w:t>
      </w:r>
    </w:p>
    <w:p w14:paraId="6119D2CA">
      <w:pPr>
        <w:keepNext w:val="0"/>
        <w:keepLines w:val="0"/>
        <w:pageBreakBefore w:val="0"/>
        <w:widowControl w:val="0"/>
        <w:wordWrap w:val="0"/>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6.2</w:t>
      </w:r>
      <w:r>
        <w:rPr>
          <w:rFonts w:hint="eastAsia" w:ascii="宋体" w:hAnsi="宋体" w:eastAsia="宋体" w:cs="宋体"/>
          <w:snapToGrid w:val="0"/>
          <w:color w:val="auto"/>
          <w:kern w:val="0"/>
          <w:sz w:val="24"/>
          <w:szCs w:val="24"/>
          <w:highlight w:val="none"/>
        </w:rPr>
        <w:t xml:space="preserve"> 施工</w:t>
      </w:r>
      <w:r>
        <w:rPr>
          <w:rFonts w:hint="eastAsia" w:ascii="宋体" w:hAnsi="宋体" w:eastAsia="宋体" w:cs="宋体"/>
          <w:snapToGrid w:val="0"/>
          <w:color w:val="auto"/>
          <w:kern w:val="0"/>
          <w:sz w:val="24"/>
          <w:szCs w:val="24"/>
          <w:highlight w:val="none"/>
          <w:lang w:val="en-US" w:eastAsia="zh-CN"/>
        </w:rPr>
        <w:t>临时</w:t>
      </w:r>
      <w:r>
        <w:rPr>
          <w:rFonts w:hint="eastAsia" w:ascii="宋体" w:hAnsi="宋体" w:eastAsia="宋体" w:cs="宋体"/>
          <w:snapToGrid w:val="0"/>
          <w:color w:val="auto"/>
          <w:kern w:val="0"/>
          <w:sz w:val="24"/>
          <w:szCs w:val="24"/>
          <w:highlight w:val="none"/>
        </w:rPr>
        <w:t>用水：</w:t>
      </w:r>
      <w:r>
        <w:rPr>
          <w:rFonts w:hint="eastAsia" w:ascii="宋体" w:hAnsi="宋体" w:eastAsia="宋体" w:cs="宋体"/>
          <w:snapToGrid w:val="0"/>
          <w:color w:val="auto"/>
          <w:kern w:val="0"/>
          <w:sz w:val="24"/>
          <w:szCs w:val="24"/>
          <w:highlight w:val="none"/>
          <w:u w:val="single"/>
        </w:rPr>
        <w:t>招标人协调，由中标人自行解决，费用考虑在投标报价中</w:t>
      </w:r>
      <w:r>
        <w:rPr>
          <w:rFonts w:hint="eastAsia" w:ascii="宋体" w:hAnsi="宋体" w:eastAsia="宋体" w:cs="宋体"/>
          <w:snapToGrid w:val="0"/>
          <w:color w:val="auto"/>
          <w:kern w:val="0"/>
          <w:sz w:val="24"/>
          <w:szCs w:val="24"/>
          <w:highlight w:val="none"/>
        </w:rPr>
        <w:t>。</w:t>
      </w:r>
    </w:p>
    <w:p w14:paraId="198B165A">
      <w:pPr>
        <w:keepNext w:val="0"/>
        <w:keepLines w:val="0"/>
        <w:pageBreakBefore w:val="0"/>
        <w:widowControl w:val="0"/>
        <w:wordWrap w:val="0"/>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6.3</w:t>
      </w:r>
      <w:r>
        <w:rPr>
          <w:rFonts w:hint="eastAsia" w:ascii="宋体" w:hAnsi="宋体" w:eastAsia="宋体" w:cs="宋体"/>
          <w:snapToGrid w:val="0"/>
          <w:color w:val="auto"/>
          <w:kern w:val="0"/>
          <w:sz w:val="24"/>
          <w:szCs w:val="24"/>
          <w:highlight w:val="none"/>
        </w:rPr>
        <w:t xml:space="preserve"> 施工</w:t>
      </w:r>
      <w:r>
        <w:rPr>
          <w:rFonts w:hint="eastAsia" w:ascii="宋体" w:hAnsi="宋体" w:eastAsia="宋体" w:cs="宋体"/>
          <w:snapToGrid w:val="0"/>
          <w:color w:val="auto"/>
          <w:kern w:val="0"/>
          <w:sz w:val="24"/>
          <w:szCs w:val="24"/>
          <w:highlight w:val="none"/>
          <w:lang w:val="en-US" w:eastAsia="zh-CN"/>
        </w:rPr>
        <w:t>临时</w:t>
      </w:r>
      <w:r>
        <w:rPr>
          <w:rFonts w:hint="eastAsia" w:ascii="宋体" w:hAnsi="宋体" w:eastAsia="宋体" w:cs="宋体"/>
          <w:snapToGrid w:val="0"/>
          <w:color w:val="auto"/>
          <w:kern w:val="0"/>
          <w:sz w:val="24"/>
          <w:szCs w:val="24"/>
          <w:highlight w:val="none"/>
        </w:rPr>
        <w:t>用电：</w:t>
      </w:r>
      <w:r>
        <w:rPr>
          <w:rFonts w:hint="eastAsia" w:ascii="宋体" w:hAnsi="宋体" w:eastAsia="宋体" w:cs="宋体"/>
          <w:snapToGrid w:val="0"/>
          <w:color w:val="auto"/>
          <w:kern w:val="0"/>
          <w:sz w:val="24"/>
          <w:szCs w:val="24"/>
          <w:highlight w:val="none"/>
          <w:u w:val="single"/>
        </w:rPr>
        <w:t>招标人协调，由中标人自行解决，费用考虑在投标报价中</w:t>
      </w:r>
      <w:r>
        <w:rPr>
          <w:rFonts w:hint="eastAsia" w:ascii="宋体" w:hAnsi="宋体" w:eastAsia="宋体" w:cs="宋体"/>
          <w:snapToGrid w:val="0"/>
          <w:color w:val="auto"/>
          <w:kern w:val="0"/>
          <w:sz w:val="24"/>
          <w:szCs w:val="24"/>
          <w:highlight w:val="none"/>
        </w:rPr>
        <w:t>。</w:t>
      </w:r>
    </w:p>
    <w:p w14:paraId="76C034F5">
      <w:pPr>
        <w:keepNext w:val="0"/>
        <w:keepLines w:val="0"/>
        <w:pageBreakBefore w:val="0"/>
        <w:widowControl w:val="0"/>
        <w:wordWrap w:val="0"/>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施工临时用水、临时用电：招标人协调，由中标人自行解决。要求中标人单独安装水表、电表，其水、电费按项目所在地</w:t>
      </w:r>
      <w:r>
        <w:rPr>
          <w:rFonts w:hint="eastAsia" w:ascii="宋体" w:hAnsi="宋体" w:eastAsia="宋体" w:cs="宋体"/>
          <w:snapToGrid w:val="0"/>
          <w:color w:val="auto"/>
          <w:kern w:val="0"/>
          <w:sz w:val="24"/>
          <w:szCs w:val="24"/>
          <w:highlight w:val="none"/>
          <w:u w:val="single"/>
          <w:lang w:val="en-US" w:eastAsia="zh-CN"/>
        </w:rPr>
        <w:t>韶关市</w:t>
      </w:r>
      <w:r>
        <w:rPr>
          <w:rFonts w:hint="eastAsia" w:ascii="宋体" w:hAnsi="宋体" w:eastAsia="宋体" w:cs="宋体"/>
          <w:snapToGrid w:val="0"/>
          <w:color w:val="auto"/>
          <w:kern w:val="0"/>
          <w:sz w:val="24"/>
          <w:szCs w:val="24"/>
          <w:highlight w:val="none"/>
        </w:rPr>
        <w:t>基建工程水、电计费标准计算并由中标人缴纳。</w:t>
      </w:r>
    </w:p>
    <w:p w14:paraId="1689ADA8">
      <w:pPr>
        <w:keepNext w:val="0"/>
        <w:keepLines w:val="0"/>
        <w:pageBreakBefore w:val="0"/>
        <w:widowControl w:val="0"/>
        <w:wordWrap w:val="0"/>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765517C5">
      <w:pPr>
        <w:keepNext w:val="0"/>
        <w:keepLines w:val="0"/>
        <w:pageBreakBefore w:val="0"/>
        <w:widowControl w:val="0"/>
        <w:wordWrap w:val="0"/>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56376D6F">
      <w:pPr>
        <w:keepNext w:val="0"/>
        <w:keepLines w:val="0"/>
        <w:pageBreakBefore w:val="0"/>
        <w:widowControl w:val="0"/>
        <w:wordWrap w:val="0"/>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p>
    <w:p w14:paraId="16DEDF0B">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7．招标文件的提问和答疑</w:t>
      </w:r>
    </w:p>
    <w:p w14:paraId="5F7CF427">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w:t>
      </w:r>
      <w:r>
        <w:rPr>
          <w:rFonts w:hint="eastAsia" w:ascii="宋体" w:hAnsi="宋体" w:eastAsia="宋体" w:cs="宋体"/>
          <w:snapToGrid w:val="0"/>
          <w:color w:val="auto"/>
          <w:kern w:val="0"/>
          <w:sz w:val="24"/>
          <w:szCs w:val="24"/>
          <w:highlight w:val="none"/>
          <w:lang w:eastAsia="zh-CN"/>
        </w:rPr>
        <w:t>见本招标文件</w:t>
      </w:r>
      <w:r>
        <w:rPr>
          <w:rFonts w:hint="eastAsia" w:ascii="宋体" w:hAnsi="宋体" w:eastAsia="宋体" w:cs="宋体"/>
          <w:snapToGrid w:val="0"/>
          <w:color w:val="auto"/>
          <w:kern w:val="0"/>
          <w:sz w:val="24"/>
          <w:szCs w:val="24"/>
          <w:highlight w:val="none"/>
        </w:rPr>
        <w:t>“重要事项时间地点一览表”）前使用建设工程交易系统提出问题。未在指定时间前、未采用指定方式提出的，招标人不予受理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2749E9AB">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w:t>
      </w:r>
      <w:r>
        <w:rPr>
          <w:rFonts w:hint="eastAsia" w:ascii="宋体" w:hAnsi="宋体" w:eastAsia="宋体" w:cs="宋体"/>
          <w:snapToGrid w:val="0"/>
          <w:color w:val="auto"/>
          <w:kern w:val="0"/>
          <w:sz w:val="24"/>
          <w:szCs w:val="24"/>
          <w:highlight w:val="none"/>
          <w:lang w:eastAsia="zh-CN"/>
        </w:rPr>
        <w:t>见本招标文件</w:t>
      </w:r>
      <w:r>
        <w:rPr>
          <w:rFonts w:hint="eastAsia" w:ascii="宋体" w:hAnsi="宋体" w:eastAsia="宋体" w:cs="宋体"/>
          <w:snapToGrid w:val="0"/>
          <w:color w:val="auto"/>
          <w:kern w:val="0"/>
          <w:sz w:val="24"/>
          <w:szCs w:val="24"/>
          <w:highlight w:val="none"/>
        </w:rPr>
        <w:t>“重要事项时间地点一览表”）后3日内，一次性对收到的所有问题作出答复，并形成答疑（或修改）公告在发布招标公告的媒介上公开发布。答疑（或修改）公告一旦发布，即</w:t>
      </w:r>
      <w:r>
        <w:rPr>
          <w:rFonts w:hint="eastAsia" w:ascii="宋体" w:hAnsi="宋体" w:eastAsia="宋体" w:cs="宋体"/>
          <w:snapToGrid w:val="0"/>
          <w:color w:val="auto"/>
          <w:kern w:val="0"/>
          <w:sz w:val="24"/>
          <w:szCs w:val="24"/>
          <w:highlight w:val="none"/>
          <w:lang w:eastAsia="zh-CN"/>
        </w:rPr>
        <w:t>视为</w:t>
      </w:r>
      <w:r>
        <w:rPr>
          <w:rFonts w:hint="eastAsia" w:ascii="宋体" w:hAnsi="宋体" w:eastAsia="宋体" w:cs="宋体"/>
          <w:snapToGrid w:val="0"/>
          <w:color w:val="auto"/>
          <w:kern w:val="0"/>
          <w:sz w:val="24"/>
          <w:szCs w:val="24"/>
          <w:highlight w:val="none"/>
        </w:rPr>
        <w:t>所有潜在投标人已经知悉答疑（或修改）内容，投标人未及时关注而造成的损失和后果，由投标人自行承担。</w:t>
      </w:r>
    </w:p>
    <w:p w14:paraId="1E4DA19C">
      <w:pPr>
        <w:keepNext w:val="0"/>
        <w:keepLines w:val="0"/>
        <w:pageBreakBefore w:val="0"/>
        <w:widowControl w:val="0"/>
        <w:topLinePunct w:val="0"/>
        <w:bidi w:val="0"/>
        <w:adjustRightInd/>
        <w:snapToGrid/>
        <w:spacing w:line="360" w:lineRule="auto"/>
        <w:ind w:firstLine="482" w:firstLineChars="200"/>
        <w:rPr>
          <w:rStyle w:val="26"/>
          <w:rFonts w:hint="eastAsia" w:ascii="宋体" w:hAnsi="宋体" w:eastAsia="宋体" w:cs="宋体"/>
          <w:color w:val="auto"/>
          <w:kern w:val="0"/>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r>
        <w:rPr>
          <w:rStyle w:val="26"/>
          <w:rFonts w:hint="eastAsia" w:ascii="宋体" w:hAnsi="宋体" w:eastAsia="宋体" w:cs="宋体"/>
          <w:color w:val="auto"/>
          <w:kern w:val="0"/>
          <w:sz w:val="24"/>
          <w:szCs w:val="24"/>
          <w:highlight w:val="none"/>
        </w:rPr>
        <w:t>。</w:t>
      </w:r>
    </w:p>
    <w:p w14:paraId="6D30286F">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8．最高投标限价</w:t>
      </w:r>
    </w:p>
    <w:p w14:paraId="0558C379">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本招标项目按照以下依据编制最高投标限价：</w:t>
      </w:r>
    </w:p>
    <w:p w14:paraId="0D712B02">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w:t>
      </w:r>
      <w:r>
        <w:rPr>
          <w:rFonts w:hint="eastAsia" w:ascii="宋体" w:hAnsi="宋体" w:eastAsia="宋体" w:cs="宋体"/>
          <w:snapToGrid w:val="0"/>
          <w:color w:val="auto"/>
          <w:kern w:val="0"/>
          <w:sz w:val="24"/>
          <w:szCs w:val="24"/>
          <w:highlight w:val="none"/>
          <w:lang w:eastAsia="zh-CN"/>
        </w:rPr>
        <w:t>GB</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eastAsia="zh-CN"/>
        </w:rPr>
        <w:t>T50500-2024</w:t>
      </w:r>
      <w:r>
        <w:rPr>
          <w:rFonts w:hint="eastAsia" w:ascii="宋体" w:hAnsi="宋体" w:eastAsia="宋体" w:cs="宋体"/>
          <w:snapToGrid w:val="0"/>
          <w:color w:val="auto"/>
          <w:kern w:val="0"/>
          <w:sz w:val="24"/>
          <w:szCs w:val="24"/>
          <w:highlight w:val="none"/>
        </w:rPr>
        <w:t>）；</w:t>
      </w:r>
    </w:p>
    <w:p w14:paraId="2FB86342">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ascii="宋体" w:hAnsi="宋体" w:eastAsia="宋体" w:cs="宋体"/>
          <w:snapToGrid w:val="0"/>
          <w:color w:val="auto"/>
          <w:kern w:val="0"/>
          <w:sz w:val="24"/>
          <w:szCs w:val="24"/>
          <w:highlight w:val="none"/>
          <w:lang w:val="en-US" w:eastAsia="zh-CN"/>
        </w:rPr>
        <w:t>《房屋建筑与装饰工程工程量计算标准》（GB/T 50854-2024）；《通用安装工程工程量计算标准》（GB/T 50856-2024）；《市政工程工程量计算标准》（GB/T 50857-2024）；《园林绿化工程工程量计算标准》（GB/T 50858-2024）；《广东省房屋建筑与装饰工程综合定额（2018 年）》；《广东省通用安装工程综合定额（2018年）》；《广东省市政工程综合定额（2018 年）》；《广东省园林绿化工程综合定额（2018年）》等；</w:t>
      </w:r>
    </w:p>
    <w:p w14:paraId="711DE5C7">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（3）施工图及相关资料；</w:t>
      </w:r>
    </w:p>
    <w:p w14:paraId="6CD394FD">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（4）招标文件及招标工程量清单；</w:t>
      </w:r>
    </w:p>
    <w:p w14:paraId="2A9EE171">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（5）施工现场情况、工程特点及常规施工方案；</w:t>
      </w:r>
    </w:p>
    <w:p w14:paraId="29D3F105">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（6）项目所在地工程造价管理机构发布的工程造价信息，工程造价信息缺项的，参照市场价格；</w:t>
      </w:r>
    </w:p>
    <w:p w14:paraId="0A27678B">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（7）与建设项目相关的标准、规范、技术资料。</w:t>
      </w:r>
    </w:p>
    <w:p w14:paraId="2D923D9A">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snapToGrid w:val="0"/>
          <w:color w:val="auto"/>
          <w:kern w:val="0"/>
          <w:sz w:val="24"/>
          <w:szCs w:val="24"/>
          <w:highlight w:val="none"/>
        </w:rPr>
        <w:t>8.2</w:t>
      </w:r>
      <w:r>
        <w:rPr>
          <w:rFonts w:hint="eastAsia" w:ascii="宋体" w:hAnsi="宋体" w:eastAsia="宋体" w:cs="宋体"/>
          <w:snapToGrid w:val="0"/>
          <w:color w:val="auto"/>
          <w:kern w:val="0"/>
          <w:sz w:val="24"/>
          <w:szCs w:val="24"/>
          <w:highlight w:val="none"/>
        </w:rPr>
        <w:t xml:space="preserve"> 本招标项目最高投标限价、施工图纸、工程量清单在开标前15天另行发布于全国公共资源交易平台（广东省·韶关市）（https://ygp.gdzwfw.gov.cn/ggzy-portal/#/440200/index）、广东省招标投标监管网（http://zbtb.gd.gov.cn）网站。</w:t>
      </w:r>
    </w:p>
    <w:p w14:paraId="26CE3D23">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110567CE">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0931798E">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185B14F0">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中标人招标，招标人参与管理</w:t>
      </w:r>
      <w:r>
        <w:rPr>
          <w:rFonts w:hint="eastAsia" w:ascii="宋体" w:hAnsi="宋体" w:eastAsia="宋体" w:cs="宋体"/>
          <w:snapToGrid w:val="0"/>
          <w:color w:val="auto"/>
          <w:kern w:val="0"/>
          <w:sz w:val="24"/>
          <w:szCs w:val="24"/>
          <w:highlight w:val="none"/>
        </w:rPr>
        <w:t>，确定专业工程承包人（或材料、工程设备供应商）和合同价格。</w:t>
      </w:r>
    </w:p>
    <w:p w14:paraId="531B34F8">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56463FC4">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65BC7BB1">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6549AFF0">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2EF50956">
      <w:pPr>
        <w:keepNext w:val="0"/>
        <w:keepLines w:val="0"/>
        <w:pageBreakBefore w:val="0"/>
        <w:widowControl w:val="0"/>
        <w:topLinePunct w:val="0"/>
        <w:bidi w:val="0"/>
        <w:adjustRightInd/>
        <w:snapToGrid/>
        <w:spacing w:line="360" w:lineRule="auto"/>
        <w:ind w:firstLine="482" w:firstLineChars="200"/>
        <w:rPr>
          <w:rStyle w:val="26"/>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r>
        <w:rPr>
          <w:rStyle w:val="26"/>
          <w:rFonts w:hint="eastAsia" w:ascii="宋体" w:hAnsi="宋体" w:eastAsia="宋体" w:cs="宋体"/>
          <w:color w:val="auto"/>
          <w:sz w:val="24"/>
          <w:szCs w:val="24"/>
          <w:highlight w:val="none"/>
        </w:rPr>
        <w:t>。</w:t>
      </w:r>
    </w:p>
    <w:p w14:paraId="593040F2">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9．投标报价</w:t>
      </w:r>
    </w:p>
    <w:p w14:paraId="21B6581C">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baseline"/>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9.1</w:t>
      </w:r>
      <w:r>
        <w:rPr>
          <w:rStyle w:val="26"/>
          <w:rFonts w:hint="eastAsia" w:ascii="宋体" w:hAnsi="宋体" w:eastAsia="宋体" w:cs="宋体"/>
          <w:color w:val="auto"/>
          <w:kern w:val="0"/>
          <w:sz w:val="24"/>
          <w:szCs w:val="24"/>
          <w:highlight w:val="none"/>
        </w:rPr>
        <w:t xml:space="preserve"> 投标人应按照以下依据编制投标报价：</w:t>
      </w:r>
    </w:p>
    <w:p w14:paraId="62C5D4C7">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w:t>
      </w:r>
      <w:r>
        <w:rPr>
          <w:rFonts w:hint="eastAsia" w:ascii="宋体" w:hAnsi="宋体" w:eastAsia="宋体" w:cs="宋体"/>
          <w:snapToGrid w:val="0"/>
          <w:color w:val="auto"/>
          <w:kern w:val="0"/>
          <w:sz w:val="24"/>
          <w:szCs w:val="24"/>
          <w:highlight w:val="none"/>
          <w:lang w:eastAsia="zh-CN"/>
        </w:rPr>
        <w:t>GB</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eastAsia="zh-CN"/>
        </w:rPr>
        <w:t>T50500-2024</w:t>
      </w:r>
      <w:r>
        <w:rPr>
          <w:rFonts w:hint="eastAsia" w:ascii="宋体" w:hAnsi="宋体" w:eastAsia="宋体" w:cs="宋体"/>
          <w:snapToGrid w:val="0"/>
          <w:color w:val="auto"/>
          <w:kern w:val="0"/>
          <w:sz w:val="24"/>
          <w:szCs w:val="24"/>
          <w:highlight w:val="none"/>
        </w:rPr>
        <w:t>）；</w:t>
      </w:r>
    </w:p>
    <w:p w14:paraId="167D99B9">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ascii="宋体" w:hAnsi="宋体" w:eastAsia="宋体" w:cs="宋体"/>
          <w:snapToGrid w:val="0"/>
          <w:color w:val="auto"/>
          <w:kern w:val="0"/>
          <w:sz w:val="24"/>
          <w:szCs w:val="24"/>
          <w:highlight w:val="none"/>
          <w:lang w:val="en-US" w:eastAsia="zh-CN"/>
        </w:rPr>
        <w:t>《房屋建筑与装饰工程工程量计算标准》（GB/T 50854-2024）；《通用安装工程工程量计算标准》（GB/T 50856-2024）；《市政工程工程量计算标准》（GB/T 50857-2024）；《园林绿化工程工程量计算标准》（GB/T 50858-2024）；《广东省房屋建筑与装饰工程综合定额（2018 年）》；《广东省通用安装工程综合定额（2018 年）》；《广东省市政工程综合定额（2018 年）》；《广东省园林绿化工程综合定额（2018 年）》等；</w:t>
      </w:r>
    </w:p>
    <w:p w14:paraId="7EFB6A8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（3）企业定额；</w:t>
      </w:r>
    </w:p>
    <w:p w14:paraId="0B1A7C4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（4）招标文件及其答疑（或修改）公告、招标工程量清单；</w:t>
      </w:r>
    </w:p>
    <w:p w14:paraId="255FFDD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（5）施工图及相关资料；</w:t>
      </w:r>
    </w:p>
    <w:p w14:paraId="6EBFC5E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（6）施工现场情况、工程特点及投标时拟定的施工组织设计或施工方案；</w:t>
      </w:r>
    </w:p>
    <w:p w14:paraId="4946A37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（7）市场价格信息或项目所在地工程造价管理机构发布的工程造价信息；</w:t>
      </w:r>
    </w:p>
    <w:p w14:paraId="152EAF7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（8）与建设项目相关的标准、规范、技术资料。</w:t>
      </w:r>
    </w:p>
    <w:p w14:paraId="05F8162B">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58" w:name="_Hlt66594003"/>
      <w:bookmarkEnd w:id="58"/>
      <w:r>
        <w:rPr>
          <w:rFonts w:hint="eastAsia" w:ascii="宋体" w:hAnsi="宋体" w:eastAsia="宋体" w:cs="宋体"/>
          <w:snapToGrid w:val="0"/>
          <w:color w:val="auto"/>
          <w:kern w:val="0"/>
          <w:sz w:val="24"/>
          <w:szCs w:val="24"/>
          <w:highlight w:val="none"/>
        </w:rPr>
        <w:t>所谓“一定范围内的风险”是指合同约定的风险。</w:t>
      </w:r>
    </w:p>
    <w:p w14:paraId="7BF14592">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bookmarkStart w:id="59" w:name="_Hlt69335755"/>
      <w:bookmarkEnd w:id="59"/>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60" w:name="_Hlt66509056"/>
      <w:bookmarkEnd w:id="60"/>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0604AB25">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113AF24E">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5DAD453E">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267C18AB">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trike/>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投标人的投标总价不得高于最高投标限价，也不得低于工程成本。投标人对投标总价的所有优惠（降价、让利等），均应当反映在具体清单项目或其综合单价的报价上。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4"/>
          <w:szCs w:val="24"/>
          <w:highlight w:val="none"/>
        </w:rPr>
        <w:t>如果投标人的投标总价下浮率高于15%时，投标人必须在投标文件中专项作出详细合理的书面说明并提供以往类似工程详细成本分析报告供评标委员会审查。投标总价下浮率＝（1－投标总价÷最高投标限价）×100%</w:t>
      </w:r>
      <w:r>
        <w:rPr>
          <w:rFonts w:hint="eastAsia" w:ascii="宋体" w:hAnsi="宋体" w:eastAsia="宋体" w:cs="宋体"/>
          <w:b/>
          <w:snapToGrid w:val="0"/>
          <w:color w:val="auto"/>
          <w:kern w:val="0"/>
          <w:sz w:val="24"/>
          <w:szCs w:val="24"/>
          <w:highlight w:val="none"/>
          <w:lang w:eastAsia="zh-CN"/>
        </w:rPr>
        <w:t>。</w:t>
      </w:r>
    </w:p>
    <w:p w14:paraId="701D32DA">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投标人的</w:t>
      </w:r>
      <w:r>
        <w:rPr>
          <w:rFonts w:hint="eastAsia" w:ascii="宋体" w:hAnsi="宋体" w:eastAsia="宋体" w:cs="宋体"/>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报价必须达到或超过</w:t>
      </w:r>
      <w:r>
        <w:rPr>
          <w:rFonts w:hint="eastAsia" w:ascii="宋体" w:hAnsi="宋体" w:eastAsia="宋体" w:cs="宋体"/>
          <w:color w:val="auto"/>
          <w:sz w:val="24"/>
          <w:szCs w:val="24"/>
          <w:highlight w:val="none"/>
          <w:lang w:val="en-US" w:eastAsia="zh-CN"/>
        </w:rPr>
        <w:t>最高投标限价中</w:t>
      </w:r>
      <w:r>
        <w:rPr>
          <w:rFonts w:hint="eastAsia" w:ascii="宋体" w:hAnsi="宋体" w:eastAsia="宋体" w:cs="宋体"/>
          <w:snapToGrid w:val="0"/>
          <w:color w:val="auto"/>
          <w:kern w:val="0"/>
          <w:sz w:val="24"/>
          <w:szCs w:val="24"/>
          <w:highlight w:val="none"/>
        </w:rPr>
        <w:t>提供的</w:t>
      </w:r>
      <w:r>
        <w:rPr>
          <w:rFonts w:hint="eastAsia" w:ascii="宋体" w:hAnsi="宋体" w:eastAsia="宋体" w:cs="宋体"/>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w:t>
      </w:r>
    </w:p>
    <w:p w14:paraId="1C4FCFE6">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61" w:name="_（十）投标文件的编制、包装、密封"/>
      <w:bookmarkEnd w:id="61"/>
    </w:p>
    <w:p w14:paraId="7F47421B">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color w:val="auto"/>
          <w:highlight w:val="none"/>
        </w:rPr>
      </w:pPr>
      <w:r>
        <w:rPr>
          <w:rFonts w:hint="eastAsia" w:ascii="宋体" w:hAnsi="宋体" w:eastAsia="宋体" w:cs="宋体"/>
          <w:b/>
          <w:bCs/>
          <w:snapToGrid w:val="0"/>
          <w:color w:val="auto"/>
          <w:szCs w:val="22"/>
          <w:highlight w:val="none"/>
        </w:rPr>
        <w:t xml:space="preserve">9.10 </w:t>
      </w:r>
      <w:r>
        <w:rPr>
          <w:rFonts w:hint="eastAsia" w:ascii="宋体" w:hAnsi="宋体" w:eastAsia="宋体" w:cs="宋体"/>
          <w:snapToGrid w:val="0"/>
          <w:color w:val="auto"/>
          <w:kern w:val="0"/>
          <w:sz w:val="24"/>
          <w:highlight w:val="none"/>
          <w:lang w:val="en-US" w:eastAsia="zh-CN" w:bidi="ar-SA"/>
        </w:rPr>
        <w:t>预算包干内容一般包括施工雨（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w:t>
      </w:r>
      <w:r>
        <w:rPr>
          <w:rFonts w:hint="eastAsia" w:ascii="宋体" w:hAnsi="宋体" w:eastAsia="宋体" w:cs="宋体"/>
          <w:snapToGrid w:val="0"/>
          <w:color w:val="auto"/>
          <w:kern w:val="0"/>
          <w:highlight w:val="none"/>
        </w:rPr>
        <w:t>《建设工程工程量清单计价标准》（GB50500—2024）</w:t>
      </w:r>
      <w:r>
        <w:rPr>
          <w:rFonts w:hint="eastAsia" w:ascii="宋体" w:hAnsi="宋体" w:eastAsia="宋体" w:cs="宋体"/>
          <w:snapToGrid w:val="0"/>
          <w:color w:val="auto"/>
          <w:kern w:val="0"/>
          <w:sz w:val="24"/>
          <w:highlight w:val="none"/>
          <w:lang w:val="en-US" w:eastAsia="zh-CN" w:bidi="ar-SA"/>
        </w:rPr>
        <w:t>规定的费率报价；若招标工程量清单明确说明不计算预算包干费或另外确定预算包干费费率的，则按招标工程量清单报价。</w:t>
      </w:r>
    </w:p>
    <w:p w14:paraId="6CCFA02B">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10．投标文件的编制要求</w:t>
      </w:r>
    </w:p>
    <w:p w14:paraId="64905DB2">
      <w:pPr>
        <w:pStyle w:val="29"/>
        <w:keepNext w:val="0"/>
        <w:keepLines w:val="0"/>
        <w:pageBreakBefore w:val="0"/>
        <w:widowControl w:val="0"/>
        <w:kinsoku/>
        <w:overflowPunct/>
        <w:topLinePunct w:val="0"/>
        <w:autoSpaceDE/>
        <w:autoSpaceDN/>
        <w:bidi w:val="0"/>
        <w:adjustRightInd/>
        <w:snapToGrid/>
        <w:spacing w:line="360" w:lineRule="auto"/>
        <w:ind w:firstLine="482" w:firstLineChars="200"/>
        <w:jc w:val="both"/>
        <w:textAlignment w:val="baseline"/>
        <w:rPr>
          <w:rStyle w:val="26"/>
          <w:rFonts w:hint="eastAsia" w:ascii="宋体" w:hAnsi="宋体" w:eastAsia="宋体" w:cs="宋体"/>
          <w:b/>
          <w:bCs/>
          <w:color w:val="auto"/>
          <w:sz w:val="24"/>
          <w:szCs w:val="24"/>
          <w:highlight w:val="none"/>
        </w:rPr>
      </w:pPr>
      <w:bookmarkStart w:id="62" w:name="_Toc17310"/>
      <w:bookmarkStart w:id="63" w:name="_Toc24051"/>
      <w:bookmarkStart w:id="64" w:name="_Toc13010"/>
      <w:r>
        <w:rPr>
          <w:rStyle w:val="26"/>
          <w:rFonts w:hint="eastAsia" w:ascii="宋体" w:hAnsi="宋体" w:eastAsia="宋体" w:cs="宋体"/>
          <w:b/>
          <w:bCs/>
          <w:color w:val="auto"/>
          <w:sz w:val="24"/>
          <w:szCs w:val="24"/>
          <w:highlight w:val="none"/>
        </w:rPr>
        <w:t>10.1 一般要求</w:t>
      </w:r>
      <w:bookmarkEnd w:id="62"/>
      <w:bookmarkEnd w:id="63"/>
      <w:bookmarkEnd w:id="64"/>
    </w:p>
    <w:p w14:paraId="39C73F5F">
      <w:pPr>
        <w:pStyle w:val="9"/>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投标文件应按第六章投标文件格式规定的内容，投标人提交的投标文件应当使用招标文件所提供的投标文件全部格式。</w:t>
      </w:r>
    </w:p>
    <w:p w14:paraId="75AD3597">
      <w:pPr>
        <w:pStyle w:val="9"/>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65" w:name="_Hlt78709790"/>
      <w:bookmarkEnd w:id="65"/>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66" w:name="_Hlt74496890"/>
      <w:bookmarkEnd w:id="66"/>
    </w:p>
    <w:p w14:paraId="05019CEE">
      <w:pPr>
        <w:pStyle w:val="9"/>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b/>
          <w:bCs/>
          <w:snapToGrid w:val="0"/>
          <w:color w:val="auto"/>
          <w:kern w:val="0"/>
          <w:sz w:val="24"/>
          <w:szCs w:val="24"/>
          <w:highlight w:val="none"/>
          <w:lang w:val="en-US" w:eastAsia="zh-CN"/>
        </w:rPr>
        <w:t>投标文件包括商务标书、经济标书、施工组织设计和定标文件四个分册</w:t>
      </w:r>
      <w:r>
        <w:rPr>
          <w:rFonts w:hint="eastAsia" w:ascii="宋体" w:hAnsi="宋体" w:eastAsia="宋体" w:cs="宋体"/>
          <w:b w:val="0"/>
          <w:bCs w:val="0"/>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rPr>
        <w:t>投标文件全部采用电子文档，</w:t>
      </w:r>
      <w:r>
        <w:rPr>
          <w:rFonts w:hint="eastAsia" w:ascii="宋体" w:hAnsi="宋体" w:eastAsia="宋体" w:cs="宋体"/>
          <w:b/>
          <w:bCs/>
          <w:snapToGrid w:val="0"/>
          <w:color w:val="auto"/>
          <w:kern w:val="0"/>
          <w:sz w:val="24"/>
          <w:szCs w:val="24"/>
          <w:highlight w:val="none"/>
        </w:rPr>
        <w:t>投标文件所附证书证件均为原件扫描件</w:t>
      </w:r>
      <w:r>
        <w:rPr>
          <w:rFonts w:hint="eastAsia" w:ascii="宋体" w:hAnsi="宋体" w:eastAsia="宋体" w:cs="宋体"/>
          <w:snapToGrid w:val="0"/>
          <w:color w:val="auto"/>
          <w:kern w:val="0"/>
          <w:sz w:val="24"/>
          <w:szCs w:val="24"/>
          <w:highlight w:val="none"/>
        </w:rPr>
        <w:t>，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 ·韶关市） 交易指引。</w:t>
      </w:r>
    </w:p>
    <w:p w14:paraId="65353D47">
      <w:pPr>
        <w:pStyle w:val="9"/>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w:t>
      </w:r>
    </w:p>
    <w:p w14:paraId="2749123F">
      <w:pPr>
        <w:pStyle w:val="9"/>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电子投标文件：</w:t>
      </w:r>
    </w:p>
    <w:p w14:paraId="42D901FA">
      <w:pPr>
        <w:pStyle w:val="9"/>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w:t>
      </w:r>
      <w:r>
        <w:rPr>
          <w:rFonts w:hint="eastAsia" w:ascii="宋体" w:hAnsi="宋体" w:eastAsia="宋体" w:cs="宋体"/>
          <w:snapToGrid w:val="0"/>
          <w:color w:val="auto"/>
          <w:kern w:val="0"/>
          <w:sz w:val="24"/>
          <w:szCs w:val="24"/>
          <w:highlight w:val="none"/>
          <w:lang w:val="en-US" w:eastAsia="zh-CN"/>
        </w:rPr>
        <w:t>或</w:t>
      </w:r>
      <w:r>
        <w:rPr>
          <w:rFonts w:hint="eastAsia" w:ascii="宋体" w:hAnsi="宋体" w:eastAsia="宋体" w:cs="宋体"/>
          <w:snapToGrid w:val="0"/>
          <w:color w:val="auto"/>
          <w:kern w:val="0"/>
          <w:sz w:val="24"/>
          <w:szCs w:val="24"/>
          <w:highlight w:val="none"/>
        </w:rPr>
        <w:t>电子印章）；凡注明“签字并盖执业印章”处由要求的人员签字并盖其执业印章。</w:t>
      </w:r>
    </w:p>
    <w:p w14:paraId="680540B7">
      <w:pPr>
        <w:pStyle w:val="9"/>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w:t>
      </w:r>
      <w:r>
        <w:rPr>
          <w:rFonts w:hint="eastAsia" w:ascii="宋体" w:hAnsi="宋体" w:eastAsia="宋体" w:cs="宋体"/>
          <w:snapToGrid w:val="0"/>
          <w:color w:val="auto"/>
          <w:kern w:val="0"/>
          <w:sz w:val="24"/>
          <w:szCs w:val="24"/>
          <w:highlight w:val="none"/>
          <w:lang w:val="en-US" w:eastAsia="zh-CN"/>
        </w:rPr>
        <w:t>或</w:t>
      </w:r>
      <w:r>
        <w:rPr>
          <w:rFonts w:hint="eastAsia" w:ascii="宋体" w:hAnsi="宋体" w:eastAsia="宋体" w:cs="宋体"/>
          <w:snapToGrid w:val="0"/>
          <w:color w:val="auto"/>
          <w:kern w:val="0"/>
          <w:sz w:val="24"/>
          <w:szCs w:val="24"/>
          <w:highlight w:val="none"/>
        </w:rPr>
        <w:t>电子印章）。</w:t>
      </w:r>
    </w:p>
    <w:p w14:paraId="6D907EA0">
      <w:pPr>
        <w:pStyle w:val="33"/>
        <w:keepNext w:val="0"/>
        <w:keepLines w:val="0"/>
        <w:pageBreakBefore w:val="0"/>
        <w:widowControl w:val="0"/>
        <w:kinsoku/>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bCs/>
          <w:strike/>
          <w:dstrike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w:t>
      </w:r>
      <w:r>
        <w:rPr>
          <w:rFonts w:hint="eastAsia" w:ascii="宋体" w:hAnsi="宋体" w:eastAsia="宋体" w:cs="宋体"/>
          <w:snapToGrid w:val="0"/>
          <w:color w:val="auto"/>
          <w:kern w:val="0"/>
          <w:sz w:val="24"/>
          <w:szCs w:val="24"/>
          <w:highlight w:val="none"/>
          <w:lang w:val="en-US" w:eastAsia="zh-CN"/>
        </w:rPr>
        <w:t>或</w:t>
      </w:r>
      <w:r>
        <w:rPr>
          <w:rFonts w:hint="eastAsia" w:ascii="宋体" w:hAnsi="宋体" w:eastAsia="宋体" w:cs="宋体"/>
          <w:snapToGrid w:val="0"/>
          <w:color w:val="auto"/>
          <w:kern w:val="0"/>
          <w:sz w:val="24"/>
          <w:szCs w:val="24"/>
          <w:highlight w:val="none"/>
        </w:rPr>
        <w:t>电子印章），其余部分的</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无须另行签字、盖章</w:t>
      </w:r>
      <w:r>
        <w:rPr>
          <w:rStyle w:val="26"/>
          <w:rFonts w:hint="eastAsia" w:ascii="宋体" w:hAnsi="宋体" w:eastAsia="宋体" w:cs="宋体"/>
          <w:color w:val="auto"/>
          <w:kern w:val="0"/>
          <w:sz w:val="24"/>
          <w:szCs w:val="24"/>
          <w:highlight w:val="none"/>
        </w:rPr>
        <w:t>。</w:t>
      </w:r>
    </w:p>
    <w:p w14:paraId="1A848516">
      <w:pPr>
        <w:pStyle w:val="29"/>
        <w:keepNext w:val="0"/>
        <w:keepLines w:val="0"/>
        <w:pageBreakBefore w:val="0"/>
        <w:widowControl w:val="0"/>
        <w:kinsoku/>
        <w:overflowPunct/>
        <w:topLinePunct w:val="0"/>
        <w:autoSpaceDE/>
        <w:autoSpaceDN/>
        <w:bidi w:val="0"/>
        <w:adjustRightInd/>
        <w:snapToGrid/>
        <w:spacing w:line="360" w:lineRule="auto"/>
        <w:ind w:firstLine="482" w:firstLineChars="200"/>
        <w:jc w:val="both"/>
        <w:textAlignment w:val="baseline"/>
        <w:rPr>
          <w:rStyle w:val="26"/>
          <w:rFonts w:hint="eastAsia" w:ascii="宋体" w:hAnsi="宋体" w:eastAsia="宋体" w:cs="宋体"/>
          <w:b/>
          <w:bCs/>
          <w:color w:val="auto"/>
          <w:sz w:val="24"/>
          <w:szCs w:val="24"/>
          <w:highlight w:val="none"/>
        </w:rPr>
      </w:pPr>
      <w:bookmarkStart w:id="67" w:name="_Toc28154"/>
      <w:bookmarkStart w:id="68" w:name="_Toc257031159"/>
      <w:bookmarkStart w:id="69" w:name="_Toc28294"/>
      <w:bookmarkStart w:id="70" w:name="_Toc23762"/>
      <w:bookmarkStart w:id="71" w:name="_Toc14523"/>
      <w:bookmarkStart w:id="72" w:name="_Toc274313880"/>
      <w:bookmarkStart w:id="73" w:name="_Toc11533"/>
      <w:r>
        <w:rPr>
          <w:rStyle w:val="26"/>
          <w:rFonts w:hint="eastAsia" w:ascii="宋体" w:hAnsi="宋体" w:eastAsia="宋体" w:cs="宋体"/>
          <w:b/>
          <w:bCs/>
          <w:color w:val="auto"/>
          <w:sz w:val="24"/>
          <w:szCs w:val="24"/>
          <w:highlight w:val="none"/>
        </w:rPr>
        <w:t>10.2 商务标书的编制要求</w:t>
      </w:r>
      <w:bookmarkEnd w:id="67"/>
      <w:bookmarkEnd w:id="68"/>
      <w:bookmarkEnd w:id="69"/>
      <w:bookmarkEnd w:id="70"/>
      <w:bookmarkEnd w:id="71"/>
      <w:bookmarkEnd w:id="72"/>
      <w:bookmarkEnd w:id="73"/>
    </w:p>
    <w:p w14:paraId="151AC7F1">
      <w:pPr>
        <w:pStyle w:val="29"/>
        <w:keepNext w:val="0"/>
        <w:keepLines w:val="0"/>
        <w:pageBreakBefore w:val="0"/>
        <w:widowControl w:val="0"/>
        <w:kinsoku/>
        <w:overflowPunct/>
        <w:topLinePunct w:val="0"/>
        <w:autoSpaceDE/>
        <w:autoSpaceDN/>
        <w:bidi w:val="0"/>
        <w:adjustRightInd/>
        <w:snapToGrid/>
        <w:spacing w:line="360" w:lineRule="auto"/>
        <w:ind w:firstLine="482" w:firstLineChars="200"/>
        <w:jc w:val="both"/>
        <w:textAlignment w:val="baseline"/>
        <w:rPr>
          <w:rStyle w:val="26"/>
          <w:rFonts w:hint="eastAsia" w:ascii="宋体" w:hAnsi="宋体" w:eastAsia="宋体" w:cs="宋体"/>
          <w:color w:val="auto"/>
          <w:sz w:val="24"/>
          <w:szCs w:val="24"/>
          <w:highlight w:val="none"/>
        </w:rPr>
      </w:pPr>
      <w:r>
        <w:rPr>
          <w:rStyle w:val="26"/>
          <w:rFonts w:hint="eastAsia" w:ascii="宋体" w:hAnsi="宋体" w:eastAsia="宋体" w:cs="宋体"/>
          <w:b/>
          <w:bCs/>
          <w:color w:val="auto"/>
          <w:sz w:val="24"/>
          <w:szCs w:val="24"/>
          <w:highlight w:val="none"/>
        </w:rPr>
        <w:t xml:space="preserve">10.2.1 </w:t>
      </w:r>
      <w:r>
        <w:rPr>
          <w:rStyle w:val="26"/>
          <w:rFonts w:hint="eastAsia" w:ascii="宋体" w:hAnsi="宋体" w:eastAsia="宋体" w:cs="宋体"/>
          <w:color w:val="auto"/>
          <w:sz w:val="24"/>
          <w:szCs w:val="24"/>
          <w:highlight w:val="none"/>
        </w:rPr>
        <w:t>商务标书包括但不限于以下内容：</w:t>
      </w:r>
    </w:p>
    <w:p w14:paraId="4AF6200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295C1F6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27FE4DE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0791748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54909A9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5297B96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35805F2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（7）《联合体协议书》（格式六）及所附资料；</w:t>
      </w:r>
    </w:p>
    <w:p w14:paraId="6748D4F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保证缴纳证明（投标人采用投标保证金的，附建设工程交易系统《缴纳投标保证金通知书》页面截图和银行转账单彩色扫描件；采用投标保证担保的，附银行保函彩色扫描件；采用投标保证保险的，附电子保单和</w:t>
      </w:r>
      <w:r>
        <w:rPr>
          <w:rFonts w:hint="eastAsia" w:ascii="宋体" w:hAnsi="宋体" w:eastAsia="宋体" w:cs="宋体"/>
          <w:b/>
          <w:bCs/>
          <w:color w:val="auto"/>
          <w:sz w:val="24"/>
          <w:szCs w:val="24"/>
          <w:highlight w:val="none"/>
        </w:rPr>
        <w:t>《韶关市公共资源交易一体化平台保证金缴纳信息》</w:t>
      </w:r>
      <w:r>
        <w:rPr>
          <w:rFonts w:hint="eastAsia" w:ascii="宋体" w:hAnsi="宋体" w:eastAsia="宋体" w:cs="宋体"/>
          <w:b/>
          <w:bCs/>
          <w:snapToGrid w:val="0"/>
          <w:color w:val="auto"/>
          <w:kern w:val="0"/>
          <w:sz w:val="24"/>
          <w:szCs w:val="24"/>
          <w:highlight w:val="none"/>
        </w:rPr>
        <w:t>页面截图</w:t>
      </w:r>
      <w:r>
        <w:rPr>
          <w:rFonts w:hint="eastAsia" w:ascii="宋体" w:hAnsi="宋体" w:eastAsia="宋体" w:cs="宋体"/>
          <w:snapToGrid w:val="0"/>
          <w:color w:val="auto"/>
          <w:kern w:val="0"/>
          <w:sz w:val="24"/>
          <w:szCs w:val="24"/>
          <w:highlight w:val="none"/>
        </w:rPr>
        <w:t>）；</w:t>
      </w:r>
    </w:p>
    <w:p w14:paraId="182F84F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（9）《投标人基本情况表》（格式七）及所附资料；</w:t>
      </w:r>
    </w:p>
    <w:p w14:paraId="751BD21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（10）《项目经理简历表》（格式八）及所附资料；</w:t>
      </w:r>
    </w:p>
    <w:p w14:paraId="61B2369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（11）《项目经理任职声明》（格式九）；</w:t>
      </w:r>
    </w:p>
    <w:p w14:paraId="7E069A5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（12）《项目技术负责人简历表》（格式十）及所附资料；</w:t>
      </w:r>
    </w:p>
    <w:p w14:paraId="0BD45E2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一</w:t>
      </w:r>
      <w:r>
        <w:rPr>
          <w:rFonts w:hint="eastAsia" w:ascii="宋体" w:hAnsi="宋体" w:eastAsia="宋体" w:cs="宋体"/>
          <w:snapToGrid w:val="0"/>
          <w:color w:val="auto"/>
          <w:kern w:val="0"/>
          <w:sz w:val="24"/>
          <w:szCs w:val="24"/>
          <w:highlight w:val="none"/>
        </w:rPr>
        <w:t>）及所附资料；</w:t>
      </w:r>
    </w:p>
    <w:p w14:paraId="0687332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w:t>
      </w:r>
      <w:r>
        <w:rPr>
          <w:rFonts w:hint="eastAsia" w:ascii="宋体" w:hAnsi="宋体" w:eastAsia="宋体" w:cs="宋体"/>
          <w:b/>
          <w:snapToGrid w:val="0"/>
          <w:color w:val="auto"/>
          <w:sz w:val="24"/>
          <w:szCs w:val="24"/>
          <w:highlight w:val="none"/>
        </w:rPr>
        <w:t xml:space="preserve"> </w:t>
      </w:r>
      <w:r>
        <w:rPr>
          <w:rFonts w:hint="eastAsia" w:ascii="宋体" w:hAnsi="宋体" w:eastAsia="宋体" w:cs="宋体"/>
          <w:b w:val="0"/>
          <w:snapToGrid w:val="0"/>
          <w:color w:val="auto"/>
          <w:kern w:val="0"/>
          <w:sz w:val="24"/>
          <w:szCs w:val="24"/>
          <w:highlight w:val="none"/>
        </w:rPr>
        <w:t>共管账户承诺书</w:t>
      </w:r>
      <w:r>
        <w:rPr>
          <w:rFonts w:hint="eastAsia" w:ascii="宋体" w:hAnsi="宋体" w:eastAsia="宋体" w:cs="宋体"/>
          <w:snapToGrid w:val="0"/>
          <w:color w:val="auto"/>
          <w:kern w:val="0"/>
          <w:sz w:val="24"/>
          <w:szCs w:val="24"/>
          <w:highlight w:val="none"/>
        </w:rPr>
        <w:t>（格式十</w:t>
      </w:r>
      <w:r>
        <w:rPr>
          <w:rFonts w:hint="eastAsia" w:ascii="宋体" w:hAnsi="宋体" w:eastAsia="宋体" w:cs="宋体"/>
          <w:snapToGrid w:val="0"/>
          <w:color w:val="auto"/>
          <w:kern w:val="0"/>
          <w:sz w:val="24"/>
          <w:szCs w:val="24"/>
          <w:highlight w:val="none"/>
          <w:lang w:val="en-US" w:eastAsia="zh-CN"/>
        </w:rPr>
        <w:t>五</w:t>
      </w:r>
      <w:r>
        <w:rPr>
          <w:rFonts w:hint="eastAsia" w:ascii="宋体" w:hAnsi="宋体" w:eastAsia="宋体" w:cs="宋体"/>
          <w:snapToGrid w:val="0"/>
          <w:color w:val="auto"/>
          <w:kern w:val="0"/>
          <w:sz w:val="24"/>
          <w:szCs w:val="24"/>
          <w:highlight w:val="none"/>
        </w:rPr>
        <w:t>）</w:t>
      </w:r>
    </w:p>
    <w:p w14:paraId="5FDC1C0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）本节第</w:t>
      </w: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snapToGrid w:val="0"/>
          <w:color w:val="auto"/>
          <w:kern w:val="0"/>
          <w:sz w:val="24"/>
          <w:szCs w:val="24"/>
          <w:highlight w:val="none"/>
        </w:rPr>
        <w:t>目“评标方法”要求提供的评审资料；</w:t>
      </w:r>
    </w:p>
    <w:p w14:paraId="799C031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企业所在省、地级市住建部门或其授权的组织</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机构</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关于企业资质、人员资格有效期自动顺延或延期办理的相关文件等）。</w:t>
      </w:r>
    </w:p>
    <w:p w14:paraId="43E9CE2B">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但非联合体投标的，无需提供第（7）项内容。</w:t>
      </w:r>
    </w:p>
    <w:p w14:paraId="2873B907">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snapToGrid w:val="0"/>
          <w:color w:val="auto"/>
          <w:kern w:val="0"/>
          <w:sz w:val="24"/>
          <w:szCs w:val="24"/>
          <w:highlight w:val="none"/>
        </w:rPr>
        <w:t xml:space="preserve"> 商务标书的组成内容按本节第 10.2.1 目规定的顺序整理、编排后，逐页（页码起始从封面开始）连续标记页码。</w:t>
      </w:r>
    </w:p>
    <w:p w14:paraId="2EA631BE">
      <w:pPr>
        <w:pStyle w:val="29"/>
        <w:keepNext w:val="0"/>
        <w:keepLines w:val="0"/>
        <w:pageBreakBefore w:val="0"/>
        <w:widowControl w:val="0"/>
        <w:kinsoku/>
        <w:overflowPunct/>
        <w:topLinePunct w:val="0"/>
        <w:autoSpaceDE/>
        <w:autoSpaceDN/>
        <w:bidi w:val="0"/>
        <w:adjustRightInd/>
        <w:snapToGrid/>
        <w:spacing w:line="360" w:lineRule="auto"/>
        <w:ind w:firstLine="482" w:firstLineChars="200"/>
        <w:jc w:val="both"/>
        <w:textAlignment w:val="baseline"/>
        <w:rPr>
          <w:rStyle w:val="26"/>
          <w:rFonts w:hint="eastAsia" w:ascii="宋体" w:hAnsi="宋体" w:eastAsia="宋体" w:cs="宋体"/>
          <w:b/>
          <w:bCs/>
          <w:color w:val="auto"/>
          <w:sz w:val="24"/>
          <w:szCs w:val="24"/>
          <w:highlight w:val="none"/>
        </w:rPr>
      </w:pPr>
      <w:bookmarkStart w:id="74" w:name="_Toc28389"/>
      <w:bookmarkStart w:id="75" w:name="_Toc18154"/>
      <w:bookmarkStart w:id="76" w:name="_Toc29164"/>
      <w:bookmarkStart w:id="77" w:name="_Toc10756"/>
      <w:bookmarkStart w:id="78" w:name="_Toc23486"/>
      <w:bookmarkStart w:id="79" w:name="_Toc4083"/>
      <w:r>
        <w:rPr>
          <w:rStyle w:val="26"/>
          <w:rFonts w:hint="eastAsia" w:ascii="宋体" w:hAnsi="宋体" w:eastAsia="宋体" w:cs="宋体"/>
          <w:b/>
          <w:bCs/>
          <w:color w:val="auto"/>
          <w:sz w:val="24"/>
          <w:szCs w:val="24"/>
          <w:highlight w:val="none"/>
        </w:rPr>
        <w:t>10.3 经济标书的编制要求</w:t>
      </w:r>
      <w:bookmarkEnd w:id="74"/>
      <w:bookmarkEnd w:id="75"/>
      <w:bookmarkEnd w:id="76"/>
      <w:bookmarkEnd w:id="77"/>
      <w:bookmarkEnd w:id="78"/>
      <w:bookmarkEnd w:id="79"/>
    </w:p>
    <w:p w14:paraId="15791A52">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0EA42AE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631840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62A9154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highlight w:val="none"/>
        </w:rPr>
      </w:pPr>
      <w:bookmarkStart w:id="80" w:name="_Hlt69699579"/>
      <w:bookmarkEnd w:id="80"/>
      <w:r>
        <w:rPr>
          <w:rFonts w:hint="eastAsia" w:ascii="宋体" w:hAnsi="宋体" w:eastAsia="宋体" w:cs="宋体"/>
          <w:color w:val="auto"/>
          <w:sz w:val="24"/>
          <w:szCs w:val="24"/>
          <w:highlight w:val="none"/>
        </w:rPr>
        <w:t>（3）《投标总价》；</w:t>
      </w:r>
    </w:p>
    <w:p w14:paraId="4DAA9AE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w:t>
      </w:r>
      <w:r>
        <w:rPr>
          <w:rFonts w:hint="eastAsia" w:ascii="宋体" w:hAnsi="宋体" w:eastAsia="宋体" w:cs="宋体"/>
          <w:snapToGrid w:val="0"/>
          <w:color w:val="auto"/>
          <w:kern w:val="0"/>
          <w:sz w:val="24"/>
          <w:szCs w:val="24"/>
          <w:highlight w:val="none"/>
          <w:lang w:eastAsia="zh-CN"/>
        </w:rPr>
        <w:t>GB</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eastAsia="zh-CN"/>
        </w:rPr>
        <w:t>T50500-2024</w:t>
      </w:r>
      <w:r>
        <w:rPr>
          <w:rFonts w:hint="eastAsia" w:ascii="宋体" w:hAnsi="宋体" w:eastAsia="宋体" w:cs="宋体"/>
          <w:snapToGrid w:val="0"/>
          <w:color w:val="auto"/>
          <w:kern w:val="0"/>
          <w:sz w:val="24"/>
          <w:szCs w:val="24"/>
          <w:highlight w:val="none"/>
        </w:rPr>
        <w:t>）执行，并应满足以下要求：</w:t>
      </w:r>
    </w:p>
    <w:p w14:paraId="245D3531">
      <w:pPr>
        <w:keepNext w:val="0"/>
        <w:keepLines w:val="0"/>
        <w:pageBreakBefore w:val="0"/>
        <w:widowControl w:val="0"/>
        <w:suppressLineNumbers w:val="0"/>
        <w:kinsoku/>
        <w:overflowPunct/>
        <w:topLinePunct w:val="0"/>
        <w:autoSpaceDE/>
        <w:autoSpaceDN/>
        <w:bidi w:val="0"/>
        <w:adjustRightInd/>
        <w:snapToGrid/>
        <w:spacing w:line="360" w:lineRule="auto"/>
        <w:ind w:firstLine="482" w:firstLineChars="200"/>
        <w:jc w:val="left"/>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a.</w:t>
      </w:r>
      <w:r>
        <w:rPr>
          <w:rFonts w:hint="eastAsia" w:ascii="宋体" w:hAnsi="宋体" w:eastAsia="宋体" w:cs="宋体"/>
          <w:b/>
          <w:bCs/>
          <w:snapToGrid w:val="0"/>
          <w:color w:val="auto"/>
          <w:kern w:val="0"/>
          <w:sz w:val="24"/>
          <w:szCs w:val="24"/>
          <w:highlight w:val="none"/>
        </w:rPr>
        <w:t>《投标总价扉页》后应附编制人的造价工程师注册证书</w:t>
      </w:r>
      <w:r>
        <w:rPr>
          <w:rFonts w:hint="eastAsia" w:ascii="宋体" w:hAnsi="宋体" w:eastAsia="宋体" w:cs="宋体"/>
          <w:b/>
          <w:bCs/>
          <w:snapToGrid w:val="0"/>
          <w:color w:val="auto"/>
          <w:kern w:val="0"/>
          <w:sz w:val="24"/>
          <w:szCs w:val="24"/>
          <w:highlight w:val="none"/>
          <w:lang w:val="en-US" w:eastAsia="zh-CN"/>
        </w:rPr>
        <w:t>彩色扫描件</w:t>
      </w:r>
      <w:r>
        <w:rPr>
          <w:rFonts w:hint="eastAsia" w:ascii="宋体" w:hAnsi="宋体" w:eastAsia="宋体" w:cs="宋体"/>
          <w:b/>
          <w:bCs/>
          <w:snapToGrid w:val="0"/>
          <w:color w:val="auto"/>
          <w:kern w:val="0"/>
          <w:sz w:val="24"/>
          <w:szCs w:val="24"/>
          <w:highlight w:val="none"/>
        </w:rPr>
        <w:t>（须复印或打印至变更注册栏</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bidi="ar"/>
        </w:rPr>
        <w:t>一级造价师或二级造价师均可提供电子证书</w:t>
      </w:r>
      <w:r>
        <w:rPr>
          <w:rFonts w:hint="eastAsia" w:ascii="宋体" w:hAnsi="宋体" w:eastAsia="宋体" w:cs="宋体"/>
          <w:b/>
          <w:bCs/>
          <w:snapToGrid w:val="0"/>
          <w:color w:val="auto"/>
          <w:kern w:val="0"/>
          <w:sz w:val="24"/>
          <w:szCs w:val="24"/>
          <w:highlight w:val="none"/>
        </w:rPr>
        <w:t>）；投标人委托造价咨询单位编制《投标总价》的，在该扉页“投标人”栏目加盖造价咨询人公章，并在该扉页后附造价咨询人的营业执照副本</w:t>
      </w:r>
      <w:r>
        <w:rPr>
          <w:rFonts w:hint="eastAsia" w:ascii="宋体" w:hAnsi="宋体" w:eastAsia="宋体" w:cs="宋体"/>
          <w:b/>
          <w:bCs/>
          <w:snapToGrid w:val="0"/>
          <w:color w:val="auto"/>
          <w:kern w:val="0"/>
          <w:sz w:val="24"/>
          <w:szCs w:val="24"/>
          <w:highlight w:val="none"/>
          <w:lang w:val="en-US" w:eastAsia="zh-CN"/>
        </w:rPr>
        <w:t>彩色扫描件</w:t>
      </w:r>
      <w:r>
        <w:rPr>
          <w:rFonts w:hint="eastAsia" w:ascii="宋体" w:hAnsi="宋体" w:eastAsia="宋体" w:cs="宋体"/>
          <w:b/>
          <w:bCs/>
          <w:snapToGrid w:val="0"/>
          <w:color w:val="auto"/>
          <w:kern w:val="0"/>
          <w:sz w:val="24"/>
          <w:szCs w:val="24"/>
          <w:highlight w:val="none"/>
        </w:rPr>
        <w:t>。</w:t>
      </w:r>
    </w:p>
    <w:p w14:paraId="79DF9296">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b.</w:t>
      </w:r>
      <w:r>
        <w:rPr>
          <w:rFonts w:hint="eastAsia" w:ascii="宋体" w:hAnsi="宋体" w:eastAsia="宋体" w:cs="宋体"/>
          <w:b/>
          <w:bCs/>
          <w:snapToGrid w:val="0"/>
          <w:color w:val="auto"/>
          <w:kern w:val="0"/>
          <w:sz w:val="24"/>
          <w:szCs w:val="24"/>
          <w:highlight w:val="none"/>
        </w:rPr>
        <w:t>投标人认为有必要补充的其他资料（例如关于投标总价下浮率超过15%的书面说明和佐证材料）。</w:t>
      </w:r>
    </w:p>
    <w:p w14:paraId="5A654F07">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81" w:name="_Hlt145127239"/>
      <w:bookmarkEnd w:id="81"/>
      <w:r>
        <w:rPr>
          <w:rFonts w:hint="eastAsia" w:ascii="宋体" w:hAnsi="宋体" w:eastAsia="宋体" w:cs="宋体"/>
          <w:snapToGrid w:val="0"/>
          <w:color w:val="auto"/>
          <w:kern w:val="0"/>
          <w:sz w:val="24"/>
          <w:szCs w:val="24"/>
          <w:highlight w:val="none"/>
        </w:rPr>
        <w:t>。</w:t>
      </w:r>
    </w:p>
    <w:p w14:paraId="55C16071">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b/>
          <w:bCs/>
          <w:snapToGrid w:val="0"/>
          <w:color w:val="auto"/>
          <w:kern w:val="0"/>
          <w:sz w:val="24"/>
          <w:szCs w:val="24"/>
          <w:highlight w:val="none"/>
        </w:rPr>
        <w:t>10.3.3</w:t>
      </w:r>
      <w:r>
        <w:rPr>
          <w:rFonts w:hint="eastAsia" w:ascii="宋体" w:hAnsi="宋体" w:eastAsia="宋体" w:cs="宋体"/>
          <w:b/>
          <w:bCs/>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lang w:val="en-US" w:eastAsia="zh-CN" w:bidi="ar-SA"/>
        </w:rPr>
        <w:t>经济标书的组成内容按本节第10.3.1目规定的顺序整理、编排后，逐页（页码起始从封面开始）连续标记页码，作成一个PDF格式电子文件。</w:t>
      </w:r>
    </w:p>
    <w:p w14:paraId="4F0588B3">
      <w:pPr>
        <w:pStyle w:val="29"/>
        <w:keepNext w:val="0"/>
        <w:keepLines w:val="0"/>
        <w:pageBreakBefore w:val="0"/>
        <w:widowControl w:val="0"/>
        <w:kinsoku/>
        <w:overflowPunct/>
        <w:topLinePunct w:val="0"/>
        <w:autoSpaceDE/>
        <w:autoSpaceDN/>
        <w:bidi w:val="0"/>
        <w:adjustRightInd/>
        <w:snapToGrid/>
        <w:spacing w:line="360" w:lineRule="auto"/>
        <w:ind w:firstLine="482" w:firstLineChars="200"/>
        <w:jc w:val="both"/>
        <w:textAlignment w:val="baseline"/>
        <w:rPr>
          <w:rStyle w:val="26"/>
          <w:rFonts w:hint="eastAsia" w:ascii="宋体" w:hAnsi="宋体" w:eastAsia="宋体" w:cs="宋体"/>
          <w:b/>
          <w:bCs/>
          <w:color w:val="auto"/>
          <w:sz w:val="24"/>
          <w:szCs w:val="24"/>
          <w:highlight w:val="none"/>
        </w:rPr>
      </w:pPr>
      <w:bookmarkStart w:id="82" w:name="_Toc30191"/>
      <w:bookmarkStart w:id="83" w:name="_Toc3720"/>
      <w:r>
        <w:rPr>
          <w:rStyle w:val="26"/>
          <w:rFonts w:hint="eastAsia" w:ascii="宋体" w:hAnsi="宋体" w:eastAsia="宋体" w:cs="宋体"/>
          <w:b/>
          <w:bCs/>
          <w:color w:val="auto"/>
          <w:sz w:val="24"/>
          <w:szCs w:val="24"/>
          <w:highlight w:val="none"/>
        </w:rPr>
        <w:t>10.4 施工组织设计的编制要求</w:t>
      </w:r>
      <w:bookmarkEnd w:id="82"/>
      <w:bookmarkEnd w:id="83"/>
    </w:p>
    <w:p w14:paraId="2C95229D">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0DCD82C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73541F6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50EA2CE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324D6B0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3E20791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004804C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71AD311E">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7D2BE63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678EBD9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64C9BCA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31C8AB7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2D3068E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786287B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62EA23D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rPr>
        <w:t>应对建设单位组织的勘察设计等单位在施工招标文件中列出的危大工程清单</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rPr>
        <w:t>详见格式十三</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rPr>
        <w:t>进行投标文件回应</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lang w:val="en-US" w:eastAsia="zh-CN"/>
        </w:rPr>
        <w:t>如有</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w:t>
      </w:r>
    </w:p>
    <w:p w14:paraId="5975EEB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7D095AA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253C82F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w:t>
      </w:r>
      <w:r>
        <w:rPr>
          <w:rFonts w:hint="eastAsia" w:ascii="宋体" w:hAnsi="宋体" w:eastAsia="宋体" w:cs="宋体"/>
          <w:snapToGrid w:val="0"/>
          <w:color w:val="auto"/>
          <w:kern w:val="0"/>
          <w:sz w:val="24"/>
          <w:szCs w:val="24"/>
          <w:highlight w:val="none"/>
          <w:lang w:val="en-US" w:eastAsia="zh-CN"/>
        </w:rPr>
        <w:t>（例如对总包管理的认识以及对专业分包工程的管理、协调、配合、服务方案）。</w:t>
      </w:r>
    </w:p>
    <w:p w14:paraId="588689E4">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775EFC0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10.4.4 施工组织设计的组成内容按本节第10.4.2目规定的顺序整理、编排后，逐页（页码起始从封面开始）连续标记页码，作成一个PDF格式电子文件。</w:t>
      </w:r>
    </w:p>
    <w:p w14:paraId="50D1A212">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baseline"/>
        <w:rPr>
          <w:rFonts w:hint="eastAsia" w:ascii="宋体" w:hAnsi="宋体" w:eastAsia="宋体" w:cs="宋体"/>
          <w:b/>
          <w:bCs/>
          <w:snapToGrid w:val="0"/>
          <w:color w:val="auto"/>
          <w:kern w:val="0"/>
          <w:sz w:val="24"/>
          <w:szCs w:val="24"/>
          <w:highlight w:val="none"/>
          <w:lang w:val="en-US" w:eastAsia="zh-CN"/>
        </w:rPr>
      </w:pPr>
      <w:bookmarkStart w:id="84" w:name="_Toc20579"/>
      <w:r>
        <w:rPr>
          <w:rFonts w:hint="eastAsia" w:ascii="宋体" w:hAnsi="宋体" w:eastAsia="宋体" w:cs="宋体"/>
          <w:b/>
          <w:bCs/>
          <w:snapToGrid w:val="0"/>
          <w:color w:val="auto"/>
          <w:kern w:val="0"/>
          <w:sz w:val="24"/>
          <w:szCs w:val="24"/>
          <w:highlight w:val="none"/>
          <w:lang w:val="en-US" w:eastAsia="zh-CN"/>
        </w:rPr>
        <w:t>10.5定标文件的编制要求：</w:t>
      </w:r>
    </w:p>
    <w:p w14:paraId="16FFD52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5.5</w:t>
      </w:r>
      <w:r>
        <w:rPr>
          <w:rFonts w:hint="eastAsia" w:ascii="宋体" w:hAnsi="宋体" w:eastAsia="宋体" w:cs="宋体"/>
          <w:snapToGrid w:val="0"/>
          <w:color w:val="auto"/>
          <w:kern w:val="0"/>
          <w:sz w:val="24"/>
          <w:szCs w:val="24"/>
          <w:highlight w:val="none"/>
        </w:rPr>
        <w:t xml:space="preserve">.1 </w:t>
      </w:r>
      <w:r>
        <w:rPr>
          <w:rFonts w:hint="eastAsia" w:ascii="宋体" w:hAnsi="宋体" w:eastAsia="宋体" w:cs="宋体"/>
          <w:snapToGrid w:val="0"/>
          <w:color w:val="auto"/>
          <w:kern w:val="0"/>
          <w:sz w:val="24"/>
          <w:szCs w:val="24"/>
          <w:highlight w:val="none"/>
          <w:lang w:val="en-US" w:eastAsia="zh-CN"/>
        </w:rPr>
        <w:t>定标文件</w:t>
      </w:r>
      <w:r>
        <w:rPr>
          <w:rFonts w:hint="eastAsia" w:ascii="宋体" w:hAnsi="宋体" w:eastAsia="宋体" w:cs="宋体"/>
          <w:snapToGrid w:val="0"/>
          <w:color w:val="auto"/>
          <w:kern w:val="0"/>
          <w:sz w:val="24"/>
          <w:szCs w:val="24"/>
          <w:highlight w:val="none"/>
        </w:rPr>
        <w:t>包括以下内容：</w:t>
      </w:r>
    </w:p>
    <w:p w14:paraId="2E9C0ED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3E10B83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546055F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定标因素评审资料（格式十六）</w:t>
      </w:r>
    </w:p>
    <w:p w14:paraId="692105F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 xml:space="preserve"> 本节第1</w:t>
      </w:r>
      <w:r>
        <w:rPr>
          <w:rFonts w:hint="eastAsia" w:ascii="宋体" w:hAnsi="宋体" w:eastAsia="宋体" w:cs="宋体"/>
          <w:snapToGrid w:val="0"/>
          <w:color w:val="auto"/>
          <w:kern w:val="0"/>
          <w:sz w:val="24"/>
          <w:szCs w:val="24"/>
          <w:highlight w:val="none"/>
          <w:lang w:val="en-US" w:eastAsia="zh-CN"/>
        </w:rPr>
        <w:t>5.5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目中所列出的组成内容中，第（1）至第（</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）项所有投标人均应提供。</w:t>
      </w:r>
    </w:p>
    <w:bookmarkEnd w:id="84"/>
    <w:p w14:paraId="3DE715C8">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11．电子投标</w:t>
      </w:r>
    </w:p>
    <w:p w14:paraId="0AB92338">
      <w:pPr>
        <w:keepNext w:val="0"/>
        <w:keepLines w:val="0"/>
        <w:pageBreakBefore w:val="0"/>
        <w:widowControl w:val="0"/>
        <w:overflowPunct/>
        <w:topLinePunct w:val="0"/>
        <w:bidi w:val="0"/>
        <w:adjustRightInd/>
        <w:snapToGrid/>
        <w:spacing w:line="360" w:lineRule="auto"/>
        <w:ind w:left="0" w:leftChars="0" w:right="0" w:rightChars="0" w:firstLine="470" w:firstLineChars="200"/>
        <w:jc w:val="both"/>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2"/>
          <w:sz w:val="24"/>
          <w:szCs w:val="24"/>
          <w:highlight w:val="none"/>
        </w:rPr>
        <w:t>在建设工程交易系统上传加盖了电子印章的投标文件、录入相关信息及标书页码信息，（页码起始从封面开始）并提交投标标书。提交标书为已加密投标文件。具体操作参照《韶关市公共资源建设工程交易系统</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245EEFCF">
      <w:pPr>
        <w:keepNext w:val="0"/>
        <w:keepLines w:val="0"/>
        <w:pageBreakBefore w:val="0"/>
        <w:widowControl w:val="0"/>
        <w:wordWrap w:val="0"/>
        <w:topLinePunct w:val="0"/>
        <w:bidi w:val="0"/>
        <w:adjustRightInd/>
        <w:snapToGrid/>
        <w:spacing w:line="360" w:lineRule="auto"/>
        <w:ind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11.2</w:t>
      </w:r>
      <w:r>
        <w:rPr>
          <w:rFonts w:hint="eastAsia" w:ascii="宋体" w:hAnsi="宋体" w:eastAsia="宋体" w:cs="宋体"/>
          <w:color w:val="auto"/>
          <w:spacing w:val="-2"/>
          <w:sz w:val="24"/>
          <w:szCs w:val="24"/>
          <w:highlight w:val="none"/>
        </w:rPr>
        <w:t xml:space="preserve"> 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r>
        <w:rPr>
          <w:rFonts w:hint="eastAsia" w:ascii="宋体" w:hAnsi="宋体" w:eastAsia="宋体" w:cs="宋体"/>
          <w:bCs/>
          <w:snapToGrid w:val="0"/>
          <w:color w:val="auto"/>
          <w:sz w:val="24"/>
          <w:szCs w:val="24"/>
          <w:highlight w:val="none"/>
        </w:rPr>
        <w:t>。</w:t>
      </w:r>
    </w:p>
    <w:p w14:paraId="0F4C7474">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bookmarkStart w:id="85" w:name="_Toc17508"/>
      <w:r>
        <w:rPr>
          <w:rFonts w:hint="eastAsia" w:ascii="宋体" w:hAnsi="宋体" w:eastAsia="宋体" w:cs="宋体"/>
          <w:b/>
          <w:bCs/>
          <w:color w:val="auto"/>
          <w:kern w:val="0"/>
          <w:sz w:val="24"/>
          <w:szCs w:val="24"/>
          <w:highlight w:val="none"/>
          <w:lang w:val="en-US" w:eastAsia="zh-CN"/>
        </w:rPr>
        <w:t>12．电子投标及投标解密失败及突发情况的补救方案</w:t>
      </w:r>
      <w:bookmarkEnd w:id="85"/>
    </w:p>
    <w:p w14:paraId="13727AA5">
      <w:pPr>
        <w:keepNext w:val="0"/>
        <w:keepLines w:val="0"/>
        <w:pageBreakBefore w:val="0"/>
        <w:widowControl w:val="0"/>
        <w:overflowPunct/>
        <w:topLinePunct w:val="0"/>
        <w:bidi w:val="0"/>
        <w:adjustRightInd/>
        <w:snapToGrid/>
        <w:spacing w:line="360" w:lineRule="auto"/>
        <w:ind w:right="0" w:rightChars="0" w:firstLine="474"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12.1</w:t>
      </w:r>
      <w:r>
        <w:rPr>
          <w:rFonts w:hint="eastAsia" w:ascii="宋体" w:hAnsi="宋体" w:eastAsia="宋体" w:cs="宋体"/>
          <w:color w:val="auto"/>
          <w:spacing w:val="-2"/>
          <w:sz w:val="24"/>
          <w:szCs w:val="24"/>
          <w:highlight w:val="none"/>
        </w:rPr>
        <w:t xml:space="preserve"> 按照交易平台关于全流程电子化项目的相关指南进行</w:t>
      </w:r>
      <w:r>
        <w:rPr>
          <w:rFonts w:hint="eastAsia" w:ascii="宋体" w:hAnsi="宋体" w:eastAsia="宋体" w:cs="宋体"/>
          <w:color w:val="auto"/>
          <w:sz w:val="24"/>
          <w:szCs w:val="24"/>
          <w:highlight w:val="none"/>
        </w:rPr>
        <w:t>操作。详见：全国公共</w:t>
      </w:r>
      <w:bookmarkStart w:id="86" w:name="bookmark122"/>
      <w:bookmarkEnd w:id="86"/>
      <w:r>
        <w:rPr>
          <w:rFonts w:hint="eastAsia" w:ascii="宋体" w:hAnsi="宋体" w:eastAsia="宋体" w:cs="宋体"/>
          <w:color w:val="auto"/>
          <w:sz w:val="24"/>
          <w:szCs w:val="24"/>
          <w:highlight w:val="none"/>
        </w:rPr>
        <w:t>资源交易平台（广东省·韶关市）（https://ygp.gdzwfw.gov.cn/ggzy-portal/#/440200/index）服务指南栏目发布的最新版操作指引。</w:t>
      </w:r>
    </w:p>
    <w:p w14:paraId="6A7B0A83">
      <w:pPr>
        <w:keepNext w:val="0"/>
        <w:keepLines w:val="0"/>
        <w:pageBreakBefore w:val="0"/>
        <w:widowControl w:val="0"/>
        <w:overflowPunct/>
        <w:topLinePunct w:val="0"/>
        <w:bidi w:val="0"/>
        <w:adjustRightInd/>
        <w:snapToGrid/>
        <w:spacing w:line="360" w:lineRule="auto"/>
        <w:ind w:right="0" w:rightChars="0"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31515C2D">
      <w:pPr>
        <w:keepNext w:val="0"/>
        <w:keepLines w:val="0"/>
        <w:pageBreakBefore w:val="0"/>
        <w:widowControl w:val="0"/>
        <w:overflowPunct/>
        <w:topLinePunct w:val="0"/>
        <w:bidi w:val="0"/>
        <w:adjustRightInd/>
        <w:snapToGrid/>
        <w:spacing w:line="360" w:lineRule="auto"/>
        <w:ind w:right="0" w:rightChars="0"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7D53E341">
      <w:pPr>
        <w:keepNext w:val="0"/>
        <w:keepLines w:val="0"/>
        <w:pageBreakBefore w:val="0"/>
        <w:widowControl w:val="0"/>
        <w:overflowPunct/>
        <w:topLinePunct w:val="0"/>
        <w:bidi w:val="0"/>
        <w:adjustRightInd/>
        <w:snapToGrid/>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在规定时间内，因投标人之外原因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指网络瘫痪、服务器损坏、交易系统故障短期无法恢复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等导致的电子投标文件解密失败，在开标现场解密环节由代理授权后，解密失败投标人可在建设工程交易系统在规定时间（代理机构授权后 30 分钟内）内重新提交投标文件继续开标程序。</w:t>
      </w:r>
    </w:p>
    <w:p w14:paraId="22D03592">
      <w:pPr>
        <w:keepNext w:val="0"/>
        <w:keepLines w:val="0"/>
        <w:pageBreakBefore w:val="0"/>
        <w:widowControl w:val="0"/>
        <w:overflowPunct/>
        <w:topLinePunct w:val="0"/>
        <w:bidi w:val="0"/>
        <w:adjustRightInd/>
        <w:snapToGrid/>
        <w:spacing w:line="360" w:lineRule="auto"/>
        <w:ind w:left="0" w:leftChars="0" w:right="0" w:rightChars="0"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2E8DBC75">
      <w:pPr>
        <w:keepNext w:val="0"/>
        <w:keepLines w:val="0"/>
        <w:pageBreakBefore w:val="0"/>
        <w:widowControl w:val="0"/>
        <w:overflowPunct/>
        <w:topLinePunct w:val="0"/>
        <w:bidi w:val="0"/>
        <w:adjustRightInd/>
        <w:snapToGrid/>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3A76071E">
      <w:pPr>
        <w:keepNext w:val="0"/>
        <w:keepLines w:val="0"/>
        <w:pageBreakBefore w:val="0"/>
        <w:widowControl w:val="0"/>
        <w:overflowPunct/>
        <w:topLinePunct w:val="0"/>
        <w:bidi w:val="0"/>
        <w:adjustRightInd/>
        <w:snapToGrid/>
        <w:spacing w:line="360" w:lineRule="auto"/>
        <w:ind w:left="0" w:leftChars="0" w:right="0" w:rightChars="0" w:firstLine="478"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w:t>
      </w:r>
      <w:r>
        <w:rPr>
          <w:rFonts w:hint="eastAsia" w:ascii="宋体" w:hAnsi="宋体" w:eastAsia="宋体" w:cs="宋体"/>
          <w:color w:val="auto"/>
          <w:spacing w:val="-2"/>
          <w:sz w:val="24"/>
          <w:szCs w:val="24"/>
          <w:highlight w:val="none"/>
        </w:rPr>
        <w:t>联合体投标的，由联合体牵头</w:t>
      </w:r>
      <w:r>
        <w:rPr>
          <w:rFonts w:hint="eastAsia" w:ascii="宋体" w:hAnsi="宋体" w:eastAsia="宋体" w:cs="宋体"/>
          <w:color w:val="auto"/>
          <w:spacing w:val="-1"/>
          <w:sz w:val="24"/>
          <w:szCs w:val="24"/>
          <w:highlight w:val="none"/>
        </w:rPr>
        <w:t>人）通过交易平台网上递交的电子投标文件为准。</w:t>
      </w:r>
    </w:p>
    <w:p w14:paraId="09E0DE9E">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bookmarkStart w:id="87" w:name="_Toc12525"/>
      <w:r>
        <w:rPr>
          <w:rFonts w:hint="eastAsia" w:ascii="宋体" w:hAnsi="宋体" w:eastAsia="宋体" w:cs="宋体"/>
          <w:b/>
          <w:bCs/>
          <w:color w:val="auto"/>
          <w:kern w:val="0"/>
          <w:sz w:val="24"/>
          <w:szCs w:val="24"/>
          <w:highlight w:val="none"/>
          <w:lang w:val="en-US" w:eastAsia="zh-CN"/>
        </w:rPr>
        <w:t>13．</w:t>
      </w:r>
      <w:bookmarkEnd w:id="87"/>
      <w:r>
        <w:rPr>
          <w:rFonts w:hint="eastAsia" w:ascii="宋体" w:hAnsi="宋体" w:eastAsia="宋体" w:cs="宋体"/>
          <w:b/>
          <w:bCs/>
          <w:color w:val="auto"/>
          <w:kern w:val="0"/>
          <w:sz w:val="24"/>
          <w:szCs w:val="24"/>
          <w:highlight w:val="none"/>
          <w:lang w:val="en-US" w:eastAsia="zh-CN"/>
        </w:rPr>
        <w:t>投标文件的提交</w:t>
      </w:r>
    </w:p>
    <w:p w14:paraId="7F5A7F3C">
      <w:pPr>
        <w:keepNext w:val="0"/>
        <w:keepLines w:val="0"/>
        <w:pageBreakBefore w:val="0"/>
        <w:widowControl w:val="0"/>
        <w:wordWrap/>
        <w:overflowPunct/>
        <w:topLinePunct w:val="0"/>
        <w:bidi w:val="0"/>
        <w:adjustRightInd/>
        <w:snapToGrid/>
        <w:spacing w:line="360" w:lineRule="auto"/>
        <w:ind w:left="0" w:leftChars="0" w:right="0" w:rightChars="0" w:firstLine="482" w:firstLineChars="200"/>
        <w:jc w:val="both"/>
        <w:textAlignment w:val="baseline"/>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sz w:val="24"/>
          <w:szCs w:val="24"/>
          <w:highlight w:val="none"/>
        </w:rPr>
        <w:t xml:space="preserve">13.1 </w:t>
      </w:r>
      <w:r>
        <w:rPr>
          <w:rFonts w:hint="eastAsia" w:ascii="宋体" w:hAnsi="宋体" w:eastAsia="宋体" w:cs="宋体"/>
          <w:color w:val="auto"/>
          <w:spacing w:val="0"/>
          <w:sz w:val="24"/>
          <w:szCs w:val="24"/>
          <w:highlight w:val="none"/>
        </w:rPr>
        <w:t>在投标文件提交截止时间前，投标人通过全国公共资源交易平台（广东省·韶关市）提交已加密投标文件。逾期提交的电子投标文件，全国公共资源交易平台（广东省·韶关市）将予以拒收。</w:t>
      </w:r>
    </w:p>
    <w:p w14:paraId="20F8C5BF">
      <w:pPr>
        <w:keepNext w:val="0"/>
        <w:keepLines w:val="0"/>
        <w:pageBreakBefore w:val="0"/>
        <w:widowControl w:val="0"/>
        <w:wordWrap/>
        <w:overflowPunct/>
        <w:topLinePunct w:val="0"/>
        <w:bidi w:val="0"/>
        <w:adjustRightInd/>
        <w:snapToGrid/>
        <w:spacing w:line="360" w:lineRule="auto"/>
        <w:ind w:left="0" w:leftChars="0" w:right="0" w:rightChars="0" w:firstLine="490" w:firstLineChars="200"/>
        <w:jc w:val="both"/>
        <w:textAlignment w:val="baseline"/>
        <w:rPr>
          <w:rFonts w:hint="eastAsia" w:ascii="宋体" w:hAnsi="宋体" w:eastAsia="宋体" w:cs="宋体"/>
          <w:color w:val="auto"/>
          <w:spacing w:val="-2"/>
          <w:sz w:val="24"/>
          <w:szCs w:val="24"/>
          <w:highlight w:val="none"/>
          <w:lang w:eastAsia="zh-CN"/>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2"/>
          <w:sz w:val="24"/>
          <w:szCs w:val="24"/>
          <w:highlight w:val="none"/>
          <w:lang w:eastAsia="zh-CN"/>
        </w:rPr>
        <w:t>。</w:t>
      </w:r>
    </w:p>
    <w:p w14:paraId="3D096851">
      <w:pPr>
        <w:keepNext w:val="0"/>
        <w:keepLines w:val="0"/>
        <w:pageBreakBefore w:val="0"/>
        <w:widowControl w:val="0"/>
        <w:wordWrap/>
        <w:overflowPunct/>
        <w:topLinePunct w:val="0"/>
        <w:bidi w:val="0"/>
        <w:adjustRightInd/>
        <w:snapToGrid/>
        <w:spacing w:line="360" w:lineRule="auto"/>
        <w:ind w:left="0" w:leftChars="0" w:right="0" w:rightChars="0" w:firstLine="478"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2"/>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0D8D6717">
      <w:pPr>
        <w:keepNext w:val="0"/>
        <w:keepLines w:val="0"/>
        <w:pageBreakBefore w:val="0"/>
        <w:widowControl w:val="0"/>
        <w:wordWrap/>
        <w:overflowPunct/>
        <w:topLinePunct w:val="0"/>
        <w:bidi w:val="0"/>
        <w:adjustRightInd/>
        <w:snapToGrid/>
        <w:spacing w:line="360" w:lineRule="auto"/>
        <w:ind w:left="0" w:leftChars="0" w:right="0" w:rightChars="0" w:firstLine="478"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代理机构对因不可抗力事件造成的投标文件的损坏、丢失的，不承担责任</w:t>
      </w:r>
      <w:r>
        <w:rPr>
          <w:rFonts w:hint="eastAsia" w:ascii="宋体" w:hAnsi="宋体" w:eastAsia="宋体" w:cs="宋体"/>
          <w:color w:val="auto"/>
          <w:spacing w:val="-2"/>
          <w:sz w:val="24"/>
          <w:szCs w:val="24"/>
          <w:highlight w:val="none"/>
        </w:rPr>
        <w:t>。</w:t>
      </w:r>
    </w:p>
    <w:p w14:paraId="1FA4FCDC">
      <w:pPr>
        <w:keepNext w:val="0"/>
        <w:keepLines w:val="0"/>
        <w:pageBreakBefore w:val="0"/>
        <w:widowControl w:val="0"/>
        <w:wordWrap/>
        <w:overflowPunct/>
        <w:topLinePunct w:val="0"/>
        <w:bidi w:val="0"/>
        <w:adjustRightInd/>
        <w:snapToGrid/>
        <w:spacing w:line="360" w:lineRule="auto"/>
        <w:ind w:left="0" w:leftChars="0" w:right="0" w:rightChars="0" w:firstLine="478"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2"/>
          <w:sz w:val="24"/>
          <w:szCs w:val="24"/>
          <w:highlight w:val="none"/>
        </w:rPr>
        <w:t>出现下述情形之一，属于未成功提交投标文件，按无效投标处理：</w:t>
      </w:r>
    </w:p>
    <w:p w14:paraId="4A2C7AF9">
      <w:pPr>
        <w:keepNext w:val="0"/>
        <w:keepLines w:val="0"/>
        <w:pageBreakBefore w:val="0"/>
        <w:widowControl w:val="0"/>
        <w:wordWrap/>
        <w:overflowPunct/>
        <w:topLinePunct w:val="0"/>
        <w:bidi w:val="0"/>
        <w:adjustRightInd/>
        <w:snapToGrid/>
        <w:spacing w:line="360" w:lineRule="auto"/>
        <w:ind w:left="0" w:leftChars="0" w:right="0" w:rightChars="0" w:firstLine="472"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（1）至提交投标文件截止时，投标文件未完整上传及提交标书；</w:t>
      </w:r>
    </w:p>
    <w:p w14:paraId="1CEE8B8A">
      <w:pPr>
        <w:keepNext w:val="0"/>
        <w:keepLines w:val="0"/>
        <w:pageBreakBefore w:val="0"/>
        <w:widowControl w:val="0"/>
        <w:wordWrap/>
        <w:overflowPunct/>
        <w:topLinePunct w:val="0"/>
        <w:bidi w:val="0"/>
        <w:adjustRightInd/>
        <w:snapToGrid/>
        <w:spacing w:line="360" w:lineRule="auto"/>
        <w:ind w:left="0" w:leftChars="0" w:right="0" w:rightChars="0" w:firstLine="472"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（2）解密失败且在规定时间内未重新提交投标文件的；</w:t>
      </w:r>
    </w:p>
    <w:p w14:paraId="1032420C">
      <w:pPr>
        <w:keepNext w:val="0"/>
        <w:keepLines w:val="0"/>
        <w:pageBreakBefore w:val="0"/>
        <w:widowControl w:val="0"/>
        <w:wordWrap/>
        <w:overflowPunct/>
        <w:topLinePunct w:val="0"/>
        <w:bidi w:val="0"/>
        <w:adjustRightInd/>
        <w:snapToGrid/>
        <w:spacing w:line="360" w:lineRule="auto"/>
        <w:ind w:left="0" w:leftChars="0" w:right="0" w:rightChars="0" w:firstLine="472"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183084A9">
      <w:pPr>
        <w:keepNext w:val="0"/>
        <w:keepLines w:val="0"/>
        <w:pageBreakBefore w:val="0"/>
        <w:widowControl w:val="0"/>
        <w:kinsoku w:val="0"/>
        <w:wordWrap/>
        <w:overflowPunct/>
        <w:topLinePunct w:val="0"/>
        <w:autoSpaceDE w:val="0"/>
        <w:autoSpaceDN w:val="0"/>
        <w:bidi w:val="0"/>
        <w:adjustRightInd/>
        <w:snapToGrid/>
        <w:spacing w:line="360" w:lineRule="auto"/>
        <w:ind w:left="0" w:leftChars="0" w:right="0" w:rightChars="0" w:firstLine="478"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3BC7B06D">
      <w:pPr>
        <w:keepNext w:val="0"/>
        <w:keepLines w:val="0"/>
        <w:pageBreakBefore w:val="0"/>
        <w:widowControl w:val="0"/>
        <w:kinsoku w:val="0"/>
        <w:wordWrap/>
        <w:overflowPunct/>
        <w:topLinePunct w:val="0"/>
        <w:autoSpaceDE w:val="0"/>
        <w:autoSpaceDN w:val="0"/>
        <w:bidi w:val="0"/>
        <w:adjustRightInd/>
        <w:snapToGrid/>
        <w:spacing w:line="360" w:lineRule="auto"/>
        <w:ind w:left="0" w:leftChars="0" w:right="0" w:rightChars="0" w:firstLine="474"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2"/>
          <w:sz w:val="24"/>
          <w:szCs w:val="24"/>
          <w:highlight w:val="none"/>
          <w:lang w:eastAsia="zh-CN"/>
        </w:rPr>
        <w:t>，</w:t>
      </w:r>
      <w:bookmarkStart w:id="88" w:name="bookmark123"/>
      <w:bookmarkEnd w:id="88"/>
      <w:r>
        <w:rPr>
          <w:rFonts w:hint="eastAsia" w:ascii="宋体" w:hAnsi="宋体" w:eastAsia="宋体" w:cs="宋体"/>
          <w:color w:val="auto"/>
          <w:spacing w:val="-1"/>
          <w:sz w:val="24"/>
          <w:szCs w:val="24"/>
          <w:highlight w:val="none"/>
        </w:rPr>
        <w:t>应向投标人出具标明签收人和签收时间的凭证，并妥善保管。</w:t>
      </w:r>
    </w:p>
    <w:p w14:paraId="749857BA">
      <w:pPr>
        <w:keepNext w:val="0"/>
        <w:keepLines w:val="0"/>
        <w:pageBreakBefore w:val="0"/>
        <w:widowControl w:val="0"/>
        <w:wordWrap/>
        <w:overflowPunct/>
        <w:topLinePunct w:val="0"/>
        <w:bidi w:val="0"/>
        <w:adjustRightInd/>
        <w:snapToGrid/>
        <w:spacing w:line="360" w:lineRule="auto"/>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13.8 </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u w:val="single" w:color="auto"/>
          <w:lang w:val="en-US" w:eastAsia="zh-CN"/>
        </w:rPr>
        <w:t>90</w:t>
      </w:r>
      <w:r>
        <w:rPr>
          <w:rFonts w:hint="eastAsia" w:ascii="宋体" w:hAnsi="宋体" w:eastAsia="宋体" w:cs="宋体"/>
          <w:color w:val="auto"/>
          <w:sz w:val="24"/>
          <w:szCs w:val="24"/>
          <w:highlight w:val="none"/>
        </w:rPr>
        <w:t>个日历天，投标有效期从提交投</w:t>
      </w:r>
      <w:r>
        <w:rPr>
          <w:rFonts w:hint="eastAsia" w:ascii="宋体" w:hAnsi="宋体" w:eastAsia="宋体" w:cs="宋体"/>
          <w:color w:val="auto"/>
          <w:spacing w:val="-1"/>
          <w:sz w:val="24"/>
          <w:szCs w:val="24"/>
          <w:highlight w:val="none"/>
        </w:rPr>
        <w:t>标文件的截止之日起计算</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在此期间，投标人不得撤销或修改其投标文件，否</w:t>
      </w:r>
      <w:r>
        <w:rPr>
          <w:rFonts w:hint="eastAsia" w:ascii="宋体" w:hAnsi="宋体" w:eastAsia="宋体" w:cs="宋体"/>
          <w:color w:val="auto"/>
          <w:spacing w:val="-2"/>
          <w:sz w:val="24"/>
          <w:szCs w:val="24"/>
          <w:highlight w:val="none"/>
        </w:rPr>
        <w:t>则其投标保证不予退</w:t>
      </w:r>
      <w:r>
        <w:rPr>
          <w:rFonts w:hint="eastAsia" w:ascii="宋体" w:hAnsi="宋体" w:eastAsia="宋体" w:cs="宋体"/>
          <w:color w:val="auto"/>
          <w:spacing w:val="-5"/>
          <w:sz w:val="24"/>
          <w:szCs w:val="24"/>
          <w:highlight w:val="none"/>
        </w:rPr>
        <w:t>还</w:t>
      </w:r>
      <w:r>
        <w:rPr>
          <w:rFonts w:hint="eastAsia" w:ascii="宋体" w:hAnsi="宋体" w:eastAsia="宋体" w:cs="宋体"/>
          <w:color w:val="auto"/>
          <w:sz w:val="24"/>
          <w:szCs w:val="24"/>
          <w:highlight w:val="none"/>
        </w:rPr>
        <w:t>。</w:t>
      </w:r>
    </w:p>
    <w:p w14:paraId="761406D3">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bookmarkStart w:id="89" w:name="_Toc29880"/>
      <w:r>
        <w:rPr>
          <w:rFonts w:hint="eastAsia" w:ascii="宋体" w:hAnsi="宋体" w:eastAsia="宋体" w:cs="宋体"/>
          <w:b/>
          <w:bCs/>
          <w:color w:val="auto"/>
          <w:kern w:val="0"/>
          <w:sz w:val="24"/>
          <w:szCs w:val="24"/>
          <w:highlight w:val="none"/>
          <w:lang w:val="en-US" w:eastAsia="zh-CN"/>
        </w:rPr>
        <w:t>14．开标</w:t>
      </w:r>
      <w:bookmarkEnd w:id="89"/>
    </w:p>
    <w:p w14:paraId="5A6DCC5A">
      <w:pPr>
        <w:keepNext w:val="0"/>
        <w:keepLines w:val="0"/>
        <w:pageBreakBefore w:val="0"/>
        <w:widowControl w:val="0"/>
        <w:overflowPunct/>
        <w:topLinePunct w:val="0"/>
        <w:bidi w:val="0"/>
        <w:adjustRightInd/>
        <w:snapToGrid/>
        <w:spacing w:line="360" w:lineRule="auto"/>
        <w:ind w:left="0" w:leftChars="0" w:right="0" w:rightChars="0" w:firstLine="470"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2"/>
          <w:sz w:val="24"/>
          <w:szCs w:val="24"/>
          <w:highlight w:val="none"/>
        </w:rPr>
        <w:t>招标人邀请所有正确获取招标文件、电子投标、缴纳投标保证的投标人参加开标，投标人可自主决定是否参加。投标人可</w:t>
      </w:r>
      <w:r>
        <w:rPr>
          <w:rFonts w:hint="eastAsia" w:ascii="宋体" w:hAnsi="宋体" w:eastAsia="宋体" w:cs="宋体"/>
          <w:color w:val="auto"/>
          <w:spacing w:val="-2"/>
          <w:sz w:val="24"/>
          <w:szCs w:val="24"/>
          <w:highlight w:val="none"/>
          <w:lang w:eastAsia="zh-CN"/>
        </w:rPr>
        <w:t>登录</w:t>
      </w:r>
      <w:r>
        <w:rPr>
          <w:rFonts w:hint="eastAsia" w:ascii="宋体" w:hAnsi="宋体" w:eastAsia="宋体" w:cs="宋体"/>
          <w:color w:val="auto"/>
          <w:spacing w:val="-2"/>
          <w:sz w:val="24"/>
          <w:szCs w:val="24"/>
          <w:highlight w:val="none"/>
        </w:rPr>
        <w:t>交易平台观看开标实况、提出异议或进行澄清、确认等操作（具体按招标文件和系统操作手册为准）。投标人不参加开标的，视其默认开标结果，以及放弃在开标期间见证、监督、投诉、申辩的权利。</w:t>
      </w:r>
    </w:p>
    <w:p w14:paraId="40AEAEB1">
      <w:pPr>
        <w:keepNext w:val="0"/>
        <w:keepLines w:val="0"/>
        <w:pageBreakBefore w:val="0"/>
        <w:widowControl w:val="0"/>
        <w:overflowPunct/>
        <w:topLinePunct w:val="0"/>
        <w:bidi w:val="0"/>
        <w:adjustRightInd/>
        <w:snapToGrid/>
        <w:spacing w:line="360" w:lineRule="auto"/>
        <w:ind w:right="0" w:rightChars="0" w:firstLine="482"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开标时间和地点：见本章第二节“重要事项时间地点一览表”。</w:t>
      </w:r>
    </w:p>
    <w:p w14:paraId="076731F4">
      <w:pPr>
        <w:keepNext w:val="0"/>
        <w:keepLines w:val="0"/>
        <w:pageBreakBefore w:val="0"/>
        <w:widowControl w:val="0"/>
        <w:overflowPunct/>
        <w:topLinePunct w:val="0"/>
        <w:bidi w:val="0"/>
        <w:adjustRightInd/>
        <w:snapToGrid/>
        <w:spacing w:line="360" w:lineRule="auto"/>
        <w:ind w:right="0" w:rightChars="0" w:firstLine="454"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2"/>
          <w:sz w:val="24"/>
          <w:szCs w:val="24"/>
          <w:highlight w:val="none"/>
        </w:rPr>
        <w:t>开标前24小时，若建设工程交易系统显示缴纳投标保证（包括投标保证金、投标保证担保、投标保证保险）的投标人数量不足 3 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44CDA11C">
      <w:pPr>
        <w:keepNext w:val="0"/>
        <w:keepLines w:val="0"/>
        <w:pageBreakBefore w:val="0"/>
        <w:widowControl w:val="0"/>
        <w:overflowPunct/>
        <w:topLinePunct w:val="0"/>
        <w:bidi w:val="0"/>
        <w:adjustRightInd/>
        <w:snapToGrid/>
        <w:spacing w:line="360" w:lineRule="auto"/>
        <w:ind w:left="0" w:leftChars="0" w:right="0" w:rightChars="0" w:firstLine="474"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14.1.3</w:t>
      </w:r>
      <w:r>
        <w:rPr>
          <w:rFonts w:hint="eastAsia" w:ascii="宋体" w:hAnsi="宋体" w:eastAsia="宋体" w:cs="宋体"/>
          <w:color w:val="auto"/>
          <w:spacing w:val="-2"/>
          <w:sz w:val="24"/>
          <w:szCs w:val="24"/>
          <w:highlight w:val="none"/>
        </w:rPr>
        <w:t xml:space="preserve"> 本项目实行全流程电子化招标投标，投标人在交易平台按要求上传加盖电子印章并经加密的电子投标文件，并在交易平台录入准确的页码信息即可完成在线投标。由于投标人原因导致未按投标</w:t>
      </w:r>
      <w:r>
        <w:rPr>
          <w:rFonts w:hint="eastAsia" w:ascii="宋体" w:hAnsi="宋体" w:eastAsia="宋体" w:cs="宋体"/>
          <w:color w:val="auto"/>
          <w:spacing w:val="-2"/>
          <w:sz w:val="24"/>
          <w:szCs w:val="24"/>
          <w:highlight w:val="none"/>
          <w:lang w:eastAsia="zh-CN"/>
        </w:rPr>
        <w:t>截止</w:t>
      </w:r>
      <w:r>
        <w:rPr>
          <w:rFonts w:hint="eastAsia" w:ascii="宋体" w:hAnsi="宋体" w:eastAsia="宋体" w:cs="宋体"/>
          <w:color w:val="auto"/>
          <w:spacing w:val="-2"/>
          <w:sz w:val="24"/>
          <w:szCs w:val="24"/>
          <w:highlight w:val="none"/>
        </w:rPr>
        <w:t>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57CCA9DA">
      <w:pPr>
        <w:keepNext w:val="0"/>
        <w:keepLines w:val="0"/>
        <w:pageBreakBefore w:val="0"/>
        <w:widowControl w:val="0"/>
        <w:kinsoku w:val="0"/>
        <w:wordWrap/>
        <w:overflowPunct/>
        <w:topLinePunct w:val="0"/>
        <w:autoSpaceDE w:val="0"/>
        <w:autoSpaceDN w:val="0"/>
        <w:bidi w:val="0"/>
        <w:adjustRightInd/>
        <w:snapToGrid/>
        <w:spacing w:line="360" w:lineRule="auto"/>
        <w:ind w:left="0" w:leftChars="0" w:right="0" w:rightChars="0" w:firstLine="474"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14.2</w:t>
      </w:r>
      <w:r>
        <w:rPr>
          <w:rFonts w:hint="eastAsia" w:ascii="宋体" w:hAnsi="宋体" w:eastAsia="宋体" w:cs="宋体"/>
          <w:color w:val="auto"/>
          <w:spacing w:val="-2"/>
          <w:sz w:val="24"/>
          <w:szCs w:val="24"/>
          <w:highlight w:val="none"/>
        </w:rPr>
        <w:t xml:space="preserve"> 开标程序</w:t>
      </w:r>
    </w:p>
    <w:p w14:paraId="7CC9D4C9">
      <w:pPr>
        <w:keepNext w:val="0"/>
        <w:keepLines w:val="0"/>
        <w:pageBreakBefore w:val="0"/>
        <w:widowControl w:val="0"/>
        <w:kinsoku w:val="0"/>
        <w:wordWrap/>
        <w:overflowPunct/>
        <w:topLinePunct w:val="0"/>
        <w:autoSpaceDE w:val="0"/>
        <w:autoSpaceDN w:val="0"/>
        <w:bidi w:val="0"/>
        <w:adjustRightInd/>
        <w:snapToGrid/>
        <w:spacing w:line="360" w:lineRule="auto"/>
        <w:ind w:left="0" w:leftChars="0" w:right="0" w:rightChars="0" w:firstLine="472" w:firstLineChars="200"/>
        <w:jc w:val="both"/>
        <w:textAlignment w:val="baseline"/>
        <w:rPr>
          <w:rFonts w:hint="eastAsia" w:ascii="宋体" w:hAnsi="宋体" w:eastAsia="宋体" w:cs="宋体"/>
          <w:color w:val="auto"/>
          <w:spacing w:val="-2"/>
          <w:sz w:val="24"/>
          <w:szCs w:val="24"/>
          <w:highlight w:val="none"/>
        </w:rPr>
      </w:pPr>
      <w:bookmarkStart w:id="90" w:name="bookmark124"/>
      <w:bookmarkEnd w:id="90"/>
      <w:r>
        <w:rPr>
          <w:rFonts w:hint="eastAsia" w:ascii="宋体" w:hAnsi="宋体" w:eastAsia="宋体" w:cs="宋体"/>
          <w:color w:val="auto"/>
          <w:spacing w:val="-2"/>
          <w:sz w:val="24"/>
          <w:szCs w:val="24"/>
          <w:highlight w:val="none"/>
        </w:rPr>
        <w:t>（1）主持人（招标人代表或招标人授权的招标代理机构人员）宣读开标纪律。</w:t>
      </w:r>
    </w:p>
    <w:p w14:paraId="7639C653">
      <w:pPr>
        <w:keepNext w:val="0"/>
        <w:keepLines w:val="0"/>
        <w:pageBreakBefore w:val="0"/>
        <w:widowControl w:val="0"/>
        <w:kinsoku w:val="0"/>
        <w:wordWrap/>
        <w:overflowPunct/>
        <w:topLinePunct w:val="0"/>
        <w:autoSpaceDE w:val="0"/>
        <w:autoSpaceDN w:val="0"/>
        <w:bidi w:val="0"/>
        <w:adjustRightInd/>
        <w:snapToGrid/>
        <w:spacing w:line="360" w:lineRule="auto"/>
        <w:ind w:left="0" w:leftChars="0" w:right="0" w:rightChars="0" w:firstLine="472"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（2）主持人宣布唱标人、记录人、见证人、监督人等有关人员姓名。</w:t>
      </w:r>
    </w:p>
    <w:p w14:paraId="592AD586">
      <w:pPr>
        <w:keepNext w:val="0"/>
        <w:keepLines w:val="0"/>
        <w:pageBreakBefore w:val="0"/>
        <w:widowControl w:val="0"/>
        <w:kinsoku w:val="0"/>
        <w:wordWrap/>
        <w:overflowPunct/>
        <w:topLinePunct w:val="0"/>
        <w:autoSpaceDE w:val="0"/>
        <w:autoSpaceDN w:val="0"/>
        <w:bidi w:val="0"/>
        <w:adjustRightInd/>
        <w:snapToGrid/>
        <w:spacing w:line="360" w:lineRule="auto"/>
        <w:ind w:left="0" w:leftChars="0" w:right="0" w:rightChars="0" w:firstLine="472" w:firstLineChars="200"/>
        <w:jc w:val="both"/>
        <w:textAlignment w:val="baseline"/>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rPr>
        <w:t>（3）唱标人公布在投标截止时间前进行投标文件的投标人数量和名称</w:t>
      </w:r>
      <w:r>
        <w:rPr>
          <w:rFonts w:hint="eastAsia" w:ascii="宋体" w:hAnsi="宋体" w:eastAsia="宋体" w:cs="宋体"/>
          <w:color w:val="auto"/>
          <w:spacing w:val="-2"/>
          <w:sz w:val="24"/>
          <w:szCs w:val="24"/>
          <w:highlight w:val="none"/>
          <w:lang w:eastAsia="zh-CN"/>
        </w:rPr>
        <w:t>。</w:t>
      </w:r>
    </w:p>
    <w:p w14:paraId="2B6733E9">
      <w:pPr>
        <w:keepNext w:val="0"/>
        <w:keepLines w:val="0"/>
        <w:pageBreakBefore w:val="0"/>
        <w:widowControl w:val="0"/>
        <w:kinsoku w:val="0"/>
        <w:wordWrap/>
        <w:overflowPunct/>
        <w:topLinePunct w:val="0"/>
        <w:autoSpaceDE w:val="0"/>
        <w:autoSpaceDN w:val="0"/>
        <w:bidi w:val="0"/>
        <w:adjustRightInd/>
        <w:snapToGrid/>
        <w:spacing w:line="360" w:lineRule="auto"/>
        <w:ind w:left="0" w:leftChars="0" w:right="0" w:rightChars="0" w:firstLine="472"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（4）招标代理机构会同交易场所工作人员对投标人的电子投标信息进行解密，建设工程交易系统自动生成《投标保证缴纳情况表》和《开标一览表》。</w:t>
      </w:r>
    </w:p>
    <w:p w14:paraId="03197054">
      <w:pPr>
        <w:keepNext w:val="0"/>
        <w:keepLines w:val="0"/>
        <w:pageBreakBefore w:val="0"/>
        <w:widowControl w:val="0"/>
        <w:kinsoku w:val="0"/>
        <w:wordWrap/>
        <w:overflowPunct/>
        <w:topLinePunct w:val="0"/>
        <w:autoSpaceDE w:val="0"/>
        <w:autoSpaceDN w:val="0"/>
        <w:bidi w:val="0"/>
        <w:adjustRightInd/>
        <w:snapToGrid/>
        <w:spacing w:line="360" w:lineRule="auto"/>
        <w:ind w:left="0" w:leftChars="0" w:right="0" w:rightChars="0" w:firstLine="466"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lang w:val="en-US" w:eastAsia="zh-CN"/>
        </w:rPr>
        <w:t>备注</w:t>
      </w:r>
      <w:r>
        <w:rPr>
          <w:rFonts w:hint="eastAsia" w:ascii="宋体" w:hAnsi="宋体" w:eastAsia="宋体" w:cs="宋体"/>
          <w:b/>
          <w:bCs/>
          <w:color w:val="auto"/>
          <w:spacing w:val="-4"/>
          <w:sz w:val="24"/>
          <w:szCs w:val="24"/>
          <w:highlight w:val="none"/>
        </w:rPr>
        <w:t>：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r>
        <w:rPr>
          <w:rFonts w:hint="eastAsia" w:ascii="宋体" w:hAnsi="宋体" w:eastAsia="宋体" w:cs="宋体"/>
          <w:b/>
          <w:bCs/>
          <w:color w:val="auto"/>
          <w:spacing w:val="-3"/>
          <w:sz w:val="24"/>
          <w:szCs w:val="24"/>
          <w:highlight w:val="none"/>
        </w:rPr>
        <w:t>。</w:t>
      </w:r>
    </w:p>
    <w:p w14:paraId="3F6005AA">
      <w:pPr>
        <w:keepNext w:val="0"/>
        <w:keepLines w:val="0"/>
        <w:pageBreakBefore w:val="0"/>
        <w:widowControl w:val="0"/>
        <w:kinsoku w:val="0"/>
        <w:wordWrap/>
        <w:overflowPunct/>
        <w:topLinePunct w:val="0"/>
        <w:autoSpaceDE w:val="0"/>
        <w:autoSpaceDN w:val="0"/>
        <w:bidi w:val="0"/>
        <w:adjustRightInd/>
        <w:snapToGrid/>
        <w:spacing w:line="360" w:lineRule="auto"/>
        <w:ind w:left="0" w:leftChars="0" w:right="0" w:rightChars="0"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12C08B86">
      <w:pPr>
        <w:keepNext w:val="0"/>
        <w:keepLines w:val="0"/>
        <w:pageBreakBefore w:val="0"/>
        <w:widowControl w:val="0"/>
        <w:wordWrap w:val="0"/>
        <w:overflowPunct/>
        <w:topLinePunct w:val="0"/>
        <w:bidi w:val="0"/>
        <w:adjustRightInd/>
        <w:snapToGrid/>
        <w:spacing w:line="360" w:lineRule="auto"/>
        <w:ind w:firstLine="478" w:firstLineChars="200"/>
        <w:textAlignment w:val="baseline"/>
        <w:rPr>
          <w:rStyle w:val="26"/>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r>
        <w:rPr>
          <w:rFonts w:hint="eastAsia" w:ascii="宋体" w:hAnsi="宋体" w:eastAsia="宋体" w:cs="宋体"/>
          <w:snapToGrid w:val="0"/>
          <w:color w:val="auto"/>
          <w:kern w:val="0"/>
          <w:sz w:val="24"/>
          <w:szCs w:val="24"/>
          <w:highlight w:val="none"/>
        </w:rPr>
        <w:t>。</w:t>
      </w:r>
    </w:p>
    <w:p w14:paraId="64FB72FF">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15．评标</w:t>
      </w:r>
    </w:p>
    <w:p w14:paraId="76012A72">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评标分为初步评审和详细评审两个阶段，由评标委员会在有关部门的监督下，严格按照本招标文件指定的评标方法，对投标人的投标文件进行审查、评审。评标委员会完成评标后，评标委员会按照</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评审综合总得分</w:t>
      </w:r>
      <w:r>
        <w:rPr>
          <w:rFonts w:hint="eastAsia" w:ascii="宋体" w:hAnsi="宋体" w:eastAsia="宋体" w:cs="宋体"/>
          <w:snapToGrid w:val="0"/>
          <w:color w:val="auto"/>
          <w:kern w:val="0"/>
          <w:sz w:val="24"/>
          <w:szCs w:val="24"/>
          <w:highlight w:val="none"/>
          <w:lang w:eastAsia="zh-CN"/>
        </w:rPr>
        <w:t>由</w:t>
      </w:r>
      <w:r>
        <w:rPr>
          <w:rFonts w:hint="eastAsia" w:ascii="宋体" w:hAnsi="宋体" w:eastAsia="宋体" w:cs="宋体"/>
          <w:snapToGrid w:val="0"/>
          <w:color w:val="auto"/>
          <w:kern w:val="0"/>
          <w:sz w:val="24"/>
          <w:szCs w:val="24"/>
          <w:highlight w:val="none"/>
        </w:rPr>
        <w:t>高</w:t>
      </w:r>
      <w:r>
        <w:rPr>
          <w:rFonts w:hint="eastAsia" w:ascii="宋体" w:hAnsi="宋体" w:eastAsia="宋体" w:cs="宋体"/>
          <w:snapToGrid w:val="0"/>
          <w:color w:val="auto"/>
          <w:kern w:val="0"/>
          <w:sz w:val="24"/>
          <w:szCs w:val="24"/>
          <w:highlight w:val="none"/>
          <w:lang w:eastAsia="zh-CN"/>
        </w:rPr>
        <w:t>到</w:t>
      </w:r>
      <w:r>
        <w:rPr>
          <w:rFonts w:hint="eastAsia" w:ascii="宋体" w:hAnsi="宋体" w:eastAsia="宋体" w:cs="宋体"/>
          <w:snapToGrid w:val="0"/>
          <w:color w:val="auto"/>
          <w:kern w:val="0"/>
          <w:sz w:val="24"/>
          <w:szCs w:val="24"/>
          <w:highlight w:val="none"/>
        </w:rPr>
        <w:t>低的</w:t>
      </w:r>
      <w:r>
        <w:rPr>
          <w:rFonts w:hint="eastAsia" w:ascii="宋体" w:hAnsi="宋体" w:eastAsia="宋体" w:cs="宋体"/>
          <w:snapToGrid w:val="0"/>
          <w:color w:val="auto"/>
          <w:kern w:val="0"/>
          <w:sz w:val="24"/>
          <w:szCs w:val="24"/>
          <w:highlight w:val="none"/>
          <w:lang w:eastAsia="zh-CN"/>
        </w:rPr>
        <w:t>原则，</w:t>
      </w:r>
      <w:r>
        <w:rPr>
          <w:rFonts w:hint="eastAsia" w:ascii="宋体" w:hAnsi="宋体" w:eastAsia="宋体" w:cs="宋体"/>
          <w:snapToGrid w:val="0"/>
          <w:color w:val="auto"/>
          <w:kern w:val="0"/>
          <w:sz w:val="24"/>
          <w:szCs w:val="24"/>
          <w:highlight w:val="none"/>
        </w:rPr>
        <w:t>向招标人推荐</w:t>
      </w:r>
      <w:r>
        <w:rPr>
          <w:rFonts w:hint="eastAsia" w:ascii="宋体" w:hAnsi="宋体" w:eastAsia="宋体" w:cs="宋体"/>
          <w:snapToGrid w:val="0"/>
          <w:color w:val="auto"/>
          <w:kern w:val="0"/>
          <w:sz w:val="24"/>
          <w:szCs w:val="24"/>
          <w:highlight w:val="none"/>
          <w:lang w:val="en-US" w:eastAsia="zh-CN"/>
        </w:rPr>
        <w:t>已明确的</w:t>
      </w:r>
      <w:r>
        <w:rPr>
          <w:rFonts w:hint="eastAsia" w:ascii="宋体" w:hAnsi="宋体" w:eastAsia="宋体" w:cs="宋体"/>
          <w:snapToGrid w:val="0"/>
          <w:color w:val="auto"/>
          <w:kern w:val="0"/>
          <w:sz w:val="24"/>
          <w:szCs w:val="24"/>
          <w:highlight w:val="none"/>
        </w:rPr>
        <w:t>定标候选人</w:t>
      </w:r>
      <w:r>
        <w:rPr>
          <w:rFonts w:hint="eastAsia" w:ascii="宋体" w:hAnsi="宋体" w:eastAsia="宋体" w:cs="宋体"/>
          <w:snapToGrid w:val="0"/>
          <w:color w:val="auto"/>
          <w:kern w:val="0"/>
          <w:sz w:val="24"/>
          <w:szCs w:val="24"/>
          <w:highlight w:val="none"/>
          <w:lang w:eastAsia="zh-CN"/>
        </w:rPr>
        <w:t>数量</w:t>
      </w:r>
      <w:r>
        <w:rPr>
          <w:rFonts w:hint="eastAsia" w:ascii="宋体" w:hAnsi="宋体" w:eastAsia="宋体" w:cs="宋体"/>
          <w:snapToGrid w:val="0"/>
          <w:color w:val="auto"/>
          <w:kern w:val="0"/>
          <w:sz w:val="24"/>
          <w:szCs w:val="24"/>
          <w:highlight w:val="none"/>
        </w:rPr>
        <w:t>（不</w:t>
      </w:r>
      <w:r>
        <w:rPr>
          <w:rFonts w:hint="eastAsia" w:ascii="宋体" w:hAnsi="宋体" w:eastAsia="宋体" w:cs="宋体"/>
          <w:snapToGrid w:val="0"/>
          <w:color w:val="auto"/>
          <w:kern w:val="0"/>
          <w:sz w:val="24"/>
          <w:szCs w:val="24"/>
          <w:highlight w:val="none"/>
          <w:lang w:val="en-US" w:eastAsia="zh-CN"/>
        </w:rPr>
        <w:t>标明</w:t>
      </w:r>
      <w:r>
        <w:rPr>
          <w:rFonts w:hint="eastAsia" w:ascii="宋体" w:hAnsi="宋体" w:eastAsia="宋体" w:cs="宋体"/>
          <w:snapToGrid w:val="0"/>
          <w:color w:val="auto"/>
          <w:kern w:val="0"/>
          <w:sz w:val="24"/>
          <w:szCs w:val="24"/>
          <w:highlight w:val="none"/>
        </w:rPr>
        <w:t>排序），并向招标人提交由全体评标委员会成员签字的评标报告。</w:t>
      </w:r>
    </w:p>
    <w:p w14:paraId="6D0329D0">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2C06DA1F">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w:t>
      </w:r>
      <w:r>
        <w:rPr>
          <w:rFonts w:hint="eastAsia" w:ascii="宋体" w:hAnsi="宋体" w:eastAsia="宋体" w:cs="宋体"/>
          <w:snapToGrid w:val="0"/>
          <w:color w:val="auto"/>
          <w:kern w:val="0"/>
          <w:sz w:val="24"/>
          <w:szCs w:val="24"/>
          <w:highlight w:val="none"/>
          <w:u w:val="single"/>
          <w:lang w:eastAsia="zh-CN"/>
        </w:rPr>
        <w:t>－</w:t>
      </w:r>
      <w:r>
        <w:rPr>
          <w:rFonts w:hint="eastAsia" w:ascii="宋体" w:hAnsi="宋体" w:eastAsia="宋体" w:cs="宋体"/>
          <w:snapToGrid w:val="0"/>
          <w:color w:val="auto"/>
          <w:kern w:val="0"/>
          <w:sz w:val="24"/>
          <w:szCs w:val="24"/>
          <w:highlight w:val="none"/>
          <w:u w:val="single"/>
        </w:rPr>
        <w:t>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3193C98E">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319D2E4D">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35427CB8">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3A59DA4E">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366360BD">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2D946774">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5ED23836">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027E9CE5">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1ED0E2A">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779A947E">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2D9372B6">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rPr>
        <w:t>进行评标。</w:t>
      </w:r>
    </w:p>
    <w:p w14:paraId="74D3FBBC">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w:t>
      </w:r>
    </w:p>
    <w:p w14:paraId="2FC37CAA">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15.3.1 评标方法采用“综合评估法”的，评标委员会应对所有投标人的投标文件进行评审。</w:t>
      </w:r>
    </w:p>
    <w:p w14:paraId="381AB677">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689EE05A">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63084254">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49C12A75">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5C0BE451">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w:t>
      </w: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条“禁止投标条款”规定。如果“禁止投标条款”包括失信惩戒的，投标人信用信息的获取采用现场实时查询的方式实施。由招标代理机构工作人员在评标委员会成员、交易场所工作人员共同见证下，登录信用中国网站（https</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 xml:space="preserve">//www.creditchina.gov.cn），在企业查询界面下载和打印《法人和非法人组织公共信用信息报告》，作为评审依据移交评标委员会。 </w:t>
      </w:r>
    </w:p>
    <w:p w14:paraId="3C8A3BCC">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3F0AD421">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w:t>
      </w:r>
      <w:r>
        <w:rPr>
          <w:rFonts w:hint="eastAsia" w:ascii="宋体" w:hAnsi="宋体" w:eastAsia="宋体" w:cs="宋体"/>
          <w:snapToGrid w:val="0"/>
          <w:color w:val="auto"/>
          <w:kern w:val="0"/>
          <w:sz w:val="24"/>
          <w:szCs w:val="24"/>
          <w:highlight w:val="none"/>
          <w:lang w:eastAsia="zh-CN"/>
        </w:rPr>
        <w:t>含</w:t>
      </w:r>
      <w:r>
        <w:rPr>
          <w:rFonts w:hint="eastAsia" w:ascii="宋体" w:hAnsi="宋体" w:eastAsia="宋体" w:cs="宋体"/>
          <w:snapToGrid w:val="0"/>
          <w:color w:val="auto"/>
          <w:kern w:val="0"/>
          <w:sz w:val="24"/>
          <w:szCs w:val="24"/>
          <w:highlight w:val="none"/>
        </w:rPr>
        <w:t>实时网页查询页</w:t>
      </w:r>
      <w:r>
        <w:rPr>
          <w:rFonts w:hint="eastAsia" w:ascii="宋体" w:hAnsi="宋体" w:eastAsia="宋体" w:cs="宋体"/>
          <w:snapToGrid w:val="0"/>
          <w:color w:val="auto"/>
          <w:kern w:val="0"/>
          <w:sz w:val="24"/>
          <w:szCs w:val="24"/>
          <w:highlight w:val="none"/>
          <w:lang w:eastAsia="zh-CN"/>
        </w:rPr>
        <w:t>，可参考网址https：//zlaq.mohurd.gov.cn/fwmh/bjxcjgl/fwmh/pages/construction_safety/qyaqscxkz/qyaqscxkz</w:t>
      </w:r>
      <w:r>
        <w:rPr>
          <w:rFonts w:hint="eastAsia" w:ascii="宋体" w:hAnsi="宋体" w:eastAsia="宋体" w:cs="宋体"/>
          <w:snapToGrid w:val="0"/>
          <w:color w:val="auto"/>
          <w:kern w:val="0"/>
          <w:sz w:val="24"/>
          <w:szCs w:val="24"/>
          <w:highlight w:val="none"/>
        </w:rPr>
        <w:t>）是否合法、有效、准确。</w:t>
      </w:r>
    </w:p>
    <w:p w14:paraId="74565DF3">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（4）《项目经理简历表》中拟派项目经理是否与《开标一览表》一致。</w:t>
      </w:r>
    </w:p>
    <w:p w14:paraId="0CADD295">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17B60EA8">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5A7A5C35">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（7）投标人为外省建筑企业的，是否按规定在“进粤企业和人员诚信信息登记平台”录入企业及其拟派人员有关信息并通过数据规范检查。</w:t>
      </w:r>
    </w:p>
    <w:p w14:paraId="52CA5FD4">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364388E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形式评审事项包括：</w:t>
      </w:r>
    </w:p>
    <w:p w14:paraId="51C0E30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（1）各分册是否按招标文件规定加盖电子印章。</w:t>
      </w:r>
    </w:p>
    <w:p w14:paraId="2305CAE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（2）本节第10.2.2目、第10.3.2目、第10.4.3目中规定的“所有投标人均应提供”的组成内容（包括该组成内容的所附资料）是否完整、齐全。</w:t>
      </w:r>
    </w:p>
    <w:p w14:paraId="6D051B77">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1B78334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2CEA2101">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70E3BE61">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378F82EA">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（3）投标人委托造价咨询单位编制《投标总价》的，是否在《投标总价扉页》“投标人”栏目加盖造价咨询人公章；是否提供造价咨询人的营业执照彩色扫描件；</w:t>
      </w:r>
    </w:p>
    <w:p w14:paraId="53C15DFA">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（4）投标总价是否唯一；投标总价是否超出最高投标限价；</w:t>
      </w:r>
      <w:r>
        <w:rPr>
          <w:rFonts w:hint="eastAsia" w:ascii="宋体" w:hAnsi="宋体" w:eastAsia="宋体" w:cs="宋体"/>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是否达到最低要求；暂列金额、暂估价是否按照招标工程量清单统一报价；投标人是否以低于成本的价格竞标。</w:t>
      </w:r>
    </w:p>
    <w:p w14:paraId="64F2B662">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注：如果某投标人的投标总价下浮率超过 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b/>
          <w:bCs/>
          <w:snapToGrid w:val="0"/>
          <w:color w:val="auto"/>
          <w:kern w:val="0"/>
          <w:sz w:val="24"/>
          <w:szCs w:val="24"/>
          <w:highlight w:val="none"/>
        </w:rPr>
        <w:t>）×100% 。</w:t>
      </w:r>
    </w:p>
    <w:p w14:paraId="6570A041">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（5）施工组织设计的质量、进度保障措施是否符合国家和省市现行有关规范、规定、标准，是否能实现工程质量、进度管理目标。</w:t>
      </w:r>
    </w:p>
    <w:p w14:paraId="13A8537F">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2AE9BE0C">
      <w:pPr>
        <w:keepNext w:val="0"/>
        <w:keepLines w:val="0"/>
        <w:pageBreakBefore w:val="0"/>
        <w:widowControl w:val="0"/>
        <w:topLinePunct w:val="0"/>
        <w:bidi w:val="0"/>
        <w:adjustRightInd/>
        <w:snapToGrid/>
        <w:spacing w:line="360" w:lineRule="auto"/>
        <w:ind w:firstLine="480" w:firstLineChars="200"/>
        <w:rPr>
          <w:rStyle w:val="26"/>
          <w:rFonts w:hint="eastAsia" w:ascii="宋体" w:hAnsi="宋体" w:eastAsia="宋体" w:cs="宋体"/>
          <w:color w:val="auto"/>
          <w:kern w:val="0"/>
          <w:sz w:val="24"/>
          <w:szCs w:val="24"/>
          <w:highlight w:val="none"/>
          <w:lang w:val="en-US"/>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w:t>
      </w:r>
      <w:r>
        <w:rPr>
          <w:rFonts w:hint="eastAsia" w:ascii="宋体" w:hAnsi="宋体" w:eastAsia="宋体" w:cs="宋体"/>
          <w:color w:val="auto"/>
          <w:kern w:val="0"/>
          <w:sz w:val="24"/>
          <w:szCs w:val="24"/>
          <w:highlight w:val="none"/>
          <w:lang w:val="en-US" w:eastAsia="zh-CN" w:bidi="ar"/>
        </w:rPr>
        <w:t>评标委员会经评审，认为所有投标都不符合招标文件要求的，可否决所有投标，项目的所有投标被否决的，招标人应依法重新组织招标。当在初步评审阶段任何环节，有效投标人数量不足3个时，招标人应依法重新组织招标。</w:t>
      </w:r>
    </w:p>
    <w:p w14:paraId="29069AE1">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1F6908BF">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100</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40 </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rPr>
        <w:t xml:space="preserve"> 60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089CA138">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2418EBB9">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2F67CBE3">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58DA0C5E">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一个最高评分和一个最低评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5E4A413F">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72C93AC4">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19C29757">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431216AD">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6AA1F0D3">
      <w:pPr>
        <w:keepNext w:val="0"/>
        <w:keepLines w:val="0"/>
        <w:pageBreakBefore w:val="0"/>
        <w:widowControl w:val="0"/>
        <w:kinsoku/>
        <w:wordWrap w:val="0"/>
        <w:overflowPunct/>
        <w:topLinePunct w:val="0"/>
        <w:bidi w:val="0"/>
        <w:adjustRightInd/>
        <w:snapToGrid/>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b/>
          <w:bCs/>
          <w:snapToGrid w:val="0"/>
          <w:color w:val="auto"/>
          <w:kern w:val="0"/>
          <w:sz w:val="24"/>
          <w:szCs w:val="24"/>
          <w:highlight w:val="none"/>
        </w:rPr>
        <w:t>1分</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 xml:space="preserve"> 每低于评标基准价一个百分点扣</w:t>
      </w:r>
      <w:r>
        <w:rPr>
          <w:rFonts w:hint="eastAsia" w:ascii="宋体" w:hAnsi="宋体" w:eastAsia="宋体" w:cs="宋体"/>
          <w:b/>
          <w:bCs/>
          <w:snapToGrid w:val="0"/>
          <w:color w:val="auto"/>
          <w:kern w:val="0"/>
          <w:sz w:val="24"/>
          <w:szCs w:val="24"/>
          <w:highlight w:val="none"/>
        </w:rPr>
        <w:t>0.5分</w:t>
      </w:r>
      <w:r>
        <w:rPr>
          <w:rFonts w:hint="eastAsia" w:ascii="宋体" w:hAnsi="宋体" w:eastAsia="宋体" w:cs="宋体"/>
          <w:snapToGrid w:val="0"/>
          <w:color w:val="auto"/>
          <w:kern w:val="0"/>
          <w:sz w:val="24"/>
          <w:szCs w:val="24"/>
          <w:highlight w:val="none"/>
        </w:rPr>
        <w:t>，扣完为止。公式如下：</w:t>
      </w:r>
    </w:p>
    <w:p w14:paraId="454E4329">
      <w:pPr>
        <w:keepNext w:val="0"/>
        <w:keepLines w:val="0"/>
        <w:pageBreakBefore w:val="0"/>
        <w:widowControl w:val="0"/>
        <w:kinsoku/>
        <w:wordWrap w:val="0"/>
        <w:overflowPunct/>
        <w:topLinePunct w:val="0"/>
        <w:bidi w:val="0"/>
        <w:adjustRightInd/>
        <w:snapToGrid/>
        <w:spacing w:line="360" w:lineRule="auto"/>
        <w:ind w:firstLine="480" w:firstLineChars="20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1FA6B586">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式中：D为评标基准价；Di为某投标人的投标总价；E为扣分因子，当Di＞D时，E＝1；当Di＜D时，E＝0.5。</w:t>
      </w:r>
    </w:p>
    <w:p w14:paraId="2D4BC364">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57AC6291">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259562A6">
      <w:pPr>
        <w:keepNext w:val="0"/>
        <w:keepLines w:val="0"/>
        <w:pageBreakBefore w:val="0"/>
        <w:widowControl w:val="0"/>
        <w:kinsoku/>
        <w:wordWrap w:val="0"/>
        <w:overflowPunct/>
        <w:topLinePunct w:val="0"/>
        <w:bidi w:val="0"/>
        <w:adjustRightInd/>
        <w:snapToGrid/>
        <w:spacing w:line="360" w:lineRule="auto"/>
        <w:ind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511CE01B">
      <w:pPr>
        <w:keepNext w:val="0"/>
        <w:keepLines w:val="0"/>
        <w:pageBreakBefore w:val="0"/>
        <w:widowControl w:val="0"/>
        <w:kinsoku/>
        <w:wordWrap w:val="0"/>
        <w:overflowPunct/>
        <w:topLinePunct w:val="0"/>
        <w:bidi w:val="0"/>
        <w:adjustRightInd/>
        <w:snapToGrid/>
        <w:spacing w:line="360" w:lineRule="auto"/>
        <w:ind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w:t>
      </w:r>
      <w:r>
        <w:rPr>
          <w:rFonts w:hint="eastAsia" w:ascii="宋体" w:hAnsi="宋体" w:eastAsia="宋体" w:cs="宋体"/>
          <w:b w:val="0"/>
          <w:bCs w:val="0"/>
          <w:snapToGrid w:val="0"/>
          <w:color w:val="auto"/>
          <w:kern w:val="0"/>
          <w:sz w:val="24"/>
          <w:szCs w:val="24"/>
          <w:highlight w:val="none"/>
        </w:rPr>
        <w:t>为投标报价得分。</w:t>
      </w:r>
    </w:p>
    <w:p w14:paraId="186BE914">
      <w:pPr>
        <w:keepNext w:val="0"/>
        <w:keepLines w:val="0"/>
        <w:pageBreakBefore w:val="0"/>
        <w:widowControl w:val="0"/>
        <w:numPr>
          <w:ilvl w:val="0"/>
          <w:numId w:val="0"/>
        </w:numPr>
        <w:wordWrap w:val="0"/>
        <w:topLinePunct w:val="0"/>
        <w:bidi w:val="0"/>
        <w:adjustRightInd/>
        <w:snapToGrid/>
        <w:spacing w:line="360" w:lineRule="auto"/>
        <w:ind w:firstLine="480" w:firstLineChars="200"/>
        <w:jc w:val="left"/>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lang w:val="en-US" w:eastAsia="zh-CN" w:bidi="ar-SA"/>
        </w:rPr>
        <w:t>（4）</w:t>
      </w:r>
      <w:r>
        <w:rPr>
          <w:rFonts w:hint="eastAsia" w:ascii="宋体" w:hAnsi="宋体" w:eastAsia="宋体" w:cs="宋体"/>
          <w:b w:val="0"/>
          <w:bCs w:val="0"/>
          <w:snapToGrid w:val="0"/>
          <w:color w:val="auto"/>
          <w:kern w:val="0"/>
          <w:sz w:val="24"/>
          <w:szCs w:val="24"/>
          <w:highlight w:val="none"/>
        </w:rPr>
        <w:t>评标委员会根据招标文件规定的评分细则，对招标文件中的各评审因素进行评审、比较、打分，将得分前5名不排序（按企业统一社会信用代码后4位大小排位）的投标人作为定标候选人推荐给招标人，并对每个定标候选人的优势、风险等评审情况进行说明。当投标人综合总得分相同时，以报价低为前；当投标人综合总得分相同且报价相同时，由评标委员会投票确定排</w:t>
      </w:r>
      <w:r>
        <w:rPr>
          <w:rFonts w:hint="eastAsia" w:ascii="宋体" w:hAnsi="宋体" w:eastAsia="宋体" w:cs="宋体"/>
          <w:b w:val="0"/>
          <w:bCs w:val="0"/>
          <w:snapToGrid w:val="0"/>
          <w:color w:val="auto"/>
          <w:kern w:val="0"/>
          <w:sz w:val="24"/>
          <w:szCs w:val="24"/>
          <w:highlight w:val="none"/>
          <w:lang w:eastAsia="zh-CN"/>
        </w:rPr>
        <w:t>前</w:t>
      </w:r>
      <w:r>
        <w:rPr>
          <w:rFonts w:hint="eastAsia" w:ascii="宋体" w:hAnsi="宋体" w:eastAsia="宋体" w:cs="宋体"/>
          <w:b w:val="0"/>
          <w:bCs w:val="0"/>
          <w:snapToGrid w:val="0"/>
          <w:color w:val="auto"/>
          <w:kern w:val="0"/>
          <w:sz w:val="24"/>
          <w:szCs w:val="24"/>
          <w:highlight w:val="none"/>
        </w:rPr>
        <w:t>。</w:t>
      </w:r>
    </w:p>
    <w:p w14:paraId="45931809">
      <w:pPr>
        <w:keepNext w:val="0"/>
        <w:keepLines w:val="0"/>
        <w:pageBreakBefore w:val="0"/>
        <w:widowControl w:val="0"/>
        <w:numPr>
          <w:ilvl w:val="0"/>
          <w:numId w:val="0"/>
        </w:numPr>
        <w:wordWrap w:val="0"/>
        <w:topLinePunct w:val="0"/>
        <w:bidi w:val="0"/>
        <w:adjustRightInd/>
        <w:snapToGrid/>
        <w:spacing w:line="360" w:lineRule="auto"/>
        <w:ind w:firstLine="480" w:firstLineChars="200"/>
        <w:jc w:val="left"/>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rPr>
        <w:t>定标候选人得分只作为评标委员会的推荐依据，不作为定标委员会对中标候选人排序的依据。</w:t>
      </w:r>
      <w:r>
        <w:rPr>
          <w:rFonts w:hint="eastAsia" w:ascii="宋体" w:hAnsi="宋体" w:eastAsia="宋体" w:cs="宋体"/>
          <w:b w:val="0"/>
          <w:bCs w:val="0"/>
          <w:snapToGrid w:val="0"/>
          <w:color w:val="auto"/>
          <w:kern w:val="0"/>
          <w:sz w:val="24"/>
          <w:szCs w:val="24"/>
          <w:highlight w:val="none"/>
          <w:lang w:val="en-US" w:eastAsia="zh-CN"/>
        </w:rPr>
        <w:t>当有效投标人数量不足5名但满足法定要求时，所有通过评审的有效投标人均应作为定标候选人。</w:t>
      </w:r>
    </w:p>
    <w:p w14:paraId="421BDD38">
      <w:pPr>
        <w:rPr>
          <w:rFonts w:hint="eastAsia" w:ascii="宋体" w:hAnsi="宋体" w:eastAsia="宋体" w:cs="宋体"/>
          <w:color w:val="auto"/>
          <w:lang w:val="en-US" w:eastAsia="zh-CN"/>
        </w:rPr>
      </w:pPr>
    </w:p>
    <w:p w14:paraId="3C7780A8">
      <w:pPr>
        <w:rPr>
          <w:rFonts w:hint="eastAsia" w:ascii="宋体" w:hAnsi="宋体" w:eastAsia="宋体" w:cs="宋体"/>
          <w:color w:val="auto"/>
          <w:lang w:val="en-US" w:eastAsia="zh-CN"/>
        </w:rPr>
      </w:pPr>
    </w:p>
    <w:p w14:paraId="27ACEEE1">
      <w:pPr>
        <w:rPr>
          <w:rFonts w:hint="eastAsia" w:ascii="宋体" w:hAnsi="宋体" w:eastAsia="宋体" w:cs="宋体"/>
          <w:color w:val="auto"/>
          <w:lang w:val="en-US" w:eastAsia="zh-CN"/>
        </w:rPr>
      </w:pPr>
    </w:p>
    <w:p w14:paraId="4074E814">
      <w:pPr>
        <w:rPr>
          <w:rFonts w:hint="eastAsia" w:ascii="宋体" w:hAnsi="宋体" w:eastAsia="宋体" w:cs="宋体"/>
          <w:color w:val="auto"/>
          <w:lang w:val="en-US" w:eastAsia="zh-CN"/>
        </w:rPr>
      </w:pPr>
    </w:p>
    <w:p w14:paraId="26D30F85">
      <w:pPr>
        <w:rPr>
          <w:rFonts w:hint="eastAsia" w:ascii="宋体" w:hAnsi="宋体" w:eastAsia="宋体" w:cs="宋体"/>
          <w:color w:val="auto"/>
          <w:lang w:val="en-US" w:eastAsia="zh-CN"/>
        </w:rPr>
      </w:pPr>
    </w:p>
    <w:p w14:paraId="446DFF15">
      <w:pPr>
        <w:rPr>
          <w:rFonts w:hint="eastAsia" w:ascii="宋体" w:hAnsi="宋体" w:eastAsia="宋体" w:cs="宋体"/>
          <w:color w:val="auto"/>
          <w:lang w:val="en-US" w:eastAsia="zh-CN"/>
        </w:rPr>
      </w:pPr>
    </w:p>
    <w:p w14:paraId="2BD6BCDE">
      <w:pPr>
        <w:rPr>
          <w:rFonts w:hint="eastAsia" w:ascii="宋体" w:hAnsi="宋体" w:eastAsia="宋体" w:cs="宋体"/>
          <w:color w:val="auto"/>
          <w:lang w:val="en-US" w:eastAsia="zh-CN"/>
        </w:rPr>
      </w:pPr>
    </w:p>
    <w:p w14:paraId="0E96221B">
      <w:pPr>
        <w:rPr>
          <w:rFonts w:hint="eastAsia" w:ascii="宋体" w:hAnsi="宋体" w:eastAsia="宋体" w:cs="宋体"/>
          <w:color w:val="auto"/>
          <w:lang w:val="en-US" w:eastAsia="zh-CN"/>
        </w:rPr>
      </w:pPr>
    </w:p>
    <w:p w14:paraId="2A9EEB53">
      <w:pPr>
        <w:rPr>
          <w:rFonts w:hint="eastAsia" w:ascii="宋体" w:hAnsi="宋体" w:eastAsia="宋体" w:cs="宋体"/>
          <w:color w:val="auto"/>
          <w:lang w:val="en-US" w:eastAsia="zh-CN"/>
        </w:rPr>
      </w:pPr>
    </w:p>
    <w:p w14:paraId="25D75B13">
      <w:pPr>
        <w:rPr>
          <w:rFonts w:hint="eastAsia" w:ascii="宋体" w:hAnsi="宋体" w:eastAsia="宋体" w:cs="宋体"/>
          <w:color w:val="auto"/>
          <w:lang w:val="en-US" w:eastAsia="zh-CN"/>
        </w:rPr>
      </w:pPr>
    </w:p>
    <w:p w14:paraId="3C494778">
      <w:pPr>
        <w:rPr>
          <w:rFonts w:hint="eastAsia" w:ascii="宋体" w:hAnsi="宋体" w:eastAsia="宋体" w:cs="宋体"/>
          <w:color w:val="auto"/>
          <w:lang w:val="en-US" w:eastAsia="zh-CN"/>
        </w:rPr>
      </w:pPr>
    </w:p>
    <w:p w14:paraId="342559F3">
      <w:pPr>
        <w:rPr>
          <w:rFonts w:hint="eastAsia" w:ascii="宋体" w:hAnsi="宋体" w:eastAsia="宋体" w:cs="宋体"/>
          <w:color w:val="auto"/>
          <w:lang w:val="en-US" w:eastAsia="zh-CN"/>
        </w:rPr>
      </w:pPr>
    </w:p>
    <w:p w14:paraId="42C2EABE">
      <w:pPr>
        <w:rPr>
          <w:rFonts w:hint="eastAsia" w:ascii="宋体" w:hAnsi="宋体" w:eastAsia="宋体" w:cs="宋体"/>
          <w:color w:val="auto"/>
          <w:lang w:val="en-US" w:eastAsia="zh-CN"/>
        </w:rPr>
      </w:pPr>
    </w:p>
    <w:p w14:paraId="18304D2F">
      <w:pPr>
        <w:rPr>
          <w:rFonts w:hint="eastAsia" w:ascii="宋体" w:hAnsi="宋体" w:eastAsia="宋体" w:cs="宋体"/>
          <w:color w:val="auto"/>
          <w:lang w:val="en-US" w:eastAsia="zh-CN"/>
        </w:rPr>
      </w:pPr>
    </w:p>
    <w:p w14:paraId="1A9DC66C">
      <w:pPr>
        <w:rPr>
          <w:rFonts w:hint="eastAsia" w:ascii="宋体" w:hAnsi="宋体" w:eastAsia="宋体" w:cs="宋体"/>
          <w:color w:val="auto"/>
          <w:lang w:val="en-US" w:eastAsia="zh-CN"/>
        </w:rPr>
      </w:pPr>
    </w:p>
    <w:p w14:paraId="743FB17E">
      <w:pPr>
        <w:rPr>
          <w:rFonts w:hint="eastAsia" w:ascii="宋体" w:hAnsi="宋体" w:eastAsia="宋体" w:cs="宋体"/>
          <w:color w:val="auto"/>
          <w:lang w:val="en-US" w:eastAsia="zh-CN"/>
        </w:rPr>
      </w:pPr>
    </w:p>
    <w:p w14:paraId="032D3002">
      <w:pPr>
        <w:rPr>
          <w:rFonts w:hint="eastAsia" w:ascii="宋体" w:hAnsi="宋体" w:eastAsia="宋体" w:cs="宋体"/>
          <w:color w:val="auto"/>
          <w:lang w:val="en-US" w:eastAsia="zh-CN"/>
        </w:rPr>
      </w:pPr>
    </w:p>
    <w:p w14:paraId="649873CA">
      <w:pPr>
        <w:rPr>
          <w:rFonts w:hint="eastAsia" w:ascii="宋体" w:hAnsi="宋体" w:eastAsia="宋体" w:cs="宋体"/>
          <w:color w:val="auto"/>
          <w:lang w:val="en-US" w:eastAsia="zh-CN"/>
        </w:rPr>
      </w:pPr>
    </w:p>
    <w:p w14:paraId="6530DD7F">
      <w:pPr>
        <w:rPr>
          <w:rFonts w:hint="eastAsia" w:ascii="宋体" w:hAnsi="宋体" w:eastAsia="宋体" w:cs="宋体"/>
          <w:color w:val="auto"/>
          <w:lang w:val="en-US" w:eastAsia="zh-CN"/>
        </w:rPr>
      </w:pPr>
    </w:p>
    <w:p w14:paraId="041A381D">
      <w:pPr>
        <w:rPr>
          <w:rFonts w:hint="eastAsia" w:ascii="宋体" w:hAnsi="宋体" w:eastAsia="宋体" w:cs="宋体"/>
          <w:color w:val="auto"/>
          <w:lang w:val="en-US" w:eastAsia="zh-CN"/>
        </w:rPr>
      </w:pPr>
    </w:p>
    <w:p w14:paraId="3CA4CA9B">
      <w:pPr>
        <w:rPr>
          <w:rFonts w:hint="eastAsia" w:ascii="宋体" w:hAnsi="宋体" w:eastAsia="宋体" w:cs="宋体"/>
          <w:color w:val="auto"/>
        </w:rPr>
      </w:pPr>
    </w:p>
    <w:p w14:paraId="1DB431DA">
      <w:pPr>
        <w:jc w:val="center"/>
        <w:rPr>
          <w:rFonts w:hint="eastAsia"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综合评分表</w:t>
      </w:r>
    </w:p>
    <w:tbl>
      <w:tblPr>
        <w:tblStyle w:val="22"/>
        <w:tblW w:w="10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3695"/>
        <w:gridCol w:w="5111"/>
      </w:tblGrid>
      <w:tr w14:paraId="0DA6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5" w:type="dxa"/>
            <w:gridSpan w:val="3"/>
          </w:tcPr>
          <w:p w14:paraId="7BD947A6">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商务部分，满分：80分。</w:t>
            </w:r>
          </w:p>
        </w:tc>
      </w:tr>
      <w:tr w14:paraId="15AE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092829FF">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评分因素</w:t>
            </w:r>
          </w:p>
        </w:tc>
        <w:tc>
          <w:tcPr>
            <w:tcW w:w="3695" w:type="dxa"/>
            <w:shd w:val="clear" w:color="auto" w:fill="auto"/>
            <w:vAlign w:val="center"/>
          </w:tcPr>
          <w:p w14:paraId="11CFF44B">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评分标准</w:t>
            </w:r>
          </w:p>
        </w:tc>
        <w:tc>
          <w:tcPr>
            <w:tcW w:w="5111" w:type="dxa"/>
            <w:shd w:val="clear" w:color="auto" w:fill="auto"/>
            <w:vAlign w:val="center"/>
          </w:tcPr>
          <w:p w14:paraId="1F1BE431">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备注</w:t>
            </w:r>
          </w:p>
        </w:tc>
      </w:tr>
      <w:tr w14:paraId="0CF3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203EF796">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企业奖项</w:t>
            </w:r>
          </w:p>
          <w:p w14:paraId="34DB81D4">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（10分）</w:t>
            </w:r>
          </w:p>
        </w:tc>
        <w:tc>
          <w:tcPr>
            <w:tcW w:w="3695" w:type="dxa"/>
            <w:shd w:val="clear" w:color="auto" w:fill="auto"/>
            <w:vAlign w:val="center"/>
          </w:tcPr>
          <w:p w14:paraId="2B0C3EF8">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企业近5年来（2021年1月1日至今）获得市政工程类奖项情况：</w:t>
            </w:r>
          </w:p>
          <w:p w14:paraId="19DF188B">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1.获得国家级奖项的，每个得8分。</w:t>
            </w:r>
          </w:p>
          <w:p w14:paraId="1E40AB25">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2.获得省级奖项的，每个得6分。</w:t>
            </w:r>
          </w:p>
          <w:p w14:paraId="1D0E74D4">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3.获得地市级奖项的，每个得4分。</w:t>
            </w:r>
          </w:p>
          <w:p w14:paraId="3757D26E">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4.以上奖项均未获得的，不予计分。</w:t>
            </w:r>
          </w:p>
          <w:p w14:paraId="53150B9E">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5.本项最高得10分。</w:t>
            </w:r>
          </w:p>
        </w:tc>
        <w:tc>
          <w:tcPr>
            <w:tcW w:w="5111" w:type="dxa"/>
            <w:shd w:val="clear" w:color="auto" w:fill="auto"/>
            <w:vAlign w:val="center"/>
          </w:tcPr>
          <w:p w14:paraId="6826FC09">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1.允许投标人提交多个业绩，但同一业绩只按最高级别奖项计分一次。</w:t>
            </w:r>
          </w:p>
          <w:p w14:paraId="42E09D8E">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2.需附有关奖项证明彩色扫描件，</w:t>
            </w:r>
            <w:r>
              <w:rPr>
                <w:rFonts w:hint="eastAsia" w:ascii="宋体" w:hAnsi="宋体" w:eastAsia="宋体" w:cs="宋体"/>
                <w:b/>
                <w:bCs/>
                <w:color w:val="auto"/>
                <w:sz w:val="24"/>
                <w:szCs w:val="24"/>
                <w:highlight w:val="none"/>
                <w:lang w:val="en-US" w:eastAsia="zh-CN"/>
              </w:rPr>
              <w:t>同时提供原件供核对</w:t>
            </w:r>
            <w:r>
              <w:rPr>
                <w:rFonts w:hint="eastAsia" w:ascii="宋体" w:hAnsi="宋体" w:eastAsia="宋体" w:cs="宋体"/>
                <w:color w:val="auto"/>
                <w:sz w:val="24"/>
                <w:szCs w:val="24"/>
                <w:highlight w:val="none"/>
                <w:lang w:val="en-US" w:eastAsia="zh-CN"/>
              </w:rPr>
              <w:t>。（奖项为电子证书的除外）</w:t>
            </w:r>
          </w:p>
          <w:p w14:paraId="2ED25CC1">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3.颁发机构限定以下范围：</w:t>
            </w:r>
          </w:p>
          <w:p w14:paraId="2DCF36C2">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①国家级奖项：国务院、住建部、中国建筑业协会；（相关协会需经民政部门备案）</w:t>
            </w:r>
          </w:p>
          <w:p w14:paraId="5CA6C529">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②省级奖项：省级人民政府、省级住建部门、省级市政行业协会；（相关协会需经民政部门备案）</w:t>
            </w:r>
          </w:p>
          <w:p w14:paraId="713F3250">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③地市级奖项：地市级人民政府、地市级住建部门、地市级建筑协会。（相关协会需经民政部门备案）</w:t>
            </w:r>
          </w:p>
          <w:p w14:paraId="641EB7C2">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4.获奖时间以奖项证明的落款日期为准。</w:t>
            </w:r>
          </w:p>
          <w:p w14:paraId="4B28EE6F">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5.任一奖项有以下情形之一的，该奖项视为无效，不予计分：</w:t>
            </w:r>
          </w:p>
          <w:p w14:paraId="697A9CF4">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①未提供奖项原件的；</w:t>
            </w:r>
          </w:p>
          <w:p w14:paraId="36394570">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②奖项不属于指定类别的；</w:t>
            </w:r>
          </w:p>
          <w:p w14:paraId="57C7F455">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③颁发机构不符合要求的；</w:t>
            </w:r>
          </w:p>
          <w:p w14:paraId="02D07CD0">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④获奖时间不符合要求的。</w:t>
            </w:r>
          </w:p>
          <w:p w14:paraId="5358BA95">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说明：以上所称“要求”均指本表评分标准及备注的要求，下同。</w:t>
            </w:r>
          </w:p>
          <w:p w14:paraId="53B85625">
            <w:pPr>
              <w:widowControl w:val="0"/>
              <w:spacing w:line="360" w:lineRule="auto"/>
              <w:rPr>
                <w:rFonts w:hint="eastAsia"/>
                <w:color w:val="auto"/>
                <w:lang w:val="en-US" w:eastAsia="zh-CN"/>
              </w:rPr>
            </w:pPr>
            <w:r>
              <w:rPr>
                <w:rFonts w:hint="eastAsia"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.组成联合体时，由牵头人提供以上资料。</w:t>
            </w:r>
          </w:p>
        </w:tc>
      </w:tr>
      <w:tr w14:paraId="242F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3C126D46">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项目经理</w:t>
            </w:r>
          </w:p>
          <w:p w14:paraId="42F851B4">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综合素质</w:t>
            </w:r>
          </w:p>
          <w:p w14:paraId="444EEC1E">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（10分）</w:t>
            </w:r>
          </w:p>
        </w:tc>
        <w:tc>
          <w:tcPr>
            <w:tcW w:w="3695" w:type="dxa"/>
            <w:shd w:val="clear" w:color="auto" w:fill="auto"/>
            <w:vAlign w:val="center"/>
          </w:tcPr>
          <w:p w14:paraId="7FFE2DB9">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项目经理工程类技术职称情况：</w:t>
            </w:r>
          </w:p>
          <w:p w14:paraId="7F81E21C">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1.具备工程师或以上职称的，得10分。</w:t>
            </w:r>
          </w:p>
          <w:p w14:paraId="1EC29340">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2.具备助理工程师职称的，得5分。</w:t>
            </w:r>
          </w:p>
          <w:p w14:paraId="5CF5A877">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3.不具备以上职称的，或未提供职称证原件的，不予计分。</w:t>
            </w:r>
          </w:p>
        </w:tc>
        <w:tc>
          <w:tcPr>
            <w:tcW w:w="5111" w:type="dxa"/>
            <w:shd w:val="clear" w:color="auto" w:fill="auto"/>
            <w:vAlign w:val="center"/>
          </w:tcPr>
          <w:p w14:paraId="41CBD443">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1.需附职称证彩色扫描件，</w:t>
            </w:r>
            <w:r>
              <w:rPr>
                <w:rFonts w:hint="eastAsia" w:ascii="宋体" w:hAnsi="宋体" w:eastAsia="宋体" w:cs="宋体"/>
                <w:b/>
                <w:bCs/>
                <w:color w:val="auto"/>
                <w:sz w:val="24"/>
                <w:szCs w:val="24"/>
                <w:highlight w:val="none"/>
                <w:lang w:val="en-US" w:eastAsia="zh-CN"/>
              </w:rPr>
              <w:t>同时提供原件供核对</w:t>
            </w:r>
            <w:r>
              <w:rPr>
                <w:rFonts w:hint="eastAsia" w:ascii="宋体" w:hAnsi="宋体" w:eastAsia="宋体" w:cs="宋体"/>
                <w:color w:val="auto"/>
                <w:sz w:val="24"/>
                <w:szCs w:val="24"/>
                <w:highlight w:val="none"/>
                <w:lang w:val="en-US" w:eastAsia="zh-CN"/>
              </w:rPr>
              <w:t>。（职称证为电子证书打印件的除外）。</w:t>
            </w:r>
          </w:p>
          <w:p w14:paraId="08AEDDAE">
            <w:pPr>
              <w:widowControl w:val="0"/>
              <w:spacing w:line="360" w:lineRule="auto"/>
              <w:rPr>
                <w:rFonts w:hint="eastAsia"/>
                <w:color w:val="auto"/>
                <w:lang w:val="en-US" w:eastAsia="zh-CN"/>
              </w:rPr>
            </w:pPr>
            <w:r>
              <w:rPr>
                <w:rFonts w:hint="eastAsia" w:cs="宋体"/>
                <w:color w:val="auto"/>
                <w:sz w:val="24"/>
                <w:szCs w:val="24"/>
                <w:highlight w:val="none"/>
                <w:lang w:val="en-US" w:eastAsia="zh-CN"/>
              </w:rPr>
              <w:t>2.组成联合体时，由牵头人提供以上资料。</w:t>
            </w:r>
          </w:p>
        </w:tc>
      </w:tr>
      <w:tr w14:paraId="44D6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0DF2E3BC">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企业业绩</w:t>
            </w:r>
          </w:p>
          <w:p w14:paraId="61ABEF46">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（10分）</w:t>
            </w:r>
          </w:p>
        </w:tc>
        <w:tc>
          <w:tcPr>
            <w:tcW w:w="3695" w:type="dxa"/>
            <w:shd w:val="clear" w:color="auto" w:fill="auto"/>
            <w:vAlign w:val="center"/>
          </w:tcPr>
          <w:p w14:paraId="307AAAD4">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企业近5年来（2021年1月1日至今）业绩情况：</w:t>
            </w:r>
          </w:p>
          <w:p w14:paraId="5CD02E02">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1.承接过类似工程的，每个得5分。</w:t>
            </w:r>
          </w:p>
          <w:p w14:paraId="7C0BD632">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2.未承接过类似工程的，不予计分。</w:t>
            </w:r>
          </w:p>
          <w:p w14:paraId="7C0576D9">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3.本项最高得10分。</w:t>
            </w:r>
          </w:p>
        </w:tc>
        <w:tc>
          <w:tcPr>
            <w:tcW w:w="5111" w:type="dxa"/>
            <w:shd w:val="clear" w:color="auto" w:fill="auto"/>
            <w:vAlign w:val="center"/>
          </w:tcPr>
          <w:p w14:paraId="73FF39A3">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1.类似工程指：类似工程指：合同金额≥600万元的市政工程类施工总承包工程或设计、施工总承包工程或勘察、设计、施工总承包工程。</w:t>
            </w:r>
          </w:p>
          <w:p w14:paraId="59220AAA">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2.需附有关业绩（仅限于以施工总承包单位身份参建的项目）合同协议书彩色扫描件，</w:t>
            </w:r>
            <w:r>
              <w:rPr>
                <w:rFonts w:hint="eastAsia" w:ascii="宋体" w:hAnsi="宋体" w:eastAsia="宋体" w:cs="宋体"/>
                <w:b/>
                <w:bCs/>
                <w:color w:val="auto"/>
                <w:sz w:val="24"/>
                <w:szCs w:val="24"/>
                <w:highlight w:val="none"/>
                <w:lang w:val="en-US" w:eastAsia="zh-CN"/>
              </w:rPr>
              <w:t>同时提供原件供核对</w:t>
            </w:r>
            <w:r>
              <w:rPr>
                <w:rFonts w:hint="eastAsia" w:ascii="宋体" w:hAnsi="宋体" w:eastAsia="宋体" w:cs="宋体"/>
                <w:color w:val="auto"/>
                <w:sz w:val="24"/>
                <w:szCs w:val="24"/>
                <w:highlight w:val="none"/>
                <w:lang w:val="en-US" w:eastAsia="zh-CN"/>
              </w:rPr>
              <w:t>。</w:t>
            </w:r>
          </w:p>
          <w:p w14:paraId="65DA4406">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3.业绩时间以合同协议书日期为准。</w:t>
            </w:r>
          </w:p>
          <w:p w14:paraId="0B6DA5C8">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4.任一业绩有以下情形之一的，该业绩视为无效，不予计分：</w:t>
            </w:r>
          </w:p>
          <w:p w14:paraId="5ED7678D">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①未提供业绩证明材料原件的；</w:t>
            </w:r>
          </w:p>
          <w:p w14:paraId="127922B6">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②业绩不属于类似工程的；</w:t>
            </w:r>
          </w:p>
          <w:p w14:paraId="3D57ED98">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③不是以指定身份参建的；</w:t>
            </w:r>
          </w:p>
          <w:p w14:paraId="46AFAC4D">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④业绩时间不符合要求的。</w:t>
            </w:r>
          </w:p>
          <w:p w14:paraId="0B264A37">
            <w:pPr>
              <w:widowControl w:val="0"/>
              <w:spacing w:line="360" w:lineRule="auto"/>
              <w:rPr>
                <w:rFonts w:hint="eastAsia"/>
                <w:color w:val="auto"/>
                <w:lang w:val="en-US" w:eastAsia="zh-CN"/>
              </w:rPr>
            </w:pPr>
            <w:r>
              <w:rPr>
                <w:rFonts w:hint="eastAsia" w:cs="宋体"/>
                <w:color w:val="auto"/>
                <w:sz w:val="24"/>
                <w:szCs w:val="24"/>
                <w:highlight w:val="none"/>
                <w:lang w:val="en-US" w:eastAsia="zh-CN"/>
              </w:rPr>
              <w:t>5.组成联合体时，由牵头人提供以上资料。</w:t>
            </w:r>
          </w:p>
        </w:tc>
      </w:tr>
      <w:tr w14:paraId="7A64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76D26565">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企业银行</w:t>
            </w:r>
          </w:p>
          <w:p w14:paraId="1F6795DD">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资信评级</w:t>
            </w:r>
          </w:p>
          <w:p w14:paraId="7C315FA1">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3695" w:type="dxa"/>
            <w:shd w:val="clear" w:color="auto" w:fill="auto"/>
            <w:vAlign w:val="center"/>
          </w:tcPr>
          <w:p w14:paraId="601D2C06">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1.银行资信评级AAA的，得5分；</w:t>
            </w:r>
          </w:p>
          <w:p w14:paraId="6DD80683">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2.银行资信评级AA（含AA＋、AA－）的，得4分。</w:t>
            </w:r>
          </w:p>
          <w:p w14:paraId="283119FF">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3.银行资信评级A（含A＋、A－）的，得3分。</w:t>
            </w:r>
          </w:p>
          <w:p w14:paraId="39DF02DA">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4.未获得过以上评级的，或评级证书无效的，不予计分。</w:t>
            </w:r>
          </w:p>
        </w:tc>
        <w:tc>
          <w:tcPr>
            <w:tcW w:w="5111" w:type="dxa"/>
            <w:shd w:val="clear" w:color="auto" w:fill="auto"/>
            <w:vAlign w:val="center"/>
          </w:tcPr>
          <w:p w14:paraId="28C8F009">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1.需附在有效期内的资信评级证书（证明）彩色扫描件，</w:t>
            </w:r>
            <w:r>
              <w:rPr>
                <w:rFonts w:hint="eastAsia" w:ascii="宋体" w:hAnsi="宋体" w:eastAsia="宋体" w:cs="宋体"/>
                <w:b/>
                <w:bCs/>
                <w:color w:val="auto"/>
                <w:sz w:val="24"/>
                <w:szCs w:val="24"/>
                <w:highlight w:val="none"/>
                <w:lang w:val="en-US" w:eastAsia="zh-CN"/>
              </w:rPr>
              <w:t>同时提供原件供核对</w:t>
            </w:r>
            <w:r>
              <w:rPr>
                <w:rFonts w:hint="eastAsia" w:ascii="宋体" w:hAnsi="宋体" w:eastAsia="宋体" w:cs="宋体"/>
                <w:color w:val="auto"/>
                <w:sz w:val="24"/>
                <w:szCs w:val="24"/>
                <w:highlight w:val="none"/>
                <w:lang w:val="en-US" w:eastAsia="zh-CN"/>
              </w:rPr>
              <w:t>。</w:t>
            </w:r>
          </w:p>
          <w:p w14:paraId="42AB243D">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2.评级证书（证明）须由金融机构出具。</w:t>
            </w:r>
          </w:p>
          <w:p w14:paraId="0E787CAD">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3.评级证书（证明）有以下情形之一的，视为无效：</w:t>
            </w:r>
          </w:p>
          <w:p w14:paraId="4BF7BE60">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①未提供评级证书（证明）原件的；</w:t>
            </w:r>
          </w:p>
          <w:p w14:paraId="2002CF2A">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②评级证书（证明）不在有效期内的；</w:t>
            </w:r>
          </w:p>
          <w:p w14:paraId="792FD334">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③出具机构不符合要求的。</w:t>
            </w:r>
          </w:p>
          <w:p w14:paraId="39A86350">
            <w:pPr>
              <w:widowControl w:val="0"/>
              <w:spacing w:line="360" w:lineRule="auto"/>
              <w:rPr>
                <w:rFonts w:hint="eastAsia"/>
                <w:color w:val="auto"/>
                <w:lang w:val="en-US" w:eastAsia="zh-CN"/>
              </w:rPr>
            </w:pPr>
            <w:r>
              <w:rPr>
                <w:rFonts w:hint="eastAsia" w:cs="宋体"/>
                <w:color w:val="auto"/>
                <w:sz w:val="24"/>
                <w:szCs w:val="24"/>
                <w:highlight w:val="none"/>
                <w:lang w:val="en-US" w:eastAsia="zh-CN"/>
              </w:rPr>
              <w:t>4.组成联合体时，由牵头人提供以上资料。</w:t>
            </w:r>
          </w:p>
        </w:tc>
      </w:tr>
      <w:tr w14:paraId="4154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65DBB0AB">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企业管理</w:t>
            </w:r>
          </w:p>
          <w:p w14:paraId="52488B8F">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体系认证</w:t>
            </w:r>
          </w:p>
          <w:p w14:paraId="258E2345">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（9分）</w:t>
            </w:r>
          </w:p>
        </w:tc>
        <w:tc>
          <w:tcPr>
            <w:tcW w:w="3695" w:type="dxa"/>
            <w:shd w:val="clear" w:color="auto" w:fill="auto"/>
            <w:vAlign w:val="center"/>
          </w:tcPr>
          <w:p w14:paraId="1F358022">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1.质量管理体系认证、职业健康安全管理体系认证、环境管理体系认证中，每获得1项认证得3分，最高得9分。</w:t>
            </w:r>
          </w:p>
          <w:p w14:paraId="38D90348">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2.未获得以上认证的，不予计分。</w:t>
            </w:r>
          </w:p>
        </w:tc>
        <w:tc>
          <w:tcPr>
            <w:tcW w:w="5111" w:type="dxa"/>
            <w:shd w:val="clear" w:color="auto" w:fill="auto"/>
            <w:vAlign w:val="center"/>
          </w:tcPr>
          <w:p w14:paraId="1F355EDB">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1.需附在有效期内的认证证书彩色扫描件，</w:t>
            </w:r>
            <w:r>
              <w:rPr>
                <w:rFonts w:hint="eastAsia" w:ascii="宋体" w:hAnsi="宋体" w:eastAsia="宋体" w:cs="宋体"/>
                <w:b/>
                <w:bCs/>
                <w:color w:val="auto"/>
                <w:sz w:val="24"/>
                <w:szCs w:val="24"/>
                <w:highlight w:val="none"/>
                <w:lang w:val="en-US" w:eastAsia="zh-CN"/>
              </w:rPr>
              <w:t>同时提供原件供核对</w:t>
            </w:r>
            <w:r>
              <w:rPr>
                <w:rFonts w:hint="eastAsia" w:ascii="宋体" w:hAnsi="宋体" w:eastAsia="宋体" w:cs="宋体"/>
                <w:color w:val="auto"/>
                <w:sz w:val="24"/>
                <w:szCs w:val="24"/>
                <w:highlight w:val="none"/>
                <w:lang w:val="en-US" w:eastAsia="zh-CN"/>
              </w:rPr>
              <w:t>。（证书为电子证书的除外）</w:t>
            </w:r>
          </w:p>
          <w:p w14:paraId="01122047">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2.任一认证证书有以下情形之一的，该认证证书视为无效，不予计分：</w:t>
            </w:r>
          </w:p>
          <w:p w14:paraId="470250D6">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①未提供认证证书原件的；</w:t>
            </w:r>
          </w:p>
          <w:p w14:paraId="32E1A43B">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②认证证书不在有效期内的。</w:t>
            </w:r>
          </w:p>
          <w:p w14:paraId="2C0D5552">
            <w:pPr>
              <w:widowControl w:val="0"/>
              <w:spacing w:line="360" w:lineRule="auto"/>
              <w:rPr>
                <w:rFonts w:hint="eastAsia"/>
                <w:color w:val="auto"/>
                <w:lang w:val="en-US" w:eastAsia="zh-CN"/>
              </w:rPr>
            </w:pPr>
            <w:r>
              <w:rPr>
                <w:rFonts w:hint="eastAsia" w:cs="宋体"/>
                <w:color w:val="auto"/>
                <w:sz w:val="24"/>
                <w:szCs w:val="24"/>
                <w:highlight w:val="none"/>
                <w:lang w:val="en-US" w:eastAsia="zh-CN"/>
              </w:rPr>
              <w:t>3.组成联合体时，由牵头人提供以上资料。</w:t>
            </w:r>
          </w:p>
        </w:tc>
      </w:tr>
      <w:tr w14:paraId="03A3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Merge w:val="restart"/>
            <w:vAlign w:val="center"/>
          </w:tcPr>
          <w:p w14:paraId="2A075D3B">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招标人</w:t>
            </w:r>
          </w:p>
          <w:p w14:paraId="77A12B0D">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自选项</w:t>
            </w:r>
          </w:p>
          <w:p w14:paraId="62C2FF2F">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（36分）</w:t>
            </w:r>
          </w:p>
        </w:tc>
        <w:tc>
          <w:tcPr>
            <w:tcW w:w="3695" w:type="dxa"/>
            <w:shd w:val="clear" w:color="auto" w:fill="auto"/>
            <w:vAlign w:val="center"/>
          </w:tcPr>
          <w:p w14:paraId="308828BA">
            <w:pPr>
              <w:widowControl w:val="0"/>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1.企业近5年（2021年1月1日至今）获得过县（市、区）级行政主管部门或以上人民政府、人民武装部颁发的“民兵建设先进企业”证书的，得5分。</w:t>
            </w:r>
          </w:p>
          <w:p w14:paraId="662F722D">
            <w:pPr>
              <w:widowControl w:val="0"/>
              <w:bidi w:val="0"/>
              <w:rPr>
                <w:rFonts w:hint="eastAsia" w:ascii="宋体" w:hAnsi="宋体" w:eastAsia="宋体" w:cs="宋体"/>
                <w:color w:val="auto"/>
                <w:kern w:val="2"/>
                <w:sz w:val="24"/>
                <w:lang w:val="en-US" w:eastAsia="zh-CN" w:bidi="ar-SA"/>
              </w:rPr>
            </w:pPr>
            <w:r>
              <w:rPr>
                <w:rFonts w:hint="eastAsia" w:ascii="宋体" w:hAnsi="宋体" w:eastAsia="宋体" w:cs="宋体"/>
                <w:color w:val="auto"/>
                <w:lang w:val="en-US" w:eastAsia="zh-CN"/>
              </w:rPr>
              <w:t>2.其他情形的，不予计分。</w:t>
            </w:r>
          </w:p>
        </w:tc>
        <w:tc>
          <w:tcPr>
            <w:tcW w:w="5111" w:type="dxa"/>
            <w:shd w:val="clear" w:color="auto" w:fill="auto"/>
            <w:vAlign w:val="center"/>
          </w:tcPr>
          <w:p w14:paraId="50FD83B7">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1.需提供有关证书彩色扫描件，</w:t>
            </w:r>
            <w:r>
              <w:rPr>
                <w:rFonts w:hint="eastAsia" w:ascii="宋体" w:hAnsi="宋体" w:eastAsia="宋体" w:cs="宋体"/>
                <w:b/>
                <w:bCs/>
                <w:color w:val="auto"/>
                <w:sz w:val="24"/>
                <w:szCs w:val="24"/>
                <w:highlight w:val="none"/>
                <w:lang w:val="en-US" w:eastAsia="zh-CN"/>
              </w:rPr>
              <w:t>同时提供原件供核对</w:t>
            </w:r>
            <w:r>
              <w:rPr>
                <w:rFonts w:hint="eastAsia" w:ascii="宋体" w:hAnsi="宋体" w:eastAsia="宋体" w:cs="宋体"/>
                <w:color w:val="auto"/>
                <w:sz w:val="24"/>
                <w:szCs w:val="24"/>
                <w:highlight w:val="none"/>
                <w:lang w:val="en-US" w:eastAsia="zh-CN"/>
              </w:rPr>
              <w:t>（证书为电子证书的除外）。</w:t>
            </w:r>
          </w:p>
          <w:p w14:paraId="576602A8">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2.未提供原件的，颁发机构、时间不符合要求的，按第2项标准处理。</w:t>
            </w:r>
          </w:p>
          <w:p w14:paraId="4568124F">
            <w:pPr>
              <w:widowControl w:val="0"/>
              <w:spacing w:line="360" w:lineRule="auto"/>
              <w:rPr>
                <w:rFonts w:hint="eastAsia"/>
                <w:color w:val="auto"/>
                <w:lang w:val="en-US" w:eastAsia="zh-CN"/>
              </w:rPr>
            </w:pPr>
            <w:r>
              <w:rPr>
                <w:rFonts w:hint="eastAsia" w:cs="宋体"/>
                <w:color w:val="auto"/>
                <w:sz w:val="24"/>
                <w:szCs w:val="24"/>
                <w:highlight w:val="none"/>
                <w:lang w:val="en-US" w:eastAsia="zh-CN"/>
              </w:rPr>
              <w:t>3.组成联合体时，由牵头人提供以上资料。</w:t>
            </w:r>
          </w:p>
        </w:tc>
      </w:tr>
      <w:tr w14:paraId="40AB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Merge w:val="continue"/>
            <w:vAlign w:val="center"/>
          </w:tcPr>
          <w:p w14:paraId="65F007FA">
            <w:pPr>
              <w:widowControl w:val="0"/>
              <w:spacing w:line="360" w:lineRule="auto"/>
              <w:jc w:val="center"/>
              <w:rPr>
                <w:rFonts w:hint="eastAsia" w:ascii="宋体" w:hAnsi="宋体" w:eastAsia="宋体" w:cs="宋体"/>
                <w:color w:val="auto"/>
                <w:sz w:val="24"/>
                <w:szCs w:val="24"/>
                <w:highlight w:val="none"/>
              </w:rPr>
            </w:pPr>
          </w:p>
        </w:tc>
        <w:tc>
          <w:tcPr>
            <w:tcW w:w="3695" w:type="dxa"/>
            <w:shd w:val="clear" w:color="auto" w:fill="auto"/>
            <w:vAlign w:val="center"/>
          </w:tcPr>
          <w:p w14:paraId="7B7F1501">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企业连续10年或10年以上（含10年）获得纳税信用A级纳税人的，得7分。（其中必须有2025年度）</w:t>
            </w:r>
          </w:p>
        </w:tc>
        <w:tc>
          <w:tcPr>
            <w:tcW w:w="5111" w:type="dxa"/>
            <w:shd w:val="clear" w:color="auto" w:fill="auto"/>
            <w:vAlign w:val="center"/>
          </w:tcPr>
          <w:p w14:paraId="48627176">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1.必须提供企业纳税信用A级纳税人证明材料（或证书）彩色扫描件，否则不得分。</w:t>
            </w:r>
          </w:p>
          <w:p w14:paraId="488950B8">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2.只计算投标人自身（不计算投标人的分公司、子公司及分支机构）</w:t>
            </w:r>
          </w:p>
          <w:p w14:paraId="2FF79B1F">
            <w:pPr>
              <w:widowControl w:val="0"/>
              <w:spacing w:line="360" w:lineRule="auto"/>
              <w:rPr>
                <w:rFonts w:hint="eastAsia"/>
                <w:color w:val="auto"/>
                <w:lang w:val="en-US" w:eastAsia="zh-CN"/>
              </w:rPr>
            </w:pPr>
            <w:r>
              <w:rPr>
                <w:rFonts w:hint="eastAsia" w:cs="宋体"/>
                <w:color w:val="auto"/>
                <w:sz w:val="24"/>
                <w:szCs w:val="24"/>
                <w:highlight w:val="none"/>
                <w:lang w:val="en-US" w:eastAsia="zh-CN"/>
              </w:rPr>
              <w:t>3.组成联合体时，由牵头人提供以上资料。</w:t>
            </w:r>
          </w:p>
        </w:tc>
      </w:tr>
      <w:tr w14:paraId="3AEE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Merge w:val="continue"/>
            <w:vAlign w:val="center"/>
          </w:tcPr>
          <w:p w14:paraId="7935E496">
            <w:pPr>
              <w:widowControl w:val="0"/>
              <w:spacing w:line="360" w:lineRule="auto"/>
              <w:jc w:val="center"/>
              <w:rPr>
                <w:rFonts w:hint="eastAsia" w:ascii="宋体" w:hAnsi="宋体" w:eastAsia="宋体" w:cs="宋体"/>
                <w:color w:val="auto"/>
                <w:sz w:val="24"/>
                <w:szCs w:val="24"/>
                <w:highlight w:val="none"/>
              </w:rPr>
            </w:pPr>
          </w:p>
        </w:tc>
        <w:tc>
          <w:tcPr>
            <w:tcW w:w="3695" w:type="dxa"/>
            <w:shd w:val="clear" w:color="auto" w:fill="auto"/>
            <w:vAlign w:val="center"/>
          </w:tcPr>
          <w:p w14:paraId="09838D1E">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近5年来（2021年1月1日至今）企业获得过专精特新中小企业的，得8分。</w:t>
            </w:r>
          </w:p>
        </w:tc>
        <w:tc>
          <w:tcPr>
            <w:tcW w:w="5111" w:type="dxa"/>
            <w:shd w:val="clear" w:color="auto" w:fill="auto"/>
            <w:vAlign w:val="center"/>
          </w:tcPr>
          <w:p w14:paraId="26D19D0E">
            <w:pPr>
              <w:widowControl w:val="0"/>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1.需提供省级或以上政府评定部门网站的通告或通知截图，否则不得分。</w:t>
            </w:r>
          </w:p>
          <w:p w14:paraId="1EDE4CB8">
            <w:pPr>
              <w:widowControl w:val="0"/>
              <w:spacing w:line="360" w:lineRule="auto"/>
              <w:rPr>
                <w:rFonts w:hint="eastAsia"/>
                <w:color w:val="auto"/>
                <w:lang w:val="en-US" w:eastAsia="zh-CN"/>
              </w:rPr>
            </w:pPr>
            <w:r>
              <w:rPr>
                <w:rFonts w:hint="eastAsia" w:cs="宋体"/>
                <w:color w:val="auto"/>
                <w:sz w:val="24"/>
                <w:szCs w:val="24"/>
                <w:highlight w:val="none"/>
                <w:lang w:val="en-US" w:eastAsia="zh-CN"/>
              </w:rPr>
              <w:t>2.组成联合体时，由牵头人提供以上资料。</w:t>
            </w:r>
          </w:p>
        </w:tc>
      </w:tr>
      <w:tr w14:paraId="0E6E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Merge w:val="continue"/>
            <w:vAlign w:val="center"/>
          </w:tcPr>
          <w:p w14:paraId="48E3B5C2">
            <w:pPr>
              <w:widowControl w:val="0"/>
              <w:spacing w:line="360" w:lineRule="auto"/>
              <w:jc w:val="center"/>
              <w:rPr>
                <w:rFonts w:hint="eastAsia" w:ascii="宋体" w:hAnsi="宋体" w:eastAsia="宋体" w:cs="宋体"/>
                <w:color w:val="auto"/>
                <w:sz w:val="24"/>
                <w:szCs w:val="24"/>
                <w:highlight w:val="none"/>
              </w:rPr>
            </w:pPr>
          </w:p>
        </w:tc>
        <w:tc>
          <w:tcPr>
            <w:tcW w:w="3695" w:type="dxa"/>
            <w:shd w:val="clear" w:color="auto" w:fill="auto"/>
            <w:vAlign w:val="center"/>
          </w:tcPr>
          <w:p w14:paraId="1CF8FCB1">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近5年来（2021年1月1日至今）企业连续三年以上（含三年）获得地级市及以上建筑协会颁发的“优秀典型施工企业”，得8分。</w:t>
            </w:r>
          </w:p>
        </w:tc>
        <w:tc>
          <w:tcPr>
            <w:tcW w:w="5111" w:type="dxa"/>
            <w:shd w:val="clear" w:color="auto" w:fill="auto"/>
            <w:vAlign w:val="center"/>
          </w:tcPr>
          <w:p w14:paraId="06444B8A">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1.需提供证书彩色扫描件，</w:t>
            </w:r>
            <w:r>
              <w:rPr>
                <w:rFonts w:hint="eastAsia" w:ascii="宋体" w:hAnsi="宋体" w:eastAsia="宋体" w:cs="宋体"/>
                <w:b/>
                <w:bCs/>
                <w:color w:val="auto"/>
                <w:sz w:val="24"/>
                <w:szCs w:val="24"/>
                <w:highlight w:val="none"/>
                <w:lang w:val="en-US" w:eastAsia="zh-CN"/>
              </w:rPr>
              <w:t>同时提供证书原件供核对</w:t>
            </w:r>
            <w:r>
              <w:rPr>
                <w:rFonts w:hint="eastAsia" w:ascii="宋体" w:hAnsi="宋体" w:eastAsia="宋体" w:cs="宋体"/>
                <w:color w:val="auto"/>
                <w:sz w:val="24"/>
                <w:szCs w:val="24"/>
                <w:highlight w:val="none"/>
                <w:lang w:val="en-US" w:eastAsia="zh-CN"/>
              </w:rPr>
              <w:t>（证书为电子证书的除外），否则不得分。</w:t>
            </w:r>
          </w:p>
          <w:p w14:paraId="2477EE3C">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2.需提供地级市及以上相关政府部门或地级市及以上建筑协会网站截图打印页，否则不得分。</w:t>
            </w:r>
          </w:p>
          <w:p w14:paraId="6C33157F">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（相关协会需经民政部门备案）</w:t>
            </w:r>
          </w:p>
          <w:p w14:paraId="193723E8">
            <w:pPr>
              <w:widowControl w:val="0"/>
              <w:spacing w:line="360" w:lineRule="auto"/>
              <w:rPr>
                <w:rFonts w:hint="eastAsia"/>
                <w:color w:val="auto"/>
                <w:lang w:val="en-US" w:eastAsia="zh-CN"/>
              </w:rPr>
            </w:pPr>
            <w:r>
              <w:rPr>
                <w:rFonts w:hint="eastAsia" w:cs="宋体"/>
                <w:color w:val="auto"/>
                <w:sz w:val="24"/>
                <w:szCs w:val="24"/>
                <w:highlight w:val="none"/>
                <w:lang w:val="en-US" w:eastAsia="zh-CN"/>
              </w:rPr>
              <w:t>3.组成联合体时，由牵头人提供以上资料。</w:t>
            </w:r>
          </w:p>
        </w:tc>
      </w:tr>
      <w:tr w14:paraId="4635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Merge w:val="continue"/>
          </w:tcPr>
          <w:p w14:paraId="5993125B">
            <w:pPr>
              <w:widowControl w:val="0"/>
              <w:spacing w:line="360" w:lineRule="auto"/>
              <w:rPr>
                <w:rFonts w:hint="eastAsia" w:ascii="宋体" w:hAnsi="宋体" w:eastAsia="宋体" w:cs="宋体"/>
                <w:color w:val="auto"/>
                <w:sz w:val="24"/>
                <w:szCs w:val="24"/>
                <w:highlight w:val="none"/>
              </w:rPr>
            </w:pPr>
          </w:p>
        </w:tc>
        <w:tc>
          <w:tcPr>
            <w:tcW w:w="3695" w:type="dxa"/>
            <w:shd w:val="clear" w:color="auto" w:fill="auto"/>
            <w:vAlign w:val="center"/>
          </w:tcPr>
          <w:p w14:paraId="090ED6DD">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1.企业近5年度（2021年度至今）获得过省级或以上商业联合会颁发的诚信兴商企业证书的，得8分。</w:t>
            </w:r>
          </w:p>
          <w:p w14:paraId="7457DB49">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2.其他情形的，不予计分。</w:t>
            </w:r>
          </w:p>
        </w:tc>
        <w:tc>
          <w:tcPr>
            <w:tcW w:w="5111" w:type="dxa"/>
            <w:shd w:val="clear" w:color="auto" w:fill="auto"/>
            <w:vAlign w:val="center"/>
          </w:tcPr>
          <w:p w14:paraId="71DF31AF">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1.证书由省级或以上商业联合会颁发，须提供有关证书彩色扫描件，</w:t>
            </w:r>
            <w:r>
              <w:rPr>
                <w:rFonts w:hint="eastAsia" w:ascii="宋体" w:hAnsi="宋体" w:eastAsia="宋体" w:cs="宋体"/>
                <w:b/>
                <w:bCs/>
                <w:color w:val="auto"/>
                <w:sz w:val="24"/>
                <w:szCs w:val="24"/>
                <w:highlight w:val="none"/>
                <w:lang w:val="en-US" w:eastAsia="zh-CN"/>
              </w:rPr>
              <w:t>同时提供原件核对</w:t>
            </w:r>
            <w:r>
              <w:rPr>
                <w:rFonts w:hint="eastAsia" w:ascii="宋体" w:hAnsi="宋体" w:eastAsia="宋体" w:cs="宋体"/>
                <w:color w:val="auto"/>
                <w:sz w:val="24"/>
                <w:szCs w:val="24"/>
                <w:highlight w:val="none"/>
                <w:lang w:val="en-US" w:eastAsia="zh-CN"/>
              </w:rPr>
              <w:t>。</w:t>
            </w:r>
          </w:p>
          <w:p w14:paraId="24075611">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2.未提供原件的，颁发机构不符合要求的，按第2项标准处理。</w:t>
            </w:r>
          </w:p>
          <w:p w14:paraId="25C46A19">
            <w:pPr>
              <w:widowControl w:val="0"/>
              <w:spacing w:line="360" w:lineRule="auto"/>
              <w:rPr>
                <w:rFonts w:hint="eastAsia"/>
                <w:color w:val="auto"/>
                <w:lang w:val="en-US" w:eastAsia="zh-CN"/>
              </w:rPr>
            </w:pPr>
            <w:r>
              <w:rPr>
                <w:rFonts w:hint="eastAsia" w:cs="宋体"/>
                <w:color w:val="auto"/>
                <w:sz w:val="24"/>
                <w:szCs w:val="24"/>
                <w:highlight w:val="none"/>
                <w:lang w:val="en-US" w:eastAsia="zh-CN"/>
              </w:rPr>
              <w:t>3.组成联合体时，由牵头人提供以上资料。</w:t>
            </w:r>
          </w:p>
        </w:tc>
      </w:tr>
      <w:tr w14:paraId="078D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5" w:type="dxa"/>
            <w:gridSpan w:val="3"/>
            <w:shd w:val="clear" w:color="auto" w:fill="auto"/>
            <w:vAlign w:val="top"/>
          </w:tcPr>
          <w:p w14:paraId="2BB60B8C">
            <w:pPr>
              <w:widowControl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技术部分（施工组织设计），满分：20分。</w:t>
            </w:r>
          </w:p>
        </w:tc>
      </w:tr>
      <w:tr w14:paraId="5B1A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384BB424">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评分因素</w:t>
            </w:r>
          </w:p>
        </w:tc>
        <w:tc>
          <w:tcPr>
            <w:tcW w:w="3695" w:type="dxa"/>
            <w:shd w:val="clear" w:color="auto" w:fill="auto"/>
            <w:vAlign w:val="center"/>
          </w:tcPr>
          <w:p w14:paraId="65D285A3">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评分标准</w:t>
            </w:r>
          </w:p>
        </w:tc>
        <w:tc>
          <w:tcPr>
            <w:tcW w:w="5111" w:type="dxa"/>
            <w:shd w:val="clear" w:color="auto" w:fill="auto"/>
            <w:vAlign w:val="center"/>
          </w:tcPr>
          <w:p w14:paraId="512AFE1F">
            <w:pPr>
              <w:widowControl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备注</w:t>
            </w:r>
          </w:p>
        </w:tc>
      </w:tr>
      <w:tr w14:paraId="0793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35CE33A1">
            <w:pPr>
              <w:widowControl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总体概述</w:t>
            </w:r>
          </w:p>
          <w:p w14:paraId="67AF94DF">
            <w:pPr>
              <w:widowControl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（3分）</w:t>
            </w:r>
          </w:p>
        </w:tc>
        <w:tc>
          <w:tcPr>
            <w:tcW w:w="3695" w:type="dxa"/>
            <w:shd w:val="clear" w:color="auto" w:fill="auto"/>
            <w:vAlign w:val="center"/>
          </w:tcPr>
          <w:p w14:paraId="42BFA572">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65257342">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7D4B2B98">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78023230">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52F5CDE0">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12BD54C7">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【良】对项目总体有一定认识，表述清晰、完整，措施具体有效；施工段划分呼应总体表述，划分清晰，符合规范要求。</w:t>
            </w:r>
          </w:p>
          <w:p w14:paraId="1953BC30">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【中】对项目总体有认识，有一定的措施但部分不具体；施工段划分较合理，符合规范要求。</w:t>
            </w:r>
          </w:p>
          <w:p w14:paraId="179E3908">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【差】对项目认识不足，表述不清晰，措施不具体；施工段划分不合理。</w:t>
            </w:r>
          </w:p>
        </w:tc>
      </w:tr>
      <w:tr w14:paraId="58D6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365D144C">
            <w:pPr>
              <w:widowControl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施工总进度计划及保证措施</w:t>
            </w:r>
          </w:p>
          <w:p w14:paraId="1B2462B3">
            <w:pPr>
              <w:widowControl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（3分）</w:t>
            </w:r>
          </w:p>
        </w:tc>
        <w:tc>
          <w:tcPr>
            <w:tcW w:w="3695" w:type="dxa"/>
            <w:shd w:val="clear" w:color="auto" w:fill="auto"/>
            <w:vAlign w:val="center"/>
          </w:tcPr>
          <w:p w14:paraId="47BEDF55">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07498C30">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5E2344B6">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05AE5C4E">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13D81022">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27CFC597">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7FAED6FC">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79B98139">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【差】关键线路不准确，计划编制不合理。关键节点的控制不可行。人、材、机需求和进场计划与进度计划不相呼应，不能满足施工需要。没有违约责任承诺。</w:t>
            </w:r>
          </w:p>
        </w:tc>
      </w:tr>
      <w:tr w14:paraId="1552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71F6C559">
            <w:pPr>
              <w:widowControl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质量保证措施</w:t>
            </w:r>
          </w:p>
          <w:p w14:paraId="4BBDF4EA">
            <w:pPr>
              <w:widowControl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（4分）</w:t>
            </w:r>
          </w:p>
        </w:tc>
        <w:tc>
          <w:tcPr>
            <w:tcW w:w="3695" w:type="dxa"/>
            <w:shd w:val="clear" w:color="auto" w:fill="auto"/>
            <w:vAlign w:val="center"/>
          </w:tcPr>
          <w:p w14:paraId="5477E717">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524172AA">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00CD1522">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78C3AD1E">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2D45AB70">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【优】应用新技术、新工艺、新材料、新设备，针对项目实际提出先进、可行、具体的保证措施。超过招标文件的质量要求。</w:t>
            </w:r>
          </w:p>
          <w:p w14:paraId="0433719A">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【良】针对项目实际提出先进、可行、具体的保证措施。满足招标文件的质量要求。</w:t>
            </w:r>
          </w:p>
          <w:p w14:paraId="0516F751">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【中】具体措施可行。满足招标文件的质量要求。</w:t>
            </w:r>
          </w:p>
          <w:p w14:paraId="2CEEC16B">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【差】措施不可行，没有质量违约责任承诺。</w:t>
            </w:r>
          </w:p>
        </w:tc>
      </w:tr>
      <w:tr w14:paraId="3D93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6DB35F4B">
            <w:pPr>
              <w:widowControl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施工技术措施</w:t>
            </w:r>
          </w:p>
          <w:p w14:paraId="39B188F4">
            <w:pPr>
              <w:widowControl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（2分）</w:t>
            </w:r>
          </w:p>
        </w:tc>
        <w:tc>
          <w:tcPr>
            <w:tcW w:w="3695" w:type="dxa"/>
            <w:shd w:val="clear" w:color="auto" w:fill="auto"/>
            <w:vAlign w:val="center"/>
          </w:tcPr>
          <w:p w14:paraId="35AFC1FF">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1B60A156">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46208871">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24CB442D">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3250B696">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3C2337CA">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3A4E3B5A">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5506AB91">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【差】对项目关键技术有表述，对重点、难点有建议，解决方案不可行。采用的新技术针对性不强或验证材料不可靠，对节约投资、工期没有具体收益。无违约责任承诺。</w:t>
            </w:r>
          </w:p>
        </w:tc>
      </w:tr>
      <w:tr w14:paraId="6F5C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422AD181">
            <w:pPr>
              <w:widowControl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绿色施工、安全防护、文明施工措施计划</w:t>
            </w:r>
          </w:p>
          <w:p w14:paraId="402E0E48">
            <w:pPr>
              <w:widowControl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（3分）</w:t>
            </w:r>
          </w:p>
        </w:tc>
        <w:tc>
          <w:tcPr>
            <w:tcW w:w="3695" w:type="dxa"/>
            <w:shd w:val="clear" w:color="auto" w:fill="auto"/>
            <w:vAlign w:val="center"/>
          </w:tcPr>
          <w:p w14:paraId="11BB1C15">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3D9DF48A">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50A99E40">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37A2E02C">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4E6807A7">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【优】针对项目实际情况，有先进、具体、完整、可行的措施，采用规范准确、清晰。</w:t>
            </w:r>
          </w:p>
          <w:p w14:paraId="265E9FF7">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【良】针对项目实际情况，有合理的措施且具体、完整，采用规范准确。</w:t>
            </w:r>
          </w:p>
          <w:p w14:paraId="64C7C2E7">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【中】有基本合理的措施，采用规范准确。</w:t>
            </w:r>
          </w:p>
          <w:p w14:paraId="383CC436">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【差】措施不力，采用规范不正确。</w:t>
            </w:r>
          </w:p>
        </w:tc>
      </w:tr>
      <w:tr w14:paraId="5412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67E764CB">
            <w:pPr>
              <w:widowControl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施工平面布置和临时设施布置</w:t>
            </w:r>
          </w:p>
          <w:p w14:paraId="05E074BD">
            <w:pPr>
              <w:widowControl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（2分）</w:t>
            </w:r>
          </w:p>
        </w:tc>
        <w:tc>
          <w:tcPr>
            <w:tcW w:w="3695" w:type="dxa"/>
            <w:shd w:val="clear" w:color="auto" w:fill="auto"/>
            <w:vAlign w:val="center"/>
          </w:tcPr>
          <w:p w14:paraId="57CB9E9A">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1D1FE9F3">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3AA87EBC">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57AE1C26">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2D71D342">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【优】总体布置有针对性、合理，较好满足施工需要，符合绿色施工、安全防护、文明施工要求。</w:t>
            </w:r>
          </w:p>
          <w:p w14:paraId="66E6BDC4">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【良】总体布置合理，能满足施工需要，基本符合绿色施工、安全防护、文明施工要求。</w:t>
            </w:r>
          </w:p>
          <w:p w14:paraId="7D242B65">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【中】总体布置基本合理，基本满足施工需要。</w:t>
            </w:r>
          </w:p>
          <w:p w14:paraId="2222375D">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【差】总体布置不合理，不符合绿色施工、安全防护、文明施工要求。</w:t>
            </w:r>
          </w:p>
        </w:tc>
      </w:tr>
      <w:tr w14:paraId="4FCD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70B85476">
            <w:pPr>
              <w:widowControl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项目管理机构</w:t>
            </w:r>
          </w:p>
          <w:p w14:paraId="00283B83">
            <w:pPr>
              <w:widowControl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（3分）</w:t>
            </w:r>
          </w:p>
        </w:tc>
        <w:tc>
          <w:tcPr>
            <w:tcW w:w="3695" w:type="dxa"/>
            <w:shd w:val="clear" w:color="auto" w:fill="auto"/>
            <w:vAlign w:val="center"/>
          </w:tcPr>
          <w:p w14:paraId="2ECC2436">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3B7C13F5">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493896EF">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01FB438D">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728F9948">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组织机构形式合理，有完善的指挥系统，生产及质量、绿色施工、安全、文明施工、创优达标监控系统、联络协调系统，项目管理人员内高级职称人员20%（含20%）以上、中级职称人员及以上职称60%（含60%）以上。</w:t>
            </w:r>
          </w:p>
          <w:p w14:paraId="201FE85F">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组织机构形式合理，指挥系统，生产及质量、绿色施工、安全、文明施工、创优达标监控系统、联络协调系统齐全，项目管理人员内高级职称人员15%～20%（含15%）、中级职称人员及以上职称50%～60%（含50%）。</w:t>
            </w:r>
          </w:p>
          <w:p w14:paraId="70EBC6BB">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组织机构形式基本合理，有指挥系统，生产及质量、绿色施工、安全、文明施工、创优达标监控系统、联络协调系统，项目管理人员内高级职称人员10%～15%（含10%）、中级职称人员及以上职称40%～50%（含40%）。</w:t>
            </w:r>
          </w:p>
          <w:p w14:paraId="7E9F0CC5">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【差】组织机构形式合理，指挥系统，生产及质量、绿色施工、安全、文明施工、创优达标监控系统、联络协调系统不齐全，项目管理人员内高级职称人员10%以下、中级职称人员及以上职称40%以下。</w:t>
            </w:r>
          </w:p>
        </w:tc>
      </w:tr>
      <w:tr w14:paraId="5D50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5" w:type="dxa"/>
            <w:gridSpan w:val="3"/>
            <w:shd w:val="clear" w:color="auto" w:fill="auto"/>
            <w:vAlign w:val="top"/>
          </w:tcPr>
          <w:p w14:paraId="7A00B04A">
            <w:pPr>
              <w:widowControl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投标报价部分，满分：100分。</w:t>
            </w:r>
          </w:p>
        </w:tc>
      </w:tr>
      <w:tr w14:paraId="4FF00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189599B5">
            <w:pPr>
              <w:widowControl w:val="0"/>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评分事项</w:t>
            </w:r>
          </w:p>
        </w:tc>
        <w:tc>
          <w:tcPr>
            <w:tcW w:w="8806" w:type="dxa"/>
            <w:gridSpan w:val="2"/>
            <w:shd w:val="clear" w:color="auto" w:fill="auto"/>
            <w:vAlign w:val="center"/>
          </w:tcPr>
          <w:p w14:paraId="011CC0C7">
            <w:pPr>
              <w:widowControl w:val="0"/>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评分方法</w:t>
            </w:r>
          </w:p>
        </w:tc>
      </w:tr>
      <w:tr w14:paraId="4190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573F8C88">
            <w:pPr>
              <w:pStyle w:val="36"/>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评标基准价</w:t>
            </w:r>
            <w:r>
              <w:rPr>
                <w:rFonts w:hint="eastAsia" w:ascii="宋体" w:hAnsi="宋体" w:eastAsia="宋体" w:cs="宋体"/>
                <w:color w:val="auto"/>
                <w:kern w:val="0"/>
                <w:sz w:val="24"/>
                <w:szCs w:val="24"/>
                <w:highlight w:val="none"/>
              </w:rPr>
              <w:t>D</w:t>
            </w:r>
          </w:p>
        </w:tc>
        <w:tc>
          <w:tcPr>
            <w:tcW w:w="8806" w:type="dxa"/>
            <w:gridSpan w:val="2"/>
            <w:shd w:val="clear" w:color="auto" w:fill="auto"/>
            <w:vAlign w:val="center"/>
          </w:tcPr>
          <w:p w14:paraId="0E009ACB">
            <w:pPr>
              <w:widowControl w:val="0"/>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（1）确定</w:t>
            </w:r>
            <w:r>
              <w:rPr>
                <w:rFonts w:hint="eastAsia" w:ascii="宋体" w:hAnsi="宋体" w:eastAsia="宋体" w:cs="宋体"/>
                <w:snapToGrid w:val="0"/>
                <w:color w:val="auto"/>
                <w:kern w:val="0"/>
                <w:sz w:val="24"/>
                <w:szCs w:val="24"/>
                <w:highlight w:val="none"/>
                <w:lang w:val="en-US" w:eastAsia="zh-CN"/>
              </w:rPr>
              <w:t>最高投标限价</w:t>
            </w:r>
            <w:r>
              <w:rPr>
                <w:rFonts w:hint="eastAsia" w:ascii="宋体" w:hAnsi="宋体" w:eastAsia="宋体" w:cs="宋体"/>
                <w:snapToGrid w:val="0"/>
                <w:color w:val="auto"/>
                <w:kern w:val="0"/>
                <w:sz w:val="24"/>
                <w:szCs w:val="24"/>
                <w:highlight w:val="none"/>
              </w:rPr>
              <w:t>下浮系数n：用1～21号球分别代表一个下浮系数，由评委代表从这21个号码中随机抽取3次，每次抽取1个号码，抽出的号球不参与下次抽取。所抽取的3个号码对应下浮系数的算术平均值作为</w:t>
            </w:r>
            <w:r>
              <w:rPr>
                <w:rFonts w:hint="eastAsia" w:ascii="宋体" w:hAnsi="宋体" w:eastAsia="宋体" w:cs="宋体"/>
                <w:snapToGrid w:val="0"/>
                <w:color w:val="auto"/>
                <w:kern w:val="0"/>
                <w:sz w:val="24"/>
                <w:szCs w:val="24"/>
                <w:highlight w:val="none"/>
                <w:lang w:val="en-US" w:eastAsia="zh-CN"/>
              </w:rPr>
              <w:t>最高投标限价</w:t>
            </w:r>
            <w:r>
              <w:rPr>
                <w:rFonts w:hint="eastAsia" w:ascii="宋体" w:hAnsi="宋体" w:eastAsia="宋体" w:cs="宋体"/>
                <w:snapToGrid w:val="0"/>
                <w:color w:val="auto"/>
                <w:kern w:val="0"/>
                <w:sz w:val="24"/>
                <w:szCs w:val="24"/>
                <w:highlight w:val="none"/>
              </w:rPr>
              <w:t>下浮系数n。具体号码对应的下浮系数可参考下表。</w:t>
            </w:r>
          </w:p>
          <w:tbl>
            <w:tblPr>
              <w:tblStyle w:val="21"/>
              <w:tblW w:w="0" w:type="auto"/>
              <w:jc w:val="center"/>
              <w:tblLayout w:type="autofit"/>
              <w:tblCellMar>
                <w:top w:w="0" w:type="dxa"/>
                <w:left w:w="108" w:type="dxa"/>
                <w:bottom w:w="0" w:type="dxa"/>
                <w:right w:w="108" w:type="dxa"/>
              </w:tblCellMar>
            </w:tblPr>
            <w:tblGrid>
              <w:gridCol w:w="1775"/>
              <w:gridCol w:w="794"/>
              <w:gridCol w:w="830"/>
              <w:gridCol w:w="864"/>
              <w:gridCol w:w="848"/>
              <w:gridCol w:w="882"/>
              <w:gridCol w:w="829"/>
              <w:gridCol w:w="819"/>
            </w:tblGrid>
            <w:tr w14:paraId="265E6502">
              <w:tblPrEx>
                <w:tblCellMar>
                  <w:top w:w="0" w:type="dxa"/>
                  <w:left w:w="108" w:type="dxa"/>
                  <w:bottom w:w="0" w:type="dxa"/>
                  <w:right w:w="108" w:type="dxa"/>
                </w:tblCellMar>
              </w:tblPrEx>
              <w:trPr>
                <w:trHeight w:val="454" w:hRule="exact"/>
                <w:jc w:val="center"/>
              </w:trPr>
              <w:tc>
                <w:tcPr>
                  <w:tcW w:w="1775" w:type="dxa"/>
                  <w:tcBorders>
                    <w:top w:val="single" w:color="000000" w:sz="4" w:space="0"/>
                    <w:left w:val="single" w:color="000000" w:sz="4" w:space="0"/>
                    <w:bottom w:val="single" w:color="000000" w:sz="4" w:space="0"/>
                    <w:right w:val="single" w:color="000000" w:sz="4" w:space="0"/>
                  </w:tcBorders>
                  <w:vAlign w:val="center"/>
                </w:tcPr>
                <w:p w14:paraId="1AA5F404">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77507490">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164E97A3">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72634935">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769618A3">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1593D19F">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04723598">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7C4C1C37">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7</w:t>
                  </w:r>
                </w:p>
              </w:tc>
            </w:tr>
            <w:tr w14:paraId="16D7978B">
              <w:tblPrEx>
                <w:tblCellMar>
                  <w:top w:w="0" w:type="dxa"/>
                  <w:left w:w="108" w:type="dxa"/>
                  <w:bottom w:w="0" w:type="dxa"/>
                  <w:right w:w="108" w:type="dxa"/>
                </w:tblCellMar>
              </w:tblPrEx>
              <w:trPr>
                <w:trHeight w:val="454" w:hRule="exact"/>
                <w:jc w:val="center"/>
              </w:trPr>
              <w:tc>
                <w:tcPr>
                  <w:tcW w:w="1775" w:type="dxa"/>
                  <w:tcBorders>
                    <w:top w:val="single" w:color="000000" w:sz="4" w:space="0"/>
                    <w:left w:val="single" w:color="000000" w:sz="4" w:space="0"/>
                    <w:bottom w:val="single" w:color="000000" w:sz="4" w:space="0"/>
                    <w:right w:val="single" w:color="000000" w:sz="4" w:space="0"/>
                  </w:tcBorders>
                  <w:vAlign w:val="center"/>
                </w:tcPr>
                <w:p w14:paraId="22D7B558">
                  <w:pPr>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r>
                    <w:rPr>
                      <w:rFonts w:hint="eastAsia" w:ascii="宋体" w:hAnsi="宋体" w:eastAsia="宋体" w:cs="宋体"/>
                      <w:color w:val="auto"/>
                      <w:kern w:val="0"/>
                      <w:sz w:val="24"/>
                      <w:szCs w:val="24"/>
                      <w:highlight w:val="none"/>
                    </w:rPr>
                    <w:t>%</w:t>
                  </w:r>
                  <w:r>
                    <w:rPr>
                      <w:rFonts w:hint="eastAsia" w:ascii="宋体" w:hAnsi="宋体" w:eastAsia="宋体" w:cs="宋体"/>
                      <w:snapToGrid w:val="0"/>
                      <w:color w:val="auto"/>
                      <w:kern w:val="0"/>
                      <w:sz w:val="24"/>
                      <w:szCs w:val="24"/>
                      <w:highlight w:val="none"/>
                    </w:rPr>
                    <w:t>）</w:t>
                  </w:r>
                </w:p>
              </w:tc>
              <w:tc>
                <w:tcPr>
                  <w:tcW w:w="794" w:type="dxa"/>
                  <w:tcBorders>
                    <w:top w:val="single" w:color="000000" w:sz="4" w:space="0"/>
                    <w:left w:val="single" w:color="000000" w:sz="4" w:space="0"/>
                    <w:bottom w:val="single" w:color="000000" w:sz="4" w:space="0"/>
                    <w:right w:val="single" w:color="000000" w:sz="4" w:space="0"/>
                  </w:tcBorders>
                  <w:vAlign w:val="center"/>
                </w:tcPr>
                <w:p w14:paraId="1965917E">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3.0</w:t>
                  </w:r>
                </w:p>
              </w:tc>
              <w:tc>
                <w:tcPr>
                  <w:tcW w:w="830" w:type="dxa"/>
                  <w:tcBorders>
                    <w:top w:val="single" w:color="000000" w:sz="4" w:space="0"/>
                    <w:left w:val="single" w:color="000000" w:sz="4" w:space="0"/>
                    <w:bottom w:val="single" w:color="000000" w:sz="4" w:space="0"/>
                    <w:right w:val="single" w:color="000000" w:sz="4" w:space="0"/>
                  </w:tcBorders>
                  <w:vAlign w:val="center"/>
                </w:tcPr>
                <w:p w14:paraId="6A6F628F">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3.1</w:t>
                  </w:r>
                </w:p>
              </w:tc>
              <w:tc>
                <w:tcPr>
                  <w:tcW w:w="864" w:type="dxa"/>
                  <w:tcBorders>
                    <w:top w:val="single" w:color="000000" w:sz="4" w:space="0"/>
                    <w:left w:val="single" w:color="000000" w:sz="4" w:space="0"/>
                    <w:bottom w:val="single" w:color="000000" w:sz="4" w:space="0"/>
                    <w:right w:val="single" w:color="000000" w:sz="4" w:space="0"/>
                  </w:tcBorders>
                  <w:vAlign w:val="center"/>
                </w:tcPr>
                <w:p w14:paraId="0C3DF4D9">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3.2</w:t>
                  </w:r>
                </w:p>
              </w:tc>
              <w:tc>
                <w:tcPr>
                  <w:tcW w:w="848" w:type="dxa"/>
                  <w:tcBorders>
                    <w:top w:val="single" w:color="000000" w:sz="4" w:space="0"/>
                    <w:left w:val="single" w:color="000000" w:sz="4" w:space="0"/>
                    <w:bottom w:val="single" w:color="000000" w:sz="4" w:space="0"/>
                    <w:right w:val="single" w:color="000000" w:sz="4" w:space="0"/>
                  </w:tcBorders>
                  <w:vAlign w:val="center"/>
                </w:tcPr>
                <w:p w14:paraId="0B4BF661">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3.3</w:t>
                  </w:r>
                </w:p>
              </w:tc>
              <w:tc>
                <w:tcPr>
                  <w:tcW w:w="882" w:type="dxa"/>
                  <w:tcBorders>
                    <w:top w:val="single" w:color="000000" w:sz="4" w:space="0"/>
                    <w:left w:val="single" w:color="000000" w:sz="4" w:space="0"/>
                    <w:bottom w:val="single" w:color="000000" w:sz="4" w:space="0"/>
                    <w:right w:val="single" w:color="000000" w:sz="4" w:space="0"/>
                  </w:tcBorders>
                  <w:vAlign w:val="center"/>
                </w:tcPr>
                <w:p w14:paraId="66E5A281">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3.4</w:t>
                  </w:r>
                </w:p>
              </w:tc>
              <w:tc>
                <w:tcPr>
                  <w:tcW w:w="829" w:type="dxa"/>
                  <w:tcBorders>
                    <w:top w:val="single" w:color="000000" w:sz="4" w:space="0"/>
                    <w:left w:val="single" w:color="000000" w:sz="4" w:space="0"/>
                    <w:bottom w:val="single" w:color="000000" w:sz="4" w:space="0"/>
                    <w:right w:val="single" w:color="000000" w:sz="4" w:space="0"/>
                  </w:tcBorders>
                  <w:vAlign w:val="center"/>
                </w:tcPr>
                <w:p w14:paraId="49C89409">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3.5</w:t>
                  </w:r>
                </w:p>
              </w:tc>
              <w:tc>
                <w:tcPr>
                  <w:tcW w:w="819" w:type="dxa"/>
                  <w:tcBorders>
                    <w:top w:val="single" w:color="000000" w:sz="4" w:space="0"/>
                    <w:left w:val="single" w:color="000000" w:sz="4" w:space="0"/>
                    <w:bottom w:val="single" w:color="000000" w:sz="4" w:space="0"/>
                    <w:right w:val="single" w:color="000000" w:sz="4" w:space="0"/>
                  </w:tcBorders>
                  <w:vAlign w:val="center"/>
                </w:tcPr>
                <w:p w14:paraId="31C987E3">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3.6</w:t>
                  </w:r>
                </w:p>
              </w:tc>
            </w:tr>
            <w:tr w14:paraId="6A6ED0A7">
              <w:tblPrEx>
                <w:tblCellMar>
                  <w:top w:w="0" w:type="dxa"/>
                  <w:left w:w="108" w:type="dxa"/>
                  <w:bottom w:w="0" w:type="dxa"/>
                  <w:right w:w="108" w:type="dxa"/>
                </w:tblCellMar>
              </w:tblPrEx>
              <w:trPr>
                <w:trHeight w:val="454" w:hRule="exact"/>
                <w:jc w:val="center"/>
              </w:trPr>
              <w:tc>
                <w:tcPr>
                  <w:tcW w:w="1775" w:type="dxa"/>
                  <w:tcBorders>
                    <w:top w:val="single" w:color="000000" w:sz="4" w:space="0"/>
                    <w:left w:val="single" w:color="000000" w:sz="4" w:space="0"/>
                    <w:bottom w:val="single" w:color="000000" w:sz="4" w:space="0"/>
                    <w:right w:val="single" w:color="000000" w:sz="4" w:space="0"/>
                  </w:tcBorders>
                  <w:vAlign w:val="center"/>
                </w:tcPr>
                <w:p w14:paraId="7C9BBD78">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1BD65E1E">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15C3AC57">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5D3A20EA">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710AD430">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28C8F737">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2081256D">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7F97255B">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14</w:t>
                  </w:r>
                </w:p>
              </w:tc>
            </w:tr>
            <w:tr w14:paraId="5D190279">
              <w:tblPrEx>
                <w:tblCellMar>
                  <w:top w:w="0" w:type="dxa"/>
                  <w:left w:w="108" w:type="dxa"/>
                  <w:bottom w:w="0" w:type="dxa"/>
                  <w:right w:w="108" w:type="dxa"/>
                </w:tblCellMar>
              </w:tblPrEx>
              <w:trPr>
                <w:trHeight w:val="454" w:hRule="exact"/>
                <w:jc w:val="center"/>
              </w:trPr>
              <w:tc>
                <w:tcPr>
                  <w:tcW w:w="1775" w:type="dxa"/>
                  <w:tcBorders>
                    <w:top w:val="single" w:color="000000" w:sz="4" w:space="0"/>
                    <w:left w:val="single" w:color="000000" w:sz="4" w:space="0"/>
                    <w:bottom w:val="single" w:color="000000" w:sz="4" w:space="0"/>
                    <w:right w:val="single" w:color="000000" w:sz="4" w:space="0"/>
                  </w:tcBorders>
                  <w:vAlign w:val="center"/>
                </w:tcPr>
                <w:p w14:paraId="0BF1062C">
                  <w:pPr>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r>
                    <w:rPr>
                      <w:rFonts w:hint="eastAsia" w:ascii="宋体" w:hAnsi="宋体" w:eastAsia="宋体" w:cs="宋体"/>
                      <w:color w:val="auto"/>
                      <w:kern w:val="0"/>
                      <w:sz w:val="24"/>
                      <w:szCs w:val="24"/>
                      <w:highlight w:val="none"/>
                    </w:rPr>
                    <w:t>%</w:t>
                  </w:r>
                  <w:r>
                    <w:rPr>
                      <w:rFonts w:hint="eastAsia" w:ascii="宋体" w:hAnsi="宋体" w:eastAsia="宋体" w:cs="宋体"/>
                      <w:snapToGrid w:val="0"/>
                      <w:color w:val="auto"/>
                      <w:kern w:val="0"/>
                      <w:sz w:val="24"/>
                      <w:szCs w:val="24"/>
                      <w:highlight w:val="none"/>
                    </w:rPr>
                    <w:t>）</w:t>
                  </w:r>
                </w:p>
              </w:tc>
              <w:tc>
                <w:tcPr>
                  <w:tcW w:w="794" w:type="dxa"/>
                  <w:tcBorders>
                    <w:top w:val="single" w:color="000000" w:sz="4" w:space="0"/>
                    <w:left w:val="single" w:color="000000" w:sz="4" w:space="0"/>
                    <w:bottom w:val="single" w:color="000000" w:sz="4" w:space="0"/>
                    <w:right w:val="single" w:color="000000" w:sz="4" w:space="0"/>
                  </w:tcBorders>
                  <w:vAlign w:val="center"/>
                </w:tcPr>
                <w:p w14:paraId="3012E6E3">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3.7</w:t>
                  </w:r>
                </w:p>
              </w:tc>
              <w:tc>
                <w:tcPr>
                  <w:tcW w:w="830" w:type="dxa"/>
                  <w:tcBorders>
                    <w:top w:val="single" w:color="000000" w:sz="4" w:space="0"/>
                    <w:left w:val="single" w:color="000000" w:sz="4" w:space="0"/>
                    <w:bottom w:val="single" w:color="000000" w:sz="4" w:space="0"/>
                    <w:right w:val="single" w:color="000000" w:sz="4" w:space="0"/>
                  </w:tcBorders>
                  <w:vAlign w:val="center"/>
                </w:tcPr>
                <w:p w14:paraId="5F653750">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3.8</w:t>
                  </w:r>
                </w:p>
              </w:tc>
              <w:tc>
                <w:tcPr>
                  <w:tcW w:w="864" w:type="dxa"/>
                  <w:tcBorders>
                    <w:top w:val="single" w:color="000000" w:sz="4" w:space="0"/>
                    <w:left w:val="single" w:color="000000" w:sz="4" w:space="0"/>
                    <w:bottom w:val="single" w:color="000000" w:sz="4" w:space="0"/>
                    <w:right w:val="single" w:color="000000" w:sz="4" w:space="0"/>
                  </w:tcBorders>
                  <w:vAlign w:val="center"/>
                </w:tcPr>
                <w:p w14:paraId="0CDA1BF2">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3.9</w:t>
                  </w:r>
                </w:p>
              </w:tc>
              <w:tc>
                <w:tcPr>
                  <w:tcW w:w="848" w:type="dxa"/>
                  <w:tcBorders>
                    <w:top w:val="single" w:color="000000" w:sz="4" w:space="0"/>
                    <w:left w:val="single" w:color="000000" w:sz="4" w:space="0"/>
                    <w:bottom w:val="single" w:color="000000" w:sz="4" w:space="0"/>
                    <w:right w:val="single" w:color="000000" w:sz="4" w:space="0"/>
                  </w:tcBorders>
                  <w:vAlign w:val="center"/>
                </w:tcPr>
                <w:p w14:paraId="3A6B73EF">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4.0</w:t>
                  </w:r>
                </w:p>
              </w:tc>
              <w:tc>
                <w:tcPr>
                  <w:tcW w:w="882" w:type="dxa"/>
                  <w:tcBorders>
                    <w:top w:val="single" w:color="000000" w:sz="4" w:space="0"/>
                    <w:left w:val="single" w:color="000000" w:sz="4" w:space="0"/>
                    <w:bottom w:val="single" w:color="000000" w:sz="4" w:space="0"/>
                    <w:right w:val="single" w:color="000000" w:sz="4" w:space="0"/>
                  </w:tcBorders>
                  <w:vAlign w:val="center"/>
                </w:tcPr>
                <w:p w14:paraId="48F4F6E7">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4.1</w:t>
                  </w:r>
                </w:p>
              </w:tc>
              <w:tc>
                <w:tcPr>
                  <w:tcW w:w="829" w:type="dxa"/>
                  <w:tcBorders>
                    <w:top w:val="single" w:color="000000" w:sz="4" w:space="0"/>
                    <w:left w:val="single" w:color="000000" w:sz="4" w:space="0"/>
                    <w:bottom w:val="single" w:color="000000" w:sz="4" w:space="0"/>
                    <w:right w:val="single" w:color="000000" w:sz="4" w:space="0"/>
                  </w:tcBorders>
                  <w:vAlign w:val="center"/>
                </w:tcPr>
                <w:p w14:paraId="4B65DC45">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4.2</w:t>
                  </w:r>
                </w:p>
              </w:tc>
              <w:tc>
                <w:tcPr>
                  <w:tcW w:w="819" w:type="dxa"/>
                  <w:tcBorders>
                    <w:top w:val="single" w:color="000000" w:sz="4" w:space="0"/>
                    <w:left w:val="single" w:color="000000" w:sz="4" w:space="0"/>
                    <w:bottom w:val="single" w:color="000000" w:sz="4" w:space="0"/>
                    <w:right w:val="single" w:color="000000" w:sz="4" w:space="0"/>
                  </w:tcBorders>
                  <w:vAlign w:val="center"/>
                </w:tcPr>
                <w:p w14:paraId="24089107">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4.3</w:t>
                  </w:r>
                </w:p>
              </w:tc>
            </w:tr>
            <w:tr w14:paraId="23350573">
              <w:tblPrEx>
                <w:tblCellMar>
                  <w:top w:w="0" w:type="dxa"/>
                  <w:left w:w="108" w:type="dxa"/>
                  <w:bottom w:w="0" w:type="dxa"/>
                  <w:right w:w="108" w:type="dxa"/>
                </w:tblCellMar>
              </w:tblPrEx>
              <w:trPr>
                <w:trHeight w:val="454" w:hRule="exact"/>
                <w:jc w:val="center"/>
              </w:trPr>
              <w:tc>
                <w:tcPr>
                  <w:tcW w:w="1775" w:type="dxa"/>
                  <w:tcBorders>
                    <w:top w:val="single" w:color="000000" w:sz="4" w:space="0"/>
                    <w:left w:val="single" w:color="000000" w:sz="4" w:space="0"/>
                    <w:bottom w:val="single" w:color="000000" w:sz="4" w:space="0"/>
                    <w:right w:val="single" w:color="000000" w:sz="4" w:space="0"/>
                  </w:tcBorders>
                  <w:vAlign w:val="center"/>
                </w:tcPr>
                <w:p w14:paraId="5871E2AD">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2096E6A8">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17098E4E">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31C9369B">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1ED43407">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2160173E">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7AD8D339">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57B80B4C">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r>
            <w:tr w14:paraId="05ED75C0">
              <w:tblPrEx>
                <w:tblCellMar>
                  <w:top w:w="0" w:type="dxa"/>
                  <w:left w:w="108" w:type="dxa"/>
                  <w:bottom w:w="0" w:type="dxa"/>
                  <w:right w:w="108" w:type="dxa"/>
                </w:tblCellMar>
              </w:tblPrEx>
              <w:trPr>
                <w:trHeight w:val="454" w:hRule="exact"/>
                <w:jc w:val="center"/>
              </w:trPr>
              <w:tc>
                <w:tcPr>
                  <w:tcW w:w="1775" w:type="dxa"/>
                  <w:tcBorders>
                    <w:top w:val="single" w:color="000000" w:sz="4" w:space="0"/>
                    <w:left w:val="single" w:color="000000" w:sz="4" w:space="0"/>
                    <w:bottom w:val="single" w:color="000000" w:sz="4" w:space="0"/>
                    <w:right w:val="single" w:color="000000" w:sz="4" w:space="0"/>
                  </w:tcBorders>
                  <w:vAlign w:val="center"/>
                </w:tcPr>
                <w:p w14:paraId="68110A04">
                  <w:pPr>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r>
                    <w:rPr>
                      <w:rFonts w:hint="eastAsia" w:ascii="宋体" w:hAnsi="宋体" w:eastAsia="宋体" w:cs="宋体"/>
                      <w:color w:val="auto"/>
                      <w:kern w:val="0"/>
                      <w:sz w:val="24"/>
                      <w:szCs w:val="24"/>
                      <w:highlight w:val="none"/>
                    </w:rPr>
                    <w:t>%</w:t>
                  </w:r>
                  <w:r>
                    <w:rPr>
                      <w:rFonts w:hint="eastAsia" w:ascii="宋体" w:hAnsi="宋体" w:eastAsia="宋体" w:cs="宋体"/>
                      <w:snapToGrid w:val="0"/>
                      <w:color w:val="auto"/>
                      <w:kern w:val="0"/>
                      <w:sz w:val="24"/>
                      <w:szCs w:val="24"/>
                      <w:highlight w:val="none"/>
                    </w:rPr>
                    <w:t>）</w:t>
                  </w:r>
                </w:p>
              </w:tc>
              <w:tc>
                <w:tcPr>
                  <w:tcW w:w="794" w:type="dxa"/>
                  <w:tcBorders>
                    <w:top w:val="single" w:color="000000" w:sz="4" w:space="0"/>
                    <w:left w:val="single" w:color="000000" w:sz="4" w:space="0"/>
                    <w:bottom w:val="single" w:color="000000" w:sz="4" w:space="0"/>
                    <w:right w:val="single" w:color="000000" w:sz="4" w:space="0"/>
                  </w:tcBorders>
                  <w:vAlign w:val="center"/>
                </w:tcPr>
                <w:p w14:paraId="4D0A7981">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4.4</w:t>
                  </w:r>
                </w:p>
              </w:tc>
              <w:tc>
                <w:tcPr>
                  <w:tcW w:w="830" w:type="dxa"/>
                  <w:tcBorders>
                    <w:top w:val="single" w:color="000000" w:sz="4" w:space="0"/>
                    <w:left w:val="single" w:color="000000" w:sz="4" w:space="0"/>
                    <w:bottom w:val="single" w:color="000000" w:sz="4" w:space="0"/>
                    <w:right w:val="single" w:color="000000" w:sz="4" w:space="0"/>
                  </w:tcBorders>
                  <w:vAlign w:val="center"/>
                </w:tcPr>
                <w:p w14:paraId="3384E2E9">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4.5</w:t>
                  </w:r>
                </w:p>
              </w:tc>
              <w:tc>
                <w:tcPr>
                  <w:tcW w:w="864" w:type="dxa"/>
                  <w:tcBorders>
                    <w:top w:val="single" w:color="000000" w:sz="4" w:space="0"/>
                    <w:left w:val="single" w:color="000000" w:sz="4" w:space="0"/>
                    <w:bottom w:val="single" w:color="000000" w:sz="4" w:space="0"/>
                    <w:right w:val="single" w:color="000000" w:sz="4" w:space="0"/>
                  </w:tcBorders>
                  <w:vAlign w:val="center"/>
                </w:tcPr>
                <w:p w14:paraId="3A33701F">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4.6</w:t>
                  </w:r>
                </w:p>
              </w:tc>
              <w:tc>
                <w:tcPr>
                  <w:tcW w:w="848" w:type="dxa"/>
                  <w:tcBorders>
                    <w:top w:val="single" w:color="000000" w:sz="4" w:space="0"/>
                    <w:left w:val="single" w:color="000000" w:sz="4" w:space="0"/>
                    <w:bottom w:val="single" w:color="000000" w:sz="4" w:space="0"/>
                    <w:right w:val="single" w:color="000000" w:sz="4" w:space="0"/>
                  </w:tcBorders>
                  <w:vAlign w:val="center"/>
                </w:tcPr>
                <w:p w14:paraId="481B9426">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4.7</w:t>
                  </w:r>
                </w:p>
              </w:tc>
              <w:tc>
                <w:tcPr>
                  <w:tcW w:w="882" w:type="dxa"/>
                  <w:tcBorders>
                    <w:top w:val="single" w:color="000000" w:sz="4" w:space="0"/>
                    <w:left w:val="single" w:color="000000" w:sz="4" w:space="0"/>
                    <w:bottom w:val="single" w:color="000000" w:sz="4" w:space="0"/>
                    <w:right w:val="single" w:color="000000" w:sz="4" w:space="0"/>
                  </w:tcBorders>
                  <w:vAlign w:val="center"/>
                </w:tcPr>
                <w:p w14:paraId="42630EE4">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4.8</w:t>
                  </w:r>
                </w:p>
              </w:tc>
              <w:tc>
                <w:tcPr>
                  <w:tcW w:w="829" w:type="dxa"/>
                  <w:tcBorders>
                    <w:top w:val="single" w:color="000000" w:sz="4" w:space="0"/>
                    <w:left w:val="single" w:color="000000" w:sz="4" w:space="0"/>
                    <w:bottom w:val="single" w:color="000000" w:sz="4" w:space="0"/>
                    <w:right w:val="single" w:color="000000" w:sz="4" w:space="0"/>
                  </w:tcBorders>
                  <w:vAlign w:val="center"/>
                </w:tcPr>
                <w:p w14:paraId="4D0B31B9">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4.9</w:t>
                  </w:r>
                </w:p>
              </w:tc>
              <w:tc>
                <w:tcPr>
                  <w:tcW w:w="819" w:type="dxa"/>
                  <w:tcBorders>
                    <w:top w:val="single" w:color="000000" w:sz="4" w:space="0"/>
                    <w:left w:val="single" w:color="000000" w:sz="4" w:space="0"/>
                    <w:bottom w:val="single" w:color="000000" w:sz="4" w:space="0"/>
                    <w:right w:val="single" w:color="000000" w:sz="4" w:space="0"/>
                  </w:tcBorders>
                  <w:vAlign w:val="center"/>
                </w:tcPr>
                <w:p w14:paraId="49D23857">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w:t>
                  </w:r>
                </w:p>
              </w:tc>
            </w:tr>
          </w:tbl>
          <w:p w14:paraId="6EFA6CFA">
            <w:pPr>
              <w:widowControl w:val="0"/>
              <w:wordWrap w:val="0"/>
              <w:adjustRightInd w:val="0"/>
              <w:snapToGrid w:val="0"/>
              <w:spacing w:line="240" w:lineRule="auto"/>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（2）评标基准价D＝</w:t>
            </w:r>
            <w:r>
              <w:rPr>
                <w:rFonts w:hint="eastAsia" w:ascii="宋体" w:hAnsi="宋体" w:eastAsia="宋体" w:cs="宋体"/>
                <w:snapToGrid w:val="0"/>
                <w:color w:val="auto"/>
                <w:kern w:val="0"/>
                <w:sz w:val="24"/>
                <w:szCs w:val="24"/>
                <w:highlight w:val="none"/>
                <w:lang w:val="en-US" w:eastAsia="zh-CN"/>
              </w:rPr>
              <w:t>最高投标限价</w:t>
            </w:r>
            <w:r>
              <w:rPr>
                <w:rFonts w:hint="eastAsia" w:ascii="宋体" w:hAnsi="宋体" w:eastAsia="宋体" w:cs="宋体"/>
                <w:snapToGrid w:val="0"/>
                <w:color w:val="auto"/>
                <w:kern w:val="0"/>
                <w:sz w:val="24"/>
                <w:szCs w:val="24"/>
                <w:highlight w:val="none"/>
              </w:rPr>
              <w:t>×（1－n）</w:t>
            </w:r>
          </w:p>
        </w:tc>
      </w:tr>
      <w:tr w14:paraId="7111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4A527BF7">
            <w:pPr>
              <w:pStyle w:val="36"/>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5E87DA86">
            <w:pPr>
              <w:pStyle w:val="36"/>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得分N</w:t>
            </w:r>
          </w:p>
        </w:tc>
        <w:tc>
          <w:tcPr>
            <w:tcW w:w="8806" w:type="dxa"/>
            <w:gridSpan w:val="2"/>
            <w:shd w:val="clear" w:color="auto" w:fill="auto"/>
            <w:vAlign w:val="center"/>
          </w:tcPr>
          <w:p w14:paraId="0BEAA934">
            <w:pPr>
              <w:widowControl w:val="0"/>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采用内插法计算某投标人的投标报价得分N，即当投标人的投标总价等于评标基准价时得100分，每高于评标基准价一个百分点扣1分</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每低于评标基准价一个百分点扣0.5分，扣完为止。公式如下：</w:t>
            </w:r>
          </w:p>
          <w:p w14:paraId="59E7C35F">
            <w:pPr>
              <w:widowControl w:val="0"/>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N＝100－（|Di－D|÷D）×100×E</w:t>
            </w:r>
          </w:p>
          <w:p w14:paraId="37661615">
            <w:pPr>
              <w:widowControl w:val="0"/>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式中：D为评标基准价；Di为某投标人的投标总价；E为扣分因子，当Di＞D时，E＝1；当Di＜D时，E＝0.5。</w:t>
            </w:r>
          </w:p>
        </w:tc>
      </w:tr>
    </w:tbl>
    <w:p w14:paraId="53CCC284">
      <w:pPr>
        <w:spacing w:line="360" w:lineRule="auto"/>
        <w:ind w:firstLine="482" w:firstLineChars="20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注：技术部分（施工组织设计）评分：各投标人的技术文件的最终评分低于技术部分满分（20分）的65%或高于95%的，评委必须详细阐述具体理由（字数不少于50字）。</w:t>
      </w:r>
    </w:p>
    <w:p w14:paraId="52CE272C">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15.5.2 否决投标说明</w:t>
      </w:r>
    </w:p>
    <w:p w14:paraId="1B5B00B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详细评审阶段否决投标的全部条件，在本章第四节“否决投标条件”第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6084B3D1">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bookmarkStart w:id="91" w:name="_Toc21502"/>
      <w:bookmarkStart w:id="92" w:name="_Toc30413"/>
      <w:bookmarkStart w:id="93" w:name="_Toc3180"/>
      <w:bookmarkStart w:id="94" w:name="_Toc12478"/>
      <w:bookmarkStart w:id="95" w:name="_Toc19642"/>
      <w:bookmarkStart w:id="96" w:name="_Toc4008"/>
      <w:bookmarkStart w:id="97" w:name="_Toc1471"/>
      <w:bookmarkStart w:id="98" w:name="_Toc17835"/>
      <w:bookmarkStart w:id="99" w:name="_Toc9095"/>
      <w:r>
        <w:rPr>
          <w:rFonts w:hint="eastAsia" w:ascii="宋体" w:hAnsi="宋体" w:eastAsia="宋体" w:cs="宋体"/>
          <w:b/>
          <w:bCs/>
          <w:color w:val="auto"/>
          <w:sz w:val="24"/>
          <w:szCs w:val="24"/>
          <w:highlight w:val="none"/>
        </w:rPr>
        <w:t>注：投标人在详细评审阶段根据评分方法提供的佐证材料，其合法性、有效性和准确性不符合要求的，有关量化因素（或评分标准）的折算、调整（或评分）按相应量化标准（或评分标准）处理，但不否决投标。</w:t>
      </w:r>
      <w:bookmarkEnd w:id="91"/>
      <w:bookmarkEnd w:id="92"/>
      <w:bookmarkEnd w:id="93"/>
      <w:bookmarkEnd w:id="94"/>
      <w:bookmarkEnd w:id="95"/>
      <w:bookmarkEnd w:id="96"/>
      <w:bookmarkEnd w:id="97"/>
      <w:bookmarkEnd w:id="98"/>
      <w:bookmarkEnd w:id="99"/>
      <w:bookmarkStart w:id="100" w:name="_Toc8153"/>
    </w:p>
    <w:p w14:paraId="4F8EB135">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bookmarkStart w:id="101" w:name="_Toc18711"/>
      <w:bookmarkStart w:id="102" w:name="_Toc13897"/>
      <w:bookmarkStart w:id="103" w:name="_Toc19232"/>
      <w:bookmarkStart w:id="104" w:name="_Toc7762"/>
      <w:bookmarkStart w:id="105" w:name="_Toc2769"/>
      <w:r>
        <w:rPr>
          <w:rFonts w:hint="eastAsia" w:ascii="宋体" w:hAnsi="宋体" w:eastAsia="宋体" w:cs="宋体"/>
          <w:b/>
          <w:bCs/>
          <w:color w:val="auto"/>
          <w:kern w:val="0"/>
          <w:sz w:val="24"/>
          <w:szCs w:val="24"/>
          <w:highlight w:val="none"/>
          <w:lang w:val="en-US" w:eastAsia="zh-CN"/>
        </w:rPr>
        <w:t>16．</w:t>
      </w:r>
      <w:bookmarkEnd w:id="100"/>
      <w:bookmarkEnd w:id="101"/>
      <w:bookmarkEnd w:id="102"/>
      <w:bookmarkEnd w:id="103"/>
      <w:bookmarkEnd w:id="104"/>
      <w:bookmarkEnd w:id="105"/>
      <w:r>
        <w:rPr>
          <w:rFonts w:hint="eastAsia" w:ascii="宋体" w:hAnsi="宋体" w:eastAsia="宋体" w:cs="宋体"/>
          <w:b/>
          <w:bCs/>
          <w:color w:val="auto"/>
          <w:kern w:val="0"/>
          <w:sz w:val="24"/>
          <w:szCs w:val="24"/>
          <w:highlight w:val="none"/>
          <w:lang w:val="en-US" w:eastAsia="zh-CN"/>
        </w:rPr>
        <w:t>定标候选人公示</w:t>
      </w:r>
    </w:p>
    <w:p w14:paraId="2EE1802C">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16.1</w:t>
      </w:r>
      <w:r>
        <w:rPr>
          <w:rFonts w:hint="eastAsia" w:ascii="宋体" w:hAnsi="宋体" w:eastAsia="宋体" w:cs="宋体"/>
          <w:snapToGrid w:val="0"/>
          <w:color w:val="auto"/>
          <w:kern w:val="0"/>
          <w:sz w:val="24"/>
          <w:szCs w:val="24"/>
          <w:highlight w:val="none"/>
        </w:rPr>
        <w:t xml:space="preserve"> 评标委员会按照</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评审综合总得分</w:t>
      </w:r>
      <w:r>
        <w:rPr>
          <w:rFonts w:hint="eastAsia" w:ascii="宋体" w:hAnsi="宋体" w:eastAsia="宋体" w:cs="宋体"/>
          <w:snapToGrid w:val="0"/>
          <w:color w:val="auto"/>
          <w:kern w:val="0"/>
          <w:sz w:val="24"/>
          <w:szCs w:val="24"/>
          <w:highlight w:val="none"/>
          <w:lang w:eastAsia="zh-CN"/>
        </w:rPr>
        <w:t>由</w:t>
      </w:r>
      <w:r>
        <w:rPr>
          <w:rFonts w:hint="eastAsia" w:ascii="宋体" w:hAnsi="宋体" w:eastAsia="宋体" w:cs="宋体"/>
          <w:snapToGrid w:val="0"/>
          <w:color w:val="auto"/>
          <w:kern w:val="0"/>
          <w:sz w:val="24"/>
          <w:szCs w:val="24"/>
          <w:highlight w:val="none"/>
        </w:rPr>
        <w:t>高</w:t>
      </w:r>
      <w:r>
        <w:rPr>
          <w:rFonts w:hint="eastAsia" w:ascii="宋体" w:hAnsi="宋体" w:eastAsia="宋体" w:cs="宋体"/>
          <w:snapToGrid w:val="0"/>
          <w:color w:val="auto"/>
          <w:kern w:val="0"/>
          <w:sz w:val="24"/>
          <w:szCs w:val="24"/>
          <w:highlight w:val="none"/>
          <w:lang w:eastAsia="zh-CN"/>
        </w:rPr>
        <w:t>到</w:t>
      </w:r>
      <w:r>
        <w:rPr>
          <w:rFonts w:hint="eastAsia" w:ascii="宋体" w:hAnsi="宋体" w:eastAsia="宋体" w:cs="宋体"/>
          <w:snapToGrid w:val="0"/>
          <w:color w:val="auto"/>
          <w:kern w:val="0"/>
          <w:sz w:val="24"/>
          <w:szCs w:val="24"/>
          <w:highlight w:val="none"/>
        </w:rPr>
        <w:t>低的</w:t>
      </w:r>
      <w:r>
        <w:rPr>
          <w:rFonts w:hint="eastAsia" w:ascii="宋体" w:hAnsi="宋体" w:eastAsia="宋体" w:cs="宋体"/>
          <w:snapToGrid w:val="0"/>
          <w:color w:val="auto"/>
          <w:kern w:val="0"/>
          <w:sz w:val="24"/>
          <w:szCs w:val="24"/>
          <w:highlight w:val="none"/>
          <w:lang w:eastAsia="zh-CN"/>
        </w:rPr>
        <w:t>原则，</w:t>
      </w:r>
      <w:r>
        <w:rPr>
          <w:rFonts w:hint="eastAsia" w:ascii="宋体" w:hAnsi="宋体" w:eastAsia="宋体" w:cs="宋体"/>
          <w:snapToGrid w:val="0"/>
          <w:color w:val="auto"/>
          <w:kern w:val="0"/>
          <w:sz w:val="24"/>
          <w:szCs w:val="24"/>
          <w:highlight w:val="none"/>
        </w:rPr>
        <w:t>向招标人推荐</w:t>
      </w:r>
      <w:r>
        <w:rPr>
          <w:rFonts w:hint="eastAsia" w:ascii="宋体" w:hAnsi="宋体" w:eastAsia="宋体" w:cs="宋体"/>
          <w:snapToGrid w:val="0"/>
          <w:color w:val="auto"/>
          <w:kern w:val="0"/>
          <w:sz w:val="24"/>
          <w:szCs w:val="24"/>
          <w:highlight w:val="none"/>
          <w:lang w:val="en-US" w:eastAsia="zh-CN"/>
        </w:rPr>
        <w:t>已明确的</w:t>
      </w:r>
      <w:r>
        <w:rPr>
          <w:rFonts w:hint="eastAsia" w:ascii="宋体" w:hAnsi="宋体" w:eastAsia="宋体" w:cs="宋体"/>
          <w:snapToGrid w:val="0"/>
          <w:color w:val="auto"/>
          <w:kern w:val="0"/>
          <w:sz w:val="24"/>
          <w:szCs w:val="24"/>
          <w:highlight w:val="none"/>
        </w:rPr>
        <w:t>定标候选人</w:t>
      </w:r>
      <w:r>
        <w:rPr>
          <w:rFonts w:hint="eastAsia" w:ascii="宋体" w:hAnsi="宋体" w:eastAsia="宋体" w:cs="宋体"/>
          <w:snapToGrid w:val="0"/>
          <w:color w:val="auto"/>
          <w:kern w:val="0"/>
          <w:sz w:val="24"/>
          <w:szCs w:val="24"/>
          <w:highlight w:val="none"/>
          <w:lang w:eastAsia="zh-CN"/>
        </w:rPr>
        <w:t>数量</w:t>
      </w:r>
      <w:r>
        <w:rPr>
          <w:rFonts w:hint="eastAsia" w:ascii="宋体" w:hAnsi="宋体" w:eastAsia="宋体" w:cs="宋体"/>
          <w:snapToGrid w:val="0"/>
          <w:color w:val="auto"/>
          <w:kern w:val="0"/>
          <w:sz w:val="24"/>
          <w:szCs w:val="24"/>
          <w:highlight w:val="none"/>
        </w:rPr>
        <w:t>（不</w:t>
      </w:r>
      <w:r>
        <w:rPr>
          <w:rFonts w:hint="eastAsia" w:ascii="宋体" w:hAnsi="宋体" w:eastAsia="宋体" w:cs="宋体"/>
          <w:snapToGrid w:val="0"/>
          <w:color w:val="auto"/>
          <w:kern w:val="0"/>
          <w:sz w:val="24"/>
          <w:szCs w:val="24"/>
          <w:highlight w:val="none"/>
          <w:lang w:val="en-US" w:eastAsia="zh-CN"/>
        </w:rPr>
        <w:t>标明</w:t>
      </w:r>
      <w:r>
        <w:rPr>
          <w:rFonts w:hint="eastAsia" w:ascii="宋体" w:hAnsi="宋体" w:eastAsia="宋体" w:cs="宋体"/>
          <w:snapToGrid w:val="0"/>
          <w:color w:val="auto"/>
          <w:kern w:val="0"/>
          <w:sz w:val="24"/>
          <w:szCs w:val="24"/>
          <w:highlight w:val="none"/>
        </w:rPr>
        <w:t>排序）</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评标委员会推荐定标候选人后，</w:t>
      </w:r>
      <w:r>
        <w:rPr>
          <w:rFonts w:hint="eastAsia" w:ascii="宋体" w:hAnsi="宋体" w:eastAsia="宋体" w:cs="宋体"/>
          <w:snapToGrid w:val="0"/>
          <w:color w:val="auto"/>
          <w:kern w:val="0"/>
          <w:sz w:val="24"/>
          <w:szCs w:val="24"/>
          <w:highlight w:val="none"/>
        </w:rPr>
        <w:t>招标人应</w:t>
      </w:r>
      <w:r>
        <w:rPr>
          <w:rFonts w:hint="eastAsia" w:ascii="宋体" w:hAnsi="宋体" w:eastAsia="宋体" w:cs="宋体"/>
          <w:snapToGrid w:val="0"/>
          <w:color w:val="auto"/>
          <w:kern w:val="0"/>
          <w:sz w:val="24"/>
          <w:szCs w:val="24"/>
          <w:highlight w:val="none"/>
          <w:lang w:eastAsia="zh-CN"/>
        </w:rPr>
        <w:t>于评标会结束后</w:t>
      </w:r>
      <w:r>
        <w:rPr>
          <w:rFonts w:hint="eastAsia" w:ascii="宋体" w:hAnsi="宋体" w:eastAsia="宋体" w:cs="宋体"/>
          <w:snapToGrid w:val="0"/>
          <w:color w:val="auto"/>
          <w:kern w:val="0"/>
          <w:sz w:val="24"/>
          <w:szCs w:val="24"/>
          <w:highlight w:val="none"/>
          <w:lang w:val="en-US" w:eastAsia="zh-CN"/>
        </w:rPr>
        <w:t>3日内将</w:t>
      </w:r>
      <w:r>
        <w:rPr>
          <w:rFonts w:hint="eastAsia" w:ascii="宋体" w:hAnsi="宋体" w:eastAsia="宋体" w:cs="宋体"/>
          <w:snapToGrid w:val="0"/>
          <w:color w:val="auto"/>
          <w:kern w:val="0"/>
          <w:sz w:val="24"/>
          <w:szCs w:val="24"/>
          <w:highlight w:val="none"/>
          <w:lang w:eastAsia="zh-CN"/>
        </w:rPr>
        <w:t>定</w:t>
      </w:r>
      <w:r>
        <w:rPr>
          <w:rFonts w:hint="eastAsia" w:ascii="宋体" w:hAnsi="宋体" w:eastAsia="宋体" w:cs="宋体"/>
          <w:snapToGrid w:val="0"/>
          <w:color w:val="auto"/>
          <w:kern w:val="0"/>
          <w:sz w:val="24"/>
          <w:szCs w:val="24"/>
          <w:highlight w:val="none"/>
        </w:rPr>
        <w:t>标候选</w:t>
      </w:r>
      <w:r>
        <w:rPr>
          <w:rFonts w:hint="eastAsia" w:ascii="宋体" w:hAnsi="宋体" w:eastAsia="宋体" w:cs="宋体"/>
          <w:snapToGrid w:val="0"/>
          <w:color w:val="auto"/>
          <w:kern w:val="0"/>
          <w:sz w:val="24"/>
          <w:szCs w:val="24"/>
          <w:highlight w:val="none"/>
          <w:lang w:eastAsia="zh-CN"/>
        </w:rPr>
        <w:t>人和评标情况</w:t>
      </w:r>
      <w:r>
        <w:rPr>
          <w:rFonts w:hint="eastAsia" w:ascii="宋体" w:hAnsi="宋体" w:eastAsia="宋体" w:cs="宋体"/>
          <w:snapToGrid w:val="0"/>
          <w:color w:val="auto"/>
          <w:kern w:val="0"/>
          <w:sz w:val="24"/>
          <w:szCs w:val="24"/>
          <w:highlight w:val="none"/>
          <w:lang w:val="en-US" w:eastAsia="zh-CN"/>
        </w:rPr>
        <w:t>在广东省招标投标监管网和</w:t>
      </w:r>
      <w:r>
        <w:rPr>
          <w:rFonts w:hint="eastAsia" w:ascii="宋体" w:hAnsi="宋体" w:eastAsia="宋体" w:cs="宋体"/>
          <w:snapToGrid w:val="0"/>
          <w:color w:val="auto"/>
          <w:kern w:val="0"/>
          <w:sz w:val="24"/>
          <w:szCs w:val="24"/>
          <w:highlight w:val="none"/>
        </w:rPr>
        <w:t>韶关市公共资源交易中心</w:t>
      </w:r>
      <w:r>
        <w:rPr>
          <w:rFonts w:hint="eastAsia" w:ascii="宋体" w:hAnsi="宋体" w:eastAsia="宋体" w:cs="宋体"/>
          <w:snapToGrid w:val="0"/>
          <w:color w:val="auto"/>
          <w:kern w:val="0"/>
          <w:sz w:val="24"/>
          <w:szCs w:val="24"/>
          <w:highlight w:val="none"/>
          <w:lang w:eastAsia="zh-CN"/>
        </w:rPr>
        <w:t>建设工程交易系统</w:t>
      </w:r>
      <w:r>
        <w:rPr>
          <w:rFonts w:hint="eastAsia" w:ascii="宋体" w:hAnsi="宋体" w:eastAsia="宋体" w:cs="宋体"/>
          <w:snapToGrid w:val="0"/>
          <w:color w:val="auto"/>
          <w:kern w:val="0"/>
          <w:sz w:val="24"/>
          <w:szCs w:val="24"/>
          <w:highlight w:val="none"/>
          <w:lang w:val="en-US" w:eastAsia="zh-CN"/>
        </w:rPr>
        <w:t>上</w:t>
      </w:r>
      <w:r>
        <w:rPr>
          <w:rFonts w:hint="eastAsia" w:ascii="宋体" w:hAnsi="宋体" w:eastAsia="宋体" w:cs="宋体"/>
          <w:snapToGrid w:val="0"/>
          <w:color w:val="auto"/>
          <w:kern w:val="0"/>
          <w:sz w:val="24"/>
          <w:szCs w:val="24"/>
          <w:highlight w:val="none"/>
        </w:rPr>
        <w:t>公示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公示时间不少于3日。</w:t>
      </w:r>
      <w:r>
        <w:rPr>
          <w:rFonts w:hint="eastAsia" w:ascii="宋体" w:hAnsi="宋体" w:eastAsia="宋体" w:cs="宋体"/>
          <w:snapToGrid w:val="0"/>
          <w:color w:val="auto"/>
          <w:kern w:val="0"/>
          <w:sz w:val="24"/>
          <w:szCs w:val="24"/>
          <w:highlight w:val="none"/>
          <w:lang w:eastAsia="zh-CN"/>
        </w:rPr>
        <w:t>公示主要内容包括：（</w:t>
      </w:r>
      <w:r>
        <w:rPr>
          <w:rFonts w:hint="eastAsia" w:ascii="宋体" w:hAnsi="宋体" w:eastAsia="宋体" w:cs="宋体"/>
          <w:snapToGrid w:val="0"/>
          <w:color w:val="auto"/>
          <w:kern w:val="0"/>
          <w:sz w:val="24"/>
          <w:szCs w:val="24"/>
          <w:highlight w:val="none"/>
          <w:lang w:val="en-US" w:eastAsia="zh-CN"/>
        </w:rPr>
        <w:t>1）定标候选人名称、投标报价、业绩奖项、质量、工期、拟派驻招标项目管理机构人员信息等；（2）定标候选人按照招标文件要求承诺的项目负责人姓名及相关证书名称和编号；（3）响应招标文件要求的资格能力条件；（4）提出异议的渠道和方式；（5）评标专家代码（评标专家姓名可用代码进行标示，如专家一、专家二等）及其对应的具体评标意见（含对否决投标人相关意见等）以及评标报告；（6）投标文件；（7）招标文件确认公示的其他内容。</w:t>
      </w:r>
    </w:p>
    <w:p w14:paraId="356FE6EB">
      <w:pPr>
        <w:rPr>
          <w:rFonts w:hint="eastAsia" w:ascii="宋体" w:hAnsi="宋体" w:eastAsia="宋体" w:cs="宋体"/>
          <w:color w:val="auto"/>
        </w:rPr>
      </w:pPr>
      <w:bookmarkStart w:id="106" w:name="_Toc21572"/>
      <w:bookmarkStart w:id="107" w:name="_Toc9616"/>
      <w:bookmarkStart w:id="108" w:name="_Toc7139"/>
      <w:bookmarkStart w:id="109" w:name="_Toc32101"/>
      <w:bookmarkStart w:id="110" w:name="_Toc611"/>
      <w:bookmarkStart w:id="111" w:name="_Toc11724"/>
      <w:bookmarkStart w:id="112" w:name="_Toc1623"/>
      <w:bookmarkStart w:id="113" w:name="_Toc26670"/>
      <w:bookmarkStart w:id="114" w:name="_Toc19086"/>
      <w:bookmarkStart w:id="115" w:name="_Toc18634"/>
      <w:bookmarkStart w:id="116" w:name="_Toc14558"/>
    </w:p>
    <w:p w14:paraId="77629CE2">
      <w:pPr>
        <w:rPr>
          <w:rFonts w:hint="eastAsia" w:ascii="宋体" w:hAnsi="宋体" w:eastAsia="宋体" w:cs="宋体"/>
          <w:color w:val="auto"/>
        </w:rPr>
      </w:pPr>
    </w:p>
    <w:p w14:paraId="5F299F85">
      <w:pPr>
        <w:rPr>
          <w:rFonts w:hint="eastAsia" w:ascii="宋体" w:hAnsi="宋体" w:eastAsia="宋体" w:cs="宋体"/>
          <w:color w:val="auto"/>
        </w:rPr>
      </w:pPr>
    </w:p>
    <w:p w14:paraId="72EC7890">
      <w:pPr>
        <w:rPr>
          <w:rFonts w:hint="eastAsia" w:ascii="宋体" w:hAnsi="宋体" w:eastAsia="宋体" w:cs="宋体"/>
          <w:color w:val="auto"/>
        </w:rPr>
      </w:pPr>
    </w:p>
    <w:p w14:paraId="7F83B984">
      <w:pPr>
        <w:rPr>
          <w:rFonts w:hint="eastAsia" w:ascii="宋体" w:hAnsi="宋体" w:eastAsia="宋体" w:cs="宋体"/>
          <w:color w:val="auto"/>
        </w:rPr>
      </w:pPr>
    </w:p>
    <w:p w14:paraId="44D4F83C">
      <w:pPr>
        <w:rPr>
          <w:rFonts w:hint="eastAsia" w:ascii="宋体" w:hAnsi="宋体" w:eastAsia="宋体" w:cs="宋体"/>
          <w:color w:val="auto"/>
        </w:rPr>
      </w:pPr>
    </w:p>
    <w:p w14:paraId="31D1D02C">
      <w:pPr>
        <w:rPr>
          <w:rFonts w:hint="eastAsia" w:ascii="宋体" w:hAnsi="宋体" w:eastAsia="宋体" w:cs="宋体"/>
          <w:color w:val="auto"/>
        </w:rPr>
      </w:pPr>
    </w:p>
    <w:p w14:paraId="61C0B7B4">
      <w:pPr>
        <w:rPr>
          <w:rFonts w:hint="eastAsia" w:ascii="宋体" w:hAnsi="宋体" w:eastAsia="宋体" w:cs="宋体"/>
          <w:color w:val="auto"/>
        </w:rPr>
      </w:pPr>
    </w:p>
    <w:p w14:paraId="60C1A9ED">
      <w:pPr>
        <w:rPr>
          <w:rFonts w:hint="eastAsia" w:ascii="宋体" w:hAnsi="宋体" w:eastAsia="宋体" w:cs="宋体"/>
          <w:color w:val="auto"/>
        </w:rPr>
      </w:pPr>
    </w:p>
    <w:p w14:paraId="2934E943">
      <w:pPr>
        <w:rPr>
          <w:rFonts w:hint="eastAsia" w:ascii="宋体" w:hAnsi="宋体" w:eastAsia="宋体" w:cs="宋体"/>
          <w:color w:val="auto"/>
        </w:rPr>
      </w:pPr>
    </w:p>
    <w:p w14:paraId="6AA9BC39">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117" w:name="_Toc1447"/>
      <w:r>
        <w:rPr>
          <w:rFonts w:hint="eastAsia" w:ascii="宋体" w:hAnsi="宋体" w:eastAsia="宋体" w:cs="宋体"/>
          <w:color w:val="auto"/>
          <w:kern w:val="2"/>
          <w:sz w:val="28"/>
          <w:szCs w:val="24"/>
          <w:lang w:val="en-US" w:eastAsia="zh-CN"/>
        </w:rPr>
        <w:t>第四节   否决投标条件</w:t>
      </w:r>
      <w:bookmarkEnd w:id="106"/>
      <w:bookmarkEnd w:id="107"/>
      <w:bookmarkEnd w:id="108"/>
      <w:bookmarkEnd w:id="109"/>
      <w:bookmarkEnd w:id="110"/>
      <w:bookmarkEnd w:id="111"/>
      <w:bookmarkEnd w:id="112"/>
      <w:bookmarkEnd w:id="113"/>
      <w:bookmarkEnd w:id="114"/>
      <w:bookmarkEnd w:id="115"/>
      <w:bookmarkEnd w:id="116"/>
      <w:bookmarkEnd w:id="117"/>
    </w:p>
    <w:p w14:paraId="3E79976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sz w:val="24"/>
          <w:szCs w:val="24"/>
          <w:highlight w:val="none"/>
        </w:rPr>
        <w:t>投标人未有列入本节情形的，评标时一律不得否决其投标。</w:t>
      </w:r>
      <w:r>
        <w:rPr>
          <w:rFonts w:hint="eastAsia" w:ascii="宋体" w:hAnsi="宋体" w:eastAsia="宋体" w:cs="宋体"/>
          <w:snapToGrid w:val="0"/>
          <w:color w:val="auto"/>
          <w:kern w:val="0"/>
          <w:sz w:val="24"/>
          <w:szCs w:val="24"/>
          <w:highlight w:val="none"/>
        </w:rPr>
        <w:t>本节所称“规定”均指招标文件的规定。</w:t>
      </w:r>
    </w:p>
    <w:p w14:paraId="506D35C1">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rPr>
      </w:pPr>
      <w:bookmarkStart w:id="118" w:name="_Toc4922"/>
      <w:r>
        <w:rPr>
          <w:rFonts w:hint="eastAsia" w:ascii="宋体" w:hAnsi="宋体" w:eastAsia="宋体" w:cs="宋体"/>
          <w:b/>
          <w:bCs/>
          <w:color w:val="auto"/>
          <w:kern w:val="0"/>
          <w:sz w:val="24"/>
          <w:szCs w:val="24"/>
          <w:highlight w:val="none"/>
        </w:rPr>
        <w:t>1．资格评审环节</w:t>
      </w:r>
      <w:bookmarkEnd w:id="118"/>
    </w:p>
    <w:p w14:paraId="38A5653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投标人有下列情形之一的，评标委员会应否决其投标。被否决的投标人，不进入形式评审环节。</w:t>
      </w:r>
    </w:p>
    <w:p w14:paraId="7FE34D2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（1）有本章第三节第</w:t>
      </w: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条“禁止投标条款”规定的任何一种情形；</w:t>
      </w:r>
    </w:p>
    <w:p w14:paraId="3046840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（2）投标人资质不符合规定的；</w:t>
      </w:r>
    </w:p>
    <w:p w14:paraId="409815D8">
      <w:pPr>
        <w:keepNext w:val="0"/>
        <w:keepLines w:val="0"/>
        <w:pageBreakBefore w:val="0"/>
        <w:widowControl w:val="0"/>
        <w:suppressLineNumbers w:val="0"/>
        <w:kinsoku/>
        <w:wordWrap w:val="0"/>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（3）投标人名称与营业执照、资质证书、安全生产许可证上的企业名称相互不一致的；其资质证书、安全生产许可证不是由住房城乡建设主管部门颁发的；营业执照、资质证书、</w:t>
      </w:r>
      <w:r>
        <w:rPr>
          <w:rFonts w:hint="eastAsia" w:ascii="宋体" w:hAnsi="宋体" w:eastAsia="宋体" w:cs="宋体"/>
          <w:b/>
          <w:bCs/>
          <w:snapToGrid w:val="0"/>
          <w:color w:val="auto"/>
          <w:kern w:val="0"/>
          <w:sz w:val="24"/>
          <w:szCs w:val="24"/>
          <w:highlight w:val="none"/>
        </w:rPr>
        <w:t>安全生产许可证</w:t>
      </w:r>
      <w:r>
        <w:rPr>
          <w:rFonts w:hint="eastAsia" w:ascii="宋体" w:hAnsi="宋体" w:eastAsia="宋体" w:cs="宋体"/>
          <w:b/>
          <w:bCs/>
          <w:color w:val="auto"/>
          <w:kern w:val="0"/>
          <w:sz w:val="24"/>
          <w:szCs w:val="24"/>
          <w:highlight w:val="none"/>
          <w:lang w:val="en-US" w:eastAsia="zh-CN" w:bidi="ar"/>
        </w:rPr>
        <w:t>（含实时网页查询页，可参考网址 https：//zlaq.mohurd.gov.cn/fwmh/bjxcjgl/fwmh/pages/construction_safety/qyaqscxkz/qyaqscxk）被</w:t>
      </w:r>
      <w:r>
        <w:rPr>
          <w:rFonts w:hint="eastAsia" w:ascii="宋体" w:hAnsi="宋体" w:eastAsia="宋体" w:cs="宋体"/>
          <w:b/>
          <w:bCs/>
          <w:snapToGrid w:val="0"/>
          <w:color w:val="auto"/>
          <w:kern w:val="0"/>
          <w:sz w:val="24"/>
          <w:szCs w:val="24"/>
          <w:highlight w:val="none"/>
        </w:rPr>
        <w:t>吊销、暂扣或不在有效期内的；</w:t>
      </w:r>
    </w:p>
    <w:p w14:paraId="49EEA017">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75F4C14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（4）拟派项目经理、项目技术负责人、专职安全员的条件不符合规定的；拟派专职安全员数量不符合规定的；技术负责人未在投标文件《项目技术负责人简历表》中签字确认；</w:t>
      </w:r>
    </w:p>
    <w:p w14:paraId="05C48847">
      <w:pPr>
        <w:pStyle w:val="11"/>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温馨提示：建造师打印电子证书后，应在个人签名处手写本人签名，未手写签名或与签名图像笔迹不一致的，该电子证书无效。</w:t>
      </w:r>
    </w:p>
    <w:p w14:paraId="7911155A">
      <w:pPr>
        <w:keepNext w:val="0"/>
        <w:keepLines w:val="0"/>
        <w:pageBreakBefore w:val="0"/>
        <w:widowControl w:val="0"/>
        <w:suppressLineNumbers w:val="0"/>
        <w:kinsoku/>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r>
        <w:rPr>
          <w:rFonts w:hint="eastAsia" w:ascii="宋体" w:hAnsi="宋体" w:eastAsia="宋体" w:cs="宋体"/>
          <w:color w:val="auto"/>
          <w:sz w:val="24"/>
          <w:szCs w:val="24"/>
          <w:highlight w:val="none"/>
        </w:rPr>
        <w:t>《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建造师注册证书不在使用有效期内的）；擅自修改、遗漏《项目经理任职声明》实质性内容的</w:t>
      </w:r>
      <w:r>
        <w:rPr>
          <w:rFonts w:hint="eastAsia" w:ascii="宋体" w:hAnsi="宋体" w:eastAsia="宋体" w:cs="宋体"/>
          <w:b w:val="0"/>
          <w:bCs w:val="0"/>
          <w:caps w:val="0"/>
          <w:smallCaps w:val="0"/>
          <w:snapToGrid w:val="0"/>
          <w:color w:val="auto"/>
          <w:spacing w:val="0"/>
          <w:kern w:val="0"/>
          <w:sz w:val="24"/>
          <w:szCs w:val="24"/>
          <w:highlight w:val="none"/>
          <w:lang w:val="en-US" w:eastAsia="zh-CN"/>
        </w:rPr>
        <w:t>；</w:t>
      </w:r>
    </w:p>
    <w:p w14:paraId="1FE3E625">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注：投标人已经工商变更，但其员工执业资格注册证书的注册单位名称未完成变更的，不得否决其投标。</w:t>
      </w:r>
    </w:p>
    <w:p w14:paraId="1590D2CB">
      <w:pPr>
        <w:keepNext w:val="0"/>
        <w:keepLines w:val="0"/>
        <w:pageBreakBefore w:val="0"/>
        <w:widowControl w:val="0"/>
        <w:suppressLineNumbers w:val="0"/>
        <w:kinsoku/>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鉴于目前继续教育开展的实际情况，建筑和市政工程施工现场专业人员（例如：施工员、质量员、材料员、资料员）的岗位证书或培训证书不审查其证书的有效期。</w:t>
      </w:r>
    </w:p>
    <w:p w14:paraId="0DB88D1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（6）招标文件规定不接受联合体投标，但以联合体投标的；</w:t>
      </w:r>
    </w:p>
    <w:p w14:paraId="08BE6A3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（7）联合体投标，未提交《联合体协议书》的；擅自修改、遗漏《联合体协议书》实质性内容的；联合体成员的数量、资质不符合规定的；联合体成员同时以自己名义单独投标或者参加其他联合体投标的；</w:t>
      </w:r>
    </w:p>
    <w:p w14:paraId="0BE2A715">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（8）投标人为外省建筑企业，但未提供“进粤企业和人员诚信信息登记平台”企业和拟派人员信息情况打印页或网页截图的</w:t>
      </w:r>
      <w:r>
        <w:rPr>
          <w:rStyle w:val="26"/>
          <w:rFonts w:hint="eastAsia" w:ascii="宋体" w:hAnsi="宋体" w:eastAsia="宋体" w:cs="宋体"/>
          <w:color w:val="auto"/>
          <w:kern w:val="0"/>
          <w:sz w:val="24"/>
          <w:szCs w:val="24"/>
          <w:highlight w:val="none"/>
        </w:rPr>
        <w:t>。</w:t>
      </w:r>
    </w:p>
    <w:p w14:paraId="04CE3BA0">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2．形式评审环节</w:t>
      </w:r>
    </w:p>
    <w:p w14:paraId="2D6F23B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投标人有下列情形之一的，评标委员会应否决其投标。被否决的投标人，不进入响应性评审环节。</w:t>
      </w:r>
    </w:p>
    <w:p w14:paraId="60B383B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（1）各分册没按招标文件规定加盖电子印章；</w:t>
      </w:r>
    </w:p>
    <w:p w14:paraId="4107DBC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（2）本章第三节第</w:t>
      </w:r>
      <w:r>
        <w:rPr>
          <w:rFonts w:hint="eastAsia" w:ascii="宋体" w:hAnsi="宋体" w:eastAsia="宋体" w:cs="宋体"/>
          <w:b/>
          <w:bCs/>
          <w:color w:val="auto"/>
          <w:sz w:val="24"/>
          <w:szCs w:val="24"/>
          <w:highlight w:val="none"/>
        </w:rPr>
        <w:t>10.2.2</w:t>
      </w:r>
      <w:r>
        <w:rPr>
          <w:rFonts w:hint="eastAsia" w:ascii="宋体" w:hAnsi="宋体" w:eastAsia="宋体" w:cs="宋体"/>
          <w:color w:val="auto"/>
          <w:sz w:val="24"/>
          <w:szCs w:val="24"/>
          <w:highlight w:val="none"/>
        </w:rPr>
        <w:t>目、第</w:t>
      </w:r>
      <w:r>
        <w:rPr>
          <w:rFonts w:hint="eastAsia" w:ascii="宋体" w:hAnsi="宋体" w:eastAsia="宋体" w:cs="宋体"/>
          <w:b/>
          <w:bCs/>
          <w:color w:val="auto"/>
          <w:sz w:val="24"/>
          <w:szCs w:val="24"/>
          <w:highlight w:val="none"/>
        </w:rPr>
        <w:t>10.3.2</w:t>
      </w:r>
      <w:r>
        <w:rPr>
          <w:rFonts w:hint="eastAsia" w:ascii="宋体" w:hAnsi="宋体" w:eastAsia="宋体" w:cs="宋体"/>
          <w:color w:val="auto"/>
          <w:sz w:val="24"/>
          <w:szCs w:val="24"/>
          <w:highlight w:val="none"/>
        </w:rPr>
        <w:t>目、第</w:t>
      </w:r>
      <w:r>
        <w:rPr>
          <w:rFonts w:hint="eastAsia" w:ascii="宋体" w:hAnsi="宋体" w:eastAsia="宋体" w:cs="宋体"/>
          <w:b/>
          <w:bCs/>
          <w:color w:val="auto"/>
          <w:sz w:val="24"/>
          <w:szCs w:val="24"/>
          <w:highlight w:val="none"/>
        </w:rPr>
        <w:t>10.4.3</w:t>
      </w:r>
      <w:r>
        <w:rPr>
          <w:rFonts w:hint="eastAsia" w:ascii="宋体" w:hAnsi="宋体" w:eastAsia="宋体" w:cs="宋体"/>
          <w:color w:val="auto"/>
          <w:sz w:val="24"/>
          <w:szCs w:val="24"/>
          <w:highlight w:val="none"/>
        </w:rPr>
        <w:t>目中规定的“所有投标人均应提供”的组成内容（包括该组成内容的所附资料）中，任何一项有缺漏的；</w:t>
      </w:r>
    </w:p>
    <w:p w14:paraId="1913C25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（3）关键字迹模糊、无法辨认，且该种过错将导致评标委员会无法判断投标文件是否响应招标文件实质性要求的；有涂改、行间插字或删除，但未加盖单</w:t>
      </w:r>
      <w:r>
        <w:rPr>
          <w:rFonts w:hint="eastAsia" w:ascii="宋体" w:hAnsi="宋体" w:eastAsia="宋体" w:cs="宋体"/>
          <w:snapToGrid w:val="0"/>
          <w:color w:val="auto"/>
          <w:kern w:val="0"/>
          <w:sz w:val="24"/>
          <w:szCs w:val="24"/>
          <w:highlight w:val="none"/>
          <w:lang w:eastAsia="zh-CN"/>
        </w:rPr>
        <w:t>位公</w:t>
      </w:r>
      <w:r>
        <w:rPr>
          <w:rFonts w:hint="eastAsia" w:ascii="宋体" w:hAnsi="宋体" w:eastAsia="宋体" w:cs="宋体"/>
          <w:snapToGrid w:val="0"/>
          <w:color w:val="auto"/>
          <w:kern w:val="0"/>
          <w:sz w:val="24"/>
          <w:szCs w:val="24"/>
          <w:highlight w:val="none"/>
        </w:rPr>
        <w:t>章或由投标人的法定代表人或其委托代理人签字确认的；</w:t>
      </w:r>
    </w:p>
    <w:p w14:paraId="38ABF03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（4）投标文件未按规定签字、盖章的。</w:t>
      </w:r>
    </w:p>
    <w:p w14:paraId="64C255A7">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3．响应性评审环节</w:t>
      </w:r>
    </w:p>
    <w:p w14:paraId="23A405D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投标人有下列情形之一的，评标委员会应否决其投标。被否决的投标人，不进入详细评审阶段。</w:t>
      </w:r>
    </w:p>
    <w:p w14:paraId="25999D7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（1）承诺的投标有效期短于规定的；质量标准低于规定的；工期超出规定的；擅自修改、遗漏《投标函》《各项承诺一览表》实质性内容的；</w:t>
      </w:r>
    </w:p>
    <w:p w14:paraId="20C1D35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（2）编制《投标总价》的造价工程师，其注册证书不是</w:t>
      </w:r>
      <w:r>
        <w:rPr>
          <w:rFonts w:hint="eastAsia" w:ascii="宋体" w:hAnsi="宋体" w:eastAsia="宋体" w:cs="宋体"/>
          <w:b/>
          <w:bCs/>
          <w:snapToGrid w:val="0"/>
          <w:color w:val="auto"/>
          <w:kern w:val="0"/>
          <w:sz w:val="24"/>
          <w:szCs w:val="24"/>
          <w:highlight w:val="none"/>
        </w:rPr>
        <w:t>住建部门</w:t>
      </w:r>
      <w:r>
        <w:rPr>
          <w:rFonts w:hint="eastAsia" w:ascii="宋体" w:hAnsi="宋体" w:eastAsia="宋体" w:cs="宋体"/>
          <w:snapToGrid w:val="0"/>
          <w:color w:val="auto"/>
          <w:kern w:val="0"/>
          <w:sz w:val="24"/>
          <w:szCs w:val="24"/>
          <w:highlight w:val="none"/>
        </w:rPr>
        <w:t>颁发的；其注册单位与投标人（或造价咨询人）不一致的；其注册证书不在有效期内的。</w:t>
      </w:r>
    </w:p>
    <w:p w14:paraId="464593DE">
      <w:pPr>
        <w:keepNext w:val="0"/>
        <w:keepLines w:val="0"/>
        <w:pageBreakBefore w:val="0"/>
        <w:widowControl w:val="0"/>
        <w:kinsoku/>
        <w:overflowPunct/>
        <w:topLinePunct w:val="0"/>
        <w:autoSpaceDE/>
        <w:autoSpaceDN/>
        <w:bidi w:val="0"/>
        <w:adjustRightInd/>
        <w:snapToGrid/>
        <w:spacing w:line="360" w:lineRule="auto"/>
        <w:ind w:firstLine="482" w:firstLineChars="200"/>
        <w:rPr>
          <w:rStyle w:val="26"/>
          <w:rFonts w:hint="eastAsia" w:ascii="宋体" w:hAnsi="宋体" w:eastAsia="宋体" w:cs="宋体"/>
          <w:color w:val="auto"/>
          <w:kern w:val="0"/>
          <w:sz w:val="24"/>
          <w:szCs w:val="24"/>
          <w:highlight w:val="none"/>
        </w:rPr>
      </w:pPr>
      <w:r>
        <w:rPr>
          <w:rFonts w:hint="eastAsia" w:ascii="宋体" w:hAnsi="宋体" w:eastAsia="宋体" w:cs="宋体"/>
          <w:b/>
          <w:bCs/>
          <w:snapToGrid w:val="0"/>
          <w:color w:val="auto"/>
          <w:kern w:val="0"/>
          <w:sz w:val="24"/>
          <w:szCs w:val="24"/>
          <w:highlight w:val="none"/>
        </w:rPr>
        <w:t>注：投标人（或造价咨询人）已经工商变更，但其员工的执业资格注册证书的注册单位名称未完成变更的，不得否决其投标。</w:t>
      </w:r>
    </w:p>
    <w:p w14:paraId="68B20B79">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（3）投标人委托造价咨询单位编制《投标总价》，但未在《投标总价扉页》“投标人”栏目加盖造价咨询人公章的；未提供造价咨询人的营业执照彩色扫描件的；</w:t>
      </w:r>
    </w:p>
    <w:p w14:paraId="2900CBE1">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（4）出现两个或两个以上投标总价的（同一个投标总价大、小写不一致的除外）；投标总价超出</w:t>
      </w:r>
      <w:r>
        <w:rPr>
          <w:rStyle w:val="26"/>
          <w:rFonts w:hint="eastAsia" w:ascii="宋体" w:hAnsi="宋体" w:eastAsia="宋体" w:cs="宋体"/>
          <w:b/>
          <w:bCs/>
          <w:color w:val="auto"/>
          <w:kern w:val="0"/>
          <w:sz w:val="24"/>
          <w:szCs w:val="24"/>
          <w:highlight w:val="none"/>
          <w:lang w:val="en-US" w:eastAsia="zh-CN"/>
        </w:rPr>
        <w:t>最高投标限价</w:t>
      </w:r>
      <w:r>
        <w:rPr>
          <w:rStyle w:val="26"/>
          <w:rFonts w:hint="eastAsia" w:ascii="宋体" w:hAnsi="宋体" w:eastAsia="宋体" w:cs="宋体"/>
          <w:color w:val="auto"/>
          <w:kern w:val="0"/>
          <w:sz w:val="24"/>
          <w:szCs w:val="24"/>
          <w:highlight w:val="none"/>
        </w:rPr>
        <w:t>的；</w:t>
      </w:r>
      <w:r>
        <w:rPr>
          <w:rFonts w:hint="eastAsia" w:ascii="宋体" w:hAnsi="宋体" w:eastAsia="宋体" w:cs="宋体"/>
          <w:snapToGrid w:val="0"/>
          <w:color w:val="auto"/>
          <w:kern w:val="0"/>
          <w:sz w:val="24"/>
          <w:szCs w:val="24"/>
          <w:highlight w:val="none"/>
          <w:lang w:eastAsia="zh-CN"/>
        </w:rPr>
        <w:t>安全生产措施费</w:t>
      </w:r>
      <w:r>
        <w:rPr>
          <w:rStyle w:val="26"/>
          <w:rFonts w:hint="eastAsia" w:ascii="宋体" w:hAnsi="宋体" w:eastAsia="宋体" w:cs="宋体"/>
          <w:color w:val="auto"/>
          <w:kern w:val="0"/>
          <w:sz w:val="24"/>
          <w:szCs w:val="24"/>
          <w:highlight w:val="none"/>
        </w:rPr>
        <w:t>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1F2994DE">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（5）在施工组织设计评审中，评标委员会认定质量、进度保障措施与国家和省市现行有关规范、规定、标准有重大偏差，</w:t>
      </w:r>
      <w:r>
        <w:rPr>
          <w:rStyle w:val="26"/>
          <w:rFonts w:hint="eastAsia" w:ascii="宋体" w:hAnsi="宋体" w:eastAsia="宋体" w:cs="宋体"/>
          <w:b/>
          <w:bCs/>
          <w:color w:val="auto"/>
          <w:kern w:val="0"/>
          <w:sz w:val="24"/>
          <w:szCs w:val="24"/>
          <w:highlight w:val="none"/>
        </w:rPr>
        <w:t>且该种过错将导致工程质量、进度管理目标无法实现的</w:t>
      </w:r>
      <w:r>
        <w:rPr>
          <w:rStyle w:val="26"/>
          <w:rFonts w:hint="eastAsia" w:ascii="宋体" w:hAnsi="宋体" w:eastAsia="宋体" w:cs="宋体"/>
          <w:color w:val="auto"/>
          <w:kern w:val="0"/>
          <w:sz w:val="24"/>
          <w:szCs w:val="24"/>
          <w:highlight w:val="none"/>
        </w:rPr>
        <w:t>。</w:t>
      </w:r>
    </w:p>
    <w:p w14:paraId="55362E19">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4．其他</w:t>
      </w:r>
    </w:p>
    <w:p w14:paraId="49EFA077">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在任何评标环节（或阶段），投标人有下列情形之一的，评标委员会应否决其投标。被否决的投标人，不进入下一环节（或阶段）。</w:t>
      </w:r>
    </w:p>
    <w:p w14:paraId="7F1A7642">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lang w:val="en-US" w:eastAsia="zh-CN"/>
        </w:rPr>
      </w:pPr>
      <w:r>
        <w:rPr>
          <w:rStyle w:val="26"/>
          <w:rFonts w:hint="eastAsia" w:ascii="宋体" w:hAnsi="宋体" w:eastAsia="宋体" w:cs="宋体"/>
          <w:color w:val="auto"/>
          <w:kern w:val="0"/>
          <w:sz w:val="24"/>
          <w:szCs w:val="24"/>
          <w:highlight w:val="none"/>
          <w:lang w:val="en-US" w:eastAsia="zh-CN"/>
        </w:rPr>
        <w:t>（1）不按评标委员会要求澄清、说明或补正的；</w:t>
      </w:r>
    </w:p>
    <w:p w14:paraId="03C481F4">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lang w:val="en-US" w:eastAsia="zh-CN"/>
        </w:rPr>
      </w:pPr>
      <w:r>
        <w:rPr>
          <w:rStyle w:val="26"/>
          <w:rFonts w:hint="eastAsia" w:ascii="宋体" w:hAnsi="宋体" w:eastAsia="宋体" w:cs="宋体"/>
          <w:color w:val="auto"/>
          <w:kern w:val="0"/>
          <w:sz w:val="24"/>
          <w:szCs w:val="24"/>
          <w:highlight w:val="none"/>
          <w:lang w:val="en-US" w:eastAsia="zh-CN"/>
        </w:rPr>
        <w:t>（2）有下列情形之一，被评标委员会认定属于串通投标的：</w:t>
      </w:r>
    </w:p>
    <w:p w14:paraId="0959CFA8">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lang w:val="en-US" w:eastAsia="zh-CN"/>
        </w:rPr>
      </w:pPr>
      <w:r>
        <w:rPr>
          <w:rStyle w:val="26"/>
          <w:rFonts w:hint="eastAsia" w:ascii="宋体" w:hAnsi="宋体" w:eastAsia="宋体" w:cs="宋体"/>
          <w:color w:val="auto"/>
          <w:kern w:val="0"/>
          <w:sz w:val="24"/>
          <w:szCs w:val="24"/>
          <w:highlight w:val="none"/>
          <w:lang w:val="en-US" w:eastAsia="zh-CN"/>
        </w:rPr>
        <w:t>①不同投标人的投标文件两处以上（含两处）错、漏一致；</w:t>
      </w:r>
    </w:p>
    <w:p w14:paraId="7DEB5FB2">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lang w:val="en-US" w:eastAsia="zh-CN"/>
        </w:rPr>
      </w:pPr>
      <w:r>
        <w:rPr>
          <w:rStyle w:val="26"/>
          <w:rFonts w:hint="eastAsia" w:ascii="宋体" w:hAnsi="宋体" w:eastAsia="宋体" w:cs="宋体"/>
          <w:color w:val="auto"/>
          <w:kern w:val="0"/>
          <w:sz w:val="24"/>
          <w:szCs w:val="24"/>
          <w:highlight w:val="none"/>
          <w:lang w:val="en-US" w:eastAsia="zh-CN"/>
        </w:rPr>
        <w:t>②不同投标人的投标总价相近且各分项报价、综合单价分析表内容混乱不能相互对应、乱调乱压或乱抬的，而在询标时没有合理的解释或者不能提供计算依据和报价依据；</w:t>
      </w:r>
    </w:p>
    <w:p w14:paraId="6F8CFB1B">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lang w:val="en-US" w:eastAsia="zh-CN"/>
        </w:rPr>
      </w:pPr>
      <w:r>
        <w:rPr>
          <w:rStyle w:val="26"/>
          <w:rFonts w:hint="eastAsia" w:ascii="宋体" w:hAnsi="宋体" w:eastAsia="宋体" w:cs="宋体"/>
          <w:color w:val="auto"/>
          <w:kern w:val="0"/>
          <w:sz w:val="24"/>
          <w:szCs w:val="24"/>
          <w:highlight w:val="none"/>
          <w:lang w:val="en-US" w:eastAsia="zh-CN"/>
        </w:rPr>
        <w:t>③不同投标人的投标各项报价存在异常一致或者呈规律性变化；</w:t>
      </w:r>
    </w:p>
    <w:p w14:paraId="1A8AB399">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lang w:val="en-US" w:eastAsia="zh-CN"/>
        </w:rPr>
      </w:pPr>
      <w:r>
        <w:rPr>
          <w:rStyle w:val="26"/>
          <w:rFonts w:hint="eastAsia" w:ascii="宋体" w:hAnsi="宋体" w:eastAsia="宋体" w:cs="宋体"/>
          <w:color w:val="auto"/>
          <w:kern w:val="0"/>
          <w:sz w:val="24"/>
          <w:szCs w:val="24"/>
          <w:highlight w:val="none"/>
          <w:lang w:val="en-US" w:eastAsia="zh-CN"/>
        </w:rPr>
        <w:t>④不同投标人的投标文件由同一单位或者同一个人编制或不同投标人通过同一IP地址上传投标文件的；</w:t>
      </w:r>
    </w:p>
    <w:p w14:paraId="63374A70">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lang w:val="en-US" w:eastAsia="zh-CN"/>
        </w:rPr>
      </w:pPr>
      <w:r>
        <w:rPr>
          <w:rStyle w:val="26"/>
          <w:rFonts w:hint="eastAsia" w:ascii="宋体" w:hAnsi="宋体" w:eastAsia="宋体" w:cs="宋体"/>
          <w:color w:val="auto"/>
          <w:kern w:val="0"/>
          <w:sz w:val="24"/>
          <w:szCs w:val="24"/>
          <w:highlight w:val="none"/>
          <w:lang w:val="en-US" w:eastAsia="zh-CN"/>
        </w:rPr>
        <w:t>⑤不同投标人的投标文件中投标资料（包括电子资料）相互混装或项目班子成员出现同一人；</w:t>
      </w:r>
    </w:p>
    <w:p w14:paraId="15760A3F">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lang w:val="en-US" w:eastAsia="zh-CN"/>
        </w:rPr>
      </w:pPr>
      <w:r>
        <w:rPr>
          <w:rStyle w:val="26"/>
          <w:rFonts w:hint="eastAsia" w:ascii="宋体" w:hAnsi="宋体" w:eastAsia="宋体" w:cs="宋体"/>
          <w:color w:val="auto"/>
          <w:kern w:val="0"/>
          <w:sz w:val="24"/>
          <w:szCs w:val="24"/>
          <w:highlight w:val="none"/>
          <w:lang w:val="en-US" w:eastAsia="zh-CN"/>
        </w:rPr>
        <w:t>⑥不同投标人的投标文件由同一电脑编制或同一台附属设备打印，或投标报价用同一个预算编制软件密码锁制作或出自同一电子文档；</w:t>
      </w:r>
    </w:p>
    <w:p w14:paraId="1647B122">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lang w:val="en-US" w:eastAsia="zh-CN"/>
        </w:rPr>
      </w:pPr>
      <w:r>
        <w:rPr>
          <w:rStyle w:val="26"/>
          <w:rFonts w:hint="eastAsia" w:ascii="宋体" w:hAnsi="宋体" w:eastAsia="宋体" w:cs="宋体"/>
          <w:color w:val="auto"/>
          <w:kern w:val="0"/>
          <w:sz w:val="24"/>
          <w:szCs w:val="24"/>
          <w:highlight w:val="none"/>
          <w:lang w:val="en-US" w:eastAsia="zh-CN"/>
        </w:rPr>
        <w:t>⑦不同投标人的投标保证由同一企业或同一账户资金缴纳；</w:t>
      </w:r>
    </w:p>
    <w:p w14:paraId="13635D4C">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lang w:val="en-US" w:eastAsia="zh-CN"/>
        </w:rPr>
        <w:t>⑧不同投标人委托同一个人或注册在同一家企业的注册人员或同一家企业为其投标提供投标咨询、商务报价、技术咨询（招标项目本身要求采用专有技术的除外）等服务</w:t>
      </w:r>
      <w:r>
        <w:rPr>
          <w:rStyle w:val="26"/>
          <w:rFonts w:hint="eastAsia" w:ascii="宋体" w:hAnsi="宋体" w:eastAsia="宋体" w:cs="宋体"/>
          <w:color w:val="auto"/>
          <w:kern w:val="0"/>
          <w:sz w:val="24"/>
          <w:szCs w:val="24"/>
          <w:highlight w:val="none"/>
        </w:rPr>
        <w:t>。</w:t>
      </w:r>
    </w:p>
    <w:p w14:paraId="2FC305FB">
      <w:pPr>
        <w:rPr>
          <w:rStyle w:val="26"/>
          <w:rFonts w:hint="eastAsia" w:ascii="宋体" w:hAnsi="宋体" w:eastAsia="宋体" w:cs="宋体"/>
          <w:b/>
          <w:bCs/>
          <w:color w:val="auto"/>
          <w:highlight w:val="none"/>
        </w:rPr>
      </w:pPr>
    </w:p>
    <w:p w14:paraId="7F82B2C1">
      <w:pPr>
        <w:rPr>
          <w:rStyle w:val="26"/>
          <w:rFonts w:hint="eastAsia" w:ascii="宋体" w:hAnsi="宋体" w:eastAsia="宋体" w:cs="宋体"/>
          <w:b/>
          <w:bCs/>
          <w:color w:val="auto"/>
          <w:highlight w:val="none"/>
        </w:rPr>
      </w:pPr>
    </w:p>
    <w:p w14:paraId="4BBEAB53">
      <w:pPr>
        <w:rPr>
          <w:rStyle w:val="26"/>
          <w:rFonts w:hint="eastAsia" w:ascii="宋体" w:hAnsi="宋体" w:eastAsia="宋体" w:cs="宋体"/>
          <w:b/>
          <w:bCs/>
          <w:color w:val="auto"/>
          <w:highlight w:val="none"/>
        </w:rPr>
      </w:pPr>
    </w:p>
    <w:p w14:paraId="68D21E5F">
      <w:pPr>
        <w:rPr>
          <w:rStyle w:val="26"/>
          <w:rFonts w:hint="eastAsia" w:ascii="宋体" w:hAnsi="宋体" w:eastAsia="宋体" w:cs="宋体"/>
          <w:b/>
          <w:bCs/>
          <w:color w:val="auto"/>
          <w:highlight w:val="none"/>
        </w:rPr>
      </w:pPr>
    </w:p>
    <w:p w14:paraId="287A54F5">
      <w:pPr>
        <w:rPr>
          <w:rStyle w:val="26"/>
          <w:rFonts w:hint="eastAsia" w:ascii="宋体" w:hAnsi="宋体" w:eastAsia="宋体" w:cs="宋体"/>
          <w:b/>
          <w:bCs/>
          <w:color w:val="auto"/>
          <w:highlight w:val="none"/>
        </w:rPr>
      </w:pPr>
    </w:p>
    <w:p w14:paraId="2FAE8414">
      <w:pPr>
        <w:rPr>
          <w:rStyle w:val="26"/>
          <w:rFonts w:hint="eastAsia" w:ascii="宋体" w:hAnsi="宋体" w:eastAsia="宋体" w:cs="宋体"/>
          <w:b/>
          <w:bCs/>
          <w:color w:val="auto"/>
          <w:highlight w:val="none"/>
        </w:rPr>
      </w:pPr>
    </w:p>
    <w:p w14:paraId="48BED51D">
      <w:pPr>
        <w:rPr>
          <w:rStyle w:val="26"/>
          <w:rFonts w:hint="eastAsia" w:ascii="宋体" w:hAnsi="宋体" w:eastAsia="宋体" w:cs="宋体"/>
          <w:b/>
          <w:bCs/>
          <w:color w:val="auto"/>
          <w:highlight w:val="none"/>
        </w:rPr>
      </w:pPr>
    </w:p>
    <w:p w14:paraId="38DA1D55">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119" w:name="_Toc9840"/>
      <w:r>
        <w:rPr>
          <w:rFonts w:hint="eastAsia" w:ascii="宋体" w:hAnsi="宋体" w:eastAsia="宋体" w:cs="宋体"/>
          <w:color w:val="auto"/>
          <w:kern w:val="2"/>
          <w:sz w:val="28"/>
          <w:szCs w:val="24"/>
          <w:lang w:val="en-US" w:eastAsia="zh-CN"/>
        </w:rPr>
        <w:t>第五节   定标规定及细则（本项目采用票决数量法定标）</w:t>
      </w:r>
      <w:bookmarkEnd w:id="119"/>
    </w:p>
    <w:p w14:paraId="60EAB90E">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val="en-US" w:eastAsia="zh-CN"/>
        </w:rPr>
        <w:t>确定定标时间</w:t>
      </w:r>
    </w:p>
    <w:p w14:paraId="72F89BCC">
      <w:pPr>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招标人</w:t>
      </w:r>
      <w:r>
        <w:rPr>
          <w:rStyle w:val="26"/>
          <w:rFonts w:hint="eastAsia" w:ascii="宋体" w:hAnsi="宋体" w:eastAsia="宋体" w:cs="宋体"/>
          <w:color w:val="auto"/>
          <w:kern w:val="0"/>
          <w:sz w:val="24"/>
          <w:szCs w:val="24"/>
          <w:highlight w:val="none"/>
          <w:lang w:eastAsia="zh-CN"/>
        </w:rPr>
        <w:t>应</w:t>
      </w:r>
      <w:r>
        <w:rPr>
          <w:rStyle w:val="26"/>
          <w:rFonts w:hint="eastAsia" w:ascii="宋体" w:hAnsi="宋体" w:eastAsia="宋体" w:cs="宋体"/>
          <w:color w:val="auto"/>
          <w:kern w:val="0"/>
          <w:sz w:val="24"/>
          <w:szCs w:val="24"/>
          <w:highlight w:val="none"/>
        </w:rPr>
        <w:t>自</w:t>
      </w:r>
      <w:r>
        <w:rPr>
          <w:rStyle w:val="26"/>
          <w:rFonts w:hint="eastAsia" w:ascii="宋体" w:hAnsi="宋体" w:eastAsia="宋体" w:cs="宋体"/>
          <w:color w:val="auto"/>
          <w:kern w:val="0"/>
          <w:sz w:val="24"/>
          <w:szCs w:val="24"/>
          <w:highlight w:val="none"/>
          <w:lang w:val="en-US" w:eastAsia="zh-CN"/>
        </w:rPr>
        <w:t>定标候选人</w:t>
      </w:r>
      <w:r>
        <w:rPr>
          <w:rStyle w:val="26"/>
          <w:rFonts w:hint="eastAsia" w:ascii="宋体" w:hAnsi="宋体" w:eastAsia="宋体" w:cs="宋体"/>
          <w:color w:val="auto"/>
          <w:kern w:val="0"/>
          <w:sz w:val="24"/>
          <w:szCs w:val="24"/>
          <w:highlight w:val="none"/>
        </w:rPr>
        <w:t>公示期满后</w:t>
      </w:r>
      <w:r>
        <w:rPr>
          <w:rStyle w:val="26"/>
          <w:rFonts w:hint="eastAsia" w:ascii="宋体" w:hAnsi="宋体" w:eastAsia="宋体" w:cs="宋体"/>
          <w:color w:val="auto"/>
          <w:kern w:val="0"/>
          <w:sz w:val="24"/>
          <w:szCs w:val="24"/>
          <w:highlight w:val="none"/>
          <w:lang w:val="en-US" w:eastAsia="zh-CN"/>
        </w:rPr>
        <w:t>5</w:t>
      </w:r>
      <w:r>
        <w:rPr>
          <w:rStyle w:val="26"/>
          <w:rFonts w:hint="eastAsia" w:ascii="宋体" w:hAnsi="宋体" w:eastAsia="宋体" w:cs="宋体"/>
          <w:color w:val="auto"/>
          <w:kern w:val="0"/>
          <w:sz w:val="24"/>
          <w:szCs w:val="24"/>
          <w:highlight w:val="none"/>
        </w:rPr>
        <w:t>个工作日内进入公共资源交易平台（与评标阶段公共资源交易平台相同）进行定标。定标会议全过程录音录像。招标人需要延期定标的，</w:t>
      </w:r>
      <w:r>
        <w:rPr>
          <w:rStyle w:val="26"/>
          <w:rFonts w:hint="eastAsia" w:ascii="宋体" w:hAnsi="宋体" w:eastAsia="宋体" w:cs="宋体"/>
          <w:color w:val="auto"/>
          <w:kern w:val="0"/>
          <w:sz w:val="24"/>
          <w:szCs w:val="24"/>
          <w:highlight w:val="none"/>
          <w:lang w:eastAsia="zh-CN"/>
        </w:rPr>
        <w:t>应</w:t>
      </w:r>
      <w:r>
        <w:rPr>
          <w:rStyle w:val="26"/>
          <w:rFonts w:hint="eastAsia" w:ascii="宋体" w:hAnsi="宋体" w:eastAsia="宋体" w:cs="宋体"/>
          <w:color w:val="auto"/>
          <w:kern w:val="0"/>
          <w:sz w:val="24"/>
          <w:szCs w:val="24"/>
          <w:highlight w:val="none"/>
        </w:rPr>
        <w:t>通过公共资源交易平台公布延期原因和定标时间。</w:t>
      </w:r>
    </w:p>
    <w:p w14:paraId="6EE0EE39">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eastAsia="zh-CN"/>
        </w:rPr>
        <w:t>定标委员会</w:t>
      </w:r>
    </w:p>
    <w:p w14:paraId="71A79FA6">
      <w:pPr>
        <w:spacing w:line="360" w:lineRule="auto"/>
        <w:ind w:firstLine="480" w:firstLineChars="200"/>
        <w:rPr>
          <w:rStyle w:val="26"/>
          <w:rFonts w:hint="eastAsia" w:ascii="宋体" w:hAnsi="宋体" w:eastAsia="宋体" w:cs="宋体"/>
          <w:color w:val="auto"/>
          <w:kern w:val="0"/>
          <w:sz w:val="24"/>
          <w:szCs w:val="24"/>
          <w:highlight w:val="none"/>
          <w:lang w:val="en-US" w:eastAsia="zh-CN"/>
        </w:rPr>
      </w:pPr>
      <w:r>
        <w:rPr>
          <w:rStyle w:val="26"/>
          <w:rFonts w:hint="eastAsia" w:ascii="宋体" w:hAnsi="宋体" w:eastAsia="宋体" w:cs="宋体"/>
          <w:color w:val="auto"/>
          <w:kern w:val="0"/>
          <w:sz w:val="24"/>
          <w:szCs w:val="24"/>
          <w:highlight w:val="none"/>
          <w:lang w:val="en-US" w:eastAsia="zh-CN"/>
        </w:rPr>
        <w:t>2.1招标人负责组建定标委员会，由项目业主（由建设单位或代建单位）的法定代表人或者主要负责人担任定标委员会组长。定标委员会的组成方式和人员由招标人按相关规定自行确定。招标项目对技术、商务等有特别要求的可从广东省综合评标评审专家库（韶关区域）抽取专家（外部人员）补足，成员数量为7人及以上单数，成员数量应在招标文件中明确。专家人数原则上不超过2人。定标委员会成员数量在本投标人须知前附表中约定。</w:t>
      </w:r>
    </w:p>
    <w:p w14:paraId="6D564D50">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定标委员会应当根据招标文件规定的定标方法和细则，对定标候选人进行系统地评审和比较。招标文件中没有规定的定标方法和细则不得作为定标的依据。定标委员会成员应依照招标文件规定的定标方法和细则，独立完成对定标候选人的评审，并对定标结果签字确认。定标委员会应依照招标文件规定的定标方法和细则，对各定标委员会成员的定标结果进行汇总。</w:t>
      </w:r>
    </w:p>
    <w:p w14:paraId="11B0B23D">
      <w:pPr>
        <w:spacing w:line="360" w:lineRule="auto"/>
        <w:ind w:firstLine="480" w:firstLineChars="200"/>
        <w:rPr>
          <w:rFonts w:hint="eastAsia" w:ascii="宋体" w:hAnsi="宋体" w:eastAsia="宋体" w:cs="宋体"/>
          <w:color w:val="auto"/>
          <w:sz w:val="24"/>
          <w:szCs w:val="24"/>
          <w:highlight w:val="none"/>
          <w:lang w:val="en-US" w:eastAsia="zh-CN"/>
        </w:rPr>
      </w:pPr>
      <w:r>
        <w:rPr>
          <w:rStyle w:val="26"/>
          <w:rFonts w:hint="eastAsia" w:ascii="宋体" w:hAnsi="宋体" w:eastAsia="宋体" w:cs="宋体"/>
          <w:color w:val="auto"/>
          <w:kern w:val="0"/>
          <w:sz w:val="24"/>
          <w:szCs w:val="24"/>
          <w:highlight w:val="none"/>
          <w:lang w:val="en-US" w:eastAsia="zh-CN"/>
        </w:rPr>
        <w:t>2</w:t>
      </w:r>
      <w:r>
        <w:rPr>
          <w:rStyle w:val="26"/>
          <w:rFonts w:hint="eastAsia" w:ascii="宋体" w:hAnsi="宋体" w:eastAsia="宋体" w:cs="宋体"/>
          <w:color w:val="auto"/>
          <w:kern w:val="0"/>
          <w:sz w:val="24"/>
          <w:szCs w:val="24"/>
          <w:highlight w:val="none"/>
        </w:rPr>
        <w:t>.</w:t>
      </w:r>
      <w:r>
        <w:rPr>
          <w:rStyle w:val="26"/>
          <w:rFonts w:hint="eastAsia" w:ascii="宋体" w:hAnsi="宋体" w:eastAsia="宋体" w:cs="宋体"/>
          <w:color w:val="auto"/>
          <w:kern w:val="0"/>
          <w:sz w:val="24"/>
          <w:szCs w:val="24"/>
          <w:highlight w:val="none"/>
          <w:lang w:val="en-US" w:eastAsia="zh-CN"/>
        </w:rPr>
        <w:t>3定标委员会成员应客观、公正履职，在未公示中标结果前，对定标过程和结果严格保密，对所提出的定标意见承担个人责任。定标委员会成员与定标候选人有利害关系的，应回避。定标委员会成员不得征询招标人确定中标人意向；不得私下与任何定标候选人或者其他利害关系人接触。</w:t>
      </w:r>
    </w:p>
    <w:p w14:paraId="7386A654">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3</w:t>
      </w: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val="en-US" w:eastAsia="zh-CN"/>
        </w:rPr>
        <w:t>组建招标监督小组</w:t>
      </w:r>
    </w:p>
    <w:p w14:paraId="4462A01A">
      <w:pPr>
        <w:pageBreakBefore w:val="0"/>
        <w:widowControl/>
        <w:kinsoku/>
        <w:wordWrap/>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lang w:val="en-US" w:eastAsia="zh-CN"/>
        </w:rPr>
      </w:pPr>
      <w:r>
        <w:rPr>
          <w:rStyle w:val="26"/>
          <w:rFonts w:hint="eastAsia" w:ascii="宋体" w:hAnsi="宋体" w:eastAsia="宋体" w:cs="宋体"/>
          <w:color w:val="auto"/>
          <w:kern w:val="0"/>
          <w:sz w:val="24"/>
          <w:szCs w:val="24"/>
          <w:highlight w:val="none"/>
          <w:lang w:val="en-US" w:eastAsia="zh-CN"/>
        </w:rPr>
        <w:t>招标人应组建招标监督小组，对招标投标活动全过程进行监督，及时指出、制止违反程序及纪律的行为，但不得就评标、定标涉及的实质内容发表意见或者参与定标委员会的讨论。相关人员存在违反程序及纪律的行为被指出后仍拒绝纠正的、发现招标投标活动存在其他违反相关规定行为的，招标监督小组应如实记录并及时报告招标单位主要负责人、行政监督部门。</w:t>
      </w:r>
    </w:p>
    <w:p w14:paraId="7DA2F1E4">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4</w:t>
      </w: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val="en-US" w:eastAsia="zh-CN"/>
        </w:rPr>
        <w:t>定标办法</w:t>
      </w:r>
    </w:p>
    <w:p w14:paraId="0957E97A">
      <w:pPr>
        <w:pageBreakBefore w:val="0"/>
        <w:widowControl/>
        <w:kinsoku/>
        <w:wordWrap/>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lang w:val="en-US" w:eastAsia="zh-CN"/>
        </w:rPr>
      </w:pPr>
      <w:r>
        <w:rPr>
          <w:rStyle w:val="26"/>
          <w:rFonts w:hint="eastAsia" w:ascii="宋体" w:hAnsi="宋体" w:eastAsia="宋体" w:cs="宋体"/>
          <w:color w:val="auto"/>
          <w:kern w:val="0"/>
          <w:sz w:val="24"/>
          <w:szCs w:val="24"/>
          <w:highlight w:val="none"/>
          <w:lang w:val="en-US" w:eastAsia="zh-CN"/>
        </w:rPr>
        <w:t>定标办法由招标人按本投标人须知前附表的规定确定（只能选定其中一种定标办法）。</w:t>
      </w:r>
    </w:p>
    <w:p w14:paraId="4DB9C21D">
      <w:pPr>
        <w:pageBreakBefore w:val="0"/>
        <w:widowControl/>
        <w:kinsoku/>
        <w:wordWrap/>
        <w:overflowPunct/>
        <w:topLinePunct w:val="0"/>
        <w:autoSpaceDE/>
        <w:autoSpaceDN/>
        <w:bidi w:val="0"/>
        <w:adjustRightInd/>
        <w:snapToGrid/>
        <w:spacing w:line="360" w:lineRule="auto"/>
        <w:ind w:firstLine="482" w:firstLineChars="200"/>
        <w:rPr>
          <w:rFonts w:hint="eastAsia" w:ascii="宋体" w:hAnsi="宋体" w:eastAsia="宋体" w:cs="宋体"/>
          <w:color w:val="auto"/>
          <w:sz w:val="24"/>
          <w:szCs w:val="24"/>
          <w:highlight w:val="none"/>
        </w:rPr>
      </w:pPr>
      <w:bookmarkStart w:id="120" w:name="OLE_LINK3"/>
      <w:r>
        <w:rPr>
          <w:rFonts w:hint="eastAsia" w:ascii="宋体" w:hAnsi="宋体" w:eastAsia="宋体" w:cs="宋体"/>
          <w:b/>
          <w:bCs/>
          <w:color w:val="auto"/>
          <w:sz w:val="24"/>
          <w:szCs w:val="24"/>
          <w:highlight w:val="none"/>
          <w:lang w:val="en-US" w:eastAsia="zh-CN"/>
        </w:rPr>
        <w:t>本项目</w:t>
      </w:r>
      <w:bookmarkEnd w:id="120"/>
      <w:r>
        <w:rPr>
          <w:rFonts w:hint="eastAsia" w:ascii="宋体" w:hAnsi="宋体" w:eastAsia="宋体" w:cs="宋体"/>
          <w:b/>
          <w:bCs/>
          <w:color w:val="auto"/>
          <w:sz w:val="24"/>
          <w:szCs w:val="24"/>
          <w:highlight w:val="none"/>
          <w:lang w:val="en-US" w:eastAsia="zh-CN"/>
        </w:rPr>
        <w:t>采用票决数量法定标。</w:t>
      </w:r>
    </w:p>
    <w:p w14:paraId="33FBDD38">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5</w:t>
      </w: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val="en-US" w:eastAsia="zh-CN"/>
        </w:rPr>
        <w:t>定标细则</w:t>
      </w:r>
    </w:p>
    <w:p w14:paraId="114EF9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eastAsia="zh-CN"/>
        </w:rPr>
      </w:pPr>
      <w:r>
        <w:rPr>
          <w:rFonts w:hint="eastAsia" w:ascii="宋体" w:hAnsi="宋体" w:eastAsia="宋体" w:cs="宋体"/>
          <w:b/>
          <w:bCs/>
          <w:color w:val="auto"/>
          <w:spacing w:val="0"/>
          <w:position w:val="0"/>
          <w:sz w:val="24"/>
          <w:szCs w:val="24"/>
          <w:highlight w:val="none"/>
          <w:u w:val="none" w:color="auto"/>
          <w:lang w:val="en-US" w:eastAsia="zh-CN"/>
        </w:rPr>
        <w:t>5.1票决数量法程序</w:t>
      </w:r>
    </w:p>
    <w:p w14:paraId="52C0BD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i w:val="0"/>
          <w:snapToGrid/>
          <w:color w:val="auto"/>
          <w:sz w:val="24"/>
          <w:szCs w:val="24"/>
          <w:highlight w:val="none"/>
          <w:u w:val="none"/>
          <w:shd w:val="clear" w:color="auto" w:fill="FFFFFF"/>
          <w:lang w:eastAsia="zh-CN"/>
        </w:rPr>
        <w:t>定标委员会根据定标因素对定标候选人进行评审比较后，每名定标委员会成员</w:t>
      </w:r>
      <w:r>
        <w:rPr>
          <w:rFonts w:hint="eastAsia" w:ascii="宋体" w:hAnsi="宋体" w:eastAsia="宋体" w:cs="宋体"/>
          <w:color w:val="auto"/>
          <w:sz w:val="24"/>
          <w:szCs w:val="24"/>
          <w:highlight w:val="none"/>
          <w:u w:val="none"/>
          <w:lang w:val="en-US" w:eastAsia="zh-CN"/>
        </w:rPr>
        <w:t>有且仅有投出1票的权利，1票只能投1名定标候选人，</w:t>
      </w:r>
      <w:r>
        <w:rPr>
          <w:rFonts w:hint="eastAsia" w:ascii="宋体" w:hAnsi="宋体" w:eastAsia="宋体" w:cs="宋体"/>
          <w:b w:val="0"/>
          <w:i w:val="0"/>
          <w:snapToGrid/>
          <w:color w:val="auto"/>
          <w:sz w:val="24"/>
          <w:szCs w:val="24"/>
          <w:highlight w:val="none"/>
          <w:u w:val="none"/>
          <w:shd w:val="clear" w:color="auto" w:fill="FFFFFF"/>
          <w:lang w:eastAsia="zh-CN"/>
        </w:rPr>
        <w:t>进行票决排名确定排序的中标候选人。即各定标委员会成员对定标候选人进行投票，按得票高低推荐排序的前三名中标候选人。</w:t>
      </w:r>
      <w:r>
        <w:rPr>
          <w:rFonts w:hint="eastAsia" w:ascii="宋体" w:hAnsi="宋体" w:eastAsia="宋体" w:cs="宋体"/>
          <w:color w:val="auto"/>
          <w:sz w:val="24"/>
          <w:szCs w:val="24"/>
          <w:highlight w:val="none"/>
          <w:u w:val="none"/>
          <w:lang w:val="en-US" w:eastAsia="zh-CN"/>
        </w:rPr>
        <w:t>若第一轮投票中前三名中标候选人有</w:t>
      </w:r>
      <w:r>
        <w:rPr>
          <w:rFonts w:hint="eastAsia" w:ascii="宋体" w:hAnsi="宋体" w:eastAsia="宋体" w:cs="宋体"/>
          <w:color w:val="auto"/>
          <w:sz w:val="24"/>
          <w:szCs w:val="24"/>
          <w:highlight w:val="none"/>
          <w:u w:val="none"/>
          <w:shd w:val="clear" w:color="auto" w:fill="FFFFFF"/>
          <w:lang w:val="en-US" w:eastAsia="zh-CN"/>
        </w:rPr>
        <w:t>得票相同且影响中标候选人排序确定的，由定标委员会对总票数相同的单位进行再次票决确定排序，</w:t>
      </w:r>
      <w:r>
        <w:rPr>
          <w:rFonts w:hint="eastAsia" w:ascii="宋体" w:hAnsi="宋体" w:eastAsia="宋体" w:cs="宋体"/>
          <w:color w:val="auto"/>
          <w:sz w:val="24"/>
          <w:szCs w:val="24"/>
          <w:highlight w:val="none"/>
          <w:u w:val="none"/>
          <w:lang w:val="en-US" w:eastAsia="zh-CN"/>
        </w:rPr>
        <w:t>直至决出排序的前三名中标候选人。若定标候选人中没有符合评审要求的三名中标候选人，则宣告本次招标失败。</w:t>
      </w:r>
      <w:r>
        <w:rPr>
          <w:rFonts w:hint="eastAsia" w:ascii="宋体" w:hAnsi="宋体" w:eastAsia="宋体" w:cs="宋体"/>
          <w:b w:val="0"/>
          <w:i w:val="0"/>
          <w:snapToGrid/>
          <w:color w:val="auto"/>
          <w:sz w:val="24"/>
          <w:szCs w:val="24"/>
          <w:highlight w:val="none"/>
          <w:u w:val="none"/>
          <w:shd w:val="clear" w:color="auto" w:fill="FFFFFF"/>
          <w:lang w:eastAsia="zh-CN"/>
        </w:rPr>
        <w:t>票决采用记名方式并注明投票理由。</w:t>
      </w:r>
    </w:p>
    <w:p w14:paraId="6D643DC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5.1.1.</w:t>
      </w:r>
      <w:r>
        <w:rPr>
          <w:rFonts w:hint="eastAsia" w:ascii="宋体" w:hAnsi="宋体" w:eastAsia="宋体" w:cs="宋体"/>
          <w:b/>
          <w:bCs/>
          <w:color w:val="auto"/>
          <w:sz w:val="24"/>
          <w:szCs w:val="24"/>
          <w:highlight w:val="none"/>
          <w:u w:val="none"/>
          <w:shd w:val="clear" w:color="auto" w:fill="FFFFFF"/>
        </w:rPr>
        <w:t>项目情况介绍</w:t>
      </w:r>
    </w:p>
    <w:p w14:paraId="52C9E2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招标人代表介绍项目的概况及招标要求，以及定标方法与定标工作规则，不得发表具有倾向性的言论。</w:t>
      </w:r>
    </w:p>
    <w:p w14:paraId="08F2A0F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5.1.2.</w:t>
      </w:r>
      <w:r>
        <w:rPr>
          <w:rFonts w:hint="eastAsia" w:ascii="宋体" w:hAnsi="宋体" w:eastAsia="宋体" w:cs="宋体"/>
          <w:b/>
          <w:bCs/>
          <w:color w:val="auto"/>
          <w:sz w:val="24"/>
          <w:szCs w:val="24"/>
          <w:highlight w:val="none"/>
          <w:u w:val="none"/>
          <w:shd w:val="clear" w:color="auto" w:fill="FFFFFF"/>
        </w:rPr>
        <w:t>审阅定标资料</w:t>
      </w:r>
    </w:p>
    <w:p w14:paraId="26CCE8F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定标委员会成员对各定标候选人的投标文件进行审阅，审阅内容主要是定标工作规则所规定的定标因素，</w:t>
      </w:r>
      <w:r>
        <w:rPr>
          <w:rFonts w:hint="eastAsia" w:ascii="宋体" w:hAnsi="宋体" w:eastAsia="宋体" w:cs="宋体"/>
          <w:b w:val="0"/>
          <w:bCs w:val="0"/>
          <w:color w:val="auto"/>
          <w:spacing w:val="0"/>
          <w:position w:val="0"/>
          <w:sz w:val="24"/>
          <w:szCs w:val="24"/>
          <w:highlight w:val="none"/>
          <w:u w:val="none" w:color="auto"/>
          <w:lang w:val="en-US" w:eastAsia="zh-CN"/>
        </w:rPr>
        <w:t>聚焦于项目需求与候选人能力的匹配度</w:t>
      </w:r>
      <w:r>
        <w:rPr>
          <w:rFonts w:hint="eastAsia" w:ascii="宋体" w:hAnsi="宋体" w:eastAsia="宋体" w:cs="宋体"/>
          <w:color w:val="auto"/>
          <w:sz w:val="24"/>
          <w:szCs w:val="24"/>
          <w:highlight w:val="none"/>
          <w:u w:val="none"/>
          <w:shd w:val="clear" w:color="auto" w:fill="FFFFFF"/>
          <w:lang w:eastAsia="zh-CN"/>
        </w:rPr>
        <w:t>。</w:t>
      </w:r>
    </w:p>
    <w:p w14:paraId="551BE187">
      <w:pPr>
        <w:pStyle w:val="18"/>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5.1.3.</w:t>
      </w:r>
      <w:r>
        <w:rPr>
          <w:rFonts w:hint="eastAsia" w:ascii="宋体" w:hAnsi="宋体" w:eastAsia="宋体" w:cs="宋体"/>
          <w:b/>
          <w:bCs/>
          <w:color w:val="auto"/>
          <w:sz w:val="24"/>
          <w:szCs w:val="24"/>
          <w:highlight w:val="none"/>
          <w:u w:val="none"/>
          <w:shd w:val="clear" w:color="auto" w:fill="FFFFFF"/>
        </w:rPr>
        <w:t>疑问澄清</w:t>
      </w:r>
    </w:p>
    <w:p w14:paraId="6048AC0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color w:val="auto"/>
          <w:sz w:val="24"/>
          <w:szCs w:val="24"/>
          <w:highlight w:val="none"/>
          <w:u w:val="none"/>
          <w:shd w:val="clear" w:color="auto" w:fill="FFFFFF"/>
        </w:rPr>
        <w:t>讨论过程中，若成员对投标文件内容或项目细节存在疑问，可向招标人代表提出。招标人应现场作出答复，答复内容不得改变招标文件和投标文件的实质性内容，不得明示或暗示中标人。问答过程需形成书面记录，并由提问人与答复人签字确认。</w:t>
      </w:r>
    </w:p>
    <w:p w14:paraId="08C358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5.1.4.投票，收票，点票和汇总</w:t>
      </w:r>
    </w:p>
    <w:p w14:paraId="1588BD1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按照票决定标法程序，根据公平、公正、择优原则，独立完成票决后，统一由定标工作人员收集、清点，并对票数进行汇总排名。得票相同且影响中标候选人排序确定的，可由定标委员会对总票数相同的单位进行再次票决确定排序。</w:t>
      </w:r>
    </w:p>
    <w:p w14:paraId="2109924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bCs/>
          <w:color w:val="auto"/>
          <w:kern w:val="0"/>
          <w:sz w:val="24"/>
          <w:szCs w:val="24"/>
          <w:highlight w:val="none"/>
          <w:u w:val="none"/>
          <w:shd w:val="clear" w:color="auto" w:fill="FFFFFF"/>
          <w:lang w:val="en-US" w:eastAsia="zh-CN" w:bidi="ar-SA"/>
        </w:rPr>
        <w:t>5.1.5.公布结果和出具定标报告</w:t>
      </w:r>
    </w:p>
    <w:p w14:paraId="69B7F26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color w:val="auto"/>
          <w:sz w:val="24"/>
          <w:szCs w:val="24"/>
          <w:highlight w:val="none"/>
          <w:lang w:eastAsia="zh-CN"/>
        </w:rPr>
        <w:t>点票工作完成后，定标委员会组长汇总定标结果，编制定标报告，确定中标候选人，全体成员签名。</w:t>
      </w:r>
    </w:p>
    <w:p w14:paraId="63CF5B30">
      <w:pPr>
        <w:pStyle w:val="18"/>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5.1.6.</w:t>
      </w:r>
      <w:r>
        <w:rPr>
          <w:rFonts w:hint="eastAsia" w:ascii="宋体" w:hAnsi="宋体" w:eastAsia="宋体" w:cs="宋体"/>
          <w:b/>
          <w:bCs/>
          <w:color w:val="auto"/>
          <w:sz w:val="24"/>
          <w:szCs w:val="24"/>
          <w:highlight w:val="none"/>
          <w:u w:val="none"/>
          <w:shd w:val="clear" w:color="auto" w:fill="FFFFFF"/>
        </w:rPr>
        <w:t>全程监督</w:t>
      </w:r>
    </w:p>
    <w:p w14:paraId="6F5B289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招标监督小组对集体议定的全过程进行监督，确保程序合规、讨论充分、记录完整，结论形成过程公正、透明。</w:t>
      </w:r>
    </w:p>
    <w:p w14:paraId="02A96A4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5.2定标因素</w:t>
      </w:r>
    </w:p>
    <w:p w14:paraId="4152940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iCs/>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在同等条件下，择优的定标因素和相对标准有以下几个方面：</w:t>
      </w:r>
    </w:p>
    <w:p w14:paraId="10EC207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（1）企业实力</w:t>
      </w:r>
    </w:p>
    <w:p w14:paraId="1082968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相对标准：企业实力好的定标候选人优于企业实力一般的定标候选人。以企业资质等级、承接过类似业绩、财务状况等情况综合比较。</w:t>
      </w:r>
    </w:p>
    <w:p w14:paraId="241543E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（2）拟派团队管理能力与水平（履约能力）</w:t>
      </w:r>
    </w:p>
    <w:p w14:paraId="6F431B2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相对标准：拟派团队管理能力与水平（履约能力）强的定标候选人优于拟派团队管理能力与水平（履约能力）一般的定标候选人。</w:t>
      </w:r>
    </w:p>
    <w:p w14:paraId="6AC8FFF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（3）企业信誉</w:t>
      </w:r>
    </w:p>
    <w:p w14:paraId="685AA2F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相对标准：企业信誉评价好的定标候选人优于企业信誉评价一般的定标候选人。</w:t>
      </w:r>
    </w:p>
    <w:p w14:paraId="75738F4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（4）农民工工资保障情况</w:t>
      </w:r>
    </w:p>
    <w:p w14:paraId="2C163D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spacing w:val="0"/>
          <w:position w:val="0"/>
          <w:sz w:val="24"/>
          <w:szCs w:val="24"/>
          <w:highlight w:val="none"/>
          <w:u w:val="none" w:color="auto"/>
          <w:lang w:val="en-US" w:eastAsia="zh-CN"/>
        </w:rPr>
        <w:t>相对标准：农民工工资保障情况好的定标候选人优于农民工工资保障情况差的定标候选人（结合</w:t>
      </w:r>
      <w:r>
        <w:rPr>
          <w:rFonts w:hint="eastAsia" w:ascii="宋体" w:hAnsi="宋体" w:eastAsia="宋体" w:cs="宋体"/>
          <w:b w:val="0"/>
          <w:bCs w:val="0"/>
          <w:color w:val="auto"/>
          <w:kern w:val="0"/>
          <w:sz w:val="24"/>
          <w:szCs w:val="24"/>
          <w:highlight w:val="none"/>
          <w:u w:val="none"/>
          <w:shd w:val="clear" w:color="auto" w:fill="FFFFFF"/>
          <w:lang w:val="en-US" w:eastAsia="zh-CN" w:bidi="ar-SA"/>
        </w:rPr>
        <w:t>定标候选人提交的证明材料和招标人查询的材料进行评审）。</w:t>
      </w:r>
    </w:p>
    <w:p w14:paraId="1C85C20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（5）评标报告</w:t>
      </w:r>
    </w:p>
    <w:p w14:paraId="0F3119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spacing w:val="0"/>
          <w:position w:val="0"/>
          <w:sz w:val="24"/>
          <w:szCs w:val="24"/>
          <w:highlight w:val="none"/>
          <w:u w:val="none" w:color="auto"/>
          <w:lang w:val="en-US" w:eastAsia="zh-CN"/>
        </w:rPr>
        <w:t>相对标准：评标委员会评审意见为具有优势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低</w:t>
      </w:r>
      <w:r>
        <w:rPr>
          <w:rFonts w:hint="eastAsia" w:ascii="宋体" w:hAnsi="宋体" w:eastAsia="宋体" w:cs="宋体"/>
          <w:b w:val="0"/>
          <w:bCs w:val="0"/>
          <w:color w:val="auto"/>
          <w:spacing w:val="0"/>
          <w:position w:val="0"/>
          <w:sz w:val="24"/>
          <w:szCs w:val="24"/>
          <w:highlight w:val="none"/>
          <w:u w:val="none" w:color="auto"/>
          <w:lang w:val="en-US" w:eastAsia="zh-CN"/>
        </w:rPr>
        <w:t>的定标候选人优于评标委员会评审意见为没有优势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高</w:t>
      </w:r>
      <w:r>
        <w:rPr>
          <w:rFonts w:hint="eastAsia" w:ascii="宋体" w:hAnsi="宋体" w:eastAsia="宋体" w:cs="宋体"/>
          <w:b w:val="0"/>
          <w:bCs w:val="0"/>
          <w:color w:val="auto"/>
          <w:spacing w:val="0"/>
          <w:position w:val="0"/>
          <w:sz w:val="24"/>
          <w:szCs w:val="24"/>
          <w:highlight w:val="none"/>
          <w:u w:val="none" w:color="auto"/>
          <w:lang w:val="en-US" w:eastAsia="zh-CN"/>
        </w:rPr>
        <w:t>的</w:t>
      </w:r>
      <w:r>
        <w:rPr>
          <w:rFonts w:hint="eastAsia" w:ascii="宋体" w:hAnsi="宋体" w:eastAsia="宋体" w:cs="宋体"/>
          <w:color w:val="auto"/>
          <w:sz w:val="24"/>
          <w:szCs w:val="24"/>
          <w:highlight w:val="none"/>
        </w:rPr>
        <w:t>定标候选人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综合考虑评标委员会的评审意见，对各定标候选人</w:t>
      </w:r>
      <w:r>
        <w:rPr>
          <w:rFonts w:hint="eastAsia" w:ascii="宋体" w:hAnsi="宋体" w:eastAsia="宋体" w:cs="宋体"/>
          <w:color w:val="auto"/>
          <w:sz w:val="24"/>
          <w:szCs w:val="24"/>
          <w:highlight w:val="none"/>
        </w:rPr>
        <w:t>的优势、风险等评审情况</w:t>
      </w:r>
      <w:r>
        <w:rPr>
          <w:rFonts w:hint="eastAsia" w:ascii="宋体" w:hAnsi="宋体" w:eastAsia="宋体" w:cs="宋体"/>
          <w:b w:val="0"/>
          <w:bCs w:val="0"/>
          <w:color w:val="auto"/>
          <w:spacing w:val="0"/>
          <w:position w:val="0"/>
          <w:sz w:val="24"/>
          <w:szCs w:val="24"/>
          <w:highlight w:val="none"/>
          <w:u w:val="none" w:color="auto"/>
          <w:lang w:val="en-US" w:eastAsia="zh-CN"/>
        </w:rPr>
        <w:t>进行评审比较</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w:t>
      </w:r>
    </w:p>
    <w:p w14:paraId="4ECE7DAD">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6</w:t>
      </w: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val="en-US" w:eastAsia="zh-CN"/>
        </w:rPr>
        <w:t>定标结果公示</w:t>
      </w:r>
    </w:p>
    <w:p w14:paraId="169A25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26"/>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定标委员会完成定标</w:t>
      </w:r>
      <w:r>
        <w:rPr>
          <w:rStyle w:val="26"/>
          <w:rFonts w:hint="eastAsia" w:ascii="宋体" w:hAnsi="宋体" w:eastAsia="宋体" w:cs="宋体"/>
          <w:b w:val="0"/>
          <w:bCs w:val="0"/>
          <w:color w:val="auto"/>
          <w:kern w:val="0"/>
          <w:sz w:val="24"/>
          <w:szCs w:val="24"/>
          <w:highlight w:val="none"/>
          <w:lang w:val="en-US" w:eastAsia="zh-CN"/>
        </w:rPr>
        <w:t>后</w:t>
      </w:r>
      <w:r>
        <w:rPr>
          <w:rStyle w:val="26"/>
          <w:rFonts w:hint="eastAsia" w:ascii="宋体" w:hAnsi="宋体" w:eastAsia="宋体" w:cs="宋体"/>
          <w:color w:val="auto"/>
          <w:kern w:val="0"/>
          <w:sz w:val="24"/>
          <w:szCs w:val="24"/>
          <w:highlight w:val="none"/>
          <w:lang w:val="en-US" w:eastAsia="zh-CN"/>
        </w:rPr>
        <w:t>，招标人应于定标会结束后3日内将中标候选人和定标情况在广东省招标投标监管网和韶关市公共资源交易中心工程交易系统上公示，公示时间不少于3日。公示主要内容包括：公示主要内容包括：定标报告（定标成员信息除外）、中标人名单、中标价和拟投入本项目的项目负责人、技术负责人及各专业负责人（如有）等内容。</w:t>
      </w:r>
    </w:p>
    <w:p w14:paraId="7C947837">
      <w:pPr>
        <w:rPr>
          <w:rFonts w:hint="eastAsia" w:ascii="宋体" w:hAnsi="宋体" w:eastAsia="宋体" w:cs="宋体"/>
          <w:color w:val="auto"/>
        </w:rPr>
      </w:pPr>
      <w:bookmarkStart w:id="121" w:name="_Toc20125"/>
    </w:p>
    <w:p w14:paraId="641B77C4">
      <w:pPr>
        <w:rPr>
          <w:rFonts w:hint="eastAsia" w:ascii="宋体" w:hAnsi="宋体" w:eastAsia="宋体" w:cs="宋体"/>
          <w:color w:val="auto"/>
        </w:rPr>
      </w:pPr>
    </w:p>
    <w:p w14:paraId="2964F1B0">
      <w:pPr>
        <w:rPr>
          <w:rFonts w:hint="eastAsia" w:ascii="宋体" w:hAnsi="宋体" w:eastAsia="宋体" w:cs="宋体"/>
          <w:color w:val="auto"/>
        </w:rPr>
      </w:pPr>
    </w:p>
    <w:p w14:paraId="6AF9C6D5">
      <w:pPr>
        <w:rPr>
          <w:rFonts w:hint="eastAsia" w:ascii="宋体" w:hAnsi="宋体" w:eastAsia="宋体" w:cs="宋体"/>
          <w:color w:val="auto"/>
        </w:rPr>
      </w:pPr>
    </w:p>
    <w:p w14:paraId="3A651BB2">
      <w:pPr>
        <w:rPr>
          <w:rFonts w:hint="eastAsia" w:ascii="宋体" w:hAnsi="宋体" w:eastAsia="宋体" w:cs="宋体"/>
          <w:color w:val="auto"/>
        </w:rPr>
      </w:pPr>
    </w:p>
    <w:p w14:paraId="66DAC123">
      <w:pPr>
        <w:rPr>
          <w:rFonts w:hint="eastAsia" w:ascii="宋体" w:hAnsi="宋体" w:eastAsia="宋体" w:cs="宋体"/>
          <w:color w:val="auto"/>
        </w:rPr>
      </w:pPr>
    </w:p>
    <w:p w14:paraId="68E12D00">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r>
        <w:rPr>
          <w:rFonts w:hint="eastAsia" w:ascii="宋体" w:hAnsi="宋体" w:eastAsia="宋体" w:cs="宋体"/>
          <w:color w:val="auto"/>
          <w:kern w:val="2"/>
          <w:sz w:val="28"/>
          <w:szCs w:val="24"/>
          <w:lang w:val="en-US" w:eastAsia="zh-CN"/>
        </w:rPr>
        <w:t>第六节   中标确认</w:t>
      </w:r>
      <w:bookmarkEnd w:id="121"/>
    </w:p>
    <w:p w14:paraId="31BC500E">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val="en-US" w:eastAsia="zh-CN"/>
        </w:rPr>
        <w:t>中标人确定</w:t>
      </w:r>
    </w:p>
    <w:p w14:paraId="027E861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1.1 中标人确定。中标结果公示期满无异议的，招标人确认排名第一的中标候选人为中标人。</w:t>
      </w:r>
    </w:p>
    <w:p w14:paraId="63B3D21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1.2 中标人确定后，招标人应当于7日内在线完成加盖招标人单位电子签章的中标通知书并发放到中标人及各相关单位。招标人最迟应当在投标有效期届满30日前发出中标通知书，否则，应当按照本投标人须知投标有效期的规定延长投标有效期。</w:t>
      </w:r>
      <w:r>
        <w:rPr>
          <w:rFonts w:hint="eastAsia" w:ascii="宋体" w:hAnsi="宋体" w:eastAsia="宋体" w:cs="宋体"/>
          <w:snapToGrid w:val="0"/>
          <w:color w:val="auto"/>
          <w:kern w:val="0"/>
          <w:sz w:val="24"/>
          <w:szCs w:val="24"/>
          <w:highlight w:val="none"/>
        </w:rPr>
        <w:t>在中标通知书发出后5个工作日内，韶关市公共资源交易中心将投标保证金（或银行保函）退还给中标候选人以外的投标人。</w:t>
      </w:r>
    </w:p>
    <w:p w14:paraId="66F89B5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1.3 招标人应当自中标通知书发出之日起15日内，通过广东省招标投标监管网和公共资源交易平台发布中标结果公示。 招标人应当自确定中标人之日起15日内，在线向有关招标管理部门提交招标投标情况的书面报告。</w:t>
      </w:r>
    </w:p>
    <w:p w14:paraId="0A4D81AC">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val="en-US" w:eastAsia="zh-CN"/>
        </w:rPr>
        <w:t>异议和投诉</w:t>
      </w:r>
    </w:p>
    <w:p w14:paraId="495885A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2.1 投标人或者其他利害关系人对招标项目的评标和中标结果有异议的，应当在定标候选人和中标候选人公示期间按规定线上向招标人提出，逾期提出的不予受理。招标人自收到异议之日起3日内作出答复；作出答复前，应当暂停招标投标活动。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582C747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2.2在定标候选人和中标候选人公示期间有关评标结果的异议成立的，招标人原则上应当组织原评标委员会和原定标委员会对有关的问题予以纠正，问题纠正后再公示定标候选人和中标候选人。</w:t>
      </w:r>
    </w:p>
    <w:p w14:paraId="21823E4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2.3投标人或其他利害关系人认为招标投标活动不符合法律、行政法规规定的，可以自知道或者应当知道之日起10日内按规定线上向有关招标管理部门投诉。投诉应当有明确的请求和必要的证明材料。招标管理部门应当自收到投诉之日起30个工作日内作出书面处理决定。</w:t>
      </w:r>
    </w:p>
    <w:p w14:paraId="2AE3C4DF">
      <w:pPr>
        <w:pStyle w:val="5"/>
        <w:keepNext/>
        <w:keepLines/>
        <w:pageBreakBefore w:val="0"/>
        <w:widowControl/>
        <w:kinsoku/>
        <w:wordWrap/>
        <w:overflowPunct/>
        <w:topLinePunct w:val="0"/>
        <w:autoSpaceDE/>
        <w:autoSpaceDN/>
        <w:bidi w:val="0"/>
        <w:adjustRightInd/>
        <w:snapToGrid/>
        <w:spacing w:before="240" w:beforeAutospacing="0" w:after="120" w:afterAutospacing="0" w:line="360" w:lineRule="auto"/>
        <w:ind w:left="0" w:leftChars="0" w:firstLine="482" w:firstLineChars="200"/>
        <w:jc w:val="left"/>
        <w:textAlignment w:val="auto"/>
        <w:outlineLvl w:val="2"/>
        <w:rPr>
          <w:rFonts w:hint="eastAsia" w:ascii="宋体" w:hAnsi="宋体" w:eastAsia="宋体" w:cs="宋体"/>
          <w:b/>
          <w:bCs/>
          <w:color w:val="auto"/>
          <w:kern w:val="0"/>
          <w:sz w:val="24"/>
          <w:szCs w:val="24"/>
          <w:highlight w:val="none"/>
          <w:lang w:val="en-US" w:eastAsia="zh-CN"/>
        </w:rPr>
      </w:pPr>
      <w:bookmarkStart w:id="122" w:name="_Toc236550039"/>
      <w:r>
        <w:rPr>
          <w:rFonts w:hint="eastAsia" w:ascii="宋体" w:hAnsi="宋体" w:eastAsia="宋体" w:cs="宋体"/>
          <w:b/>
          <w:bCs/>
          <w:color w:val="auto"/>
          <w:kern w:val="0"/>
          <w:sz w:val="24"/>
          <w:szCs w:val="24"/>
          <w:highlight w:val="none"/>
          <w:lang w:val="en-US" w:eastAsia="zh-CN"/>
        </w:rPr>
        <w:t>3．废除授标</w:t>
      </w:r>
      <w:bookmarkEnd w:id="122"/>
      <w:r>
        <w:rPr>
          <w:rFonts w:hint="eastAsia" w:ascii="宋体" w:hAnsi="宋体" w:eastAsia="宋体" w:cs="宋体"/>
          <w:b/>
          <w:bCs/>
          <w:color w:val="auto"/>
          <w:kern w:val="0"/>
          <w:sz w:val="24"/>
          <w:szCs w:val="24"/>
          <w:highlight w:val="none"/>
          <w:lang w:val="en-US" w:eastAsia="zh-CN"/>
        </w:rPr>
        <w:t>及授标</w:t>
      </w:r>
    </w:p>
    <w:p w14:paraId="73CF9B7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3.1评定标完成后，中标候选人有下列情形之一的，招标人应按规定取消中标候选人资格或废除授标：</w:t>
      </w:r>
    </w:p>
    <w:p w14:paraId="5FA0B2E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（1）以他人名义投标或者以其他方式弄虚作假骗取中标的；</w:t>
      </w:r>
    </w:p>
    <w:p w14:paraId="7F503EA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（2）与其他投标人串通投标或以行贿的手段谋取中标的；</w:t>
      </w:r>
    </w:p>
    <w:p w14:paraId="2CB9577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（3）不是从本投标企业基本账户提交投标担保或以虚假方式提交投标保证金保函（保单）的；</w:t>
      </w:r>
    </w:p>
    <w:p w14:paraId="139BC26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（4）中标人于投标有效期终止之前撤回投标文件，或者排名第一的中标候选人放弃中标资格的；</w:t>
      </w:r>
    </w:p>
    <w:p w14:paraId="7370940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（5）因中标人过错而未能按照规定与招标人签订工程总承包合同或中标人因不可抗力提出不能履行合同的；</w:t>
      </w:r>
    </w:p>
    <w:p w14:paraId="36855E4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（6）因中标人过错而未能按照招标文件要求向招标人提交履约担保的；</w:t>
      </w:r>
    </w:p>
    <w:p w14:paraId="23A965C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（7）中标单位拟派的项目负责人从投标截止时间起在其他建设工程担任项目负责人；</w:t>
      </w:r>
    </w:p>
    <w:p w14:paraId="21FA63F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（8）中标人被有关部门查实存在影响中标结果的违法行为，不符合中标条件的；</w:t>
      </w:r>
    </w:p>
    <w:p w14:paraId="73AAE53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（9）中标人在参加本项目投标时有本企业投标承诺书所列被依法限制或暂停承揽业务或停业的处罚的；</w:t>
      </w:r>
    </w:p>
    <w:p w14:paraId="4BBF9F0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（10）招标文件明确规定可以废除授标的其他情形。</w:t>
      </w:r>
    </w:p>
    <w:p w14:paraId="78DCC91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3.2 排名第一的中标候选人被取消中标候选人资格或废除授标，招标人可以按照定标委员会提出的中标候选人名单排序按规定依次确定其他中标候选人为中标人，并按规定实行中标结果公示；也可以按规定重新组织招标或报原项目审批、核准部门重新审批、核准招标方式。</w:t>
      </w:r>
    </w:p>
    <w:p w14:paraId="4A7412B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3.3 招标人有下列情形之一的，应依法承担相应的责任：</w:t>
      </w:r>
    </w:p>
    <w:p w14:paraId="34284F5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（1）无正当理由不发出中标通知书的；</w:t>
      </w:r>
    </w:p>
    <w:p w14:paraId="2FD23A4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（2）招标人不按照规定确定中标人的；</w:t>
      </w:r>
    </w:p>
    <w:p w14:paraId="31E1362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（3）中标通知书发出后无正当理由改变中标结果的；</w:t>
      </w:r>
    </w:p>
    <w:p w14:paraId="67EEB6B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（4）无正当理由不与中标人签订工程总承包合同的；</w:t>
      </w:r>
    </w:p>
    <w:p w14:paraId="1E49C49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（5）在签订工程总承包合同时向中标人提出附加条件或者更改合同实质性内容的。</w:t>
      </w:r>
    </w:p>
    <w:p w14:paraId="022C315A">
      <w:pPr>
        <w:rPr>
          <w:rFonts w:hint="eastAsia" w:ascii="宋体" w:hAnsi="宋体" w:eastAsia="宋体" w:cs="宋体"/>
          <w:color w:val="auto"/>
          <w:lang w:val="en-US" w:eastAsia="zh-CN"/>
        </w:rPr>
      </w:pPr>
    </w:p>
    <w:p w14:paraId="056C72D4">
      <w:pPr>
        <w:rPr>
          <w:rFonts w:hint="eastAsia" w:ascii="宋体" w:hAnsi="宋体" w:eastAsia="宋体" w:cs="宋体"/>
          <w:color w:val="auto"/>
          <w:lang w:val="en-US" w:eastAsia="zh-CN"/>
        </w:rPr>
      </w:pPr>
    </w:p>
    <w:p w14:paraId="3D9F1A59">
      <w:pPr>
        <w:rPr>
          <w:rFonts w:hint="eastAsia" w:ascii="宋体" w:hAnsi="宋体" w:eastAsia="宋体" w:cs="宋体"/>
          <w:color w:val="auto"/>
          <w:lang w:val="en-US" w:eastAsia="zh-CN"/>
        </w:rPr>
      </w:pPr>
    </w:p>
    <w:p w14:paraId="700104AC">
      <w:pPr>
        <w:rPr>
          <w:rFonts w:hint="eastAsia" w:ascii="宋体" w:hAnsi="宋体" w:eastAsia="宋体" w:cs="宋体"/>
          <w:color w:val="auto"/>
          <w:lang w:val="en-US" w:eastAsia="zh-CN"/>
        </w:rPr>
      </w:pPr>
    </w:p>
    <w:p w14:paraId="4A873316">
      <w:pPr>
        <w:rPr>
          <w:rFonts w:hint="eastAsia" w:ascii="宋体" w:hAnsi="宋体" w:eastAsia="宋体" w:cs="宋体"/>
          <w:color w:val="auto"/>
          <w:lang w:val="en-US" w:eastAsia="zh-CN"/>
        </w:rPr>
      </w:pPr>
    </w:p>
    <w:p w14:paraId="29266978">
      <w:pPr>
        <w:rPr>
          <w:rFonts w:hint="eastAsia" w:ascii="宋体" w:hAnsi="宋体" w:eastAsia="宋体" w:cs="宋体"/>
          <w:color w:val="auto"/>
          <w:lang w:val="en-US" w:eastAsia="zh-CN"/>
        </w:rPr>
      </w:pPr>
    </w:p>
    <w:p w14:paraId="7130A840">
      <w:pPr>
        <w:rPr>
          <w:rFonts w:hint="eastAsia" w:ascii="宋体" w:hAnsi="宋体" w:eastAsia="宋体" w:cs="宋体"/>
          <w:color w:val="auto"/>
          <w:lang w:val="en-US" w:eastAsia="zh-CN"/>
        </w:rPr>
      </w:pPr>
    </w:p>
    <w:p w14:paraId="42D11154">
      <w:pPr>
        <w:rPr>
          <w:rFonts w:hint="eastAsia" w:ascii="宋体" w:hAnsi="宋体" w:eastAsia="宋体" w:cs="宋体"/>
          <w:color w:val="auto"/>
          <w:lang w:val="en-US" w:eastAsia="zh-CN"/>
        </w:rPr>
      </w:pPr>
    </w:p>
    <w:p w14:paraId="4E78A63E">
      <w:pPr>
        <w:rPr>
          <w:rFonts w:hint="eastAsia" w:ascii="宋体" w:hAnsi="宋体" w:eastAsia="宋体" w:cs="宋体"/>
          <w:color w:val="auto"/>
          <w:lang w:val="en-US" w:eastAsia="zh-CN"/>
        </w:rPr>
      </w:pPr>
    </w:p>
    <w:p w14:paraId="3420C3E6">
      <w:pPr>
        <w:rPr>
          <w:rFonts w:hint="eastAsia" w:ascii="宋体" w:hAnsi="宋体" w:eastAsia="宋体" w:cs="宋体"/>
          <w:color w:val="auto"/>
          <w:lang w:val="en-US" w:eastAsia="zh-CN"/>
        </w:rPr>
      </w:pPr>
    </w:p>
    <w:p w14:paraId="0E18801C">
      <w:pPr>
        <w:rPr>
          <w:rFonts w:hint="eastAsia" w:ascii="宋体" w:hAnsi="宋体" w:eastAsia="宋体" w:cs="宋体"/>
          <w:color w:val="auto"/>
          <w:lang w:val="en-US" w:eastAsia="zh-CN"/>
        </w:rPr>
      </w:pPr>
    </w:p>
    <w:p w14:paraId="229FA7C3">
      <w:pPr>
        <w:rPr>
          <w:rFonts w:hint="eastAsia" w:ascii="宋体" w:hAnsi="宋体" w:eastAsia="宋体" w:cs="宋体"/>
          <w:color w:val="auto"/>
          <w:lang w:val="en-US" w:eastAsia="zh-CN"/>
        </w:rPr>
      </w:pPr>
    </w:p>
    <w:p w14:paraId="4E0D11EB">
      <w:pPr>
        <w:rPr>
          <w:rFonts w:hint="eastAsia" w:ascii="宋体" w:hAnsi="宋体" w:eastAsia="宋体" w:cs="宋体"/>
          <w:color w:val="auto"/>
          <w:lang w:val="en-US" w:eastAsia="zh-CN"/>
        </w:rPr>
      </w:pPr>
    </w:p>
    <w:p w14:paraId="3AC3F0C9">
      <w:pPr>
        <w:pStyle w:val="3"/>
        <w:keepLines w:val="0"/>
        <w:pageBreakBefore w:val="0"/>
        <w:widowControl w:val="0"/>
        <w:shd w:val="clear" w:color="auto" w:fill="auto"/>
        <w:tabs>
          <w:tab w:val="left" w:pos="1830"/>
        </w:tabs>
        <w:kinsoku/>
        <w:wordWrap/>
        <w:overflowPunct/>
        <w:topLinePunct w:val="0"/>
        <w:autoSpaceDE/>
        <w:autoSpaceDN/>
        <w:bidi w:val="0"/>
        <w:adjustRightInd/>
        <w:snapToGrid/>
        <w:spacing w:line="360" w:lineRule="exact"/>
        <w:ind w:left="0" w:firstLine="0"/>
        <w:jc w:val="center"/>
        <w:textAlignment w:val="auto"/>
        <w:rPr>
          <w:rFonts w:hint="eastAsia" w:ascii="宋体" w:hAnsi="宋体" w:eastAsia="宋体" w:cs="宋体"/>
          <w:color w:val="auto"/>
          <w:sz w:val="24"/>
          <w:szCs w:val="24"/>
        </w:rPr>
      </w:pPr>
      <w:bookmarkStart w:id="123" w:name="_Toc4077"/>
      <w:bookmarkStart w:id="124" w:name="_Toc27143"/>
      <w:bookmarkStart w:id="125" w:name="_Toc28787"/>
      <w:bookmarkStart w:id="126" w:name="_Toc3347"/>
      <w:bookmarkStart w:id="127" w:name="_Toc15467"/>
      <w:bookmarkStart w:id="128" w:name="_Toc30480"/>
      <w:bookmarkStart w:id="129" w:name="_Toc28953"/>
      <w:bookmarkStart w:id="130" w:name="_Toc2386"/>
      <w:bookmarkStart w:id="131" w:name="_Toc10927"/>
      <w:bookmarkStart w:id="132" w:name="_Toc15462"/>
      <w:bookmarkStart w:id="133" w:name="_Toc28709"/>
      <w:bookmarkStart w:id="134" w:name="_Toc6867"/>
      <w:r>
        <w:rPr>
          <w:rFonts w:hint="eastAsia" w:ascii="宋体" w:hAnsi="宋体" w:eastAsia="宋体" w:cs="宋体"/>
          <w:color w:val="auto"/>
          <w:sz w:val="32"/>
          <w:szCs w:val="32"/>
          <w:highlight w:val="none"/>
        </w:rPr>
        <w:t>第二章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中标人须知</w:t>
      </w:r>
      <w:bookmarkEnd w:id="123"/>
      <w:bookmarkEnd w:id="124"/>
      <w:bookmarkEnd w:id="125"/>
      <w:bookmarkEnd w:id="126"/>
      <w:bookmarkEnd w:id="127"/>
      <w:bookmarkEnd w:id="128"/>
      <w:bookmarkEnd w:id="129"/>
      <w:bookmarkEnd w:id="130"/>
      <w:bookmarkEnd w:id="131"/>
      <w:bookmarkEnd w:id="132"/>
      <w:bookmarkEnd w:id="133"/>
      <w:bookmarkEnd w:id="134"/>
      <w:bookmarkStart w:id="135" w:name="_Toc29237"/>
      <w:bookmarkStart w:id="136" w:name="_Toc17046"/>
      <w:bookmarkStart w:id="137" w:name="_Toc6149"/>
      <w:bookmarkStart w:id="138" w:name="_Toc22972"/>
      <w:bookmarkStart w:id="139" w:name="_Toc61"/>
      <w:bookmarkStart w:id="140" w:name="_Toc12261"/>
      <w:bookmarkStart w:id="141" w:name="_Toc14325"/>
      <w:bookmarkStart w:id="142" w:name="_Toc19623"/>
      <w:bookmarkStart w:id="143" w:name="_Toc10923"/>
      <w:bookmarkStart w:id="144" w:name="_Toc4987"/>
      <w:bookmarkStart w:id="145" w:name="_Toc16222"/>
    </w:p>
    <w:p w14:paraId="5E309EA5">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eastAsia="zh-CN"/>
        </w:rPr>
      </w:pPr>
      <w:bookmarkStart w:id="146" w:name="_Toc28207"/>
      <w:r>
        <w:rPr>
          <w:rFonts w:hint="eastAsia" w:ascii="宋体" w:hAnsi="宋体" w:eastAsia="宋体" w:cs="宋体"/>
          <w:color w:val="auto"/>
          <w:kern w:val="2"/>
          <w:sz w:val="28"/>
          <w:szCs w:val="24"/>
          <w:lang w:eastAsia="zh-CN"/>
        </w:rPr>
        <w:t>1．中标通知书</w:t>
      </w:r>
      <w:bookmarkEnd w:id="135"/>
      <w:bookmarkEnd w:id="136"/>
      <w:bookmarkEnd w:id="137"/>
      <w:bookmarkEnd w:id="138"/>
      <w:bookmarkEnd w:id="139"/>
      <w:bookmarkEnd w:id="140"/>
      <w:bookmarkEnd w:id="141"/>
      <w:bookmarkEnd w:id="142"/>
      <w:bookmarkEnd w:id="143"/>
      <w:bookmarkEnd w:id="144"/>
      <w:bookmarkEnd w:id="145"/>
      <w:bookmarkEnd w:id="146"/>
    </w:p>
    <w:p w14:paraId="19155DC7">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1755DEE0">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eastAsia="zh-CN"/>
        </w:rPr>
      </w:pPr>
      <w:bookmarkStart w:id="147" w:name="_Toc23103"/>
      <w:bookmarkStart w:id="148" w:name="_Toc18834"/>
      <w:bookmarkStart w:id="149" w:name="_Toc32016"/>
      <w:bookmarkStart w:id="150" w:name="_Toc1504"/>
      <w:bookmarkStart w:id="151" w:name="_Toc7495"/>
      <w:bookmarkStart w:id="152" w:name="_Toc11550"/>
      <w:bookmarkStart w:id="153" w:name="_Toc26333"/>
      <w:bookmarkStart w:id="154" w:name="_Toc7369"/>
      <w:bookmarkStart w:id="155" w:name="_Toc9352"/>
      <w:bookmarkStart w:id="156" w:name="_Toc10346"/>
      <w:bookmarkStart w:id="157" w:name="_Toc250"/>
      <w:bookmarkStart w:id="158" w:name="_Toc13183"/>
      <w:r>
        <w:rPr>
          <w:rFonts w:hint="eastAsia" w:ascii="宋体" w:hAnsi="宋体" w:eastAsia="宋体" w:cs="宋体"/>
          <w:color w:val="auto"/>
          <w:kern w:val="2"/>
          <w:sz w:val="28"/>
          <w:szCs w:val="24"/>
          <w:lang w:eastAsia="zh-CN"/>
        </w:rPr>
        <w:t>2．中标结果公示</w:t>
      </w:r>
      <w:bookmarkEnd w:id="147"/>
      <w:bookmarkEnd w:id="148"/>
      <w:bookmarkEnd w:id="149"/>
      <w:bookmarkEnd w:id="150"/>
      <w:bookmarkEnd w:id="151"/>
      <w:bookmarkEnd w:id="152"/>
      <w:bookmarkEnd w:id="153"/>
      <w:bookmarkEnd w:id="154"/>
      <w:bookmarkEnd w:id="155"/>
      <w:bookmarkEnd w:id="156"/>
      <w:bookmarkEnd w:id="157"/>
      <w:bookmarkEnd w:id="158"/>
    </w:p>
    <w:p w14:paraId="56F175D6">
      <w:pPr>
        <w:keepNext w:val="0"/>
        <w:keepLines w:val="0"/>
        <w:pageBreakBefore w:val="0"/>
        <w:widowControl w:val="0"/>
        <w:kinsoku/>
        <w:overflowPunct/>
        <w:topLinePunct w:val="0"/>
        <w:autoSpaceDE/>
        <w:autoSpaceDN/>
        <w:bidi w:val="0"/>
        <w:adjustRightInd/>
        <w:snapToGrid/>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中标通知书发出后15日内，招标人应将中标结果</w:t>
      </w:r>
      <w:r>
        <w:rPr>
          <w:rFonts w:hint="eastAsia" w:ascii="宋体" w:hAnsi="宋体" w:eastAsia="宋体" w:cs="宋体"/>
          <w:snapToGrid w:val="0"/>
          <w:color w:val="auto"/>
          <w:kern w:val="0"/>
          <w:sz w:val="24"/>
          <w:szCs w:val="24"/>
          <w:highlight w:val="none"/>
        </w:rPr>
        <w:t>在广东省招标投标监管网（</w:t>
      </w:r>
      <w:r>
        <w:rPr>
          <w:rFonts w:hint="eastAsia" w:ascii="宋体" w:hAnsi="宋体" w:eastAsia="宋体" w:cs="宋体"/>
          <w:snapToGrid w:val="0"/>
          <w:color w:val="auto"/>
          <w:kern w:val="0"/>
          <w:sz w:val="24"/>
          <w:szCs w:val="24"/>
          <w:highlight w:val="none"/>
          <w:lang w:val="en-US" w:eastAsia="zh-CN" w:bidi="ar-SA"/>
        </w:rPr>
        <w:t>http：//zbtb.gd.gov.cn</w:t>
      </w:r>
      <w:r>
        <w:rPr>
          <w:rFonts w:hint="eastAsia" w:ascii="宋体" w:hAnsi="宋体" w:eastAsia="宋体" w:cs="宋体"/>
          <w:snapToGrid w:val="0"/>
          <w:color w:val="auto"/>
          <w:kern w:val="0"/>
          <w:sz w:val="24"/>
          <w:szCs w:val="24"/>
          <w:highlight w:val="none"/>
        </w:rPr>
        <w:t>）、全国公共资源交易平台（广东省·韶关市）（https://ygp.gdzwfw.gov.cn/ggzy-portal/#/440200/index）进行公示。</w:t>
      </w:r>
    </w:p>
    <w:p w14:paraId="35641769">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eastAsia="zh-CN"/>
        </w:rPr>
      </w:pPr>
      <w:bookmarkStart w:id="159" w:name="_Toc4720"/>
      <w:bookmarkStart w:id="160" w:name="_Toc7791"/>
      <w:bookmarkStart w:id="161" w:name="_Toc9163"/>
      <w:bookmarkStart w:id="162" w:name="_Toc18175"/>
      <w:bookmarkStart w:id="163" w:name="_Toc3103"/>
      <w:bookmarkStart w:id="164" w:name="_Toc8887"/>
      <w:bookmarkStart w:id="165" w:name="_Toc23213"/>
      <w:bookmarkStart w:id="166" w:name="_Toc25855"/>
      <w:bookmarkStart w:id="167" w:name="_Toc6985"/>
      <w:bookmarkStart w:id="168" w:name="_Toc2148"/>
      <w:bookmarkStart w:id="169" w:name="_Toc11324"/>
      <w:bookmarkStart w:id="170" w:name="_Toc5175"/>
      <w:r>
        <w:rPr>
          <w:rFonts w:hint="eastAsia" w:ascii="宋体" w:hAnsi="宋体" w:eastAsia="宋体" w:cs="宋体"/>
          <w:color w:val="auto"/>
          <w:kern w:val="2"/>
          <w:sz w:val="28"/>
          <w:szCs w:val="24"/>
          <w:lang w:eastAsia="zh-CN"/>
        </w:rPr>
        <w:t>3．履约保证</w:t>
      </w:r>
      <w:bookmarkEnd w:id="159"/>
      <w:bookmarkEnd w:id="160"/>
      <w:bookmarkEnd w:id="161"/>
      <w:bookmarkEnd w:id="162"/>
      <w:bookmarkEnd w:id="163"/>
      <w:bookmarkEnd w:id="164"/>
      <w:bookmarkEnd w:id="165"/>
      <w:bookmarkEnd w:id="166"/>
      <w:bookmarkEnd w:id="167"/>
      <w:bookmarkEnd w:id="168"/>
      <w:bookmarkEnd w:id="169"/>
      <w:bookmarkEnd w:id="170"/>
    </w:p>
    <w:p w14:paraId="259469EA">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3.1</w:t>
      </w:r>
      <w:r>
        <w:rPr>
          <w:rFonts w:hint="eastAsia" w:ascii="宋体" w:hAnsi="宋体" w:eastAsia="宋体" w:cs="宋体"/>
          <w:snapToGrid w:val="0"/>
          <w:color w:val="auto"/>
          <w:kern w:val="0"/>
          <w:sz w:val="24"/>
          <w:szCs w:val="24"/>
          <w:highlight w:val="none"/>
        </w:rPr>
        <w:t xml:space="preserve"> 中标人须在领取中标通知书之日起</w:t>
      </w:r>
      <w:r>
        <w:rPr>
          <w:rFonts w:hint="eastAsia" w:ascii="宋体" w:hAnsi="宋体" w:eastAsia="宋体" w:cs="宋体"/>
          <w:snapToGrid w:val="0"/>
          <w:color w:val="auto"/>
          <w:kern w:val="0"/>
          <w:sz w:val="24"/>
          <w:szCs w:val="24"/>
          <w:highlight w:val="none"/>
          <w:u w:val="single"/>
          <w:lang w:val="en-US" w:eastAsia="zh-CN"/>
        </w:rPr>
        <w:t xml:space="preserve"> 10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个工作日内、签订合同前向招标人提交金额为中标价</w:t>
      </w:r>
      <w:r>
        <w:rPr>
          <w:rFonts w:hint="eastAsia" w:ascii="宋体" w:hAnsi="宋体" w:eastAsia="宋体" w:cs="宋体"/>
          <w:b/>
          <w:bCs/>
          <w:snapToGrid w:val="0"/>
          <w:color w:val="auto"/>
          <w:kern w:val="0"/>
          <w:sz w:val="24"/>
          <w:szCs w:val="24"/>
          <w:highlight w:val="none"/>
          <w:u w:val="single"/>
          <w:lang w:val="en-US" w:eastAsia="zh-CN"/>
        </w:rPr>
        <w:t xml:space="preserve"> 10 </w:t>
      </w:r>
      <w:r>
        <w:rPr>
          <w:rFonts w:hint="eastAsia" w:ascii="宋体" w:hAnsi="宋体" w:eastAsia="宋体" w:cs="宋体"/>
          <w:b/>
          <w:bCs/>
          <w:snapToGrid w:val="0"/>
          <w:color w:val="auto"/>
          <w:kern w:val="0"/>
          <w:sz w:val="24"/>
          <w:szCs w:val="24"/>
          <w:highlight w:val="none"/>
        </w:rPr>
        <w:t>%</w:t>
      </w:r>
      <w:r>
        <w:rPr>
          <w:rFonts w:hint="eastAsia" w:ascii="宋体" w:hAnsi="宋体" w:eastAsia="宋体" w:cs="宋体"/>
          <w:snapToGrid w:val="0"/>
          <w:color w:val="auto"/>
          <w:kern w:val="0"/>
          <w:sz w:val="24"/>
          <w:szCs w:val="24"/>
          <w:highlight w:val="none"/>
        </w:rPr>
        <w:t>的履约保证。</w:t>
      </w:r>
    </w:p>
    <w:p w14:paraId="6EEE8904">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w:t>
      </w:r>
      <w:r>
        <w:rPr>
          <w:rFonts w:hint="eastAsia" w:ascii="宋体" w:hAnsi="宋体" w:eastAsia="宋体" w:cs="宋体"/>
          <w:snapToGrid w:val="0"/>
          <w:color w:val="auto"/>
          <w:kern w:val="0"/>
          <w:sz w:val="24"/>
          <w:szCs w:val="24"/>
          <w:highlight w:val="none"/>
        </w:rPr>
        <w:t xml:space="preserve"> 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snapToGrid w:val="0"/>
          <w:color w:val="auto"/>
          <w:kern w:val="0"/>
          <w:sz w:val="24"/>
          <w:szCs w:val="24"/>
          <w:highlight w:val="none"/>
          <w:lang w:val="en-US" w:eastAsia="zh-CN"/>
        </w:rPr>
        <w:t>商业保函、银行保函或保险合同（或保险单）的有效期应当自合同生效之日起至项目通过竣工验收之日后28天止。</w:t>
      </w:r>
      <w:r>
        <w:rPr>
          <w:rFonts w:hint="eastAsia" w:ascii="宋体" w:hAnsi="宋体" w:eastAsia="宋体" w:cs="宋体"/>
          <w:snapToGrid w:val="0"/>
          <w:color w:val="auto"/>
          <w:kern w:val="0"/>
          <w:sz w:val="24"/>
          <w:szCs w:val="24"/>
          <w:highlight w:val="none"/>
        </w:rPr>
        <w:t>项目竣工后，由招标人发起退保。</w:t>
      </w:r>
    </w:p>
    <w:p w14:paraId="55E154CE">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auto"/>
          <w:kern w:val="0"/>
          <w:sz w:val="24"/>
          <w:szCs w:val="24"/>
          <w:highlight w:val="none"/>
        </w:rPr>
        <w:t>并由招标人通报建设行政管理部门。如采用</w:t>
      </w:r>
      <w:r>
        <w:rPr>
          <w:rFonts w:hint="eastAsia" w:ascii="宋体" w:hAnsi="宋体" w:eastAsia="宋体" w:cs="宋体"/>
          <w:snapToGrid w:val="0"/>
          <w:color w:val="auto"/>
          <w:kern w:val="0"/>
          <w:sz w:val="24"/>
          <w:szCs w:val="24"/>
          <w:highlight w:val="none"/>
          <w:lang w:eastAsia="zh-CN"/>
        </w:rPr>
        <w:t>商业保函、银行保函或保险合同</w:t>
      </w:r>
      <w:r>
        <w:rPr>
          <w:rFonts w:hint="eastAsia" w:ascii="宋体" w:hAnsi="宋体" w:eastAsia="宋体" w:cs="宋体"/>
          <w:snapToGrid w:val="0"/>
          <w:color w:val="auto"/>
          <w:kern w:val="0"/>
          <w:sz w:val="24"/>
          <w:szCs w:val="24"/>
          <w:highlight w:val="none"/>
        </w:rPr>
        <w:t>方式缴纳履约保证金，在保函或保险合同到期前一个月，中标人须主动办理续期手续或提交新的</w:t>
      </w:r>
      <w:r>
        <w:rPr>
          <w:rFonts w:hint="eastAsia" w:ascii="宋体" w:hAnsi="宋体" w:eastAsia="宋体" w:cs="宋体"/>
          <w:snapToGrid w:val="0"/>
          <w:color w:val="auto"/>
          <w:kern w:val="0"/>
          <w:sz w:val="24"/>
          <w:szCs w:val="24"/>
          <w:highlight w:val="none"/>
          <w:lang w:eastAsia="zh-CN"/>
        </w:rPr>
        <w:t>商业保函、银行保函或保险合同。</w:t>
      </w:r>
    </w:p>
    <w:p w14:paraId="373A245E">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04D632A9">
      <w:pPr>
        <w:keepNext w:val="0"/>
        <w:keepLines w:val="0"/>
        <w:pageBreakBefore w:val="0"/>
        <w:widowControl w:val="0"/>
        <w:kinsoku/>
        <w:overflowPunct/>
        <w:topLinePunct w:val="0"/>
        <w:autoSpaceDE/>
        <w:autoSpaceDN/>
        <w:bidi w:val="0"/>
        <w:adjustRightInd/>
        <w:snapToGrid/>
        <w:spacing w:line="360" w:lineRule="auto"/>
        <w:ind w:firstLine="482" w:firstLineChars="200"/>
        <w:rPr>
          <w:rStyle w:val="26"/>
          <w:rFonts w:hint="eastAsia" w:ascii="宋体" w:hAnsi="宋体" w:eastAsia="宋体" w:cs="宋体"/>
          <w:b/>
          <w:bCs/>
          <w:color w:val="auto"/>
          <w:kern w:val="0"/>
          <w:sz w:val="24"/>
          <w:szCs w:val="24"/>
          <w:highlight w:val="none"/>
        </w:rPr>
      </w:pP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 xml:space="preserve"> 项目通过竣工验收之日后28天内，发包人将履约保证退还给承包人</w:t>
      </w:r>
      <w:r>
        <w:rPr>
          <w:rStyle w:val="26"/>
          <w:rFonts w:hint="eastAsia" w:ascii="宋体" w:hAnsi="宋体" w:eastAsia="宋体" w:cs="宋体"/>
          <w:color w:val="auto"/>
          <w:kern w:val="0"/>
          <w:sz w:val="24"/>
          <w:szCs w:val="24"/>
          <w:highlight w:val="none"/>
        </w:rPr>
        <w:t>。</w:t>
      </w:r>
    </w:p>
    <w:p w14:paraId="5794EE67">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eastAsia="zh-CN"/>
        </w:rPr>
      </w:pPr>
      <w:bookmarkStart w:id="171" w:name="_Toc31219"/>
      <w:bookmarkStart w:id="172" w:name="_Toc28994"/>
      <w:bookmarkStart w:id="173" w:name="_Toc31886"/>
      <w:bookmarkStart w:id="174" w:name="_Toc27654"/>
      <w:bookmarkStart w:id="175" w:name="_Toc17066"/>
      <w:bookmarkStart w:id="176" w:name="_Toc23036"/>
      <w:bookmarkStart w:id="177" w:name="_Toc15062"/>
      <w:bookmarkStart w:id="178" w:name="_Toc14440"/>
      <w:bookmarkStart w:id="179" w:name="_Toc27814"/>
      <w:bookmarkStart w:id="180" w:name="_Toc8187"/>
      <w:bookmarkStart w:id="181" w:name="_Toc24211"/>
      <w:bookmarkStart w:id="182" w:name="_Toc26477"/>
      <w:r>
        <w:rPr>
          <w:rFonts w:hint="eastAsia" w:ascii="宋体" w:hAnsi="宋体" w:eastAsia="宋体" w:cs="宋体"/>
          <w:color w:val="auto"/>
          <w:kern w:val="2"/>
          <w:sz w:val="28"/>
          <w:szCs w:val="24"/>
          <w:lang w:eastAsia="zh-CN"/>
        </w:rPr>
        <w:t>4．合同订立</w:t>
      </w:r>
      <w:bookmarkEnd w:id="171"/>
      <w:bookmarkEnd w:id="172"/>
      <w:bookmarkEnd w:id="173"/>
      <w:bookmarkEnd w:id="174"/>
      <w:bookmarkEnd w:id="175"/>
      <w:bookmarkEnd w:id="176"/>
      <w:bookmarkEnd w:id="177"/>
      <w:bookmarkEnd w:id="178"/>
      <w:bookmarkEnd w:id="179"/>
      <w:bookmarkEnd w:id="180"/>
      <w:bookmarkEnd w:id="181"/>
      <w:bookmarkEnd w:id="182"/>
    </w:p>
    <w:p w14:paraId="46B669ED">
      <w:pPr>
        <w:keepNext w:val="0"/>
        <w:keepLines w:val="0"/>
        <w:pageBreakBefore w:val="0"/>
        <w:widowControl w:val="0"/>
        <w:kinsoku/>
        <w:overflowPunct/>
        <w:topLinePunct w:val="0"/>
        <w:autoSpaceDE/>
        <w:autoSpaceDN/>
        <w:bidi w:val="0"/>
        <w:adjustRightInd/>
        <w:snapToGrid/>
        <w:spacing w:line="360" w:lineRule="auto"/>
        <w:ind w:firstLine="482"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4.1</w:t>
      </w:r>
      <w:r>
        <w:rPr>
          <w:rStyle w:val="26"/>
          <w:rFonts w:hint="eastAsia" w:ascii="宋体" w:hAnsi="宋体" w:eastAsia="宋体" w:cs="宋体"/>
          <w:color w:val="auto"/>
          <w:kern w:val="0"/>
          <w:sz w:val="24"/>
          <w:szCs w:val="24"/>
          <w:highlight w:val="none"/>
        </w:rPr>
        <w:t xml:space="preserve"> 招标人应当自中标通知书发出之日起</w:t>
      </w:r>
      <w:r>
        <w:rPr>
          <w:rStyle w:val="26"/>
          <w:rFonts w:hint="eastAsia" w:ascii="宋体" w:hAnsi="宋体" w:eastAsia="宋体" w:cs="宋体"/>
          <w:color w:val="auto"/>
          <w:kern w:val="0"/>
          <w:sz w:val="24"/>
          <w:szCs w:val="24"/>
          <w:highlight w:val="none"/>
          <w:u w:val="single"/>
        </w:rPr>
        <w:t>30</w:t>
      </w:r>
      <w:r>
        <w:rPr>
          <w:rStyle w:val="26"/>
          <w:rFonts w:hint="eastAsia" w:ascii="宋体" w:hAnsi="宋体" w:eastAsia="宋体" w:cs="宋体"/>
          <w:color w:val="auto"/>
          <w:kern w:val="0"/>
          <w:sz w:val="24"/>
          <w:szCs w:val="24"/>
          <w:highlight w:val="none"/>
        </w:rPr>
        <w:t>日内，按照招标文件、中标人的投标文件与中标人订立书面合同。</w:t>
      </w:r>
    </w:p>
    <w:p w14:paraId="4ACD1F93">
      <w:pPr>
        <w:keepNext w:val="0"/>
        <w:keepLines w:val="0"/>
        <w:pageBreakBefore w:val="0"/>
        <w:widowControl w:val="0"/>
        <w:kinsoku/>
        <w:overflowPunct/>
        <w:topLinePunct w:val="0"/>
        <w:autoSpaceDE/>
        <w:autoSpaceDN/>
        <w:bidi w:val="0"/>
        <w:adjustRightInd/>
        <w:snapToGrid/>
        <w:spacing w:line="360" w:lineRule="auto"/>
        <w:ind w:firstLine="482"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4.2</w:t>
      </w:r>
      <w:r>
        <w:rPr>
          <w:rStyle w:val="26"/>
          <w:rFonts w:hint="eastAsia" w:ascii="宋体" w:hAnsi="宋体" w:eastAsia="宋体" w:cs="宋体"/>
          <w:color w:val="auto"/>
          <w:kern w:val="0"/>
          <w:sz w:val="24"/>
          <w:szCs w:val="24"/>
          <w:highlight w:val="none"/>
        </w:rPr>
        <w:t xml:space="preserve"> 不正常报价的梳理和确认</w:t>
      </w:r>
    </w:p>
    <w:p w14:paraId="6AAAA818">
      <w:pPr>
        <w:keepNext w:val="0"/>
        <w:keepLines w:val="0"/>
        <w:pageBreakBefore w:val="0"/>
        <w:widowControl w:val="0"/>
        <w:kinsoku/>
        <w:overflowPunct/>
        <w:topLinePunct w:val="0"/>
        <w:autoSpaceDE/>
        <w:autoSpaceDN/>
        <w:bidi w:val="0"/>
        <w:adjustRightInd/>
        <w:snapToGrid/>
        <w:spacing w:line="360" w:lineRule="auto"/>
        <w:ind w:firstLine="482"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4.2.1</w:t>
      </w:r>
      <w:r>
        <w:rPr>
          <w:rStyle w:val="26"/>
          <w:rFonts w:hint="eastAsia" w:ascii="宋体" w:hAnsi="宋体" w:eastAsia="宋体" w:cs="宋体"/>
          <w:color w:val="auto"/>
          <w:kern w:val="0"/>
          <w:sz w:val="24"/>
          <w:szCs w:val="24"/>
          <w:highlight w:val="none"/>
        </w:rPr>
        <w:t xml:space="preserve"> </w:t>
      </w:r>
      <w:r>
        <w:rPr>
          <w:rStyle w:val="26"/>
          <w:rFonts w:hint="eastAsia" w:ascii="宋体" w:hAnsi="宋体" w:eastAsia="宋体" w:cs="宋体"/>
          <w:b/>
          <w:bCs/>
          <w:color w:val="auto"/>
          <w:kern w:val="0"/>
          <w:sz w:val="24"/>
          <w:szCs w:val="24"/>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Style w:val="26"/>
          <w:rFonts w:hint="eastAsia" w:ascii="宋体" w:hAnsi="宋体" w:eastAsia="宋体" w:cs="宋体"/>
          <w:color w:val="auto"/>
          <w:kern w:val="0"/>
          <w:sz w:val="24"/>
          <w:szCs w:val="24"/>
          <w:highlight w:val="none"/>
        </w:rPr>
        <w:t>招标人不具备以上能力的，可授权编制本项目</w:t>
      </w:r>
      <w:r>
        <w:rPr>
          <w:rFonts w:hint="eastAsia" w:ascii="宋体" w:hAnsi="宋体" w:eastAsia="宋体" w:cs="宋体"/>
          <w:snapToGrid w:val="0"/>
          <w:color w:val="auto"/>
          <w:kern w:val="0"/>
          <w:sz w:val="24"/>
          <w:szCs w:val="24"/>
          <w:highlight w:val="none"/>
          <w:lang w:val="en-US" w:eastAsia="zh-CN"/>
        </w:rPr>
        <w:t>最高投标限价</w:t>
      </w:r>
      <w:r>
        <w:rPr>
          <w:rStyle w:val="26"/>
          <w:rFonts w:hint="eastAsia" w:ascii="宋体" w:hAnsi="宋体" w:eastAsia="宋体" w:cs="宋体"/>
          <w:color w:val="auto"/>
          <w:kern w:val="0"/>
          <w:sz w:val="24"/>
          <w:szCs w:val="24"/>
          <w:highlight w:val="none"/>
        </w:rPr>
        <w:t>的造价咨询单位实施。</w:t>
      </w:r>
    </w:p>
    <w:p w14:paraId="6D8E6F41">
      <w:pPr>
        <w:keepNext w:val="0"/>
        <w:keepLines w:val="0"/>
        <w:pageBreakBefore w:val="0"/>
        <w:widowControl w:val="0"/>
        <w:kinsoku/>
        <w:overflowPunct/>
        <w:topLinePunct w:val="0"/>
        <w:autoSpaceDE/>
        <w:autoSpaceDN/>
        <w:bidi w:val="0"/>
        <w:adjustRightInd/>
        <w:snapToGrid/>
        <w:spacing w:line="360" w:lineRule="auto"/>
        <w:ind w:firstLine="482"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4.2.2</w:t>
      </w:r>
      <w:r>
        <w:rPr>
          <w:rStyle w:val="26"/>
          <w:rFonts w:hint="eastAsia" w:ascii="宋体" w:hAnsi="宋体" w:eastAsia="宋体" w:cs="宋体"/>
          <w:color w:val="auto"/>
          <w:kern w:val="0"/>
          <w:sz w:val="24"/>
          <w:szCs w:val="24"/>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04844593">
      <w:pPr>
        <w:keepNext w:val="0"/>
        <w:keepLines w:val="0"/>
        <w:pageBreakBefore w:val="0"/>
        <w:widowControl w:val="0"/>
        <w:kinsoku/>
        <w:overflowPunct/>
        <w:topLinePunct w:val="0"/>
        <w:autoSpaceDE/>
        <w:autoSpaceDN/>
        <w:bidi w:val="0"/>
        <w:adjustRightInd/>
        <w:snapToGrid/>
        <w:spacing w:line="360" w:lineRule="auto"/>
        <w:ind w:firstLine="482"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4.2.3</w:t>
      </w:r>
      <w:r>
        <w:rPr>
          <w:rStyle w:val="26"/>
          <w:rFonts w:hint="eastAsia" w:ascii="宋体" w:hAnsi="宋体" w:eastAsia="宋体" w:cs="宋体"/>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错漏项的认定。中标人已标价工程量清单中，任一清单项目未填报价格或价格为零的，视为错漏项</w:t>
      </w:r>
      <w:r>
        <w:rPr>
          <w:rStyle w:val="26"/>
          <w:rFonts w:hint="eastAsia" w:ascii="宋体" w:hAnsi="宋体" w:eastAsia="宋体" w:cs="宋体"/>
          <w:color w:val="auto"/>
          <w:kern w:val="0"/>
          <w:sz w:val="24"/>
          <w:szCs w:val="24"/>
          <w:highlight w:val="none"/>
        </w:rPr>
        <w:t>。</w:t>
      </w:r>
    </w:p>
    <w:p w14:paraId="57734476">
      <w:pPr>
        <w:keepNext w:val="0"/>
        <w:keepLines w:val="0"/>
        <w:pageBreakBefore w:val="0"/>
        <w:widowControl w:val="0"/>
        <w:kinsoku/>
        <w:overflowPunct/>
        <w:topLinePunct w:val="0"/>
        <w:autoSpaceDE/>
        <w:autoSpaceDN/>
        <w:bidi w:val="0"/>
        <w:adjustRightInd/>
        <w:snapToGrid/>
        <w:spacing w:line="360" w:lineRule="auto"/>
        <w:ind w:firstLine="482" w:firstLineChars="200"/>
        <w:rPr>
          <w:rStyle w:val="26"/>
          <w:rFonts w:hint="eastAsia" w:ascii="宋体" w:hAnsi="宋体" w:eastAsia="宋体" w:cs="宋体"/>
          <w:color w:val="auto"/>
          <w:kern w:val="0"/>
          <w:sz w:val="24"/>
          <w:szCs w:val="24"/>
          <w:highlight w:val="none"/>
          <w:u w:val="single"/>
        </w:rPr>
      </w:pPr>
      <w:r>
        <w:rPr>
          <w:rStyle w:val="26"/>
          <w:rFonts w:hint="eastAsia" w:ascii="宋体" w:hAnsi="宋体" w:eastAsia="宋体" w:cs="宋体"/>
          <w:b/>
          <w:bCs/>
          <w:color w:val="auto"/>
          <w:kern w:val="0"/>
          <w:sz w:val="24"/>
          <w:szCs w:val="24"/>
          <w:highlight w:val="none"/>
        </w:rPr>
        <w:t>4.2.4</w:t>
      </w:r>
      <w:r>
        <w:rPr>
          <w:rStyle w:val="26"/>
          <w:rFonts w:hint="eastAsia" w:ascii="宋体" w:hAnsi="宋体" w:eastAsia="宋体" w:cs="宋体"/>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不平衡报价的认定。经修正算术性错误后的中标人已标价工程量清单中，</w:t>
      </w:r>
      <w:r>
        <w:rPr>
          <w:rFonts w:hint="eastAsia" w:ascii="宋体" w:hAnsi="宋体" w:eastAsia="宋体" w:cs="宋体"/>
          <w:snapToGrid w:val="0"/>
          <w:color w:val="auto"/>
          <w:kern w:val="0"/>
          <w:sz w:val="24"/>
          <w:szCs w:val="24"/>
          <w:highlight w:val="none"/>
          <w:u w:val="single"/>
        </w:rPr>
        <w:t>对于投标报价中综合单价相对</w:t>
      </w:r>
      <w:r>
        <w:rPr>
          <w:rFonts w:hint="eastAsia" w:ascii="宋体" w:hAnsi="宋体" w:eastAsia="宋体" w:cs="宋体"/>
          <w:snapToGrid w:val="0"/>
          <w:color w:val="auto"/>
          <w:kern w:val="0"/>
          <w:sz w:val="24"/>
          <w:szCs w:val="24"/>
          <w:highlight w:val="none"/>
          <w:u w:val="single"/>
          <w:lang w:val="en-US" w:eastAsia="zh-CN"/>
        </w:rPr>
        <w:t>最高投标限价</w:t>
      </w:r>
      <w:r>
        <w:rPr>
          <w:rFonts w:hint="eastAsia" w:ascii="宋体" w:hAnsi="宋体" w:eastAsia="宋体" w:cs="宋体"/>
          <w:snapToGrid w:val="0"/>
          <w:color w:val="auto"/>
          <w:kern w:val="0"/>
          <w:sz w:val="24"/>
          <w:szCs w:val="24"/>
          <w:highlight w:val="none"/>
          <w:u w:val="single"/>
        </w:rPr>
        <w:t>《分部分项工程和单价措施项目清单与计价表》中对应综合单价的偏差大于±15%的</w:t>
      </w:r>
      <w:r>
        <w:rPr>
          <w:rFonts w:hint="eastAsia" w:ascii="宋体" w:hAnsi="宋体" w:eastAsia="宋体" w:cs="宋体"/>
          <w:snapToGrid w:val="0"/>
          <w:color w:val="auto"/>
          <w:kern w:val="0"/>
          <w:sz w:val="24"/>
          <w:szCs w:val="24"/>
          <w:highlight w:val="none"/>
        </w:rPr>
        <w:t>清单项目，视为不平衡报价项目</w:t>
      </w:r>
      <w:r>
        <w:rPr>
          <w:rStyle w:val="26"/>
          <w:rFonts w:hint="eastAsia" w:ascii="宋体" w:hAnsi="宋体" w:eastAsia="宋体" w:cs="宋体"/>
          <w:color w:val="auto"/>
          <w:kern w:val="0"/>
          <w:sz w:val="24"/>
          <w:szCs w:val="24"/>
          <w:highlight w:val="none"/>
        </w:rPr>
        <w:t>。</w:t>
      </w:r>
    </w:p>
    <w:p w14:paraId="54445328">
      <w:pPr>
        <w:keepNext w:val="0"/>
        <w:keepLines w:val="0"/>
        <w:pageBreakBefore w:val="0"/>
        <w:widowControl w:val="0"/>
        <w:kinsoku/>
        <w:overflowPunct/>
        <w:topLinePunct w:val="0"/>
        <w:autoSpaceDE/>
        <w:autoSpaceDN/>
        <w:bidi w:val="0"/>
        <w:adjustRightInd/>
        <w:snapToGrid/>
        <w:spacing w:line="360" w:lineRule="auto"/>
        <w:ind w:firstLine="482"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4.2.5</w:t>
      </w:r>
      <w:r>
        <w:rPr>
          <w:rStyle w:val="26"/>
          <w:rFonts w:hint="eastAsia" w:ascii="宋体" w:hAnsi="宋体" w:eastAsia="宋体" w:cs="宋体"/>
          <w:color w:val="auto"/>
          <w:kern w:val="0"/>
          <w:sz w:val="24"/>
          <w:szCs w:val="24"/>
          <w:highlight w:val="none"/>
        </w:rPr>
        <w:t xml:space="preserve"> </w:t>
      </w:r>
      <w:r>
        <w:rPr>
          <w:rFonts w:hint="eastAsia" w:ascii="宋体" w:hAnsi="宋体" w:eastAsia="宋体" w:cs="宋体"/>
          <w:color w:val="auto"/>
          <w:spacing w:val="2"/>
          <w:sz w:val="24"/>
          <w:szCs w:val="24"/>
          <w:highlight w:val="none"/>
        </w:rPr>
        <w:t>施工合同签订前，招标人或其授权的造价咨询单位应就发现的以上所有不平衡 报价进行修正，形成《不平衡报价修正报告》，并由招标人和中标人共同签章确认，构成施工合同的组成部分</w:t>
      </w:r>
      <w:r>
        <w:rPr>
          <w:rStyle w:val="26"/>
          <w:rFonts w:hint="eastAsia" w:ascii="宋体" w:hAnsi="宋体" w:eastAsia="宋体" w:cs="宋体"/>
          <w:color w:val="auto"/>
          <w:kern w:val="0"/>
          <w:sz w:val="24"/>
          <w:szCs w:val="24"/>
          <w:highlight w:val="none"/>
        </w:rPr>
        <w:t>。</w:t>
      </w:r>
    </w:p>
    <w:p w14:paraId="077D77BD">
      <w:pPr>
        <w:keepNext w:val="0"/>
        <w:keepLines w:val="0"/>
        <w:pageBreakBefore w:val="0"/>
        <w:widowControl w:val="0"/>
        <w:kinsoku/>
        <w:overflowPunct/>
        <w:topLinePunct w:val="0"/>
        <w:autoSpaceDE/>
        <w:autoSpaceDN/>
        <w:bidi w:val="0"/>
        <w:adjustRightInd/>
        <w:snapToGrid/>
        <w:spacing w:line="360" w:lineRule="auto"/>
        <w:ind w:firstLine="482" w:firstLineChars="200"/>
        <w:rPr>
          <w:rStyle w:val="26"/>
          <w:rFonts w:hint="eastAsia" w:ascii="宋体" w:hAnsi="宋体" w:eastAsia="宋体" w:cs="宋体"/>
          <w:b/>
          <w:bCs/>
          <w:color w:val="auto"/>
          <w:kern w:val="0"/>
          <w:sz w:val="24"/>
          <w:szCs w:val="24"/>
          <w:highlight w:val="none"/>
        </w:rPr>
      </w:pPr>
      <w:r>
        <w:rPr>
          <w:rStyle w:val="26"/>
          <w:rFonts w:hint="eastAsia" w:ascii="宋体" w:hAnsi="宋体" w:eastAsia="宋体" w:cs="宋体"/>
          <w:b/>
          <w:bCs/>
          <w:color w:val="auto"/>
          <w:kern w:val="0"/>
          <w:sz w:val="24"/>
          <w:szCs w:val="24"/>
          <w:highlight w:val="none"/>
        </w:rPr>
        <w:t>4.2.6 合同履行过程中，被认定为错漏项的清单项目，结算时按照第三章“拟签订合同的主要条款”规定处理。</w:t>
      </w:r>
    </w:p>
    <w:p w14:paraId="53F4EC50">
      <w:pPr>
        <w:keepNext w:val="0"/>
        <w:keepLines w:val="0"/>
        <w:pageBreakBefore w:val="0"/>
        <w:widowControl w:val="0"/>
        <w:kinsoku/>
        <w:overflowPunct/>
        <w:topLinePunct w:val="0"/>
        <w:autoSpaceDE/>
        <w:autoSpaceDN/>
        <w:bidi w:val="0"/>
        <w:adjustRightInd/>
        <w:snapToGrid/>
        <w:spacing w:line="360" w:lineRule="auto"/>
        <w:ind w:firstLine="482" w:firstLineChars="200"/>
        <w:rPr>
          <w:rStyle w:val="26"/>
          <w:rFonts w:hint="eastAsia" w:ascii="宋体" w:hAnsi="宋体" w:eastAsia="宋体" w:cs="宋体"/>
          <w:b/>
          <w:bCs/>
          <w:color w:val="auto"/>
          <w:kern w:val="0"/>
          <w:sz w:val="24"/>
          <w:szCs w:val="24"/>
          <w:highlight w:val="none"/>
        </w:rPr>
      </w:pPr>
      <w:r>
        <w:rPr>
          <w:rStyle w:val="26"/>
          <w:rFonts w:hint="eastAsia" w:ascii="宋体" w:hAnsi="宋体" w:eastAsia="宋体" w:cs="宋体"/>
          <w:b/>
          <w:bCs/>
          <w:color w:val="auto"/>
          <w:kern w:val="0"/>
          <w:sz w:val="24"/>
          <w:szCs w:val="24"/>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1930C306">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4.3 </w:t>
      </w:r>
      <w:r>
        <w:rPr>
          <w:rFonts w:hint="eastAsia" w:ascii="宋体" w:hAnsi="宋体" w:eastAsia="宋体" w:cs="宋体"/>
          <w:snapToGrid w:val="0"/>
          <w:color w:val="auto"/>
          <w:kern w:val="0"/>
          <w:sz w:val="24"/>
          <w:szCs w:val="24"/>
          <w:highlight w:val="none"/>
        </w:rPr>
        <w:t>本招标项目合同计价方式为：</w:t>
      </w:r>
      <w:r>
        <w:rPr>
          <w:rFonts w:hint="eastAsia" w:ascii="宋体" w:hAnsi="宋体" w:eastAsia="宋体" w:cs="宋体"/>
          <w:b/>
          <w:bCs/>
          <w:snapToGrid w:val="0"/>
          <w:color w:val="auto"/>
          <w:kern w:val="0"/>
          <w:sz w:val="24"/>
          <w:szCs w:val="24"/>
          <w:highlight w:val="none"/>
          <w:u w:val="single"/>
        </w:rPr>
        <w:t xml:space="preserve"> 单价 </w:t>
      </w:r>
      <w:r>
        <w:rPr>
          <w:rFonts w:hint="eastAsia" w:ascii="宋体" w:hAnsi="宋体" w:eastAsia="宋体" w:cs="宋体"/>
          <w:b/>
          <w:bCs/>
          <w:snapToGrid w:val="0"/>
          <w:color w:val="auto"/>
          <w:kern w:val="0"/>
          <w:sz w:val="24"/>
          <w:szCs w:val="24"/>
          <w:highlight w:val="none"/>
        </w:rPr>
        <w:t>合同</w:t>
      </w:r>
      <w:r>
        <w:rPr>
          <w:rFonts w:hint="eastAsia" w:ascii="宋体" w:hAnsi="宋体" w:eastAsia="宋体" w:cs="宋体"/>
          <w:snapToGrid w:val="0"/>
          <w:color w:val="auto"/>
          <w:kern w:val="0"/>
          <w:sz w:val="24"/>
          <w:szCs w:val="24"/>
          <w:highlight w:val="none"/>
        </w:rPr>
        <w:t>。</w:t>
      </w:r>
    </w:p>
    <w:p w14:paraId="3EADF80F">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trike/>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4.4</w:t>
      </w:r>
      <w:r>
        <w:rPr>
          <w:rFonts w:hint="eastAsia" w:ascii="宋体" w:hAnsi="宋体" w:eastAsia="宋体" w:cs="宋体"/>
          <w:snapToGrid w:val="0"/>
          <w:color w:val="auto"/>
          <w:kern w:val="0"/>
          <w:sz w:val="24"/>
          <w:szCs w:val="24"/>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69364A9D">
      <w:pPr>
        <w:keepNext w:val="0"/>
        <w:keepLines w:val="0"/>
        <w:pageBreakBefore w:val="0"/>
        <w:widowControl w:val="0"/>
        <w:kinsoku/>
        <w:overflowPunct/>
        <w:topLinePunct w:val="0"/>
        <w:autoSpaceDE/>
        <w:autoSpaceDN/>
        <w:bidi w:val="0"/>
        <w:adjustRightInd/>
        <w:snapToGrid/>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4.5</w:t>
      </w:r>
      <w:r>
        <w:rPr>
          <w:rFonts w:hint="eastAsia" w:ascii="宋体" w:hAnsi="宋体" w:eastAsia="宋体" w:cs="宋体"/>
          <w:snapToGrid w:val="0"/>
          <w:color w:val="auto"/>
          <w:kern w:val="0"/>
          <w:sz w:val="24"/>
          <w:szCs w:val="24"/>
          <w:highlight w:val="none"/>
        </w:rPr>
        <w:t xml:space="preserve"> 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r>
        <w:rPr>
          <w:rStyle w:val="26"/>
          <w:rFonts w:hint="eastAsia" w:ascii="宋体" w:hAnsi="宋体" w:eastAsia="宋体" w:cs="宋体"/>
          <w:color w:val="auto"/>
          <w:kern w:val="0"/>
          <w:sz w:val="24"/>
          <w:szCs w:val="24"/>
          <w:highlight w:val="none"/>
        </w:rPr>
        <w:t>。</w:t>
      </w:r>
    </w:p>
    <w:p w14:paraId="4208D8C2">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eastAsia="zh-CN"/>
        </w:rPr>
      </w:pPr>
      <w:bookmarkStart w:id="183" w:name="_Toc12295"/>
      <w:bookmarkStart w:id="184" w:name="_Toc22104"/>
      <w:bookmarkStart w:id="185" w:name="_Toc25158"/>
      <w:bookmarkStart w:id="186" w:name="_Toc24531"/>
      <w:bookmarkStart w:id="187" w:name="_Toc19819"/>
      <w:bookmarkStart w:id="188" w:name="_Toc31754"/>
      <w:bookmarkStart w:id="189" w:name="_Toc15095"/>
      <w:bookmarkStart w:id="190" w:name="_Toc20690"/>
      <w:bookmarkStart w:id="191" w:name="_Toc26892"/>
      <w:bookmarkStart w:id="192" w:name="_Toc29872"/>
      <w:bookmarkStart w:id="193" w:name="_Toc2054"/>
      <w:bookmarkStart w:id="194" w:name="_Toc1442"/>
      <w:r>
        <w:rPr>
          <w:rFonts w:hint="eastAsia" w:ascii="宋体" w:hAnsi="宋体" w:eastAsia="宋体" w:cs="宋体"/>
          <w:color w:val="auto"/>
          <w:kern w:val="2"/>
          <w:sz w:val="28"/>
          <w:szCs w:val="24"/>
          <w:lang w:eastAsia="zh-CN"/>
        </w:rPr>
        <w:t>5．放弃中标的处理</w:t>
      </w:r>
      <w:bookmarkEnd w:id="183"/>
      <w:bookmarkEnd w:id="184"/>
      <w:bookmarkEnd w:id="185"/>
      <w:bookmarkEnd w:id="186"/>
      <w:bookmarkEnd w:id="187"/>
      <w:bookmarkEnd w:id="188"/>
      <w:bookmarkEnd w:id="189"/>
      <w:bookmarkEnd w:id="190"/>
      <w:bookmarkEnd w:id="191"/>
      <w:bookmarkEnd w:id="192"/>
      <w:bookmarkEnd w:id="193"/>
      <w:bookmarkEnd w:id="194"/>
    </w:p>
    <w:p w14:paraId="2888F002">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中标人</w:t>
      </w:r>
      <w:r>
        <w:rPr>
          <w:rFonts w:hint="eastAsia" w:ascii="宋体" w:hAnsi="宋体" w:eastAsia="宋体" w:cs="宋体"/>
          <w:snapToGrid w:val="0"/>
          <w:color w:val="auto"/>
          <w:sz w:val="24"/>
          <w:szCs w:val="24"/>
          <w:highlight w:val="none"/>
        </w:rPr>
        <w:t>无正当理由放弃中标的，</w:t>
      </w:r>
      <w:r>
        <w:rPr>
          <w:rFonts w:hint="eastAsia" w:ascii="宋体" w:hAnsi="宋体" w:eastAsia="宋体" w:cs="宋体"/>
          <w:snapToGrid w:val="0"/>
          <w:color w:val="auto"/>
          <w:kern w:val="0"/>
          <w:sz w:val="24"/>
          <w:szCs w:val="24"/>
          <w:highlight w:val="none"/>
        </w:rPr>
        <w:t>取消其中标资格，其投标保证不予退还，给招标人造成的损失超过投标保证金额的，弃标人还应当对超过部分予以赔偿。招标人可以按照定标委员会提出的中标候选人名单排序按规定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sz w:val="24"/>
          <w:szCs w:val="24"/>
          <w:highlight w:val="none"/>
        </w:rPr>
        <w:t>因此种情况造成招标人重新招标的</w:t>
      </w:r>
      <w:r>
        <w:rPr>
          <w:rFonts w:hint="eastAsia" w:ascii="宋体" w:hAnsi="宋体" w:eastAsia="宋体" w:cs="宋体"/>
          <w:snapToGrid w:val="0"/>
          <w:color w:val="auto"/>
          <w:kern w:val="0"/>
          <w:sz w:val="24"/>
          <w:szCs w:val="24"/>
          <w:highlight w:val="none"/>
        </w:rPr>
        <w:t>，招标人可不接受该弃标人再次投标。同时，招标人应将该弃标人的失信行为向行政监督部门报告。</w:t>
      </w:r>
    </w:p>
    <w:p w14:paraId="087E8989">
      <w:pPr>
        <w:keepNext w:val="0"/>
        <w:keepLines w:val="0"/>
        <w:pageBreakBefore w:val="0"/>
        <w:widowControl w:val="0"/>
        <w:kinsoku/>
        <w:overflowPunct/>
        <w:topLinePunct w:val="0"/>
        <w:autoSpaceDE/>
        <w:autoSpaceDN/>
        <w:bidi w:val="0"/>
        <w:adjustRightInd/>
        <w:snapToGrid/>
        <w:spacing w:line="360" w:lineRule="auto"/>
        <w:ind w:firstLine="482" w:firstLineChars="200"/>
        <w:rPr>
          <w:rStyle w:val="26"/>
          <w:rFonts w:hint="eastAsia" w:ascii="宋体" w:hAnsi="宋体" w:eastAsia="宋体" w:cs="宋体"/>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因不可抗力提出不能履行合同的，须在领取中标通知书之日起10天内提供有关证明文件或资料，其投标保证予以退还，招标人可以按照定标委员会提出的中标候选人名单排序按规定依次确定其他中标候选人为中标人，并按规定实行中标结果公示；也可以按规定重新组织招标</w:t>
      </w:r>
      <w:r>
        <w:rPr>
          <w:rStyle w:val="26"/>
          <w:rFonts w:hint="eastAsia" w:ascii="宋体" w:hAnsi="宋体" w:eastAsia="宋体" w:cs="宋体"/>
          <w:color w:val="auto"/>
          <w:kern w:val="0"/>
          <w:sz w:val="24"/>
          <w:szCs w:val="24"/>
          <w:highlight w:val="none"/>
        </w:rPr>
        <w:t>。</w:t>
      </w:r>
    </w:p>
    <w:p w14:paraId="060945CE">
      <w:pPr>
        <w:rPr>
          <w:rFonts w:hint="eastAsia" w:ascii="宋体" w:hAnsi="宋体" w:eastAsia="宋体" w:cs="宋体"/>
          <w:color w:val="auto"/>
        </w:rPr>
      </w:pPr>
    </w:p>
    <w:p w14:paraId="549AE86D">
      <w:pPr>
        <w:rPr>
          <w:rFonts w:hint="eastAsia" w:ascii="宋体" w:hAnsi="宋体" w:eastAsia="宋体" w:cs="宋体"/>
          <w:color w:val="auto"/>
        </w:rPr>
      </w:pPr>
    </w:p>
    <w:p w14:paraId="0431D0CD">
      <w:pPr>
        <w:rPr>
          <w:rFonts w:hint="eastAsia" w:ascii="宋体" w:hAnsi="宋体" w:eastAsia="宋体" w:cs="宋体"/>
          <w:color w:val="auto"/>
        </w:rPr>
      </w:pPr>
    </w:p>
    <w:p w14:paraId="76C13E2F">
      <w:pPr>
        <w:rPr>
          <w:rFonts w:hint="eastAsia" w:ascii="宋体" w:hAnsi="宋体" w:eastAsia="宋体" w:cs="宋体"/>
          <w:color w:val="auto"/>
        </w:rPr>
      </w:pPr>
    </w:p>
    <w:p w14:paraId="2EEB1EF0">
      <w:pPr>
        <w:rPr>
          <w:rFonts w:hint="eastAsia" w:ascii="宋体" w:hAnsi="宋体" w:eastAsia="宋体" w:cs="宋体"/>
          <w:color w:val="auto"/>
        </w:rPr>
      </w:pPr>
    </w:p>
    <w:p w14:paraId="71A6CCB0">
      <w:pPr>
        <w:rPr>
          <w:rFonts w:hint="eastAsia" w:ascii="宋体" w:hAnsi="宋体" w:eastAsia="宋体" w:cs="宋体"/>
          <w:color w:val="auto"/>
        </w:rPr>
      </w:pPr>
    </w:p>
    <w:p w14:paraId="5C6957F7">
      <w:pPr>
        <w:rPr>
          <w:rFonts w:hint="eastAsia" w:ascii="宋体" w:hAnsi="宋体" w:eastAsia="宋体" w:cs="宋体"/>
          <w:color w:val="auto"/>
        </w:rPr>
      </w:pPr>
    </w:p>
    <w:p w14:paraId="0039331F">
      <w:pPr>
        <w:rPr>
          <w:rFonts w:hint="eastAsia" w:ascii="宋体" w:hAnsi="宋体" w:eastAsia="宋体" w:cs="宋体"/>
          <w:color w:val="auto"/>
        </w:rPr>
      </w:pPr>
    </w:p>
    <w:p w14:paraId="3F518613">
      <w:pPr>
        <w:rPr>
          <w:rFonts w:hint="eastAsia" w:ascii="宋体" w:hAnsi="宋体" w:eastAsia="宋体" w:cs="宋体"/>
          <w:color w:val="auto"/>
        </w:rPr>
      </w:pPr>
    </w:p>
    <w:p w14:paraId="3AB127AA">
      <w:pPr>
        <w:rPr>
          <w:rFonts w:hint="eastAsia" w:ascii="宋体" w:hAnsi="宋体" w:eastAsia="宋体" w:cs="宋体"/>
          <w:color w:val="auto"/>
        </w:rPr>
      </w:pPr>
    </w:p>
    <w:p w14:paraId="1C7B5D6D">
      <w:pPr>
        <w:rPr>
          <w:rFonts w:hint="eastAsia" w:ascii="宋体" w:hAnsi="宋体" w:eastAsia="宋体" w:cs="宋体"/>
          <w:color w:val="auto"/>
        </w:rPr>
      </w:pPr>
    </w:p>
    <w:p w14:paraId="48FB0E94">
      <w:pPr>
        <w:rPr>
          <w:rFonts w:hint="eastAsia" w:ascii="宋体" w:hAnsi="宋体" w:eastAsia="宋体" w:cs="宋体"/>
          <w:color w:val="auto"/>
        </w:rPr>
      </w:pPr>
    </w:p>
    <w:p w14:paraId="2B28D078">
      <w:pPr>
        <w:rPr>
          <w:rFonts w:hint="eastAsia" w:ascii="宋体" w:hAnsi="宋体" w:eastAsia="宋体" w:cs="宋体"/>
          <w:color w:val="auto"/>
        </w:rPr>
      </w:pPr>
    </w:p>
    <w:p w14:paraId="625F01F2">
      <w:pPr>
        <w:rPr>
          <w:rFonts w:hint="eastAsia" w:ascii="宋体" w:hAnsi="宋体" w:eastAsia="宋体" w:cs="宋体"/>
          <w:color w:val="auto"/>
        </w:rPr>
      </w:pPr>
    </w:p>
    <w:p w14:paraId="7FF8EC83">
      <w:pPr>
        <w:rPr>
          <w:rFonts w:hint="eastAsia" w:ascii="宋体" w:hAnsi="宋体" w:eastAsia="宋体" w:cs="宋体"/>
          <w:color w:val="auto"/>
        </w:rPr>
      </w:pPr>
    </w:p>
    <w:p w14:paraId="1ECAC891">
      <w:pPr>
        <w:rPr>
          <w:rFonts w:hint="eastAsia" w:ascii="宋体" w:hAnsi="宋体" w:eastAsia="宋体" w:cs="宋体"/>
          <w:color w:val="auto"/>
        </w:rPr>
      </w:pPr>
    </w:p>
    <w:p w14:paraId="4137E28E">
      <w:pPr>
        <w:rPr>
          <w:rFonts w:hint="eastAsia" w:ascii="宋体" w:hAnsi="宋体" w:eastAsia="宋体" w:cs="宋体"/>
          <w:color w:val="auto"/>
        </w:rPr>
      </w:pPr>
    </w:p>
    <w:p w14:paraId="247AC0CB">
      <w:pPr>
        <w:rPr>
          <w:rFonts w:hint="eastAsia" w:ascii="宋体" w:hAnsi="宋体" w:eastAsia="宋体" w:cs="宋体"/>
          <w:color w:val="auto"/>
        </w:rPr>
      </w:pPr>
    </w:p>
    <w:p w14:paraId="5033490E">
      <w:pPr>
        <w:rPr>
          <w:rFonts w:hint="eastAsia" w:ascii="宋体" w:hAnsi="宋体" w:eastAsia="宋体" w:cs="宋体"/>
          <w:color w:val="auto"/>
        </w:rPr>
      </w:pPr>
    </w:p>
    <w:p w14:paraId="0F59DE0A">
      <w:pPr>
        <w:rPr>
          <w:rFonts w:hint="eastAsia" w:ascii="宋体" w:hAnsi="宋体" w:eastAsia="宋体" w:cs="宋体"/>
          <w:color w:val="auto"/>
        </w:rPr>
      </w:pPr>
    </w:p>
    <w:p w14:paraId="7EF22D63">
      <w:pPr>
        <w:rPr>
          <w:rFonts w:hint="eastAsia" w:ascii="宋体" w:hAnsi="宋体" w:eastAsia="宋体" w:cs="宋体"/>
          <w:color w:val="auto"/>
        </w:rPr>
      </w:pPr>
    </w:p>
    <w:p w14:paraId="7D212FB3">
      <w:pPr>
        <w:rPr>
          <w:rFonts w:hint="eastAsia" w:ascii="宋体" w:hAnsi="宋体" w:eastAsia="宋体" w:cs="宋体"/>
          <w:color w:val="auto"/>
        </w:rPr>
      </w:pPr>
    </w:p>
    <w:p w14:paraId="7C2CEB19">
      <w:pPr>
        <w:rPr>
          <w:rFonts w:hint="eastAsia" w:ascii="宋体" w:hAnsi="宋体" w:eastAsia="宋体" w:cs="宋体"/>
          <w:color w:val="auto"/>
        </w:rPr>
      </w:pPr>
    </w:p>
    <w:p w14:paraId="33AEDBE4">
      <w:pPr>
        <w:pStyle w:val="3"/>
        <w:keepLines w:val="0"/>
        <w:pageBreakBefore w:val="0"/>
        <w:widowControl w:val="0"/>
        <w:shd w:val="clear" w:color="auto" w:fill="auto"/>
        <w:tabs>
          <w:tab w:val="left" w:pos="1830"/>
        </w:tabs>
        <w:kinsoku/>
        <w:wordWrap/>
        <w:overflowPunct/>
        <w:topLinePunct w:val="0"/>
        <w:autoSpaceDE/>
        <w:autoSpaceDN/>
        <w:bidi w:val="0"/>
        <w:adjustRightInd/>
        <w:snapToGrid/>
        <w:spacing w:line="360" w:lineRule="exact"/>
        <w:ind w:left="0" w:firstLine="0"/>
        <w:jc w:val="center"/>
        <w:textAlignment w:val="auto"/>
        <w:rPr>
          <w:rFonts w:hint="eastAsia" w:ascii="宋体" w:hAnsi="宋体" w:eastAsia="宋体" w:cs="宋体"/>
          <w:b/>
          <w:snapToGrid w:val="0"/>
          <w:color w:val="auto"/>
          <w:sz w:val="24"/>
          <w:szCs w:val="24"/>
          <w:highlight w:val="none"/>
        </w:rPr>
      </w:pPr>
      <w:bookmarkStart w:id="195" w:name="_Toc17840"/>
      <w:bookmarkStart w:id="196" w:name="_Toc3266"/>
      <w:bookmarkStart w:id="197" w:name="_Toc4926"/>
      <w:bookmarkStart w:id="198" w:name="_Toc3494"/>
      <w:bookmarkStart w:id="199" w:name="_Toc1283"/>
      <w:bookmarkStart w:id="200" w:name="_Toc27435"/>
      <w:bookmarkStart w:id="201" w:name="_Toc32600"/>
      <w:bookmarkStart w:id="202" w:name="_Toc190"/>
      <w:bookmarkStart w:id="203" w:name="_Toc31277"/>
      <w:bookmarkStart w:id="204" w:name="_Toc25452"/>
      <w:bookmarkStart w:id="205" w:name="_Toc21448"/>
      <w:bookmarkStart w:id="206" w:name="_Toc15516"/>
      <w:r>
        <w:rPr>
          <w:rFonts w:hint="eastAsia" w:ascii="宋体" w:hAnsi="宋体" w:eastAsia="宋体" w:cs="宋体"/>
          <w:color w:val="auto"/>
          <w:sz w:val="32"/>
          <w:szCs w:val="32"/>
          <w:highlight w:val="none"/>
        </w:rPr>
        <w:t>第三章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拟签订合同的主要条款</w:t>
      </w:r>
      <w:bookmarkEnd w:id="195"/>
      <w:bookmarkEnd w:id="196"/>
      <w:bookmarkEnd w:id="197"/>
      <w:bookmarkEnd w:id="198"/>
      <w:bookmarkEnd w:id="199"/>
      <w:bookmarkEnd w:id="200"/>
      <w:bookmarkEnd w:id="201"/>
      <w:bookmarkEnd w:id="202"/>
      <w:bookmarkEnd w:id="203"/>
      <w:bookmarkEnd w:id="204"/>
      <w:bookmarkEnd w:id="205"/>
      <w:bookmarkEnd w:id="206"/>
      <w:bookmarkStart w:id="207" w:name="_Toc31151"/>
    </w:p>
    <w:p w14:paraId="1B8BD486">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eastAsia="zh-CN"/>
        </w:rPr>
      </w:pPr>
      <w:bookmarkStart w:id="208" w:name="_Toc13931"/>
      <w:r>
        <w:rPr>
          <w:rFonts w:hint="eastAsia" w:ascii="宋体" w:hAnsi="宋体" w:eastAsia="宋体" w:cs="宋体"/>
          <w:color w:val="auto"/>
          <w:kern w:val="2"/>
          <w:sz w:val="28"/>
          <w:szCs w:val="24"/>
          <w:lang w:eastAsia="zh-CN"/>
        </w:rPr>
        <w:t>1．工程承包方式</w:t>
      </w:r>
      <w:bookmarkEnd w:id="207"/>
      <w:bookmarkEnd w:id="208"/>
    </w:p>
    <w:p w14:paraId="46D4A934">
      <w:pPr>
        <w:keepNext w:val="0"/>
        <w:keepLines w:val="0"/>
        <w:pageBreakBefore w:val="0"/>
        <w:kinsoku/>
        <w:wordWrap w:val="0"/>
        <w:overflowPunct/>
        <w:topLinePunct w:val="0"/>
        <w:autoSpaceDE/>
        <w:autoSpaceDN/>
        <w:bidi w:val="0"/>
        <w:adjustRightInd/>
        <w:snapToGrid/>
        <w:spacing w:line="420" w:lineRule="exact"/>
        <w:ind w:left="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w:t>
      </w:r>
      <w:r>
        <w:rPr>
          <w:rFonts w:hint="eastAsia" w:ascii="宋体" w:hAnsi="宋体" w:eastAsia="宋体" w:cs="宋体"/>
          <w:snapToGrid w:val="0"/>
          <w:color w:val="auto"/>
          <w:kern w:val="0"/>
          <w:sz w:val="24"/>
          <w:szCs w:val="24"/>
          <w:highlight w:val="none"/>
        </w:rPr>
        <w:t xml:space="preserve"> 承包人以中标价按包工</w:t>
      </w:r>
      <w:bookmarkStart w:id="209" w:name="_Hlt87948212"/>
      <w:bookmarkEnd w:id="209"/>
      <w:r>
        <w:rPr>
          <w:rFonts w:hint="eastAsia" w:ascii="宋体" w:hAnsi="宋体" w:eastAsia="宋体" w:cs="宋体"/>
          <w:snapToGrid w:val="0"/>
          <w:color w:val="auto"/>
          <w:kern w:val="0"/>
          <w:sz w:val="24"/>
          <w:szCs w:val="24"/>
          <w:highlight w:val="none"/>
        </w:rPr>
        <w:t>包料、包质量、包安全包文明施工、包工期方式总承包施工，不允许转包和违法分包，如果确需分包须与发包人协商，在得到发包人和监理单位同意后报建设行政主管部门备案。</w:t>
      </w:r>
    </w:p>
    <w:p w14:paraId="4D45D617">
      <w:pPr>
        <w:keepNext w:val="0"/>
        <w:keepLines w:val="0"/>
        <w:pageBreakBefore w:val="0"/>
        <w:kinsoku/>
        <w:wordWrap w:val="0"/>
        <w:overflowPunct/>
        <w:topLinePunct w:val="0"/>
        <w:autoSpaceDE/>
        <w:autoSpaceDN/>
        <w:bidi w:val="0"/>
        <w:adjustRightInd/>
        <w:snapToGrid/>
        <w:spacing w:line="420" w:lineRule="exact"/>
        <w:ind w:left="0" w:right="0" w:firstLine="56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包工包料：材料符合招标文件要求并报验使用；办理用工保险。</w:t>
      </w:r>
    </w:p>
    <w:p w14:paraId="41D9250E">
      <w:pPr>
        <w:keepNext w:val="0"/>
        <w:keepLines w:val="0"/>
        <w:pageBreakBefore w:val="0"/>
        <w:kinsoku/>
        <w:wordWrap w:val="0"/>
        <w:overflowPunct/>
        <w:topLinePunct w:val="0"/>
        <w:autoSpaceDE/>
        <w:autoSpaceDN/>
        <w:bidi w:val="0"/>
        <w:adjustRightInd/>
        <w:snapToGrid/>
        <w:spacing w:line="420" w:lineRule="exact"/>
        <w:ind w:left="0" w:right="0" w:firstLine="56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包质量：符合招标文件要求。</w:t>
      </w:r>
    </w:p>
    <w:p w14:paraId="0675D397">
      <w:pPr>
        <w:keepNext w:val="0"/>
        <w:keepLines w:val="0"/>
        <w:pageBreakBefore w:val="0"/>
        <w:kinsoku/>
        <w:wordWrap w:val="0"/>
        <w:overflowPunct/>
        <w:topLinePunct w:val="0"/>
        <w:autoSpaceDE/>
        <w:autoSpaceDN/>
        <w:bidi w:val="0"/>
        <w:adjustRightInd/>
        <w:snapToGrid/>
        <w:spacing w:line="420" w:lineRule="exact"/>
        <w:ind w:left="0" w:right="0" w:firstLine="56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1.1.3</w:t>
      </w:r>
      <w:r>
        <w:rPr>
          <w:rFonts w:hint="eastAsia" w:ascii="宋体" w:hAnsi="宋体" w:eastAsia="宋体" w:cs="宋体"/>
          <w:snapToGrid w:val="0"/>
          <w:color w:val="auto"/>
          <w:kern w:val="0"/>
          <w:sz w:val="24"/>
          <w:szCs w:val="24"/>
          <w:highlight w:val="none"/>
        </w:rPr>
        <w:t xml:space="preserve"> 包安全包文明施工：符合招标文件要求。</w:t>
      </w:r>
    </w:p>
    <w:p w14:paraId="48B54B69">
      <w:pPr>
        <w:keepNext w:val="0"/>
        <w:keepLines w:val="0"/>
        <w:pageBreakBefore w:val="0"/>
        <w:kinsoku/>
        <w:wordWrap w:val="0"/>
        <w:overflowPunct/>
        <w:topLinePunct w:val="0"/>
        <w:autoSpaceDE/>
        <w:autoSpaceDN/>
        <w:bidi w:val="0"/>
        <w:adjustRightInd/>
        <w:snapToGrid/>
        <w:spacing w:line="420" w:lineRule="exact"/>
        <w:ind w:left="0" w:right="0" w:firstLine="56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 xml:space="preserve">1.1.4 </w:t>
      </w:r>
      <w:r>
        <w:rPr>
          <w:rFonts w:hint="eastAsia" w:ascii="宋体" w:hAnsi="宋体" w:eastAsia="宋体" w:cs="宋体"/>
          <w:snapToGrid w:val="0"/>
          <w:color w:val="auto"/>
          <w:kern w:val="0"/>
          <w:sz w:val="24"/>
          <w:szCs w:val="24"/>
          <w:highlight w:val="none"/>
        </w:rPr>
        <w:t>包工期：本招标项目施工必须在招标工期内完成。</w:t>
      </w:r>
    </w:p>
    <w:p w14:paraId="3E28C89D">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eastAsia="zh-CN"/>
        </w:rPr>
      </w:pPr>
      <w:bookmarkStart w:id="210" w:name="_2、工程结算原则"/>
      <w:bookmarkEnd w:id="210"/>
      <w:bookmarkStart w:id="211" w:name="_Toc322793289"/>
      <w:bookmarkStart w:id="212" w:name="_Toc326916630"/>
      <w:bookmarkStart w:id="213" w:name="_Toc15285"/>
      <w:bookmarkStart w:id="214" w:name="_Toc27189"/>
      <w:bookmarkStart w:id="215" w:name="_Hlt87948449"/>
      <w:bookmarkStart w:id="216" w:name="_Hlt87948447"/>
      <w:r>
        <w:rPr>
          <w:rFonts w:hint="eastAsia" w:ascii="宋体" w:hAnsi="宋体" w:eastAsia="宋体" w:cs="宋体"/>
          <w:color w:val="auto"/>
          <w:kern w:val="2"/>
          <w:sz w:val="28"/>
          <w:szCs w:val="24"/>
          <w:lang w:eastAsia="zh-CN"/>
        </w:rPr>
        <w:t>2．工程结算原则</w:t>
      </w:r>
      <w:bookmarkEnd w:id="211"/>
      <w:bookmarkEnd w:id="212"/>
      <w:bookmarkEnd w:id="213"/>
      <w:bookmarkEnd w:id="214"/>
    </w:p>
    <w:bookmarkEnd w:id="215"/>
    <w:bookmarkEnd w:id="216"/>
    <w:p w14:paraId="74BC5BBC">
      <w:pPr>
        <w:keepNext w:val="0"/>
        <w:keepLines w:val="0"/>
        <w:pageBreakBefore w:val="0"/>
        <w:widowControl w:val="0"/>
        <w:kinsoku/>
        <w:wordWrap w:val="0"/>
        <w:overflowPunct/>
        <w:topLinePunct w:val="0"/>
        <w:autoSpaceDE/>
        <w:autoSpaceDN/>
        <w:bidi w:val="0"/>
        <w:adjustRightInd/>
        <w:snapToGrid/>
        <w:spacing w:line="420" w:lineRule="exact"/>
        <w:ind w:left="0" w:right="0" w:firstLine="482"/>
        <w:rPr>
          <w:rFonts w:hint="eastAsia" w:ascii="宋体" w:hAnsi="宋体" w:eastAsia="宋体" w:cs="宋体"/>
          <w:snapToGrid w:val="0"/>
          <w:color w:val="auto"/>
          <w:kern w:val="0"/>
          <w:sz w:val="24"/>
          <w:szCs w:val="24"/>
          <w:highlight w:val="none"/>
        </w:rPr>
      </w:pPr>
      <w:bookmarkStart w:id="217" w:name="_Hlt88974053"/>
      <w:bookmarkEnd w:id="217"/>
      <w:r>
        <w:rPr>
          <w:rFonts w:hint="eastAsia" w:ascii="宋体" w:hAnsi="宋体" w:eastAsia="宋体" w:cs="宋体"/>
          <w:b/>
          <w:bCs/>
          <w:snapToGrid w:val="0"/>
          <w:color w:val="auto"/>
          <w:kern w:val="0"/>
          <w:sz w:val="24"/>
          <w:szCs w:val="24"/>
          <w:highlight w:val="none"/>
        </w:rPr>
        <w:t>2.1</w:t>
      </w:r>
      <w:r>
        <w:rPr>
          <w:rFonts w:hint="eastAsia" w:ascii="宋体" w:hAnsi="宋体" w:eastAsia="宋体" w:cs="宋体"/>
          <w:snapToGrid w:val="0"/>
          <w:color w:val="auto"/>
          <w:kern w:val="0"/>
          <w:sz w:val="24"/>
          <w:szCs w:val="24"/>
          <w:highlight w:val="none"/>
        </w:rPr>
        <w:t xml:space="preserve"> 承包人的投标总价为中标价，即为签约合同价。</w:t>
      </w:r>
    </w:p>
    <w:p w14:paraId="59CBE86D">
      <w:pPr>
        <w:keepNext w:val="0"/>
        <w:keepLines w:val="0"/>
        <w:pageBreakBefore w:val="0"/>
        <w:widowControl w:val="0"/>
        <w:kinsoku/>
        <w:wordWrap w:val="0"/>
        <w:overflowPunct/>
        <w:topLinePunct w:val="0"/>
        <w:autoSpaceDE/>
        <w:autoSpaceDN/>
        <w:bidi w:val="0"/>
        <w:adjustRightInd/>
        <w:snapToGrid/>
        <w:spacing w:line="420" w:lineRule="exact"/>
        <w:ind w:left="0" w:right="0" w:firstLine="48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招标工程量清单标明的工程量是投标人投标报价的共同基础，竣工结算的工程量按《建设工程工程量清单计价规范》（</w:t>
      </w:r>
      <w:r>
        <w:rPr>
          <w:rFonts w:hint="eastAsia" w:ascii="宋体" w:hAnsi="宋体" w:eastAsia="宋体" w:cs="宋体"/>
          <w:snapToGrid w:val="0"/>
          <w:color w:val="auto"/>
          <w:kern w:val="0"/>
          <w:sz w:val="24"/>
          <w:szCs w:val="24"/>
          <w:highlight w:val="none"/>
          <w:lang w:eastAsia="zh-CN"/>
        </w:rPr>
        <w:t>GB</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eastAsia="zh-CN"/>
        </w:rPr>
        <w:t>T50500-2024</w:t>
      </w:r>
      <w:r>
        <w:rPr>
          <w:rFonts w:hint="eastAsia" w:ascii="宋体" w:hAnsi="宋体" w:eastAsia="宋体" w:cs="宋体"/>
          <w:snapToGrid w:val="0"/>
          <w:color w:val="auto"/>
          <w:kern w:val="0"/>
          <w:sz w:val="24"/>
          <w:szCs w:val="24"/>
          <w:highlight w:val="none"/>
        </w:rPr>
        <w:t>）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51B976B3">
      <w:pPr>
        <w:keepNext w:val="0"/>
        <w:keepLines w:val="0"/>
        <w:pageBreakBefore w:val="0"/>
        <w:widowControl w:val="0"/>
        <w:kinsoku/>
        <w:wordWrap w:val="0"/>
        <w:overflowPunct/>
        <w:topLinePunct w:val="0"/>
        <w:autoSpaceDE/>
        <w:autoSpaceDN/>
        <w:bidi w:val="0"/>
        <w:adjustRightInd/>
        <w:snapToGrid/>
        <w:spacing w:line="420" w:lineRule="exact"/>
        <w:ind w:left="0" w:right="0" w:firstLine="48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施工合同履行期间，若出现下列情形的，发、承包双方应当按照以下规定调整合同价款：</w:t>
      </w:r>
    </w:p>
    <w:p w14:paraId="1EF73DE9">
      <w:pPr>
        <w:keepNext w:val="0"/>
        <w:keepLines w:val="0"/>
        <w:pageBreakBefore w:val="0"/>
        <w:widowControl w:val="0"/>
        <w:kinsoku/>
        <w:wordWrap w:val="0"/>
        <w:overflowPunct/>
        <w:topLinePunct w:val="0"/>
        <w:autoSpaceDE/>
        <w:autoSpaceDN/>
        <w:bidi w:val="0"/>
        <w:adjustRightInd/>
        <w:snapToGrid/>
        <w:spacing w:line="420" w:lineRule="exact"/>
        <w:ind w:left="0" w:right="0" w:firstLine="48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2.3.1</w:t>
      </w:r>
      <w:r>
        <w:rPr>
          <w:rFonts w:hint="eastAsia" w:ascii="宋体" w:hAnsi="宋体" w:eastAsia="宋体" w:cs="宋体"/>
          <w:snapToGrid w:val="0"/>
          <w:color w:val="auto"/>
          <w:kern w:val="0"/>
          <w:sz w:val="24"/>
          <w:szCs w:val="24"/>
          <w:highlight w:val="none"/>
        </w:rPr>
        <w:t xml:space="preserve"> 法律法规变化</w:t>
      </w:r>
    </w:p>
    <w:p w14:paraId="213B3F73">
      <w:pPr>
        <w:keepNext w:val="0"/>
        <w:keepLines w:val="0"/>
        <w:pageBreakBefore w:val="0"/>
        <w:widowControl w:val="0"/>
        <w:kinsoku/>
        <w:wordWrap w:val="0"/>
        <w:overflowPunct/>
        <w:topLinePunct w:val="0"/>
        <w:autoSpaceDE/>
        <w:autoSpaceDN/>
        <w:bidi w:val="0"/>
        <w:adjustRightInd/>
        <w:snapToGrid/>
        <w:spacing w:line="420" w:lineRule="exact"/>
        <w:ind w:left="0" w:right="0" w:firstLine="48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2.3.1.1</w:t>
      </w:r>
      <w:r>
        <w:rPr>
          <w:rFonts w:hint="eastAsia" w:ascii="宋体" w:hAnsi="宋体" w:eastAsia="宋体" w:cs="宋体"/>
          <w:snapToGrid w:val="0"/>
          <w:color w:val="auto"/>
          <w:kern w:val="0"/>
          <w:sz w:val="24"/>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1D221CA0">
      <w:pPr>
        <w:keepNext w:val="0"/>
        <w:keepLines w:val="0"/>
        <w:pageBreakBefore w:val="0"/>
        <w:widowControl w:val="0"/>
        <w:kinsoku/>
        <w:wordWrap w:val="0"/>
        <w:overflowPunct/>
        <w:topLinePunct w:val="0"/>
        <w:autoSpaceDE/>
        <w:autoSpaceDN/>
        <w:bidi w:val="0"/>
        <w:adjustRightInd/>
        <w:snapToGrid/>
        <w:spacing w:line="420" w:lineRule="exact"/>
        <w:ind w:left="0" w:right="0" w:firstLine="48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注：本招标文件所称“基准日”，均指投标文件递交截止时间（见第一章第二节“重要事项时间地点一览表”）前28天。</w:t>
      </w:r>
    </w:p>
    <w:p w14:paraId="0CDABCC5">
      <w:pPr>
        <w:keepNext w:val="0"/>
        <w:keepLines w:val="0"/>
        <w:pageBreakBefore w:val="0"/>
        <w:widowControl w:val="0"/>
        <w:kinsoku/>
        <w:wordWrap w:val="0"/>
        <w:overflowPunct/>
        <w:topLinePunct w:val="0"/>
        <w:autoSpaceDE/>
        <w:autoSpaceDN/>
        <w:bidi w:val="0"/>
        <w:adjustRightInd/>
        <w:snapToGrid/>
        <w:spacing w:line="420" w:lineRule="exact"/>
        <w:ind w:left="0" w:right="0" w:firstLine="48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2.3.1.2</w:t>
      </w:r>
      <w:r>
        <w:rPr>
          <w:rFonts w:hint="eastAsia" w:ascii="宋体" w:hAnsi="宋体" w:eastAsia="宋体" w:cs="宋体"/>
          <w:snapToGrid w:val="0"/>
          <w:color w:val="auto"/>
          <w:kern w:val="0"/>
          <w:sz w:val="24"/>
          <w:szCs w:val="24"/>
          <w:highlight w:val="none"/>
        </w:rPr>
        <w:t xml:space="preserve"> 因承包人原因导致工程延误，本章第</w:t>
      </w:r>
      <w:r>
        <w:rPr>
          <w:rFonts w:hint="eastAsia" w:ascii="宋体" w:hAnsi="宋体" w:eastAsia="宋体" w:cs="宋体"/>
          <w:b/>
          <w:bCs/>
          <w:snapToGrid w:val="0"/>
          <w:color w:val="auto"/>
          <w:kern w:val="0"/>
          <w:sz w:val="24"/>
          <w:szCs w:val="24"/>
          <w:highlight w:val="none"/>
        </w:rPr>
        <w:t>2.3.1.1</w:t>
      </w:r>
      <w:r>
        <w:rPr>
          <w:rFonts w:hint="eastAsia" w:ascii="宋体" w:hAnsi="宋体" w:eastAsia="宋体" w:cs="宋体"/>
          <w:snapToGrid w:val="0"/>
          <w:color w:val="auto"/>
          <w:kern w:val="0"/>
          <w:sz w:val="24"/>
          <w:szCs w:val="24"/>
          <w:highlight w:val="none"/>
        </w:rPr>
        <w:t>子目中的法定机构根据国家法律法规变化发布新规的时间在合同工程原定竣工时间之后的，合同价款调增的不予调整，合同价款调减的予以调整。</w:t>
      </w:r>
    </w:p>
    <w:p w14:paraId="3BEF9D95">
      <w:pPr>
        <w:keepNext w:val="0"/>
        <w:keepLines w:val="0"/>
        <w:pageBreakBefore w:val="0"/>
        <w:widowControl w:val="0"/>
        <w:kinsoku/>
        <w:wordWrap w:val="0"/>
        <w:overflowPunct/>
        <w:topLinePunct w:val="0"/>
        <w:autoSpaceDE/>
        <w:autoSpaceDN/>
        <w:bidi w:val="0"/>
        <w:adjustRightInd/>
        <w:snapToGrid/>
        <w:spacing w:line="420" w:lineRule="exact"/>
        <w:ind w:left="0" w:right="0"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2.3.2</w:t>
      </w:r>
      <w:r>
        <w:rPr>
          <w:rFonts w:hint="eastAsia" w:ascii="宋体" w:hAnsi="宋体" w:eastAsia="宋体" w:cs="宋体"/>
          <w:snapToGrid w:val="0"/>
          <w:color w:val="auto"/>
          <w:kern w:val="0"/>
          <w:sz w:val="24"/>
          <w:szCs w:val="24"/>
          <w:highlight w:val="none"/>
        </w:rPr>
        <w:t xml:space="preserve"> 工程量偏差或变化</w:t>
      </w:r>
    </w:p>
    <w:p w14:paraId="3E35C40E">
      <w:pPr>
        <w:keepNext w:val="0"/>
        <w:keepLines w:val="0"/>
        <w:pageBreakBefore w:val="0"/>
        <w:widowControl w:val="0"/>
        <w:kinsoku/>
        <w:wordWrap w:val="0"/>
        <w:overflowPunct/>
        <w:topLinePunct w:val="0"/>
        <w:autoSpaceDE/>
        <w:autoSpaceDN/>
        <w:bidi w:val="0"/>
        <w:adjustRightInd/>
        <w:snapToGrid/>
        <w:spacing w:line="420" w:lineRule="exact"/>
        <w:ind w:left="0" w:right="0"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2.3.2.1</w:t>
      </w:r>
      <w:r>
        <w:rPr>
          <w:rFonts w:hint="eastAsia" w:ascii="宋体" w:hAnsi="宋体" w:eastAsia="宋体" w:cs="宋体"/>
          <w:snapToGrid w:val="0"/>
          <w:color w:val="auto"/>
          <w:kern w:val="0"/>
          <w:sz w:val="24"/>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1C100210">
      <w:pPr>
        <w:keepNext w:val="0"/>
        <w:keepLines w:val="0"/>
        <w:pageBreakBefore w:val="0"/>
        <w:widowControl w:val="0"/>
        <w:kinsoku/>
        <w:wordWrap w:val="0"/>
        <w:overflowPunct/>
        <w:topLinePunct w:val="0"/>
        <w:autoSpaceDE/>
        <w:autoSpaceDN/>
        <w:bidi w:val="0"/>
        <w:adjustRightInd/>
        <w:snapToGrid/>
        <w:spacing w:line="420" w:lineRule="exact"/>
        <w:ind w:left="0" w:right="0" w:firstLine="48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对于合理报价的清单项目，当工程量增加超过15%时，增加部分的工程量的综合单价以投标报价《分部分项工程和单价措施项目清单与计价表》中综合单价为基价调低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snapToGrid w:val="0"/>
          <w:color w:val="auto"/>
          <w:kern w:val="0"/>
          <w:sz w:val="24"/>
          <w:szCs w:val="24"/>
          <w:highlight w:val="none"/>
          <w:lang w:eastAsia="zh-CN"/>
        </w:rPr>
        <w:t>。</w:t>
      </w:r>
    </w:p>
    <w:p w14:paraId="03A3DE3A">
      <w:pPr>
        <w:keepNext w:val="0"/>
        <w:keepLines w:val="0"/>
        <w:pageBreakBefore w:val="0"/>
        <w:widowControl w:val="0"/>
        <w:kinsoku/>
        <w:wordWrap w:val="0"/>
        <w:overflowPunct/>
        <w:topLinePunct w:val="0"/>
        <w:autoSpaceDE/>
        <w:autoSpaceDN/>
        <w:bidi w:val="0"/>
        <w:adjustRightInd/>
        <w:snapToGrid/>
        <w:spacing w:line="420" w:lineRule="exact"/>
        <w:ind w:left="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对于按照第二章“中标人须知”第4.2条被认定为不平衡报价的清单项目，其综合单价按照以下方法调整：</w:t>
      </w:r>
    </w:p>
    <w:p w14:paraId="6596B34A">
      <w:pPr>
        <w:keepNext w:val="0"/>
        <w:keepLines w:val="0"/>
        <w:pageBreakBefore w:val="0"/>
        <w:widowControl w:val="0"/>
        <w:kinsoku/>
        <w:wordWrap w:val="0"/>
        <w:overflowPunct/>
        <w:topLinePunct w:val="0"/>
        <w:autoSpaceDE/>
        <w:autoSpaceDN/>
        <w:bidi w:val="0"/>
        <w:adjustRightInd/>
        <w:snapToGrid/>
        <w:spacing w:line="420" w:lineRule="exact"/>
        <w:ind w:left="0" w:right="0" w:firstLine="482" w:firstLineChars="200"/>
        <w:rPr>
          <w:rFonts w:hint="eastAsia" w:ascii="宋体" w:hAnsi="宋体" w:eastAsia="宋体" w:cs="宋体"/>
          <w:b/>
          <w:bCs/>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u w:val="single"/>
        </w:rPr>
        <w:t>以</w:t>
      </w:r>
      <w:r>
        <w:rPr>
          <w:rFonts w:hint="eastAsia" w:ascii="宋体" w:hAnsi="宋体" w:eastAsia="宋体" w:cs="宋体"/>
          <w:b/>
          <w:bCs/>
          <w:snapToGrid w:val="0"/>
          <w:color w:val="auto"/>
          <w:kern w:val="0"/>
          <w:sz w:val="24"/>
          <w:szCs w:val="24"/>
          <w:highlight w:val="none"/>
          <w:u w:val="single"/>
          <w:lang w:val="en-US" w:eastAsia="zh-CN"/>
        </w:rPr>
        <w:t>最高投标限价</w:t>
      </w:r>
      <w:r>
        <w:rPr>
          <w:rFonts w:hint="eastAsia" w:ascii="宋体" w:hAnsi="宋体" w:eastAsia="宋体" w:cs="宋体"/>
          <w:b/>
          <w:bCs/>
          <w:snapToGrid w:val="0"/>
          <w:color w:val="auto"/>
          <w:kern w:val="0"/>
          <w:sz w:val="24"/>
          <w:szCs w:val="24"/>
          <w:highlight w:val="none"/>
          <w:u w:val="single"/>
        </w:rPr>
        <w:t>中的《分部分项工程和单价措施项目清单与计价表》子目相对应综合单价×（1-中标下浮率）。</w:t>
      </w:r>
    </w:p>
    <w:p w14:paraId="15F358ED">
      <w:pPr>
        <w:keepNext w:val="0"/>
        <w:keepLines w:val="0"/>
        <w:pageBreakBefore w:val="0"/>
        <w:widowControl w:val="0"/>
        <w:kinsoku/>
        <w:overflowPunct/>
        <w:topLinePunct w:val="0"/>
        <w:autoSpaceDE/>
        <w:autoSpaceDN/>
        <w:bidi w:val="0"/>
        <w:adjustRightInd/>
        <w:snapToGrid/>
        <w:spacing w:line="420" w:lineRule="exact"/>
        <w:ind w:left="0" w:right="0" w:firstLine="477"/>
        <w:textAlignment w:val="auto"/>
        <w:rPr>
          <w:rFonts w:hint="eastAsia" w:ascii="宋体" w:hAnsi="宋体" w:eastAsia="宋体" w:cs="宋体"/>
          <w:b/>
          <w:bCs/>
          <w:color w:val="auto"/>
          <w:spacing w:val="-4"/>
          <w:sz w:val="24"/>
          <w:szCs w:val="24"/>
          <w:highlight w:val="none"/>
          <w:u w:val="single"/>
        </w:rPr>
      </w:pPr>
      <w:r>
        <w:rPr>
          <w:rFonts w:hint="eastAsia" w:ascii="宋体" w:hAnsi="宋体" w:eastAsia="宋体" w:cs="宋体"/>
          <w:b/>
          <w:bCs/>
          <w:color w:val="auto"/>
          <w:spacing w:val="-4"/>
          <w:sz w:val="24"/>
          <w:szCs w:val="24"/>
          <w:highlight w:val="none"/>
          <w:u w:val="single"/>
        </w:rPr>
        <w:t>中标下浮率=[1-（中标价-中标安全</w:t>
      </w:r>
      <w:r>
        <w:rPr>
          <w:rFonts w:hint="eastAsia" w:ascii="宋体" w:hAnsi="宋体" w:eastAsia="宋体" w:cs="宋体"/>
          <w:b/>
          <w:bCs/>
          <w:color w:val="auto"/>
          <w:spacing w:val="-4"/>
          <w:sz w:val="24"/>
          <w:szCs w:val="24"/>
          <w:highlight w:val="none"/>
          <w:u w:val="single"/>
          <w:lang w:val="en-US" w:eastAsia="zh-CN"/>
        </w:rPr>
        <w:t>生产</w:t>
      </w:r>
      <w:r>
        <w:rPr>
          <w:rFonts w:hint="eastAsia" w:ascii="宋体" w:hAnsi="宋体" w:eastAsia="宋体" w:cs="宋体"/>
          <w:b/>
          <w:bCs/>
          <w:color w:val="auto"/>
          <w:spacing w:val="-4"/>
          <w:sz w:val="24"/>
          <w:szCs w:val="24"/>
          <w:highlight w:val="none"/>
          <w:u w:val="single"/>
        </w:rPr>
        <w:t>措施费-暂列金额-暂估价）</w:t>
      </w:r>
      <w:r>
        <w:rPr>
          <w:rFonts w:hint="eastAsia" w:ascii="宋体" w:hAnsi="宋体" w:eastAsia="宋体" w:cs="宋体"/>
          <w:b/>
          <w:bCs/>
          <w:snapToGrid w:val="0"/>
          <w:color w:val="auto"/>
          <w:kern w:val="0"/>
          <w:sz w:val="24"/>
          <w:szCs w:val="24"/>
          <w:highlight w:val="none"/>
          <w:u w:val="single"/>
        </w:rPr>
        <w:t>/ （</w:t>
      </w:r>
      <w:r>
        <w:rPr>
          <w:rFonts w:hint="eastAsia" w:ascii="宋体" w:hAnsi="宋体" w:eastAsia="宋体" w:cs="宋体"/>
          <w:b/>
          <w:bCs/>
          <w:snapToGrid w:val="0"/>
          <w:color w:val="auto"/>
          <w:kern w:val="0"/>
          <w:sz w:val="24"/>
          <w:szCs w:val="24"/>
          <w:highlight w:val="none"/>
          <w:u w:val="single"/>
          <w:lang w:val="en-US" w:eastAsia="zh-CN"/>
        </w:rPr>
        <w:t>最高投标限价</w:t>
      </w:r>
      <w:r>
        <w:rPr>
          <w:rFonts w:hint="eastAsia" w:ascii="宋体" w:hAnsi="宋体" w:eastAsia="宋体" w:cs="宋体"/>
          <w:b/>
          <w:bCs/>
          <w:snapToGrid w:val="0"/>
          <w:color w:val="auto"/>
          <w:kern w:val="0"/>
          <w:sz w:val="24"/>
          <w:szCs w:val="24"/>
          <w:highlight w:val="none"/>
          <w:u w:val="single"/>
        </w:rPr>
        <w:t>-控制价中标安全</w:t>
      </w:r>
      <w:r>
        <w:rPr>
          <w:rFonts w:hint="eastAsia" w:ascii="宋体" w:hAnsi="宋体" w:eastAsia="宋体" w:cs="宋体"/>
          <w:b/>
          <w:bCs/>
          <w:snapToGrid w:val="0"/>
          <w:color w:val="auto"/>
          <w:kern w:val="0"/>
          <w:sz w:val="24"/>
          <w:szCs w:val="24"/>
          <w:highlight w:val="none"/>
          <w:u w:val="single"/>
          <w:lang w:val="en-US" w:eastAsia="zh-CN"/>
        </w:rPr>
        <w:t>生产</w:t>
      </w:r>
      <w:r>
        <w:rPr>
          <w:rFonts w:hint="eastAsia" w:ascii="宋体" w:hAnsi="宋体" w:eastAsia="宋体" w:cs="宋体"/>
          <w:b/>
          <w:bCs/>
          <w:snapToGrid w:val="0"/>
          <w:color w:val="auto"/>
          <w:kern w:val="0"/>
          <w:sz w:val="24"/>
          <w:szCs w:val="24"/>
          <w:highlight w:val="none"/>
          <w:u w:val="single"/>
        </w:rPr>
        <w:t>措施费-暂列金额-暂估价）] ×100%</w:t>
      </w:r>
    </w:p>
    <w:p w14:paraId="28660CF6">
      <w:pPr>
        <w:keepNext w:val="0"/>
        <w:keepLines w:val="0"/>
        <w:pageBreakBefore w:val="0"/>
        <w:widowControl w:val="0"/>
        <w:suppressLineNumbers w:val="0"/>
        <w:kinsoku/>
        <w:overflowPunct/>
        <w:topLinePunct w:val="0"/>
        <w:autoSpaceDE/>
        <w:autoSpaceDN/>
        <w:bidi w:val="0"/>
        <w:adjustRightInd/>
        <w:snapToGrid/>
        <w:spacing w:line="42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022E510F">
      <w:pPr>
        <w:keepNext w:val="0"/>
        <w:keepLines w:val="0"/>
        <w:pageBreakBefore w:val="0"/>
        <w:widowControl w:val="0"/>
        <w:kinsoku/>
        <w:wordWrap w:val="0"/>
        <w:overflowPunct/>
        <w:topLinePunct w:val="0"/>
        <w:autoSpaceDE/>
        <w:autoSpaceDN/>
        <w:bidi w:val="0"/>
        <w:adjustRightInd/>
        <w:snapToGrid/>
        <w:spacing w:line="420" w:lineRule="exact"/>
        <w:ind w:left="0" w:right="0"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2.3.2.2</w:t>
      </w:r>
      <w:r>
        <w:rPr>
          <w:rFonts w:hint="eastAsia" w:ascii="宋体" w:hAnsi="宋体" w:eastAsia="宋体" w:cs="宋体"/>
          <w:snapToGrid w:val="0"/>
          <w:color w:val="auto"/>
          <w:kern w:val="0"/>
          <w:sz w:val="24"/>
          <w:szCs w:val="24"/>
          <w:highlight w:val="none"/>
        </w:rPr>
        <w:t xml:space="preserve"> 如果工程量出现本章第</w:t>
      </w:r>
      <w:r>
        <w:rPr>
          <w:rFonts w:hint="eastAsia" w:ascii="宋体" w:hAnsi="宋体" w:eastAsia="宋体" w:cs="宋体"/>
          <w:b/>
          <w:bCs/>
          <w:snapToGrid w:val="0"/>
          <w:color w:val="auto"/>
          <w:kern w:val="0"/>
          <w:sz w:val="24"/>
          <w:szCs w:val="24"/>
          <w:highlight w:val="none"/>
        </w:rPr>
        <w:t>2.3.2.1</w:t>
      </w:r>
      <w:r>
        <w:rPr>
          <w:rFonts w:hint="eastAsia" w:ascii="宋体" w:hAnsi="宋体" w:eastAsia="宋体" w:cs="宋体"/>
          <w:snapToGrid w:val="0"/>
          <w:color w:val="auto"/>
          <w:kern w:val="0"/>
          <w:sz w:val="24"/>
          <w:szCs w:val="24"/>
          <w:highlight w:val="none"/>
        </w:rPr>
        <w:t>子目的变化，且该变化引起相关措施项目相应发生变化时，按系数或单一总价方式计价的，工程量增加的措施项目费调增，工程量减少的措施项目费调减。</w:t>
      </w:r>
    </w:p>
    <w:p w14:paraId="69C24B2C">
      <w:pPr>
        <w:keepNext w:val="0"/>
        <w:keepLines w:val="0"/>
        <w:pageBreakBefore w:val="0"/>
        <w:widowControl w:val="0"/>
        <w:kinsoku/>
        <w:wordWrap w:val="0"/>
        <w:overflowPunct/>
        <w:topLinePunct w:val="0"/>
        <w:autoSpaceDE/>
        <w:autoSpaceDN/>
        <w:bidi w:val="0"/>
        <w:adjustRightInd/>
        <w:snapToGrid/>
        <w:spacing w:line="420" w:lineRule="exact"/>
        <w:ind w:left="0" w:right="0"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2.3.3</w:t>
      </w:r>
      <w:r>
        <w:rPr>
          <w:rFonts w:hint="eastAsia" w:ascii="宋体" w:hAnsi="宋体" w:eastAsia="宋体" w:cs="宋体"/>
          <w:snapToGrid w:val="0"/>
          <w:color w:val="auto"/>
          <w:kern w:val="0"/>
          <w:sz w:val="24"/>
          <w:szCs w:val="24"/>
          <w:highlight w:val="none"/>
        </w:rPr>
        <w:t xml:space="preserve"> 工程变更</w:t>
      </w:r>
    </w:p>
    <w:p w14:paraId="53831F7B">
      <w:pPr>
        <w:keepNext w:val="0"/>
        <w:keepLines w:val="0"/>
        <w:pageBreakBefore w:val="0"/>
        <w:widowControl w:val="0"/>
        <w:kinsoku/>
        <w:wordWrap w:val="0"/>
        <w:overflowPunct/>
        <w:topLinePunct w:val="0"/>
        <w:autoSpaceDE/>
        <w:autoSpaceDN/>
        <w:bidi w:val="0"/>
        <w:adjustRightInd/>
        <w:snapToGrid/>
        <w:spacing w:line="420" w:lineRule="exact"/>
        <w:ind w:left="0" w:right="0"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2.3.3.1</w:t>
      </w:r>
      <w:r>
        <w:rPr>
          <w:rFonts w:hint="eastAsia" w:ascii="宋体" w:hAnsi="宋体" w:eastAsia="宋体" w:cs="宋体"/>
          <w:snapToGrid w:val="0"/>
          <w:color w:val="auto"/>
          <w:kern w:val="0"/>
          <w:sz w:val="24"/>
          <w:szCs w:val="24"/>
          <w:highlight w:val="none"/>
        </w:rPr>
        <w:t xml:space="preserve"> 合同履行期间，因工程变更引起已标价工程量清单项目发生变化时，按照以下规定调整：</w:t>
      </w:r>
    </w:p>
    <w:p w14:paraId="7431CDC1">
      <w:pPr>
        <w:keepNext w:val="0"/>
        <w:keepLines w:val="0"/>
        <w:pageBreakBefore w:val="0"/>
        <w:widowControl w:val="0"/>
        <w:suppressLineNumbers w:val="0"/>
        <w:kinsoku/>
        <w:overflowPunct/>
        <w:topLinePunct w:val="0"/>
        <w:autoSpaceDE/>
        <w:autoSpaceDN/>
        <w:bidi w:val="0"/>
        <w:adjustRightInd/>
        <w:snapToGrid/>
        <w:spacing w:line="42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（1）已标价工程量清单中有适用于变更工程项目的，采用该项目的单价。</w:t>
      </w:r>
      <w:r>
        <w:rPr>
          <w:rFonts w:hint="eastAsia" w:ascii="宋体" w:hAnsi="宋体" w:eastAsia="宋体" w:cs="宋体"/>
          <w:b/>
          <w:bCs/>
          <w:snapToGrid w:val="0"/>
          <w:color w:val="auto"/>
          <w:kern w:val="0"/>
          <w:sz w:val="24"/>
          <w:szCs w:val="24"/>
          <w:highlight w:val="none"/>
        </w:rPr>
        <w:t>但如果被采用的项目属于按照第二章“中标人须知”第4.2条被认定为不平衡报价的清单项目，</w:t>
      </w:r>
      <w:r>
        <w:rPr>
          <w:rFonts w:hint="eastAsia" w:ascii="宋体" w:hAnsi="宋体" w:eastAsia="宋体" w:cs="宋体"/>
          <w:b/>
          <w:bCs/>
          <w:color w:val="auto"/>
          <w:kern w:val="0"/>
          <w:sz w:val="24"/>
          <w:szCs w:val="24"/>
          <w:highlight w:val="none"/>
          <w:lang w:val="en-US" w:eastAsia="zh-CN" w:bidi="ar"/>
        </w:rPr>
        <w:t>变更工程项目的单价按照本章 2.3.2.1 的方法调整。</w:t>
      </w:r>
    </w:p>
    <w:p w14:paraId="3E458890">
      <w:pPr>
        <w:keepNext w:val="0"/>
        <w:keepLines w:val="0"/>
        <w:pageBreakBefore w:val="0"/>
        <w:widowControl w:val="0"/>
        <w:suppressLineNumbers w:val="0"/>
        <w:kinsoku/>
        <w:overflowPunct/>
        <w:topLinePunct w:val="0"/>
        <w:autoSpaceDE/>
        <w:autoSpaceDN/>
        <w:bidi w:val="0"/>
        <w:adjustRightInd/>
        <w:snapToGrid/>
        <w:spacing w:line="420" w:lineRule="exact"/>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 w:val="24"/>
          <w:szCs w:val="24"/>
          <w:highlight w:val="none"/>
        </w:rPr>
        <w:t>但如果被参考的类似项目属于按照第二章“中标人须知”第4.2条被认定为不平衡报价的清单项目，</w:t>
      </w:r>
      <w:r>
        <w:rPr>
          <w:rFonts w:hint="eastAsia" w:ascii="宋体" w:hAnsi="宋体" w:eastAsia="宋体" w:cs="宋体"/>
          <w:b/>
          <w:bCs/>
          <w:color w:val="auto"/>
          <w:kern w:val="0"/>
          <w:sz w:val="24"/>
          <w:szCs w:val="24"/>
          <w:highlight w:val="none"/>
          <w:lang w:val="en-US" w:eastAsia="zh-CN" w:bidi="ar"/>
        </w:rPr>
        <w:t>变更工程项目的单价按照本章 2.3.2.1 的方法调整。</w:t>
      </w:r>
    </w:p>
    <w:p w14:paraId="00F1D866">
      <w:pPr>
        <w:keepNext w:val="0"/>
        <w:keepLines w:val="0"/>
        <w:pageBreakBefore w:val="0"/>
        <w:widowControl w:val="0"/>
        <w:kinsoku/>
        <w:wordWrap w:val="0"/>
        <w:overflowPunct/>
        <w:topLinePunct w:val="0"/>
        <w:autoSpaceDE/>
        <w:autoSpaceDN/>
        <w:bidi w:val="0"/>
        <w:adjustRightInd/>
        <w:snapToGrid/>
        <w:spacing w:line="420" w:lineRule="exact"/>
        <w:ind w:left="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77781FAA">
      <w:pPr>
        <w:keepNext w:val="0"/>
        <w:keepLines w:val="0"/>
        <w:pageBreakBefore w:val="0"/>
        <w:widowControl w:val="0"/>
        <w:suppressLineNumbers w:val="0"/>
        <w:kinsoku/>
        <w:overflowPunct/>
        <w:topLinePunct w:val="0"/>
        <w:autoSpaceDE/>
        <w:autoSpaceDN/>
        <w:bidi w:val="0"/>
        <w:adjustRightInd/>
        <w:snapToGrid/>
        <w:spacing w:line="420" w:lineRule="exact"/>
        <w:ind w:left="0" w:right="0"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中标下浮率=[1-（中标价-中标安全生产措施费-暂列金额-暂估价）/（招标 控制价-控制价安全生产措施费-暂列金额-暂估价）]×100%</w:t>
      </w:r>
    </w:p>
    <w:p w14:paraId="69D361B4">
      <w:pPr>
        <w:keepNext w:val="0"/>
        <w:keepLines w:val="0"/>
        <w:pageBreakBefore w:val="0"/>
        <w:widowControl w:val="0"/>
        <w:kinsoku/>
        <w:wordWrap w:val="0"/>
        <w:overflowPunct/>
        <w:topLinePunct w:val="0"/>
        <w:autoSpaceDE/>
        <w:autoSpaceDN/>
        <w:bidi w:val="0"/>
        <w:adjustRightInd/>
        <w:snapToGrid/>
        <w:spacing w:line="420" w:lineRule="exact"/>
        <w:ind w:left="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31259FDD">
      <w:pPr>
        <w:keepNext w:val="0"/>
        <w:keepLines w:val="0"/>
        <w:pageBreakBefore w:val="0"/>
        <w:widowControl w:val="0"/>
        <w:kinsoku/>
        <w:wordWrap w:val="0"/>
        <w:overflowPunct/>
        <w:topLinePunct w:val="0"/>
        <w:autoSpaceDE/>
        <w:autoSpaceDN/>
        <w:bidi w:val="0"/>
        <w:adjustRightInd/>
        <w:snapToGrid/>
        <w:spacing w:line="420" w:lineRule="exact"/>
        <w:ind w:left="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2.3.3.2</w:t>
      </w:r>
      <w:r>
        <w:rPr>
          <w:rFonts w:hint="eastAsia" w:ascii="宋体" w:hAnsi="宋体" w:eastAsia="宋体" w:cs="宋体"/>
          <w:snapToGrid w:val="0"/>
          <w:color w:val="auto"/>
          <w:kern w:val="0"/>
          <w:sz w:val="24"/>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15005215">
      <w:pPr>
        <w:keepNext w:val="0"/>
        <w:keepLines w:val="0"/>
        <w:pageBreakBefore w:val="0"/>
        <w:widowControl w:val="0"/>
        <w:kinsoku/>
        <w:wordWrap w:val="0"/>
        <w:overflowPunct/>
        <w:topLinePunct w:val="0"/>
        <w:autoSpaceDE/>
        <w:autoSpaceDN/>
        <w:bidi w:val="0"/>
        <w:adjustRightInd/>
        <w:snapToGrid/>
        <w:spacing w:line="420" w:lineRule="exact"/>
        <w:ind w:left="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应按照实际发生变化的措施项目计算。</w:t>
      </w:r>
    </w:p>
    <w:p w14:paraId="45D52D2A">
      <w:pPr>
        <w:keepNext w:val="0"/>
        <w:keepLines w:val="0"/>
        <w:pageBreakBefore w:val="0"/>
        <w:widowControl w:val="0"/>
        <w:kinsoku/>
        <w:wordWrap w:val="0"/>
        <w:overflowPunct/>
        <w:topLinePunct w:val="0"/>
        <w:autoSpaceDE/>
        <w:autoSpaceDN/>
        <w:bidi w:val="0"/>
        <w:adjustRightInd/>
        <w:snapToGrid/>
        <w:spacing w:line="420" w:lineRule="exact"/>
        <w:ind w:left="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（2）采用单价计算的措施项目费，应按照实际发生变化的措施项目，按本章第</w:t>
      </w:r>
      <w:r>
        <w:rPr>
          <w:rFonts w:hint="eastAsia" w:ascii="宋体" w:hAnsi="宋体" w:eastAsia="宋体" w:cs="宋体"/>
          <w:b/>
          <w:bCs/>
          <w:snapToGrid w:val="0"/>
          <w:color w:val="auto"/>
          <w:kern w:val="0"/>
          <w:sz w:val="24"/>
          <w:szCs w:val="24"/>
          <w:highlight w:val="none"/>
        </w:rPr>
        <w:t>2.3.3.1</w:t>
      </w:r>
      <w:r>
        <w:rPr>
          <w:rFonts w:hint="eastAsia" w:ascii="宋体" w:hAnsi="宋体" w:eastAsia="宋体" w:cs="宋体"/>
          <w:snapToGrid w:val="0"/>
          <w:color w:val="auto"/>
          <w:kern w:val="0"/>
          <w:sz w:val="24"/>
          <w:szCs w:val="24"/>
          <w:highlight w:val="none"/>
        </w:rPr>
        <w:t>子目的规定确定单价。</w:t>
      </w:r>
    </w:p>
    <w:p w14:paraId="30A8C16E">
      <w:pPr>
        <w:keepNext w:val="0"/>
        <w:keepLines w:val="0"/>
        <w:pageBreakBefore w:val="0"/>
        <w:widowControl w:val="0"/>
        <w:kinsoku/>
        <w:wordWrap w:val="0"/>
        <w:overflowPunct/>
        <w:topLinePunct w:val="0"/>
        <w:autoSpaceDE/>
        <w:autoSpaceDN/>
        <w:bidi w:val="0"/>
        <w:adjustRightInd/>
        <w:snapToGrid/>
        <w:spacing w:line="420" w:lineRule="exact"/>
        <w:ind w:left="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（3）按总价或系数计算的措施项目费，应按照实际发生变化的措施项目费调整并考虑中标下浮率因素，即调整金额＝按照实际变化调整后的金额×（1-中标下浮率）。</w:t>
      </w:r>
    </w:p>
    <w:p w14:paraId="54FC538F">
      <w:pPr>
        <w:keepNext w:val="0"/>
        <w:keepLines w:val="0"/>
        <w:pageBreakBefore w:val="0"/>
        <w:widowControl w:val="0"/>
        <w:kinsoku/>
        <w:wordWrap w:val="0"/>
        <w:overflowPunct/>
        <w:topLinePunct w:val="0"/>
        <w:autoSpaceDE/>
        <w:autoSpaceDN/>
        <w:bidi w:val="0"/>
        <w:adjustRightInd/>
        <w:snapToGrid/>
        <w:spacing w:line="420" w:lineRule="exact"/>
        <w:ind w:left="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如果承包人未事先将拟实施的方案提交发包人确认，视为工程变更不引起措施项目费的调整或承包人放弃调整措施项目费的权利。</w:t>
      </w:r>
    </w:p>
    <w:p w14:paraId="59DA8DB5">
      <w:pPr>
        <w:keepNext w:val="0"/>
        <w:keepLines w:val="0"/>
        <w:pageBreakBefore w:val="0"/>
        <w:widowControl w:val="0"/>
        <w:kinsoku/>
        <w:wordWrap w:val="0"/>
        <w:overflowPunct/>
        <w:topLinePunct w:val="0"/>
        <w:autoSpaceDE/>
        <w:autoSpaceDN/>
        <w:bidi w:val="0"/>
        <w:adjustRightInd/>
        <w:snapToGrid/>
        <w:spacing w:line="420" w:lineRule="exact"/>
        <w:ind w:left="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2.3.3.3</w:t>
      </w:r>
      <w:r>
        <w:rPr>
          <w:rFonts w:hint="eastAsia" w:ascii="宋体" w:hAnsi="宋体" w:eastAsia="宋体" w:cs="宋体"/>
          <w:snapToGrid w:val="0"/>
          <w:color w:val="auto"/>
          <w:kern w:val="0"/>
          <w:sz w:val="24"/>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42DEBD68">
      <w:pPr>
        <w:keepNext w:val="0"/>
        <w:keepLines w:val="0"/>
        <w:pageBreakBefore w:val="0"/>
        <w:widowControl w:val="0"/>
        <w:kinsoku/>
        <w:wordWrap w:val="0"/>
        <w:overflowPunct/>
        <w:topLinePunct w:val="0"/>
        <w:autoSpaceDE/>
        <w:autoSpaceDN/>
        <w:bidi w:val="0"/>
        <w:adjustRightInd/>
        <w:snapToGrid/>
        <w:spacing w:line="420" w:lineRule="exact"/>
        <w:ind w:left="0" w:right="0"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2.3.4</w:t>
      </w:r>
      <w:r>
        <w:rPr>
          <w:rFonts w:hint="eastAsia" w:ascii="宋体" w:hAnsi="宋体" w:eastAsia="宋体" w:cs="宋体"/>
          <w:snapToGrid w:val="0"/>
          <w:color w:val="auto"/>
          <w:kern w:val="0"/>
          <w:sz w:val="24"/>
          <w:szCs w:val="24"/>
          <w:highlight w:val="none"/>
        </w:rPr>
        <w:t xml:space="preserve"> 项目特征不符</w:t>
      </w:r>
    </w:p>
    <w:p w14:paraId="11875062">
      <w:pPr>
        <w:keepNext w:val="0"/>
        <w:keepLines w:val="0"/>
        <w:pageBreakBefore w:val="0"/>
        <w:widowControl w:val="0"/>
        <w:kinsoku/>
        <w:wordWrap w:val="0"/>
        <w:overflowPunct/>
        <w:topLinePunct w:val="0"/>
        <w:autoSpaceDE/>
        <w:autoSpaceDN/>
        <w:bidi w:val="0"/>
        <w:adjustRightInd/>
        <w:snapToGrid/>
        <w:spacing w:line="420" w:lineRule="exact"/>
        <w:ind w:left="0" w:right="0"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 w:val="24"/>
          <w:szCs w:val="24"/>
          <w:highlight w:val="none"/>
        </w:rPr>
        <w:t>2.3.3</w:t>
      </w:r>
      <w:r>
        <w:rPr>
          <w:rFonts w:hint="eastAsia" w:ascii="宋体" w:hAnsi="宋体" w:eastAsia="宋体" w:cs="宋体"/>
          <w:snapToGrid w:val="0"/>
          <w:color w:val="auto"/>
          <w:kern w:val="0"/>
          <w:sz w:val="24"/>
          <w:szCs w:val="24"/>
          <w:highlight w:val="none"/>
        </w:rPr>
        <w:t>目相关条款的规定重新确定相应工程量清单项目的综合单价，并调整合同价款。</w:t>
      </w:r>
    </w:p>
    <w:p w14:paraId="24E7D451">
      <w:pPr>
        <w:keepNext w:val="0"/>
        <w:keepLines w:val="0"/>
        <w:pageBreakBefore w:val="0"/>
        <w:widowControl w:val="0"/>
        <w:kinsoku/>
        <w:wordWrap w:val="0"/>
        <w:overflowPunct/>
        <w:topLinePunct w:val="0"/>
        <w:autoSpaceDE/>
        <w:autoSpaceDN/>
        <w:bidi w:val="0"/>
        <w:adjustRightInd/>
        <w:snapToGrid/>
        <w:spacing w:line="420" w:lineRule="exact"/>
        <w:ind w:left="0" w:right="0"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2.3.5</w:t>
      </w:r>
      <w:r>
        <w:rPr>
          <w:rFonts w:hint="eastAsia" w:ascii="宋体" w:hAnsi="宋体" w:eastAsia="宋体" w:cs="宋体"/>
          <w:snapToGrid w:val="0"/>
          <w:color w:val="auto"/>
          <w:kern w:val="0"/>
          <w:sz w:val="24"/>
          <w:szCs w:val="24"/>
          <w:highlight w:val="none"/>
        </w:rPr>
        <w:t xml:space="preserve"> 招标工程量清单缺项</w:t>
      </w:r>
    </w:p>
    <w:p w14:paraId="21AED20A">
      <w:pPr>
        <w:keepNext w:val="0"/>
        <w:keepLines w:val="0"/>
        <w:pageBreakBefore w:val="0"/>
        <w:widowControl w:val="0"/>
        <w:kinsoku/>
        <w:wordWrap w:val="0"/>
        <w:overflowPunct/>
        <w:topLinePunct w:val="0"/>
        <w:autoSpaceDE/>
        <w:autoSpaceDN/>
        <w:bidi w:val="0"/>
        <w:adjustRightInd/>
        <w:snapToGrid/>
        <w:spacing w:line="420" w:lineRule="exact"/>
        <w:ind w:left="0" w:right="0"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2.3.5.1</w:t>
      </w:r>
      <w:r>
        <w:rPr>
          <w:rFonts w:hint="eastAsia" w:ascii="宋体" w:hAnsi="宋体" w:eastAsia="宋体" w:cs="宋体"/>
          <w:snapToGrid w:val="0"/>
          <w:color w:val="auto"/>
          <w:kern w:val="0"/>
          <w:sz w:val="24"/>
          <w:szCs w:val="24"/>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 w:val="24"/>
          <w:szCs w:val="24"/>
          <w:highlight w:val="none"/>
        </w:rPr>
        <w:t>2.3.3.1</w:t>
      </w:r>
      <w:r>
        <w:rPr>
          <w:rFonts w:hint="eastAsia" w:ascii="宋体" w:hAnsi="宋体" w:eastAsia="宋体" w:cs="宋体"/>
          <w:snapToGrid w:val="0"/>
          <w:color w:val="auto"/>
          <w:kern w:val="0"/>
          <w:sz w:val="24"/>
          <w:szCs w:val="24"/>
          <w:highlight w:val="none"/>
        </w:rPr>
        <w:t>子目的规定确定单价，并调整合同价款。</w:t>
      </w:r>
    </w:p>
    <w:p w14:paraId="437D8A22">
      <w:pPr>
        <w:keepNext w:val="0"/>
        <w:keepLines w:val="0"/>
        <w:pageBreakBefore w:val="0"/>
        <w:widowControl w:val="0"/>
        <w:kinsoku/>
        <w:wordWrap w:val="0"/>
        <w:overflowPunct/>
        <w:topLinePunct w:val="0"/>
        <w:autoSpaceDE/>
        <w:autoSpaceDN/>
        <w:bidi w:val="0"/>
        <w:adjustRightInd/>
        <w:snapToGrid/>
        <w:spacing w:line="420" w:lineRule="exact"/>
        <w:ind w:left="0" w:right="0"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2.3.5.2</w:t>
      </w:r>
      <w:r>
        <w:rPr>
          <w:rFonts w:hint="eastAsia" w:ascii="宋体" w:hAnsi="宋体" w:eastAsia="宋体" w:cs="宋体"/>
          <w:snapToGrid w:val="0"/>
          <w:color w:val="auto"/>
          <w:kern w:val="0"/>
          <w:sz w:val="24"/>
          <w:szCs w:val="24"/>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 w:val="24"/>
          <w:szCs w:val="24"/>
          <w:highlight w:val="none"/>
        </w:rPr>
        <w:t>2.3.3.2</w:t>
      </w:r>
      <w:r>
        <w:rPr>
          <w:rFonts w:hint="eastAsia" w:ascii="宋体" w:hAnsi="宋体" w:eastAsia="宋体" w:cs="宋体"/>
          <w:snapToGrid w:val="0"/>
          <w:color w:val="auto"/>
          <w:kern w:val="0"/>
          <w:sz w:val="24"/>
          <w:szCs w:val="24"/>
          <w:highlight w:val="none"/>
        </w:rPr>
        <w:t>子目的规定，在承包人提交的实施方案被发包人批准后调整合同价款。</w:t>
      </w:r>
    </w:p>
    <w:p w14:paraId="3BB7AF8F">
      <w:pPr>
        <w:keepNext w:val="0"/>
        <w:keepLines w:val="0"/>
        <w:pageBreakBefore w:val="0"/>
        <w:widowControl w:val="0"/>
        <w:kinsoku/>
        <w:wordWrap w:val="0"/>
        <w:overflowPunct/>
        <w:topLinePunct w:val="0"/>
        <w:autoSpaceDE/>
        <w:autoSpaceDN/>
        <w:bidi w:val="0"/>
        <w:adjustRightInd/>
        <w:snapToGrid/>
        <w:spacing w:line="420" w:lineRule="exact"/>
        <w:ind w:left="0" w:right="0"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2.3.5.3</w:t>
      </w:r>
      <w:r>
        <w:rPr>
          <w:rFonts w:hint="eastAsia" w:ascii="宋体" w:hAnsi="宋体" w:eastAsia="宋体" w:cs="宋体"/>
          <w:snapToGrid w:val="0"/>
          <w:color w:val="auto"/>
          <w:kern w:val="0"/>
          <w:sz w:val="24"/>
          <w:szCs w:val="24"/>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 w:val="24"/>
          <w:szCs w:val="24"/>
          <w:highlight w:val="none"/>
        </w:rPr>
        <w:t>2.3.3.1</w:t>
      </w:r>
      <w:r>
        <w:rPr>
          <w:rFonts w:hint="eastAsia" w:ascii="宋体" w:hAnsi="宋体" w:eastAsia="宋体" w:cs="宋体"/>
          <w:snapToGrid w:val="0"/>
          <w:color w:val="auto"/>
          <w:kern w:val="0"/>
          <w:sz w:val="24"/>
          <w:szCs w:val="24"/>
          <w:highlight w:val="none"/>
        </w:rPr>
        <w:t>子目、第</w:t>
      </w:r>
      <w:r>
        <w:rPr>
          <w:rFonts w:hint="eastAsia" w:ascii="宋体" w:hAnsi="宋体" w:eastAsia="宋体" w:cs="宋体"/>
          <w:b/>
          <w:bCs/>
          <w:snapToGrid w:val="0"/>
          <w:color w:val="auto"/>
          <w:kern w:val="0"/>
          <w:sz w:val="24"/>
          <w:szCs w:val="24"/>
          <w:highlight w:val="none"/>
        </w:rPr>
        <w:t>2.3.3.2</w:t>
      </w:r>
      <w:r>
        <w:rPr>
          <w:rFonts w:hint="eastAsia" w:ascii="宋体" w:hAnsi="宋体" w:eastAsia="宋体" w:cs="宋体"/>
          <w:snapToGrid w:val="0"/>
          <w:color w:val="auto"/>
          <w:kern w:val="0"/>
          <w:sz w:val="24"/>
          <w:szCs w:val="24"/>
          <w:highlight w:val="none"/>
        </w:rPr>
        <w:t>子目的规定调整合同价款。</w:t>
      </w:r>
    </w:p>
    <w:p w14:paraId="27D1A225">
      <w:pPr>
        <w:keepNext w:val="0"/>
        <w:keepLines w:val="0"/>
        <w:pageBreakBefore w:val="0"/>
        <w:widowControl w:val="0"/>
        <w:kinsoku/>
        <w:wordWrap w:val="0"/>
        <w:overflowPunct/>
        <w:topLinePunct w:val="0"/>
        <w:autoSpaceDE/>
        <w:autoSpaceDN/>
        <w:bidi w:val="0"/>
        <w:adjustRightInd/>
        <w:snapToGrid/>
        <w:spacing w:line="420" w:lineRule="exact"/>
        <w:ind w:left="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2.3.6</w:t>
      </w:r>
      <w:r>
        <w:rPr>
          <w:rFonts w:hint="eastAsia" w:ascii="宋体" w:hAnsi="宋体" w:eastAsia="宋体" w:cs="宋体"/>
          <w:bCs/>
          <w:snapToGrid w:val="0"/>
          <w:color w:val="auto"/>
          <w:kern w:val="0"/>
          <w:sz w:val="24"/>
          <w:szCs w:val="24"/>
          <w:highlight w:val="none"/>
        </w:rPr>
        <w:t xml:space="preserve"> 物价变化</w:t>
      </w:r>
    </w:p>
    <w:p w14:paraId="4A117923">
      <w:pPr>
        <w:keepNext w:val="0"/>
        <w:keepLines w:val="0"/>
        <w:pageBreakBefore w:val="0"/>
        <w:widowControl w:val="0"/>
        <w:kinsoku/>
        <w:wordWrap w:val="0"/>
        <w:overflowPunct/>
        <w:topLinePunct w:val="0"/>
        <w:autoSpaceDE/>
        <w:autoSpaceDN/>
        <w:bidi w:val="0"/>
        <w:adjustRightInd/>
        <w:snapToGrid/>
        <w:spacing w:line="420" w:lineRule="exact"/>
        <w:ind w:left="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2.3.6.1</w:t>
      </w:r>
      <w:r>
        <w:rPr>
          <w:rFonts w:hint="eastAsia" w:ascii="宋体" w:hAnsi="宋体" w:eastAsia="宋体" w:cs="宋体"/>
          <w:bCs/>
          <w:snapToGrid w:val="0"/>
          <w:color w:val="auto"/>
          <w:kern w:val="0"/>
          <w:sz w:val="24"/>
          <w:szCs w:val="24"/>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 w:val="24"/>
          <w:szCs w:val="24"/>
          <w:highlight w:val="none"/>
        </w:rPr>
        <w:t>以下简称“中标人工费”</w:t>
      </w:r>
      <w:r>
        <w:rPr>
          <w:rFonts w:hint="eastAsia" w:ascii="宋体" w:hAnsi="宋体" w:eastAsia="宋体" w:cs="宋体"/>
          <w:bCs/>
          <w:snapToGrid w:val="0"/>
          <w:color w:val="auto"/>
          <w:kern w:val="0"/>
          <w:sz w:val="24"/>
          <w:szCs w:val="24"/>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39058E04">
      <w:pPr>
        <w:keepNext w:val="0"/>
        <w:keepLines w:val="0"/>
        <w:pageBreakBefore w:val="0"/>
        <w:widowControl w:val="0"/>
        <w:kinsoku/>
        <w:wordWrap w:val="0"/>
        <w:overflowPunct/>
        <w:topLinePunct w:val="0"/>
        <w:autoSpaceDE/>
        <w:autoSpaceDN/>
        <w:bidi w:val="0"/>
        <w:adjustRightInd/>
        <w:snapToGrid/>
        <w:spacing w:line="420" w:lineRule="exact"/>
        <w:ind w:left="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结算人工费＝中标人工费×F</w:t>
      </w:r>
      <w:r>
        <w:rPr>
          <w:rFonts w:hint="eastAsia" w:ascii="宋体" w:hAnsi="宋体" w:eastAsia="宋体" w:cs="宋体"/>
          <w:bCs/>
          <w:snapToGrid w:val="0"/>
          <w:color w:val="auto"/>
          <w:kern w:val="0"/>
          <w:sz w:val="24"/>
          <w:szCs w:val="24"/>
          <w:highlight w:val="none"/>
          <w:vertAlign w:val="subscript"/>
        </w:rPr>
        <w:t>1</w:t>
      </w:r>
    </w:p>
    <w:p w14:paraId="58881265">
      <w:pPr>
        <w:keepNext w:val="0"/>
        <w:keepLines w:val="0"/>
        <w:pageBreakBefore w:val="0"/>
        <w:widowControl w:val="0"/>
        <w:kinsoku/>
        <w:wordWrap w:val="0"/>
        <w:overflowPunct/>
        <w:topLinePunct w:val="0"/>
        <w:autoSpaceDE/>
        <w:autoSpaceDN/>
        <w:bidi w:val="0"/>
        <w:adjustRightInd/>
        <w:snapToGrid/>
        <w:spacing w:line="420" w:lineRule="exact"/>
        <w:ind w:left="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式中，F</w:t>
      </w:r>
      <w:r>
        <w:rPr>
          <w:rFonts w:hint="eastAsia" w:ascii="宋体" w:hAnsi="宋体" w:eastAsia="宋体" w:cs="宋体"/>
          <w:bCs/>
          <w:snapToGrid w:val="0"/>
          <w:color w:val="auto"/>
          <w:kern w:val="0"/>
          <w:sz w:val="24"/>
          <w:szCs w:val="24"/>
          <w:highlight w:val="none"/>
          <w:vertAlign w:val="subscript"/>
        </w:rPr>
        <w:t>1</w:t>
      </w:r>
      <w:r>
        <w:rPr>
          <w:rFonts w:hint="eastAsia" w:ascii="宋体" w:hAnsi="宋体" w:eastAsia="宋体" w:cs="宋体"/>
          <w:bCs/>
          <w:snapToGrid w:val="0"/>
          <w:color w:val="auto"/>
          <w:kern w:val="0"/>
          <w:sz w:val="24"/>
          <w:szCs w:val="24"/>
          <w:highlight w:val="none"/>
        </w:rPr>
        <w:t>为施工当月项目所在地工程造价管理机构发布的动态人工调整系数。</w:t>
      </w:r>
    </w:p>
    <w:p w14:paraId="4722ECC1">
      <w:pPr>
        <w:keepNext w:val="0"/>
        <w:keepLines w:val="0"/>
        <w:pageBreakBefore w:val="0"/>
        <w:widowControl w:val="0"/>
        <w:kinsoku/>
        <w:wordWrap w:val="0"/>
        <w:overflowPunct/>
        <w:topLinePunct w:val="0"/>
        <w:autoSpaceDE/>
        <w:autoSpaceDN/>
        <w:bidi w:val="0"/>
        <w:adjustRightInd/>
        <w:snapToGrid/>
        <w:spacing w:line="420" w:lineRule="exact"/>
        <w:ind w:left="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2.3.6.2</w:t>
      </w:r>
      <w:r>
        <w:rPr>
          <w:rFonts w:hint="eastAsia" w:ascii="宋体" w:hAnsi="宋体" w:eastAsia="宋体" w:cs="宋体"/>
          <w:snapToGrid w:val="0"/>
          <w:color w:val="auto"/>
          <w:kern w:val="0"/>
          <w:sz w:val="24"/>
          <w:szCs w:val="24"/>
          <w:highlight w:val="none"/>
        </w:rPr>
        <w:t xml:space="preserve"> 本招标项目约定，材料、工程设备单价涨跌风险幅度值A为</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1BE3429D">
      <w:pPr>
        <w:keepNext w:val="0"/>
        <w:keepLines w:val="0"/>
        <w:pageBreakBefore w:val="0"/>
        <w:widowControl w:val="0"/>
        <w:kinsoku/>
        <w:wordWrap w:val="0"/>
        <w:overflowPunct/>
        <w:topLinePunct w:val="0"/>
        <w:autoSpaceDE/>
        <w:autoSpaceDN/>
        <w:bidi w:val="0"/>
        <w:adjustRightInd/>
        <w:snapToGrid/>
        <w:spacing w:line="420" w:lineRule="exact"/>
        <w:ind w:left="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a.</w:t>
      </w:r>
      <w:r>
        <w:rPr>
          <w:rFonts w:hint="eastAsia" w:ascii="宋体" w:hAnsi="宋体" w:eastAsia="宋体" w:cs="宋体"/>
          <w:snapToGrid w:val="0"/>
          <w:color w:val="auto"/>
          <w:kern w:val="0"/>
          <w:sz w:val="24"/>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289CFA35">
      <w:pPr>
        <w:keepNext w:val="0"/>
        <w:keepLines w:val="0"/>
        <w:pageBreakBefore w:val="0"/>
        <w:widowControl/>
        <w:kinsoku/>
        <w:wordWrap w:val="0"/>
        <w:overflowPunct/>
        <w:topLinePunct w:val="0"/>
        <w:autoSpaceDE/>
        <w:autoSpaceDN/>
        <w:bidi w:val="0"/>
        <w:adjustRightInd/>
        <w:snapToGrid/>
        <w:spacing w:before="328" w:beforeLines="100" w:after="240" w:afterLines="100" w:line="440" w:lineRule="exact"/>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a.</w:t>
      </w: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stroked="f" coordsize="21600,21600">
            <v:path/>
            <v:fill on="f" focussize="0,0"/>
            <v:stroke on="f"/>
            <v:imagedata r:id="rId9" o:title=""/>
            <o:lock v:ext="edit" grouping="f" rotation="f" text="f" aspectratio="t"/>
            <w10:wrap type="none"/>
            <w10:anchorlock/>
          </v:shape>
          <o:OLEObject Type="Embed" ProgID="Equation.KSEE3" ShapeID="_x0000_i1025" DrawAspect="Content" ObjectID="_1468075725" r:id="rId8">
            <o:LockedField>false</o:LockedField>
          </o:OLEObject>
        </w:object>
      </w:r>
    </w:p>
    <w:p w14:paraId="72379C61">
      <w:pPr>
        <w:keepNext w:val="0"/>
        <w:keepLines w:val="0"/>
        <w:pageBreakBefore w:val="0"/>
        <w:widowControl/>
        <w:kinsoku/>
        <w:wordWrap w:val="0"/>
        <w:overflowPunct/>
        <w:topLinePunct w:val="0"/>
        <w:autoSpaceDE/>
        <w:autoSpaceDN/>
        <w:bidi w:val="0"/>
        <w:adjustRightInd/>
        <w:snapToGrid/>
        <w:spacing w:before="328" w:beforeLines="100" w:after="240" w:afterLines="100" w:line="44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stroked="f" coordsize="21600,21600">
            <v:path/>
            <v:fill on="f" focussize="0,0"/>
            <v:stroke on="f"/>
            <v:imagedata r:id="rId11" o:title=""/>
            <o:lock v:ext="edit" grouping="f" rotation="f" text="f" aspectratio="t"/>
            <w10:wrap type="none"/>
            <w10:anchorlock/>
          </v:shape>
          <o:OLEObject Type="Embed" ProgID="Equation.KSEE3" ShapeID="_x0000_i1026" DrawAspect="Content" ObjectID="_1468075726" r:id="rId10">
            <o:LockedField>false</o:LockedField>
          </o:OLEObject>
        </w:object>
      </w:r>
    </w:p>
    <w:p w14:paraId="32A55510">
      <w:pPr>
        <w:keepNext w:val="0"/>
        <w:keepLines w:val="0"/>
        <w:pageBreakBefore w:val="0"/>
        <w:widowControl/>
        <w:kinsoku/>
        <w:wordWrap w:val="0"/>
        <w:overflowPunct/>
        <w:topLinePunct w:val="0"/>
        <w:autoSpaceDE/>
        <w:autoSpaceDN/>
        <w:bidi w:val="0"/>
        <w:adjustRightInd/>
        <w:snapToGrid/>
        <w:spacing w:before="328" w:beforeLines="100" w:after="240" w:afterLines="100" w:line="440" w:lineRule="exact"/>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b.</w:t>
      </w: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stroked="f" coordsize="21600,21600">
            <v:path/>
            <v:fill on="f" focussize="0,0"/>
            <v:stroke on="f"/>
            <v:imagedata r:id="rId13" o:title=""/>
            <o:lock v:ext="edit" grouping="f" rotation="f" text="f" aspectratio="t"/>
            <w10:wrap type="none"/>
            <w10:anchorlock/>
          </v:shape>
          <o:OLEObject Type="Embed" ProgID="Equation.KSEE3" ShapeID="_x0000_i1027" DrawAspect="Content" ObjectID="_1468075727" r:id="rId12">
            <o:LockedField>false</o:LockedField>
          </o:OLEObject>
        </w:object>
      </w:r>
    </w:p>
    <w:p w14:paraId="10D25F3B">
      <w:pPr>
        <w:keepNext w:val="0"/>
        <w:keepLines w:val="0"/>
        <w:pageBreakBefore w:val="0"/>
        <w:widowControl/>
        <w:kinsoku/>
        <w:wordWrap w:val="0"/>
        <w:overflowPunct/>
        <w:topLinePunct w:val="0"/>
        <w:autoSpaceDE/>
        <w:autoSpaceDN/>
        <w:bidi w:val="0"/>
        <w:adjustRightInd/>
        <w:snapToGrid/>
        <w:spacing w:before="328" w:beforeLines="100" w:after="240" w:afterLines="100" w:line="44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stroked="f" coordsize="21600,21600">
            <v:path/>
            <v:fill on="f" focussize="0,0"/>
            <v:stroke on="f"/>
            <v:imagedata r:id="rId15" o:title=""/>
            <o:lock v:ext="edit" grouping="f" rotation="f" text="f" aspectratio="t"/>
            <w10:wrap type="none"/>
            <w10:anchorlock/>
          </v:shape>
          <o:OLEObject Type="Embed" ProgID="Equation.KSEE3" ShapeID="_x0000_i1028" DrawAspect="Content" ObjectID="_1468075728" r:id="rId14">
            <o:LockedField>false</o:LockedField>
          </o:OLEObject>
        </w:object>
      </w:r>
    </w:p>
    <w:p w14:paraId="12B5740A">
      <w:pPr>
        <w:keepNext w:val="0"/>
        <w:keepLines w:val="0"/>
        <w:pageBreakBefore w:val="0"/>
        <w:widowControl/>
        <w:kinsoku/>
        <w:wordWrap w:val="0"/>
        <w:overflowPunct/>
        <w:topLinePunct w:val="0"/>
        <w:autoSpaceDE/>
        <w:autoSpaceDN/>
        <w:bidi w:val="0"/>
        <w:adjustRightInd/>
        <w:snapToGrid/>
        <w:spacing w:before="328" w:beforeLines="100" w:after="240" w:afterLines="100" w:line="440" w:lineRule="exact"/>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c.</w:t>
      </w: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stroked="f" coordsize="21600,21600">
            <v:path/>
            <v:fill on="f" focussize="0,0"/>
            <v:stroke on="f"/>
            <v:imagedata r:id="rId17" o:title=""/>
            <o:lock v:ext="edit" grouping="f" rotation="f" text="f" aspectratio="t"/>
            <w10:wrap type="none"/>
            <w10:anchorlock/>
          </v:shape>
          <o:OLEObject Type="Embed" ProgID="Equation.KSEE3" ShapeID="_x0000_i1029" DrawAspect="Content" ObjectID="_1468075729" r:id="rId16">
            <o:LockedField>false</o:LockedField>
          </o:OLEObject>
        </w:object>
      </w:r>
    </w:p>
    <w:p w14:paraId="1249E7F0">
      <w:pPr>
        <w:keepNext w:val="0"/>
        <w:keepLines w:val="0"/>
        <w:pageBreakBefore w:val="0"/>
        <w:widowControl/>
        <w:kinsoku/>
        <w:wordWrap w:val="0"/>
        <w:overflowPunct/>
        <w:topLinePunct w:val="0"/>
        <w:autoSpaceDE/>
        <w:autoSpaceDN/>
        <w:bidi w:val="0"/>
        <w:adjustRightInd/>
        <w:snapToGrid/>
        <w:spacing w:before="328" w:beforeLines="100" w:after="240" w:afterLines="100" w:line="44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19" o:title=""/>
            <o:lock v:ext="edit" grouping="f" rotation="f" text="f" aspectratio="t"/>
            <w10:wrap type="none"/>
            <w10:anchorlock/>
          </v:shape>
          <o:OLEObject Type="Embed" ProgID="Equation.KSEE3" ShapeID="_x0000_i1030" DrawAspect="Content" ObjectID="_1468075730" r:id="rId18">
            <o:LockedField>false</o:LockedField>
          </o:OLEObject>
        </w:object>
      </w:r>
    </w:p>
    <w:p w14:paraId="7F9C7E40">
      <w:pPr>
        <w:keepNext w:val="0"/>
        <w:keepLines w:val="0"/>
        <w:pageBreakBefore w:val="0"/>
        <w:widowControl/>
        <w:kinsoku/>
        <w:wordWrap w:val="0"/>
        <w:overflowPunct/>
        <w:topLinePunct w:val="0"/>
        <w:autoSpaceDE/>
        <w:autoSpaceDN/>
        <w:bidi w:val="0"/>
        <w:adjustRightInd/>
        <w:snapToGrid/>
        <w:spacing w:line="420" w:lineRule="exact"/>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以上公式中，</w:t>
      </w:r>
      <w:r>
        <w:rPr>
          <w:rFonts w:hint="eastAsia" w:ascii="宋体" w:hAnsi="宋体" w:eastAsia="宋体" w:cs="宋体"/>
          <w:bCs/>
          <w:snapToGrid w:val="0"/>
          <w:color w:val="auto"/>
          <w:kern w:val="0"/>
          <w:sz w:val="24"/>
          <w:szCs w:val="24"/>
          <w:highlight w:val="none"/>
        </w:rPr>
        <w:t>F</w:t>
      </w:r>
      <w:r>
        <w:rPr>
          <w:rFonts w:hint="eastAsia" w:ascii="宋体" w:hAnsi="宋体" w:eastAsia="宋体" w:cs="宋体"/>
          <w:bCs/>
          <w:snapToGrid w:val="0"/>
          <w:color w:val="auto"/>
          <w:kern w:val="0"/>
          <w:sz w:val="24"/>
          <w:szCs w:val="24"/>
          <w:highlight w:val="none"/>
          <w:vertAlign w:val="subscript"/>
        </w:rPr>
        <w:t>1</w:t>
      </w:r>
      <w:r>
        <w:rPr>
          <w:rFonts w:hint="eastAsia" w:ascii="宋体" w:hAnsi="宋体" w:eastAsia="宋体" w:cs="宋体"/>
          <w:bCs/>
          <w:snapToGrid w:val="0"/>
          <w:color w:val="auto"/>
          <w:kern w:val="0"/>
          <w:sz w:val="24"/>
          <w:szCs w:val="24"/>
          <w:highlight w:val="none"/>
        </w:rPr>
        <w:t>为中标单价；F</w:t>
      </w:r>
      <w:r>
        <w:rPr>
          <w:rFonts w:hint="eastAsia" w:ascii="宋体" w:hAnsi="宋体" w:eastAsia="宋体" w:cs="宋体"/>
          <w:bCs/>
          <w:snapToGrid w:val="0"/>
          <w:color w:val="auto"/>
          <w:kern w:val="0"/>
          <w:sz w:val="24"/>
          <w:szCs w:val="24"/>
          <w:highlight w:val="none"/>
          <w:vertAlign w:val="subscript"/>
        </w:rPr>
        <w:t>0</w:t>
      </w:r>
      <w:r>
        <w:rPr>
          <w:rFonts w:hint="eastAsia" w:ascii="宋体" w:hAnsi="宋体" w:eastAsia="宋体" w:cs="宋体"/>
          <w:bCs/>
          <w:snapToGrid w:val="0"/>
          <w:color w:val="auto"/>
          <w:kern w:val="0"/>
          <w:sz w:val="24"/>
          <w:szCs w:val="24"/>
          <w:highlight w:val="none"/>
        </w:rPr>
        <w:t>为基准单价</w:t>
      </w:r>
      <w:r>
        <w:rPr>
          <w:rFonts w:hint="eastAsia" w:ascii="宋体" w:hAnsi="宋体" w:eastAsia="宋体" w:cs="宋体"/>
          <w:bCs/>
          <w:snapToGrid w:val="0"/>
          <w:color w:val="auto"/>
          <w:kern w:val="0"/>
          <w:sz w:val="24"/>
          <w:szCs w:val="24"/>
          <w:highlight w:val="none"/>
          <w:lang w:eastAsia="zh-CN"/>
        </w:rPr>
        <w:t>；</w:t>
      </w:r>
      <w:r>
        <w:rPr>
          <w:rFonts w:hint="eastAsia" w:ascii="宋体" w:hAnsi="宋体" w:eastAsia="宋体" w:cs="宋体"/>
          <w:bCs/>
          <w:snapToGrid w:val="0"/>
          <w:color w:val="auto"/>
          <w:kern w:val="0"/>
          <w:sz w:val="24"/>
          <w:szCs w:val="24"/>
          <w:highlight w:val="none"/>
        </w:rPr>
        <w:t>F2为施工当月项目所在地工程造价管理机构发布的材料、工程设备单价；A 为合同约定的材料、工程设备单价涨跌风险幅度值。</w:t>
      </w:r>
    </w:p>
    <w:p w14:paraId="1FC97074">
      <w:pPr>
        <w:keepNext w:val="0"/>
        <w:keepLines w:val="0"/>
        <w:pageBreakBefore w:val="0"/>
        <w:widowControl/>
        <w:kinsoku/>
        <w:wordWrap w:val="0"/>
        <w:overflowPunct/>
        <w:topLinePunct w:val="0"/>
        <w:autoSpaceDE/>
        <w:autoSpaceDN/>
        <w:bidi w:val="0"/>
        <w:adjustRightInd/>
        <w:snapToGrid/>
        <w:spacing w:line="420" w:lineRule="exact"/>
        <w:ind w:firstLine="482"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2.3.6.3</w:t>
      </w:r>
      <w:r>
        <w:rPr>
          <w:rFonts w:hint="eastAsia" w:ascii="宋体" w:hAnsi="宋体" w:eastAsia="宋体" w:cs="宋体"/>
          <w:snapToGrid w:val="0"/>
          <w:color w:val="auto"/>
          <w:kern w:val="0"/>
          <w:sz w:val="24"/>
          <w:szCs w:val="24"/>
          <w:highlight w:val="none"/>
        </w:rPr>
        <w:t xml:space="preserve"> 合同履行期间，当《发包人提供材料和工程设备一览表》（详见招标工程量清单）中的材料、工程设备单价发生变化时，由发包人按照实际变化调整，并列入合同价款。</w:t>
      </w:r>
    </w:p>
    <w:p w14:paraId="4835F287">
      <w:pPr>
        <w:keepNext w:val="0"/>
        <w:keepLines w:val="0"/>
        <w:pageBreakBefore w:val="0"/>
        <w:widowControl/>
        <w:kinsoku/>
        <w:wordWrap w:val="0"/>
        <w:overflowPunct/>
        <w:topLinePunct w:val="0"/>
        <w:autoSpaceDE/>
        <w:autoSpaceDN/>
        <w:bidi w:val="0"/>
        <w:adjustRightInd/>
        <w:snapToGrid/>
        <w:spacing w:line="420" w:lineRule="exact"/>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2.3.6.4</w:t>
      </w:r>
      <w:r>
        <w:rPr>
          <w:rFonts w:hint="eastAsia" w:ascii="宋体" w:hAnsi="宋体" w:eastAsia="宋体" w:cs="宋体"/>
          <w:snapToGrid w:val="0"/>
          <w:color w:val="auto"/>
          <w:kern w:val="0"/>
          <w:sz w:val="24"/>
          <w:szCs w:val="24"/>
          <w:highlight w:val="none"/>
        </w:rPr>
        <w:t xml:space="preserve"> 本招标项目约定，施工机具台班单价涨跌风险幅度值B为</w:t>
      </w:r>
      <w:r>
        <w:rPr>
          <w:rFonts w:hint="eastAsia" w:ascii="宋体" w:hAnsi="宋体" w:eastAsia="宋体" w:cs="宋体"/>
          <w:snapToGrid w:val="0"/>
          <w:color w:val="auto"/>
          <w:kern w:val="0"/>
          <w:sz w:val="24"/>
          <w:szCs w:val="24"/>
          <w:highlight w:val="none"/>
          <w:u w:val="single"/>
        </w:rPr>
        <w:t xml:space="preserve"> 10% </w:t>
      </w:r>
      <w:r>
        <w:rPr>
          <w:rFonts w:hint="eastAsia" w:ascii="宋体" w:hAnsi="宋体" w:eastAsia="宋体" w:cs="宋体"/>
          <w:snapToGrid w:val="0"/>
          <w:color w:val="auto"/>
          <w:kern w:val="0"/>
          <w:sz w:val="24"/>
          <w:szCs w:val="24"/>
          <w:highlight w:val="none"/>
        </w:rPr>
        <w:t>。合同履行期间，当施工机具台班单价涨跌幅度等于或低于B值时，该施工机具台班单价不予调整；超过B值时，其超过部分可以调整。相关费用按有关规定进行相应调整。</w:t>
      </w:r>
    </w:p>
    <w:p w14:paraId="607B78A9">
      <w:pPr>
        <w:keepNext w:val="0"/>
        <w:keepLines w:val="0"/>
        <w:pageBreakBefore w:val="0"/>
        <w:widowControl/>
        <w:kinsoku/>
        <w:wordWrap w:val="0"/>
        <w:overflowPunct/>
        <w:topLinePunct w:val="0"/>
        <w:autoSpaceDE/>
        <w:autoSpaceDN/>
        <w:bidi w:val="0"/>
        <w:adjustRightInd/>
        <w:snapToGrid/>
        <w:spacing w:line="420" w:lineRule="exact"/>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a.</w:t>
      </w:r>
      <w:r>
        <w:rPr>
          <w:rFonts w:hint="eastAsia" w:ascii="宋体" w:hAnsi="宋体" w:eastAsia="宋体" w:cs="宋体"/>
          <w:snapToGrid w:val="0"/>
          <w:color w:val="auto"/>
          <w:kern w:val="0"/>
          <w:sz w:val="24"/>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5B0F3788">
      <w:pPr>
        <w:keepNext w:val="0"/>
        <w:keepLines w:val="0"/>
        <w:pageBreakBefore w:val="0"/>
        <w:widowControl/>
        <w:kinsoku/>
        <w:wordWrap w:val="0"/>
        <w:overflowPunct/>
        <w:topLinePunct w:val="0"/>
        <w:autoSpaceDE/>
        <w:autoSpaceDN/>
        <w:bidi w:val="0"/>
        <w:adjustRightInd/>
        <w:snapToGrid/>
        <w:spacing w:before="328" w:beforeLines="100" w:after="328" w:afterLines="100" w:line="44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21" o:title=""/>
            <o:lock v:ext="edit" grouping="f" rotation="f" text="f" aspectratio="t"/>
            <w10:wrap type="none"/>
            <w10:anchorlock/>
          </v:shape>
          <o:OLEObject Type="Embed" ProgID="Equation.KSEE3" ShapeID="_x0000_i1031" DrawAspect="Content" ObjectID="_1468075731" r:id="rId20">
            <o:LockedField>false</o:LockedField>
          </o:OLEObject>
        </w:object>
      </w:r>
    </w:p>
    <w:p w14:paraId="19815550">
      <w:pPr>
        <w:keepNext w:val="0"/>
        <w:keepLines w:val="0"/>
        <w:pageBreakBefore w:val="0"/>
        <w:widowControl/>
        <w:kinsoku/>
        <w:wordWrap w:val="0"/>
        <w:overflowPunct/>
        <w:topLinePunct w:val="0"/>
        <w:autoSpaceDE/>
        <w:autoSpaceDN/>
        <w:bidi w:val="0"/>
        <w:adjustRightInd/>
        <w:snapToGrid/>
        <w:spacing w:before="328" w:beforeLines="100" w:after="328" w:afterLines="100" w:line="44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23" o:title=""/>
            <o:lock v:ext="edit" grouping="f" rotation="f" text="f" aspectratio="t"/>
            <w10:wrap type="none"/>
            <w10:anchorlock/>
          </v:shape>
          <o:OLEObject Type="Embed" ProgID="Equation.KSEE3" ShapeID="_x0000_i1032" DrawAspect="Content" ObjectID="_1468075732" r:id="rId22">
            <o:LockedField>false</o:LockedField>
          </o:OLEObject>
        </w:object>
      </w:r>
    </w:p>
    <w:p w14:paraId="53BEC505">
      <w:pPr>
        <w:keepNext w:val="0"/>
        <w:keepLines w:val="0"/>
        <w:pageBreakBefore w:val="0"/>
        <w:widowControl/>
        <w:kinsoku/>
        <w:wordWrap w:val="0"/>
        <w:overflowPunct/>
        <w:topLinePunct w:val="0"/>
        <w:autoSpaceDE/>
        <w:autoSpaceDN/>
        <w:bidi w:val="0"/>
        <w:adjustRightInd/>
        <w:snapToGrid/>
        <w:spacing w:before="328" w:beforeLines="100" w:after="328" w:afterLines="100" w:line="440" w:lineRule="exact"/>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25BF8B3D">
      <w:pPr>
        <w:keepNext w:val="0"/>
        <w:keepLines w:val="0"/>
        <w:pageBreakBefore w:val="0"/>
        <w:widowControl/>
        <w:kinsoku/>
        <w:wordWrap w:val="0"/>
        <w:overflowPunct/>
        <w:topLinePunct w:val="0"/>
        <w:autoSpaceDE/>
        <w:autoSpaceDN/>
        <w:bidi w:val="0"/>
        <w:adjustRightInd/>
        <w:snapToGrid/>
        <w:spacing w:before="328" w:beforeLines="100" w:after="328" w:afterLines="100" w:line="44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25" o:title=""/>
            <o:lock v:ext="edit" grouping="f" rotation="f" text="f" aspectratio="t"/>
            <w10:wrap type="none"/>
            <w10:anchorlock/>
          </v:shape>
          <o:OLEObject Type="Embed" ProgID="Equation.KSEE3" ShapeID="_x0000_i1033" DrawAspect="Content" ObjectID="_1468075733" r:id="rId24">
            <o:LockedField>false</o:LockedField>
          </o:OLEObject>
        </w:object>
      </w:r>
    </w:p>
    <w:p w14:paraId="0CA1D3C5">
      <w:pPr>
        <w:keepNext w:val="0"/>
        <w:keepLines w:val="0"/>
        <w:pageBreakBefore w:val="0"/>
        <w:widowControl/>
        <w:kinsoku/>
        <w:wordWrap w:val="0"/>
        <w:overflowPunct/>
        <w:topLinePunct w:val="0"/>
        <w:autoSpaceDE/>
        <w:autoSpaceDN/>
        <w:bidi w:val="0"/>
        <w:adjustRightInd/>
        <w:snapToGrid/>
        <w:spacing w:before="328" w:beforeLines="100" w:after="328" w:afterLines="100" w:line="44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27" o:title=""/>
            <o:lock v:ext="edit" grouping="f" rotation="f" text="f" aspectratio="t"/>
            <w10:wrap type="none"/>
            <w10:anchorlock/>
          </v:shape>
          <o:OLEObject Type="Embed" ProgID="Equation.KSEE3" ShapeID="_x0000_i1034" DrawAspect="Content" ObjectID="_1468075734" r:id="rId26">
            <o:LockedField>false</o:LockedField>
          </o:OLEObject>
        </w:object>
      </w:r>
    </w:p>
    <w:p w14:paraId="013F087F">
      <w:pPr>
        <w:keepNext w:val="0"/>
        <w:keepLines w:val="0"/>
        <w:pageBreakBefore w:val="0"/>
        <w:widowControl/>
        <w:kinsoku/>
        <w:wordWrap w:val="0"/>
        <w:overflowPunct/>
        <w:topLinePunct w:val="0"/>
        <w:autoSpaceDE/>
        <w:autoSpaceDN/>
        <w:bidi w:val="0"/>
        <w:adjustRightInd/>
        <w:snapToGrid/>
        <w:spacing w:line="440" w:lineRule="exact"/>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428DECFD">
      <w:pPr>
        <w:keepNext w:val="0"/>
        <w:keepLines w:val="0"/>
        <w:pageBreakBefore w:val="0"/>
        <w:widowControl/>
        <w:kinsoku/>
        <w:wordWrap w:val="0"/>
        <w:overflowPunct/>
        <w:topLinePunct w:val="0"/>
        <w:autoSpaceDE/>
        <w:autoSpaceDN/>
        <w:bidi w:val="0"/>
        <w:adjustRightInd/>
        <w:snapToGrid/>
        <w:spacing w:before="328" w:beforeLines="100" w:after="240" w:afterLines="100" w:line="44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29" o:title=""/>
            <o:lock v:ext="edit" grouping="f" rotation="f" text="f" aspectratio="t"/>
            <w10:wrap type="none"/>
            <w10:anchorlock/>
          </v:shape>
          <o:OLEObject Type="Embed" ProgID="Equation.KSEE3" ShapeID="_x0000_i1035" DrawAspect="Content" ObjectID="_1468075735" r:id="rId28">
            <o:LockedField>false</o:LockedField>
          </o:OLEObject>
        </w:object>
      </w:r>
    </w:p>
    <w:p w14:paraId="410F7F39">
      <w:pPr>
        <w:keepNext w:val="0"/>
        <w:keepLines w:val="0"/>
        <w:pageBreakBefore w:val="0"/>
        <w:widowControl/>
        <w:kinsoku/>
        <w:wordWrap w:val="0"/>
        <w:overflowPunct/>
        <w:topLinePunct w:val="0"/>
        <w:autoSpaceDE/>
        <w:autoSpaceDN/>
        <w:bidi w:val="0"/>
        <w:adjustRightInd/>
        <w:snapToGrid/>
        <w:spacing w:before="328" w:beforeLines="100" w:after="240" w:afterLines="100" w:line="44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31" o:title=""/>
            <o:lock v:ext="edit" grouping="f" rotation="f" text="f" aspectratio="t"/>
            <w10:wrap type="none"/>
            <w10:anchorlock/>
          </v:shape>
          <o:OLEObject Type="Embed" ProgID="Equation.KSEE3" ShapeID="_x0000_i1036" DrawAspect="Content" ObjectID="_1468075736" r:id="rId30">
            <o:LockedField>false</o:LockedField>
          </o:OLEObject>
        </w:object>
      </w:r>
    </w:p>
    <w:p w14:paraId="1A11C132">
      <w:pPr>
        <w:keepNext w:val="0"/>
        <w:keepLines w:val="0"/>
        <w:pageBreakBefore w:val="0"/>
        <w:widowControl/>
        <w:suppressLineNumbers w:val="0"/>
        <w:kinsoku/>
        <w:overflowPunct/>
        <w:topLinePunct w:val="0"/>
        <w:autoSpaceDE/>
        <w:autoSpaceDN/>
        <w:bidi w:val="0"/>
        <w:adjustRightInd/>
        <w:snapToGrid/>
        <w:spacing w:line="360" w:lineRule="auto"/>
        <w:ind w:left="0" w:leftChars="0"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以上公式中，</w:t>
      </w:r>
      <w:r>
        <w:rPr>
          <w:rFonts w:hint="eastAsia" w:ascii="宋体" w:hAnsi="宋体" w:eastAsia="宋体" w:cs="宋体"/>
          <w:bCs/>
          <w:snapToGrid w:val="0"/>
          <w:color w:val="auto"/>
          <w:kern w:val="0"/>
          <w:sz w:val="24"/>
          <w:szCs w:val="24"/>
          <w:highlight w:val="none"/>
        </w:rPr>
        <w:t>F</w:t>
      </w:r>
      <w:r>
        <w:rPr>
          <w:rFonts w:hint="eastAsia" w:ascii="宋体" w:hAnsi="宋体" w:eastAsia="宋体" w:cs="宋体"/>
          <w:bCs/>
          <w:snapToGrid w:val="0"/>
          <w:color w:val="auto"/>
          <w:kern w:val="0"/>
          <w:sz w:val="24"/>
          <w:szCs w:val="24"/>
          <w:highlight w:val="none"/>
          <w:vertAlign w:val="subscript"/>
        </w:rPr>
        <w:t>1</w:t>
      </w:r>
      <w:r>
        <w:rPr>
          <w:rFonts w:hint="eastAsia" w:ascii="宋体" w:hAnsi="宋体" w:eastAsia="宋体" w:cs="宋体"/>
          <w:bCs/>
          <w:snapToGrid w:val="0"/>
          <w:color w:val="auto"/>
          <w:kern w:val="0"/>
          <w:sz w:val="24"/>
          <w:szCs w:val="24"/>
          <w:highlight w:val="none"/>
        </w:rPr>
        <w:t>为中标单价；F</w:t>
      </w:r>
      <w:r>
        <w:rPr>
          <w:rFonts w:hint="eastAsia" w:ascii="宋体" w:hAnsi="宋体" w:eastAsia="宋体" w:cs="宋体"/>
          <w:bCs/>
          <w:snapToGrid w:val="0"/>
          <w:color w:val="auto"/>
          <w:kern w:val="0"/>
          <w:sz w:val="24"/>
          <w:szCs w:val="24"/>
          <w:highlight w:val="none"/>
          <w:vertAlign w:val="subscript"/>
        </w:rPr>
        <w:t>0</w:t>
      </w:r>
      <w:r>
        <w:rPr>
          <w:rFonts w:hint="eastAsia" w:ascii="宋体" w:hAnsi="宋体" w:eastAsia="宋体" w:cs="宋体"/>
          <w:bCs/>
          <w:snapToGrid w:val="0"/>
          <w:color w:val="auto"/>
          <w:kern w:val="0"/>
          <w:sz w:val="24"/>
          <w:szCs w:val="24"/>
          <w:highlight w:val="none"/>
        </w:rPr>
        <w:t>为基准单价</w:t>
      </w:r>
      <w:r>
        <w:rPr>
          <w:rFonts w:hint="eastAsia" w:ascii="宋体" w:hAnsi="宋体" w:eastAsia="宋体" w:cs="宋体"/>
          <w:bCs/>
          <w:snapToGrid w:val="0"/>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bidi="ar"/>
        </w:rPr>
        <w:t>F2为施工当月项目所在地工程造价管理机构发布的施工机具台班单价；B 为合同约定的施工机具台班单价涨跌风险幅度值。</w:t>
      </w:r>
    </w:p>
    <w:p w14:paraId="6ED5362F">
      <w:pPr>
        <w:keepNext w:val="0"/>
        <w:keepLines w:val="0"/>
        <w:pageBreakBefore w:val="0"/>
        <w:widowControl/>
        <w:kinsoku/>
        <w:wordWrap w:val="0"/>
        <w:overflowPunct/>
        <w:topLinePunct w:val="0"/>
        <w:autoSpaceDE/>
        <w:autoSpaceDN/>
        <w:bidi w:val="0"/>
        <w:adjustRightInd/>
        <w:snapToGrid/>
        <w:spacing w:line="360" w:lineRule="auto"/>
        <w:ind w:left="0" w:leftChars="0" w:firstLine="482"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2.3.7</w:t>
      </w:r>
      <w:r>
        <w:rPr>
          <w:rFonts w:hint="eastAsia" w:ascii="宋体" w:hAnsi="宋体" w:eastAsia="宋体" w:cs="宋体"/>
          <w:bCs/>
          <w:snapToGrid w:val="0"/>
          <w:color w:val="auto"/>
          <w:kern w:val="0"/>
          <w:sz w:val="24"/>
          <w:szCs w:val="24"/>
          <w:highlight w:val="none"/>
        </w:rPr>
        <w:t xml:space="preserve"> 暂估价和暂列金额</w:t>
      </w:r>
    </w:p>
    <w:p w14:paraId="634CE772">
      <w:pPr>
        <w:keepNext w:val="0"/>
        <w:keepLines w:val="0"/>
        <w:pageBreakBefore w:val="0"/>
        <w:widowControl/>
        <w:kinsoku/>
        <w:wordWrap w:val="0"/>
        <w:overflowPunct/>
        <w:topLinePunct w:val="0"/>
        <w:autoSpaceDE/>
        <w:autoSpaceDN/>
        <w:bidi w:val="0"/>
        <w:adjustRightInd/>
        <w:snapToGrid/>
        <w:spacing w:line="360" w:lineRule="auto"/>
        <w:ind w:left="0" w:leftChars="0" w:firstLine="482"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2.3.7.1</w:t>
      </w:r>
      <w:r>
        <w:rPr>
          <w:rFonts w:hint="eastAsia" w:ascii="宋体" w:hAnsi="宋体" w:eastAsia="宋体" w:cs="宋体"/>
          <w:bCs/>
          <w:snapToGrid w:val="0"/>
          <w:color w:val="auto"/>
          <w:kern w:val="0"/>
          <w:sz w:val="24"/>
          <w:szCs w:val="24"/>
          <w:highlight w:val="none"/>
        </w:rPr>
        <w:t xml:space="preserve"> 暂估价项目按第一章第三节“投标人须知正文”第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bCs/>
          <w:snapToGrid w:val="0"/>
          <w:color w:val="auto"/>
          <w:kern w:val="0"/>
          <w:sz w:val="24"/>
          <w:szCs w:val="24"/>
          <w:highlight w:val="none"/>
        </w:rPr>
        <w:t>条的规定确定专业工程承包人（或材料供应商、工程设备供应商）后，将专业工程合同价款（或材料单价、工程设备单价）取代相应暂估价，并调整合同价款。</w:t>
      </w:r>
    </w:p>
    <w:p w14:paraId="30DBAC06">
      <w:pPr>
        <w:keepNext w:val="0"/>
        <w:keepLines w:val="0"/>
        <w:pageBreakBefore w:val="0"/>
        <w:widowControl/>
        <w:kinsoku/>
        <w:wordWrap w:val="0"/>
        <w:overflowPunct/>
        <w:topLinePunct w:val="0"/>
        <w:autoSpaceDE/>
        <w:autoSpaceDN/>
        <w:bidi w:val="0"/>
        <w:adjustRightInd/>
        <w:snapToGrid/>
        <w:spacing w:line="360" w:lineRule="auto"/>
        <w:ind w:left="0" w:leftChars="0" w:firstLine="482"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2.3.7.2</w:t>
      </w:r>
      <w:r>
        <w:rPr>
          <w:rFonts w:hint="eastAsia" w:ascii="宋体" w:hAnsi="宋体" w:eastAsia="宋体" w:cs="宋体"/>
          <w:bCs/>
          <w:snapToGrid w:val="0"/>
          <w:color w:val="auto"/>
          <w:kern w:val="0"/>
          <w:sz w:val="24"/>
          <w:szCs w:val="24"/>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 w:val="24"/>
          <w:szCs w:val="24"/>
          <w:highlight w:val="none"/>
        </w:rPr>
        <w:t>8.6</w:t>
      </w:r>
      <w:r>
        <w:rPr>
          <w:rFonts w:hint="eastAsia" w:ascii="宋体" w:hAnsi="宋体" w:eastAsia="宋体" w:cs="宋体"/>
          <w:bCs/>
          <w:snapToGrid w:val="0"/>
          <w:color w:val="auto"/>
          <w:kern w:val="0"/>
          <w:sz w:val="24"/>
          <w:szCs w:val="24"/>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484EE7E5">
      <w:pPr>
        <w:keepNext w:val="0"/>
        <w:keepLines w:val="0"/>
        <w:pageBreakBefore w:val="0"/>
        <w:widowControl w:val="0"/>
        <w:suppressLineNumbers w:val="0"/>
        <w:kinsoku/>
        <w:overflowPunct/>
        <w:topLinePunct w:val="0"/>
        <w:autoSpaceDE/>
        <w:autoSpaceDN/>
        <w:bidi w:val="0"/>
        <w:adjustRightInd/>
        <w:snapToGrid/>
        <w:spacing w:line="360" w:lineRule="auto"/>
        <w:ind w:left="0" w:leftChars="0" w:firstLine="482"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 xml:space="preserve">2.3.8 </w:t>
      </w:r>
      <w:r>
        <w:rPr>
          <w:rFonts w:hint="eastAsia" w:ascii="宋体" w:hAnsi="宋体" w:eastAsia="宋体" w:cs="宋体"/>
          <w:b/>
          <w:snapToGrid w:val="0"/>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bidi="ar"/>
        </w:rPr>
        <w:t>预算包干费按照分部分项的人工费与施工机具费之和及投标费率计取。本招标项目的预算包干内容包括：施工雨水、污水的排除；因地形影响造成的场内料具二次运输；20 米高以下的工程用水加压措施；施工材料堆放场地的整理；机电安装后的补洞（槽）工料费；工程成品保护费；施工中的临时停水停电；基础埋深 2 米以内挖土方的塌方；日间照明施工增加费（不包括地下室和特殊工程）；完工清场后的垃圾外运；地上（地下）设施，建筑物的临时保护设施费和二次加工基地设施费；雨季施工增加费；已完成工程及设备保护等。</w:t>
      </w:r>
    </w:p>
    <w:p w14:paraId="35C6E504">
      <w:pPr>
        <w:keepNext w:val="0"/>
        <w:keepLines w:val="0"/>
        <w:pageBreakBefore w:val="0"/>
        <w:widowControl w:val="0"/>
        <w:kinsoku/>
        <w:wordWrap w:val="0"/>
        <w:overflowPunct/>
        <w:topLinePunct w:val="0"/>
        <w:autoSpaceDE/>
        <w:autoSpaceDN/>
        <w:bidi w:val="0"/>
        <w:adjustRightInd/>
        <w:snapToGrid/>
        <w:spacing w:line="360" w:lineRule="auto"/>
        <w:ind w:left="0" w:leftChars="0" w:firstLine="482" w:firstLineChars="200"/>
        <w:textAlignment w:val="baseline"/>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rPr>
        <w:t>2.3.9</w:t>
      </w:r>
      <w:r>
        <w:rPr>
          <w:rFonts w:hint="eastAsia" w:ascii="宋体" w:hAnsi="宋体" w:eastAsia="宋体" w:cs="宋体"/>
          <w:snapToGrid w:val="0"/>
          <w:color w:val="auto"/>
          <w:kern w:val="0"/>
          <w:sz w:val="24"/>
          <w:szCs w:val="24"/>
          <w:highlight w:val="none"/>
        </w:rPr>
        <w:t>其余事项（如不可抗力、索赔、现场签证等）的调整原则按照《建设工程工程量清单计价规范》（</w:t>
      </w:r>
      <w:r>
        <w:rPr>
          <w:rFonts w:hint="eastAsia" w:ascii="宋体" w:hAnsi="宋体" w:eastAsia="宋体" w:cs="宋体"/>
          <w:snapToGrid w:val="0"/>
          <w:color w:val="auto"/>
          <w:kern w:val="0"/>
          <w:sz w:val="24"/>
          <w:szCs w:val="24"/>
          <w:highlight w:val="none"/>
          <w:lang w:eastAsia="zh-CN"/>
        </w:rPr>
        <w:t>GB</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eastAsia="zh-CN"/>
        </w:rPr>
        <w:t>T50500-2024</w:t>
      </w:r>
      <w:r>
        <w:rPr>
          <w:rFonts w:hint="eastAsia" w:ascii="宋体" w:hAnsi="宋体" w:eastAsia="宋体" w:cs="宋体"/>
          <w:snapToGrid w:val="0"/>
          <w:color w:val="auto"/>
          <w:kern w:val="0"/>
          <w:sz w:val="24"/>
          <w:szCs w:val="24"/>
          <w:highlight w:val="none"/>
        </w:rPr>
        <w:t>）有关规定执行。</w:t>
      </w:r>
    </w:p>
    <w:p w14:paraId="39C24220">
      <w:pPr>
        <w:keepNext w:val="0"/>
        <w:keepLines w:val="0"/>
        <w:pageBreakBefore w:val="0"/>
        <w:widowControl w:val="0"/>
        <w:kinsoku/>
        <w:wordWrap w:val="0"/>
        <w:overflowPunct/>
        <w:topLinePunct w:val="0"/>
        <w:autoSpaceDE/>
        <w:autoSpaceDN/>
        <w:bidi w:val="0"/>
        <w:adjustRightInd/>
        <w:snapToGrid/>
        <w:spacing w:line="360" w:lineRule="auto"/>
        <w:ind w:left="0" w:leftChars="0" w:firstLine="482" w:firstLineChars="200"/>
        <w:textAlignment w:val="baseline"/>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w:t>
      </w:r>
      <w:bookmarkStart w:id="218" w:name="_Hlt112206782"/>
      <w:bookmarkEnd w:id="218"/>
      <w:r>
        <w:rPr>
          <w:rFonts w:hint="eastAsia" w:ascii="宋体" w:hAnsi="宋体" w:eastAsia="宋体" w:cs="宋体"/>
          <w:snapToGrid w:val="0"/>
          <w:color w:val="auto"/>
          <w:kern w:val="0"/>
          <w:sz w:val="24"/>
          <w:szCs w:val="24"/>
          <w:highlight w:val="none"/>
        </w:rPr>
        <w:t>凡将引起合同价款调增的事项，承包人必须于拟实施14天前，将详细的报价书（含拟实施项目名称、变更部位、理由、预计造价等）报监理单位审核和发包人批准后方可实施。</w:t>
      </w:r>
    </w:p>
    <w:p w14:paraId="5AD4C463">
      <w:pPr>
        <w:keepNext w:val="0"/>
        <w:keepLines w:val="0"/>
        <w:pageBreakBefore w:val="0"/>
        <w:widowControl w:val="0"/>
        <w:kinsoku/>
        <w:wordWrap w:val="0"/>
        <w:overflowPunct/>
        <w:topLinePunct w:val="0"/>
        <w:autoSpaceDE/>
        <w:autoSpaceDN/>
        <w:bidi w:val="0"/>
        <w:adjustRightInd/>
        <w:snapToGrid/>
        <w:spacing w:line="360" w:lineRule="auto"/>
        <w:ind w:left="0" w:leftChars="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承包人不得以不完全了解现场情况为理由，提出额外付款或延长工期等要求。对此类要求，发包人不作任何考虑及答复。</w:t>
      </w:r>
    </w:p>
    <w:p w14:paraId="3C2E79CF">
      <w:pPr>
        <w:keepNext w:val="0"/>
        <w:keepLines w:val="0"/>
        <w:pageBreakBefore w:val="0"/>
        <w:widowControl w:val="0"/>
        <w:kinsoku/>
        <w:wordWrap w:val="0"/>
        <w:overflowPunct/>
        <w:topLinePunct w:val="0"/>
        <w:autoSpaceDE/>
        <w:autoSpaceDN/>
        <w:bidi w:val="0"/>
        <w:adjustRightInd/>
        <w:snapToGrid/>
        <w:spacing w:line="360" w:lineRule="auto"/>
        <w:ind w:left="0" w:leftChars="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2.6</w:t>
      </w:r>
      <w:r>
        <w:rPr>
          <w:rFonts w:hint="eastAsia" w:ascii="宋体" w:hAnsi="宋体" w:eastAsia="宋体" w:cs="宋体"/>
          <w:snapToGrid w:val="0"/>
          <w:color w:val="auto"/>
          <w:kern w:val="0"/>
          <w:sz w:val="24"/>
          <w:szCs w:val="24"/>
          <w:highlight w:val="none"/>
        </w:rPr>
        <w:t xml:space="preserve"> 承包人已标价工程量清单中漏报、错报或少报的清单项目，其价格均视为已经包含在其它清单项目中，竣工结算时不得重新组价和调整。</w:t>
      </w:r>
    </w:p>
    <w:p w14:paraId="0F2FED07">
      <w:pPr>
        <w:keepNext w:val="0"/>
        <w:keepLines w:val="0"/>
        <w:pageBreakBefore w:val="0"/>
        <w:widowControl w:val="0"/>
        <w:kinsoku/>
        <w:wordWrap w:val="0"/>
        <w:overflowPunct/>
        <w:topLinePunct w:val="0"/>
        <w:autoSpaceDE/>
        <w:autoSpaceDN/>
        <w:bidi w:val="0"/>
        <w:adjustRightInd/>
        <w:snapToGrid/>
        <w:spacing w:line="360" w:lineRule="auto"/>
        <w:ind w:left="0" w:leftChars="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2.7</w:t>
      </w:r>
      <w:r>
        <w:rPr>
          <w:rFonts w:hint="eastAsia" w:ascii="宋体" w:hAnsi="宋体" w:eastAsia="宋体" w:cs="宋体"/>
          <w:snapToGrid w:val="0"/>
          <w:color w:val="auto"/>
          <w:kern w:val="0"/>
          <w:sz w:val="24"/>
          <w:szCs w:val="24"/>
          <w:highlight w:val="none"/>
        </w:rPr>
        <w:t xml:space="preserve"> 工程完工后，发、承包双方和受其委托具备相应资质的工程造价咨询单位必须按照《建设工程工程量清单计价规范》（</w:t>
      </w:r>
      <w:r>
        <w:rPr>
          <w:rFonts w:hint="eastAsia" w:ascii="宋体" w:hAnsi="宋体" w:eastAsia="宋体" w:cs="宋体"/>
          <w:snapToGrid w:val="0"/>
          <w:color w:val="auto"/>
          <w:kern w:val="0"/>
          <w:sz w:val="24"/>
          <w:szCs w:val="24"/>
          <w:highlight w:val="none"/>
          <w:lang w:eastAsia="zh-CN"/>
        </w:rPr>
        <w:t>GB</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eastAsia="zh-CN"/>
        </w:rPr>
        <w:t>T50500-2024</w:t>
      </w:r>
      <w:r>
        <w:rPr>
          <w:rFonts w:hint="eastAsia" w:ascii="宋体" w:hAnsi="宋体" w:eastAsia="宋体" w:cs="宋体"/>
          <w:snapToGrid w:val="0"/>
          <w:color w:val="auto"/>
          <w:kern w:val="0"/>
          <w:sz w:val="24"/>
          <w:szCs w:val="24"/>
          <w:highlight w:val="none"/>
        </w:rPr>
        <w:t>）和国家、省、市的有关规定办理竣工结算。</w:t>
      </w:r>
    </w:p>
    <w:p w14:paraId="2CB342A4">
      <w:pPr>
        <w:keepNext w:val="0"/>
        <w:keepLines w:val="0"/>
        <w:pageBreakBefore w:val="0"/>
        <w:widowControl w:val="0"/>
        <w:kinsoku/>
        <w:wordWrap w:val="0"/>
        <w:overflowPunct/>
        <w:topLinePunct w:val="0"/>
        <w:autoSpaceDE/>
        <w:autoSpaceDN/>
        <w:bidi w:val="0"/>
        <w:adjustRightInd/>
        <w:snapToGrid/>
        <w:spacing w:line="360" w:lineRule="auto"/>
        <w:ind w:left="0" w:leftChars="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2.8</w:t>
      </w:r>
      <w:r>
        <w:rPr>
          <w:rFonts w:hint="eastAsia" w:ascii="宋体" w:hAnsi="宋体" w:eastAsia="宋体" w:cs="宋体"/>
          <w:snapToGrid w:val="0"/>
          <w:color w:val="auto"/>
          <w:kern w:val="0"/>
          <w:sz w:val="24"/>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16679E01">
      <w:pPr>
        <w:keepNext w:val="0"/>
        <w:keepLines w:val="0"/>
        <w:pageBreakBefore w:val="0"/>
        <w:widowControl w:val="0"/>
        <w:kinsoku/>
        <w:wordWrap w:val="0"/>
        <w:overflowPunct/>
        <w:topLinePunct w:val="0"/>
        <w:autoSpaceDE/>
        <w:autoSpaceDN/>
        <w:bidi w:val="0"/>
        <w:adjustRightInd/>
        <w:snapToGrid/>
        <w:spacing w:line="360" w:lineRule="auto"/>
        <w:ind w:left="0" w:leftChars="0" w:firstLine="482" w:firstLineChars="200"/>
        <w:textAlignment w:val="baseline"/>
        <w:rPr>
          <w:rFonts w:hint="eastAsia" w:ascii="宋体" w:hAnsi="宋体" w:eastAsia="宋体" w:cs="宋体"/>
          <w:b/>
          <w:snapToGrid w:val="0"/>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2.9 </w:t>
      </w:r>
      <w:r>
        <w:rPr>
          <w:rFonts w:hint="eastAsia" w:ascii="宋体" w:hAnsi="宋体" w:eastAsia="宋体" w:cs="宋体"/>
          <w:color w:val="auto"/>
          <w:kern w:val="0"/>
          <w:sz w:val="24"/>
          <w:szCs w:val="24"/>
          <w:highlight w:val="none"/>
          <w:lang w:val="en-US" w:eastAsia="zh-CN" w:bidi="ar"/>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r>
        <w:rPr>
          <w:rFonts w:hint="eastAsia" w:ascii="宋体" w:hAnsi="宋体" w:eastAsia="宋体" w:cs="宋体"/>
          <w:b w:val="0"/>
          <w:bCs/>
          <w:snapToGrid w:val="0"/>
          <w:color w:val="auto"/>
          <w:kern w:val="0"/>
          <w:sz w:val="24"/>
          <w:szCs w:val="24"/>
          <w:highlight w:val="none"/>
          <w:lang w:eastAsia="zh-CN"/>
        </w:rPr>
        <w:t>。</w:t>
      </w:r>
      <w:bookmarkStart w:id="219" w:name="_Toc27842"/>
    </w:p>
    <w:p w14:paraId="7510C0E2">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eastAsia="zh-CN"/>
        </w:rPr>
      </w:pPr>
      <w:bookmarkStart w:id="220" w:name="_Toc547"/>
      <w:r>
        <w:rPr>
          <w:rFonts w:hint="eastAsia" w:ascii="宋体" w:hAnsi="宋体" w:eastAsia="宋体" w:cs="宋体"/>
          <w:color w:val="auto"/>
          <w:kern w:val="2"/>
          <w:sz w:val="28"/>
          <w:szCs w:val="24"/>
          <w:lang w:eastAsia="zh-CN"/>
        </w:rPr>
        <w:t>3．工程付款办法</w:t>
      </w:r>
      <w:bookmarkEnd w:id="219"/>
      <w:bookmarkEnd w:id="220"/>
      <w:bookmarkStart w:id="221" w:name="_Hlt88976467"/>
      <w:bookmarkEnd w:id="221"/>
      <w:bookmarkStart w:id="222" w:name="_Hlt69114106"/>
      <w:bookmarkEnd w:id="222"/>
      <w:bookmarkStart w:id="223" w:name="_Hlt66608388"/>
      <w:bookmarkEnd w:id="223"/>
      <w:bookmarkStart w:id="224" w:name="_Hlt70150985"/>
      <w:bookmarkEnd w:id="224"/>
      <w:bookmarkStart w:id="225" w:name="_Hlt69700007"/>
      <w:bookmarkEnd w:id="225"/>
      <w:bookmarkStart w:id="226" w:name="_Hlt66591689"/>
      <w:bookmarkEnd w:id="226"/>
      <w:bookmarkStart w:id="227" w:name="_Hlt69669774"/>
      <w:bookmarkEnd w:id="227"/>
      <w:bookmarkStart w:id="228" w:name="_Hlt66593437"/>
      <w:bookmarkEnd w:id="228"/>
    </w:p>
    <w:p w14:paraId="7DA887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bookmarkStart w:id="229" w:name="_Toc21828"/>
      <w:bookmarkStart w:id="230" w:name="_Toc18877"/>
      <w:r>
        <w:rPr>
          <w:rFonts w:hint="eastAsia" w:ascii="宋体" w:hAnsi="宋体" w:eastAsia="宋体" w:cs="宋体"/>
          <w:color w:val="auto"/>
          <w:sz w:val="24"/>
          <w:szCs w:val="24"/>
        </w:rPr>
        <w:t>3.1本项目支付施工预付款。</w:t>
      </w:r>
    </w:p>
    <w:p w14:paraId="5C092E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3.2施工预付款必须专用于合同工程，并按以下原则支付和抵扣：</w:t>
      </w:r>
    </w:p>
    <w:p w14:paraId="32BD07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3.2.1施工预付款支付比例为：按施工合同价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扣除安全生产措施费、暂估价、暂列金）30</w:t>
      </w:r>
      <w:r>
        <w:rPr>
          <w:rFonts w:hint="eastAsia" w:ascii="宋体" w:hAnsi="宋体" w:eastAsia="宋体" w:cs="宋体"/>
          <w:color w:val="auto"/>
          <w:sz w:val="24"/>
          <w:szCs w:val="24"/>
        </w:rPr>
        <w:t>%支付。</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en-US"/>
        </w:rPr>
        <w:t>本项目资金来源为财政资金，预付款支付比例及拨付时间视财政情况统筹决定，财政资金不足时，可降低预付款支付比率</w:t>
      </w:r>
      <w:r>
        <w:rPr>
          <w:rFonts w:hint="eastAsia" w:ascii="宋体" w:hAnsi="宋体" w:eastAsia="宋体" w:cs="宋体"/>
          <w:color w:val="auto"/>
          <w:sz w:val="24"/>
          <w:szCs w:val="24"/>
          <w:lang w:val="en-US" w:eastAsia="zh-CN"/>
        </w:rPr>
        <w:t>或分批支付</w:t>
      </w:r>
      <w:r>
        <w:rPr>
          <w:rFonts w:hint="eastAsia" w:ascii="宋体" w:hAnsi="宋体" w:eastAsia="宋体" w:cs="宋体"/>
          <w:color w:val="auto"/>
          <w:sz w:val="24"/>
          <w:szCs w:val="24"/>
          <w:lang w:val="en-US" w:eastAsia="en-US"/>
        </w:rPr>
        <w:t>以及延缓拨付时间，具体以财政</w:t>
      </w:r>
      <w:r>
        <w:rPr>
          <w:rFonts w:hint="eastAsia" w:ascii="宋体" w:hAnsi="宋体" w:eastAsia="宋体" w:cs="宋体"/>
          <w:color w:val="auto"/>
          <w:sz w:val="24"/>
          <w:szCs w:val="24"/>
          <w:lang w:val="en-US" w:eastAsia="zh-CN"/>
        </w:rPr>
        <w:t>部门</w:t>
      </w:r>
      <w:r>
        <w:rPr>
          <w:rFonts w:hint="eastAsia" w:ascii="宋体" w:hAnsi="宋体" w:eastAsia="宋体" w:cs="宋体"/>
          <w:color w:val="auto"/>
          <w:sz w:val="24"/>
          <w:szCs w:val="24"/>
          <w:lang w:val="en-US" w:eastAsia="en-US"/>
        </w:rPr>
        <w:t>和建设单位意见为准</w:t>
      </w:r>
      <w:r>
        <w:rPr>
          <w:rFonts w:hint="eastAsia" w:ascii="宋体" w:hAnsi="宋体" w:eastAsia="宋体" w:cs="宋体"/>
          <w:color w:val="auto"/>
          <w:sz w:val="24"/>
          <w:szCs w:val="24"/>
          <w:lang w:val="en-US" w:eastAsia="zh-CN"/>
        </w:rPr>
        <w:t>，其中70%支付给工程账户，30%支付给工人工资专用账户。）</w:t>
      </w:r>
    </w:p>
    <w:p w14:paraId="18F89B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3.2.2本招标项目</w:t>
      </w:r>
      <w:r>
        <w:rPr>
          <w:rFonts w:hint="eastAsia" w:ascii="宋体" w:hAnsi="宋体" w:eastAsia="宋体" w:cs="宋体"/>
          <w:color w:val="auto"/>
          <w:sz w:val="24"/>
          <w:szCs w:val="24"/>
          <w:lang w:val="en-US" w:eastAsia="zh-CN"/>
        </w:rPr>
        <w:t>要求</w:t>
      </w:r>
      <w:r>
        <w:rPr>
          <w:rFonts w:hint="eastAsia" w:ascii="宋体" w:hAnsi="宋体" w:eastAsia="宋体" w:cs="宋体"/>
          <w:color w:val="auto"/>
          <w:sz w:val="24"/>
          <w:szCs w:val="24"/>
        </w:rPr>
        <w:t>承包人提供与预付款等额的预付款保函。</w:t>
      </w:r>
    </w:p>
    <w:p w14:paraId="7654FC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en-US"/>
        </w:rPr>
        <w:t>3.2.3承包人应在签订合同后，在提供符合要求的预付款保函或预付款保险及在具备施工条件的前提下，向发包人提交预付款支付申请。凡未签订合同或不具备施工条件的工程，发包人不得预付工程款。</w:t>
      </w:r>
    </w:p>
    <w:p w14:paraId="66007C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3.2.4预付款应从每支付期应支付给承包人的工程进度款中扣回，</w:t>
      </w:r>
      <w:r>
        <w:rPr>
          <w:rFonts w:hint="eastAsia" w:ascii="宋体" w:hAnsi="宋体" w:eastAsia="宋体" w:cs="宋体"/>
          <w:color w:val="auto"/>
          <w:sz w:val="24"/>
          <w:szCs w:val="24"/>
          <w:lang w:val="en-US" w:eastAsia="zh-CN"/>
        </w:rPr>
        <w:t>每次扣回实际支付预付款比例的50%，</w:t>
      </w:r>
      <w:r>
        <w:rPr>
          <w:rFonts w:hint="eastAsia" w:ascii="宋体" w:hAnsi="宋体" w:eastAsia="宋体" w:cs="宋体"/>
          <w:color w:val="auto"/>
          <w:sz w:val="24"/>
          <w:szCs w:val="24"/>
        </w:rPr>
        <w:t>直到扣回的金额达到合同约定的预付款金额为止。</w:t>
      </w:r>
    </w:p>
    <w:p w14:paraId="169DB8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3.3施工过程中按月申报工程进度款：承包人每月按工程实际完成工程量（含变更及增加工程）申报，承包人必须将已完成工程量和工程付款申请书</w:t>
      </w:r>
      <w:r>
        <w:rPr>
          <w:rFonts w:hint="eastAsia" w:ascii="宋体" w:hAnsi="宋体" w:eastAsia="宋体" w:cs="宋体"/>
          <w:color w:val="auto"/>
          <w:sz w:val="24"/>
          <w:szCs w:val="24"/>
          <w:lang w:val="en-US" w:eastAsia="zh-CN"/>
        </w:rPr>
        <w:t>等相关资料，</w:t>
      </w:r>
      <w:r>
        <w:rPr>
          <w:rFonts w:hint="eastAsia" w:ascii="宋体" w:hAnsi="宋体" w:eastAsia="宋体" w:cs="宋体"/>
          <w:color w:val="auto"/>
          <w:sz w:val="24"/>
          <w:szCs w:val="24"/>
        </w:rPr>
        <w:t>于当月26日前报监理单位核</w:t>
      </w:r>
      <w:bookmarkStart w:id="231" w:name="_Hlt127094354"/>
      <w:bookmarkEnd w:id="231"/>
      <w:r>
        <w:rPr>
          <w:rFonts w:hint="eastAsia" w:ascii="宋体" w:hAnsi="宋体" w:eastAsia="宋体" w:cs="宋体"/>
          <w:color w:val="auto"/>
          <w:sz w:val="24"/>
          <w:szCs w:val="24"/>
        </w:rPr>
        <w:t>实。经监理单位审核、发包人审定后的工程进度款（指已经按照合同约定，扣除该支付期内因承包人违约而应扣除的管理费），申报后按</w:t>
      </w:r>
      <w:r>
        <w:rPr>
          <w:rFonts w:hint="eastAsia" w:ascii="宋体" w:hAnsi="宋体" w:eastAsia="宋体" w:cs="宋体"/>
          <w:color w:val="auto"/>
          <w:sz w:val="24"/>
          <w:szCs w:val="24"/>
          <w:lang w:eastAsia="zh-CN"/>
        </w:rPr>
        <w:t>资金</w:t>
      </w:r>
      <w:r>
        <w:rPr>
          <w:rFonts w:hint="eastAsia" w:ascii="宋体" w:hAnsi="宋体" w:eastAsia="宋体" w:cs="宋体"/>
          <w:color w:val="auto"/>
          <w:sz w:val="24"/>
          <w:szCs w:val="24"/>
        </w:rPr>
        <w:t>拨付到位实际情况进行支付。</w:t>
      </w:r>
    </w:p>
    <w:p w14:paraId="1047EE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3.4每月的工程进度款按工程实际完成工程量的</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%申请支付（其中70%支付</w:t>
      </w:r>
      <w:r>
        <w:rPr>
          <w:rFonts w:hint="eastAsia" w:ascii="宋体" w:hAnsi="宋体" w:eastAsia="宋体" w:cs="宋体"/>
          <w:color w:val="auto"/>
          <w:sz w:val="24"/>
          <w:szCs w:val="24"/>
          <w:lang w:val="en-US" w:eastAsia="zh-CN"/>
        </w:rPr>
        <w:t>给工程账户</w:t>
      </w:r>
      <w:r>
        <w:rPr>
          <w:rFonts w:hint="eastAsia" w:ascii="宋体" w:hAnsi="宋体" w:eastAsia="宋体" w:cs="宋体"/>
          <w:color w:val="auto"/>
          <w:sz w:val="24"/>
          <w:szCs w:val="24"/>
        </w:rPr>
        <w:t>，30%支付</w:t>
      </w:r>
      <w:r>
        <w:rPr>
          <w:rFonts w:hint="eastAsia" w:ascii="宋体" w:hAnsi="宋体" w:eastAsia="宋体" w:cs="宋体"/>
          <w:color w:val="auto"/>
          <w:sz w:val="24"/>
          <w:szCs w:val="24"/>
          <w:lang w:val="en-US" w:eastAsia="zh-CN"/>
        </w:rPr>
        <w:t>给</w:t>
      </w:r>
      <w:r>
        <w:rPr>
          <w:rFonts w:hint="eastAsia" w:ascii="宋体" w:hAnsi="宋体" w:eastAsia="宋体" w:cs="宋体"/>
          <w:color w:val="auto"/>
          <w:sz w:val="24"/>
          <w:szCs w:val="24"/>
        </w:rPr>
        <w:t>工人工资</w:t>
      </w:r>
      <w:r>
        <w:rPr>
          <w:rFonts w:hint="eastAsia" w:ascii="宋体" w:hAnsi="宋体" w:eastAsia="宋体" w:cs="宋体"/>
          <w:color w:val="auto"/>
          <w:sz w:val="24"/>
          <w:szCs w:val="24"/>
          <w:lang w:eastAsia="zh-CN"/>
        </w:rPr>
        <w:t>专用账户</w:t>
      </w:r>
      <w:r>
        <w:rPr>
          <w:rFonts w:hint="eastAsia" w:ascii="宋体" w:hAnsi="宋体" w:eastAsia="宋体" w:cs="宋体"/>
          <w:color w:val="auto"/>
          <w:sz w:val="24"/>
          <w:szCs w:val="24"/>
        </w:rPr>
        <w:t>），工程进度款中的作业工人工资款项由发包人单独足额拨付到承包人的工资专户。</w:t>
      </w:r>
    </w:p>
    <w:p w14:paraId="1C94EC4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措施项目费中的“</w:t>
      </w:r>
      <w:r>
        <w:rPr>
          <w:rFonts w:hint="eastAsia" w:ascii="宋体" w:hAnsi="宋体" w:eastAsia="宋体" w:cs="宋体"/>
          <w:color w:val="auto"/>
          <w:sz w:val="24"/>
          <w:szCs w:val="24"/>
          <w:lang w:val="en-US" w:eastAsia="zh-CN"/>
        </w:rPr>
        <w:t>安全生产措施费</w:t>
      </w:r>
      <w:r>
        <w:rPr>
          <w:rFonts w:hint="eastAsia" w:ascii="宋体" w:hAnsi="宋体" w:eastAsia="宋体" w:cs="宋体"/>
          <w:color w:val="auto"/>
          <w:sz w:val="24"/>
          <w:szCs w:val="24"/>
        </w:rPr>
        <w:t>”拨付按照《广东省建设工程计价依据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2024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》执行，按照项目所在地的建设行政主管部门有关规定支付。发生一般事故及以上等级重大安全事故的，发包人可扣除承包人金额相当于所有“安全生产措施费”的工程管理费。</w:t>
      </w:r>
    </w:p>
    <w:p w14:paraId="3B2941D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变更工程造价必须经监理单位核实，并经发包人核定后方可支付。</w:t>
      </w:r>
    </w:p>
    <w:p w14:paraId="0A611E1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结算审核完成后，于次月支付至</w:t>
      </w:r>
      <w:r>
        <w:rPr>
          <w:rFonts w:hint="eastAsia" w:ascii="宋体" w:hAnsi="宋体" w:eastAsia="宋体" w:cs="宋体"/>
          <w:color w:val="auto"/>
          <w:sz w:val="24"/>
          <w:szCs w:val="24"/>
          <w:lang w:val="en-US" w:eastAsia="zh-CN"/>
        </w:rPr>
        <w:t>审核</w:t>
      </w:r>
      <w:r>
        <w:rPr>
          <w:rFonts w:hint="eastAsia" w:ascii="宋体" w:hAnsi="宋体" w:eastAsia="宋体" w:cs="宋体"/>
          <w:color w:val="auto"/>
          <w:sz w:val="24"/>
          <w:szCs w:val="24"/>
        </w:rPr>
        <w:t>价格的97%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以</w:t>
      </w:r>
      <w:r>
        <w:rPr>
          <w:rFonts w:hint="eastAsia" w:ascii="宋体" w:hAnsi="宋体" w:eastAsia="宋体" w:cs="宋体"/>
          <w:color w:val="auto"/>
          <w:sz w:val="24"/>
          <w:szCs w:val="24"/>
          <w:lang w:val="en-US"/>
        </w:rPr>
        <w:t>财政</w:t>
      </w:r>
      <w:r>
        <w:rPr>
          <w:rFonts w:hint="eastAsia" w:ascii="宋体" w:hAnsi="宋体" w:eastAsia="宋体" w:cs="宋体"/>
          <w:color w:val="auto"/>
          <w:sz w:val="24"/>
          <w:szCs w:val="24"/>
          <w:lang w:val="en-US" w:eastAsia="zh-CN"/>
        </w:rPr>
        <w:t>部门</w:t>
      </w:r>
      <w:r>
        <w:rPr>
          <w:rFonts w:hint="eastAsia" w:ascii="宋体" w:hAnsi="宋体" w:eastAsia="宋体" w:cs="宋体"/>
          <w:color w:val="auto"/>
          <w:sz w:val="24"/>
          <w:szCs w:val="24"/>
          <w:lang w:val="en-US"/>
        </w:rPr>
        <w:t>审定后的价格为准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，剩余3%转为质量保证金；承包人提交了等额质量保证担保或质量保证保险的，于次月一次性结清合同价格。</w:t>
      </w:r>
    </w:p>
    <w:p w14:paraId="254F7B5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本招标项目缺陷责任期为</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自通过竣工验收之日起计）。缺陷责任期到期后，承包人向发包人申请退还质量保证。发包人收到退还申请后，于14天内会同承包人进行核实。经双方核实且均无异议后，发包人在核实之日起14天内将应返保证金（或银行保函）退还承包人。</w:t>
      </w:r>
    </w:p>
    <w:p w14:paraId="17799A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发包人每次支付工程款前，承包人均应提供有效的增值税</w:t>
      </w:r>
      <w:r>
        <w:rPr>
          <w:rFonts w:hint="eastAsia" w:ascii="宋体" w:hAnsi="宋体" w:eastAsia="宋体" w:cs="宋体"/>
          <w:color w:val="auto"/>
          <w:sz w:val="24"/>
          <w:szCs w:val="24"/>
          <w:lang w:val="en-US" w:eastAsia="zh-CN"/>
        </w:rPr>
        <w:t>专用</w:t>
      </w:r>
      <w:r>
        <w:rPr>
          <w:rFonts w:hint="eastAsia" w:ascii="宋体" w:hAnsi="宋体" w:eastAsia="宋体" w:cs="宋体"/>
          <w:color w:val="auto"/>
          <w:sz w:val="24"/>
          <w:szCs w:val="24"/>
        </w:rPr>
        <w:t>发票。如果承包人无法提供符合要求的发票，由此造成的相应损失由承包人承担。</w:t>
      </w:r>
    </w:p>
    <w:p w14:paraId="535581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3.10暂列金额支付方式：承包人需根据相关管理办法进行办理相关程序后，与次月的工程进度款一并报送；若承包人原因未按上述办法在规定时间内完善工程变更签证相关程序的，次月工程进度款暂停拨付。在暂列金额的范围内，最终经发包人确认后支付至该部分实际完成工程量的50%，其余部分待最终结算完成审核后支付至97%，剩余3%为工程质量保修金。在承包人提供了等额的质量保证金保函后，支付至审核价的100%。</w:t>
      </w:r>
    </w:p>
    <w:p w14:paraId="35B117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材料暂估价、专业工程暂估价支付方式：材料暂估价、专业工程暂估价与每个月的工程进度款一并报送，但需要列明详细项目内容，该部分材料暂估价、专业工程暂估价按该部分实际完成工程量的50%支付，剩余部分待最终结算完成后支付至97%，剩余3%为工程质量保修金。</w:t>
      </w:r>
    </w:p>
    <w:p w14:paraId="3A84A8DC">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eastAsia="zh-CN"/>
        </w:rPr>
      </w:pPr>
      <w:bookmarkStart w:id="232" w:name="_Toc18854"/>
      <w:r>
        <w:rPr>
          <w:rFonts w:hint="eastAsia" w:ascii="宋体" w:hAnsi="宋体" w:eastAsia="宋体" w:cs="宋体"/>
          <w:color w:val="auto"/>
          <w:kern w:val="2"/>
          <w:sz w:val="28"/>
          <w:szCs w:val="24"/>
          <w:lang w:eastAsia="zh-CN"/>
        </w:rPr>
        <w:t>4．专用合同条款</w:t>
      </w:r>
      <w:bookmarkEnd w:id="229"/>
      <w:bookmarkEnd w:id="232"/>
      <w:bookmarkStart w:id="233" w:name="_Toc8254"/>
      <w:bookmarkStart w:id="234" w:name="_Toc16839"/>
    </w:p>
    <w:p w14:paraId="4A50794F">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eastAsia="zh-CN"/>
        </w:rPr>
      </w:pPr>
      <w:r>
        <w:rPr>
          <w:rFonts w:hint="eastAsia" w:ascii="宋体" w:hAnsi="宋体" w:eastAsia="宋体" w:cs="宋体"/>
          <w:b/>
          <w:bCs w:val="0"/>
          <w:snapToGrid w:val="0"/>
          <w:color w:val="auto"/>
          <w:kern w:val="0"/>
          <w:highlight w:val="none"/>
          <w:lang w:eastAsia="zh-CN"/>
        </w:rPr>
        <w:t>4.1</w:t>
      </w:r>
      <w:r>
        <w:rPr>
          <w:rFonts w:hint="eastAsia" w:ascii="宋体" w:hAnsi="宋体" w:eastAsia="宋体" w:cs="宋体"/>
          <w:b/>
          <w:bCs w:val="0"/>
          <w:snapToGrid w:val="0"/>
          <w:color w:val="auto"/>
          <w:kern w:val="0"/>
          <w:highlight w:val="none"/>
          <w:lang w:val="en-US" w:eastAsia="zh-CN"/>
        </w:rPr>
        <w:t xml:space="preserve"> </w:t>
      </w:r>
      <w:r>
        <w:rPr>
          <w:rFonts w:hint="eastAsia" w:ascii="宋体" w:hAnsi="宋体" w:eastAsia="宋体" w:cs="宋体"/>
          <w:b/>
          <w:bCs w:val="0"/>
          <w:snapToGrid w:val="0"/>
          <w:color w:val="auto"/>
          <w:kern w:val="0"/>
          <w:highlight w:val="none"/>
          <w:lang w:eastAsia="zh-CN"/>
        </w:rPr>
        <w:t>专业工程分包</w:t>
      </w:r>
    </w:p>
    <w:p w14:paraId="0B0B429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lang w:eastAsia="zh-CN"/>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569DAE32">
      <w:pPr>
        <w:keepNext w:val="0"/>
        <w:keepLines w:val="0"/>
        <w:pageBreakBefore w:val="0"/>
        <w:widowControl w:val="0"/>
        <w:kinsoku/>
        <w:wordWrap w:val="0"/>
        <w:overflowPunct/>
        <w:topLinePunct w:val="0"/>
        <w:bidi w:val="0"/>
        <w:adjustRightInd w:val="0"/>
        <w:snapToGrid w:val="0"/>
        <w:spacing w:line="460" w:lineRule="exact"/>
        <w:ind w:firstLine="482" w:firstLineChars="20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4.2 工程移交延误违约</w:t>
      </w:r>
    </w:p>
    <w:p w14:paraId="0AAC3393">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4.2.1因承包人原因，工程没有按期竣工时（除自然灾害、流行疾病、业主方通知停工造成的工期顺延外），承包人须在逾期第一天起每天按合同价的</w:t>
      </w:r>
      <w:r>
        <w:rPr>
          <w:rFonts w:hint="eastAsia" w:ascii="宋体" w:hAnsi="宋体" w:eastAsia="宋体" w:cs="宋体"/>
          <w:b w:val="0"/>
          <w:bCs/>
          <w:snapToGrid w:val="0"/>
          <w:color w:val="auto"/>
          <w:kern w:val="0"/>
          <w:highlight w:val="none"/>
          <w:u w:val="single"/>
          <w:lang w:val="en-US" w:eastAsia="zh-CN"/>
        </w:rPr>
        <w:t>3‰</w:t>
      </w:r>
      <w:r>
        <w:rPr>
          <w:rFonts w:hint="eastAsia" w:ascii="宋体" w:hAnsi="宋体" w:eastAsia="宋体" w:cs="宋体"/>
          <w:b w:val="0"/>
          <w:bCs/>
          <w:snapToGrid w:val="0"/>
          <w:color w:val="auto"/>
          <w:kern w:val="0"/>
          <w:highlight w:val="none"/>
          <w:lang w:val="en-US" w:eastAsia="zh-CN"/>
        </w:rPr>
        <w:t>向发包人返纳逾期竣工违约金。逾期竣工违约金的最高限额为合同总价的5%。（开工时间具体以监理发出开工通知为准）</w:t>
      </w:r>
    </w:p>
    <w:p w14:paraId="78E769B9">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4.2.2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人民币10000元支付违约金给发包人，在结算中一并扣除。</w:t>
      </w:r>
    </w:p>
    <w:p w14:paraId="55CE9402">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4.2.3</w:t>
      </w:r>
      <w:r>
        <w:rPr>
          <w:rFonts w:hint="eastAsia" w:ascii="宋体" w:hAnsi="宋体" w:eastAsia="宋体" w:cs="宋体"/>
          <w:b w:val="0"/>
          <w:bCs w:val="0"/>
          <w:color w:val="auto"/>
          <w:highlight w:val="none"/>
        </w:rPr>
        <w:t>投标报价应充分考虑在施工中由于发包人造成停工或工期延误等因素所产生的相关费用，发包人不予另计费；停工发生后，若可复工时，承包人应在收到发包人或监理单位发出的复工通知书后3日内复工，否则，逾期第壹天起每天按合同价款的</w:t>
      </w:r>
      <w:r>
        <w:rPr>
          <w:rFonts w:hint="eastAsia" w:ascii="宋体" w:hAnsi="宋体" w:eastAsia="宋体" w:cs="宋体"/>
          <w:b w:val="0"/>
          <w:bCs w:val="0"/>
          <w:color w:val="auto"/>
          <w:highlight w:val="none"/>
          <w:lang w:val="en-US" w:eastAsia="zh-CN"/>
        </w:rPr>
        <w:t>3</w:t>
      </w:r>
      <w:r>
        <w:rPr>
          <w:rFonts w:hint="eastAsia" w:ascii="宋体" w:hAnsi="宋体" w:eastAsia="宋体" w:cs="宋体"/>
          <w:b w:val="0"/>
          <w:bCs w:val="0"/>
          <w:color w:val="auto"/>
          <w:highlight w:val="none"/>
        </w:rPr>
        <w:t>‰作误工违约处理。自该项目开工后，中标单位因自身原因导致停工（具体停工日期由发包人现场管理人员确定）累计超过3天，每月的工程进度款调整为按工程实际完成工程量的70%支付，剩余工程款结算审核定案后支付到97%</w:t>
      </w:r>
      <w:r>
        <w:rPr>
          <w:rFonts w:hint="eastAsia" w:ascii="宋体" w:hAnsi="宋体" w:eastAsia="宋体" w:cs="宋体"/>
          <w:b w:val="0"/>
          <w:bCs w:val="0"/>
          <w:color w:val="auto"/>
          <w:highlight w:val="none"/>
          <w:lang w:eastAsia="zh-CN"/>
        </w:rPr>
        <w:t>。</w:t>
      </w:r>
    </w:p>
    <w:p w14:paraId="530A72D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4.2.4承包人在进场后7天内提交施工进度计划，并注明主要施工节点时间，送监理单位及发包人审核后，作为工期考核的阶段性指标，若因承包人原因无法按进度节点完成的，逾期第</w:t>
      </w:r>
      <w:r>
        <w:rPr>
          <w:rFonts w:hint="eastAsia" w:ascii="宋体" w:hAnsi="宋体" w:eastAsia="宋体" w:cs="宋体"/>
          <w:b w:val="0"/>
          <w:bCs w:val="0"/>
          <w:color w:val="auto"/>
          <w:highlight w:val="none"/>
        </w:rPr>
        <w:t>壹</w:t>
      </w:r>
      <w:r>
        <w:rPr>
          <w:rFonts w:hint="eastAsia" w:ascii="宋体" w:hAnsi="宋体" w:eastAsia="宋体" w:cs="宋体"/>
          <w:b w:val="0"/>
          <w:bCs/>
          <w:snapToGrid w:val="0"/>
          <w:color w:val="auto"/>
          <w:kern w:val="0"/>
          <w:highlight w:val="none"/>
          <w:lang w:val="en-US" w:eastAsia="zh-CN"/>
        </w:rPr>
        <w:t>天起每天按</w:t>
      </w:r>
      <w:r>
        <w:rPr>
          <w:rFonts w:hint="eastAsia" w:ascii="宋体" w:hAnsi="宋体" w:eastAsia="宋体" w:cs="宋体"/>
          <w:b w:val="0"/>
          <w:bCs/>
          <w:snapToGrid w:val="0"/>
          <w:color w:val="auto"/>
          <w:kern w:val="0"/>
          <w:highlight w:val="none"/>
          <w:u w:val="single"/>
          <w:lang w:val="en-US" w:eastAsia="zh-CN"/>
        </w:rPr>
        <w:t>2万元</w:t>
      </w:r>
      <w:r>
        <w:rPr>
          <w:rFonts w:hint="eastAsia" w:ascii="宋体" w:hAnsi="宋体" w:eastAsia="宋体" w:cs="宋体"/>
          <w:b w:val="0"/>
          <w:bCs/>
          <w:snapToGrid w:val="0"/>
          <w:color w:val="auto"/>
          <w:kern w:val="0"/>
          <w:highlight w:val="none"/>
          <w:lang w:val="en-US" w:eastAsia="zh-CN"/>
        </w:rPr>
        <w:t>向发包人返纳逾期违约金。</w:t>
      </w:r>
    </w:p>
    <w:p w14:paraId="447DDD64">
      <w:pPr>
        <w:keepNext w:val="0"/>
        <w:keepLines w:val="0"/>
        <w:pageBreakBefore w:val="0"/>
        <w:widowControl w:val="0"/>
        <w:kinsoku/>
        <w:wordWrap w:val="0"/>
        <w:overflowPunct/>
        <w:topLinePunct w:val="0"/>
        <w:bidi w:val="0"/>
        <w:adjustRightInd w:val="0"/>
        <w:snapToGrid w:val="0"/>
        <w:spacing w:line="460" w:lineRule="exact"/>
        <w:ind w:firstLine="482"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4.3 质量违约</w:t>
      </w:r>
    </w:p>
    <w:p w14:paraId="6265DBB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w:t>
      </w:r>
      <w:r>
        <w:rPr>
          <w:rFonts w:hint="eastAsia" w:ascii="宋体" w:hAnsi="宋体" w:eastAsia="宋体" w:cs="宋体"/>
          <w:b w:val="0"/>
          <w:bCs w:val="0"/>
          <w:snapToGrid w:val="0"/>
          <w:color w:val="auto"/>
          <w:kern w:val="0"/>
          <w:highlight w:val="none"/>
          <w:lang w:val="en-US" w:eastAsia="zh-CN"/>
        </w:rPr>
        <w:t>3</w:t>
      </w:r>
      <w:r>
        <w:rPr>
          <w:rFonts w:hint="eastAsia" w:ascii="宋体" w:hAnsi="宋体" w:eastAsia="宋体" w:cs="宋体"/>
          <w:b w:val="0"/>
          <w:bCs/>
          <w:snapToGrid w:val="0"/>
          <w:color w:val="auto"/>
          <w:kern w:val="0"/>
          <w:highlight w:val="none"/>
          <w:lang w:val="en-US" w:eastAsia="zh-CN"/>
        </w:rPr>
        <w:t>.1材料违约处理：若发现材料不符合国家标准或发包人在技术规范中规定的标准，视为承包人违约，按现行《建设工程质量管理条例》处理。</w:t>
      </w:r>
    </w:p>
    <w:p w14:paraId="7BBA5E1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w:t>
      </w:r>
      <w:r>
        <w:rPr>
          <w:rFonts w:hint="eastAsia" w:ascii="宋体" w:hAnsi="宋体" w:eastAsia="宋体" w:cs="宋体"/>
          <w:b w:val="0"/>
          <w:bCs w:val="0"/>
          <w:snapToGrid w:val="0"/>
          <w:color w:val="auto"/>
          <w:kern w:val="0"/>
          <w:highlight w:val="none"/>
          <w:lang w:val="en-US" w:eastAsia="zh-CN"/>
        </w:rPr>
        <w:t>3</w:t>
      </w:r>
      <w:r>
        <w:rPr>
          <w:rFonts w:hint="eastAsia" w:ascii="宋体" w:hAnsi="宋体" w:eastAsia="宋体" w:cs="宋体"/>
          <w:b w:val="0"/>
          <w:bCs/>
          <w:snapToGrid w:val="0"/>
          <w:color w:val="auto"/>
          <w:kern w:val="0"/>
          <w:highlight w:val="none"/>
          <w:lang w:val="en-US" w:eastAsia="zh-CN"/>
        </w:rPr>
        <w:t>.2工程质量违约</w:t>
      </w:r>
    </w:p>
    <w:p w14:paraId="799C48C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w:t>
      </w:r>
      <w:r>
        <w:rPr>
          <w:rFonts w:hint="eastAsia" w:ascii="宋体" w:hAnsi="宋体" w:eastAsia="宋体" w:cs="宋体"/>
          <w:b w:val="0"/>
          <w:bCs w:val="0"/>
          <w:snapToGrid w:val="0"/>
          <w:color w:val="auto"/>
          <w:kern w:val="0"/>
          <w:highlight w:val="none"/>
          <w:lang w:val="en-US" w:eastAsia="zh-CN"/>
        </w:rPr>
        <w:t>3</w:t>
      </w:r>
      <w:r>
        <w:rPr>
          <w:rFonts w:hint="eastAsia" w:ascii="宋体" w:hAnsi="宋体" w:eastAsia="宋体" w:cs="宋体"/>
          <w:b w:val="0"/>
          <w:bCs/>
          <w:snapToGrid w:val="0"/>
          <w:color w:val="auto"/>
          <w:kern w:val="0"/>
          <w:highlight w:val="none"/>
          <w:lang w:val="en-US" w:eastAsia="zh-CN"/>
        </w:rPr>
        <w:t>.2.1在施工过程中经监理单位日常巡查或抽检发现未达到合格标准，责令承包人进行整改，如未按规定时间进行整改或整改不到位的，每次按10000元缴纳违约金给发包人，在进度款或结算款中一并扣除。</w:t>
      </w:r>
    </w:p>
    <w:p w14:paraId="77A4CE7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w:t>
      </w:r>
      <w:r>
        <w:rPr>
          <w:rFonts w:hint="eastAsia" w:ascii="宋体" w:hAnsi="宋体" w:eastAsia="宋体" w:cs="宋体"/>
          <w:b w:val="0"/>
          <w:bCs w:val="0"/>
          <w:snapToGrid w:val="0"/>
          <w:color w:val="auto"/>
          <w:kern w:val="0"/>
          <w:highlight w:val="none"/>
          <w:lang w:val="en-US" w:eastAsia="zh-CN"/>
        </w:rPr>
        <w:t>3</w:t>
      </w:r>
      <w:r>
        <w:rPr>
          <w:rFonts w:hint="eastAsia" w:ascii="宋体" w:hAnsi="宋体" w:eastAsia="宋体" w:cs="宋体"/>
          <w:b w:val="0"/>
          <w:bCs/>
          <w:snapToGrid w:val="0"/>
          <w:color w:val="auto"/>
          <w:kern w:val="0"/>
          <w:highlight w:val="none"/>
          <w:lang w:val="en-US" w:eastAsia="zh-CN"/>
        </w:rPr>
        <w:t>.2.2如工程在竣工验收时未达到合格标准，则按合同价款的5%向发包人缴纳质量违约金。</w:t>
      </w:r>
    </w:p>
    <w:p w14:paraId="761527D3">
      <w:pPr>
        <w:keepNext w:val="0"/>
        <w:keepLines w:val="0"/>
        <w:pageBreakBefore w:val="0"/>
        <w:widowControl w:val="0"/>
        <w:kinsoku/>
        <w:wordWrap w:val="0"/>
        <w:overflowPunct/>
        <w:topLinePunct w:val="0"/>
        <w:bidi w:val="0"/>
        <w:adjustRightInd w:val="0"/>
        <w:snapToGrid w:val="0"/>
        <w:spacing w:line="460" w:lineRule="exact"/>
        <w:ind w:firstLine="482" w:firstLineChars="20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4.4重大责任事故违约</w:t>
      </w:r>
    </w:p>
    <w:p w14:paraId="75B1CDA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4.4.1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同时，每出现一次重大责任事故， 承包人应同时缴纳惩罚性违约金10万元。</w:t>
      </w:r>
    </w:p>
    <w:p w14:paraId="1EDA7509">
      <w:pPr>
        <w:keepNext w:val="0"/>
        <w:keepLines w:val="0"/>
        <w:pageBreakBefore w:val="0"/>
        <w:widowControl w:val="0"/>
        <w:kinsoku/>
        <w:wordWrap w:val="0"/>
        <w:overflowPunct/>
        <w:topLinePunct w:val="0"/>
        <w:bidi w:val="0"/>
        <w:adjustRightInd w:val="0"/>
        <w:snapToGrid w:val="0"/>
        <w:spacing w:line="460" w:lineRule="exact"/>
        <w:ind w:firstLine="482" w:firstLineChars="20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4.5用工违约</w:t>
      </w:r>
    </w:p>
    <w:p w14:paraId="036BC719">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4.5.1在合同履行期间，如经查实承包人拖欠或克扣农民工或劳务工工资，导致劳资纠纷或发生危及公共安全或正常社会秩序的事件的，按承包人违约处理，承包人应按拖欠或克扣农民工或劳务工工资总金额3倍的标准向发包人缴纳惩罚性违约金。</w:t>
      </w:r>
    </w:p>
    <w:p w14:paraId="2FFCDCCF">
      <w:pPr>
        <w:keepNext w:val="0"/>
        <w:keepLines w:val="0"/>
        <w:pageBreakBefore w:val="0"/>
        <w:widowControl w:val="0"/>
        <w:kinsoku/>
        <w:wordWrap w:val="0"/>
        <w:overflowPunct/>
        <w:topLinePunct w:val="0"/>
        <w:bidi w:val="0"/>
        <w:adjustRightInd w:val="0"/>
        <w:snapToGrid w:val="0"/>
        <w:spacing w:line="460" w:lineRule="exact"/>
        <w:ind w:firstLine="482" w:firstLineChars="20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4.6 安全文明施工违约</w:t>
      </w:r>
    </w:p>
    <w:p w14:paraId="1F8F8DC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4.6.1如承包人违反国家、广东省、发包人及合同关于安全文明施工的规定，但尚未造成安全责任事故，承包人应及时改正行为并赔偿相关方的损失，如未及时整改，针对每一违约行为每持续一天应缴纳违约金4000元。</w:t>
      </w:r>
    </w:p>
    <w:p w14:paraId="0417CAB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4.6.2承包人现场施工人员存在野蛮施工行为，经现场发包人（含监理单位）管理人员确认后，首次发现责令承包人进行整改，如未按规定时间进行整改或整改不到位的，承包人须按1万元/次缴纳违约金；如因野蛮施工行为，引起投诉或网络问政的，承包人须按1万元/次缴纳违约金；并承担因野蛮施工行为所造成的全部责任。</w:t>
      </w:r>
    </w:p>
    <w:p w14:paraId="5EF1DF4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4.6.3承包人必须接受发包人及监理单位组织的安全、文明施工的检查，检查中的不合格项目、安全隐患必须在规定的时间内整改完成，否则每拖延一天处以1万元人民币违约金，直至整改合格。</w:t>
      </w:r>
    </w:p>
    <w:p w14:paraId="44FF787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4.6.4承包人在施工现场发生工伤或其他责任事故的，承包人按下列标准缴纳违约金：</w:t>
      </w:r>
    </w:p>
    <w:p w14:paraId="6B52566C">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①一次事故或全年累计死亡3人及以上：安全第一责任人在韶关市地区建设范围内公开检查；项目部必须撤换项目经理、主管安全副经理和安全主管，一次或全年累计缴纳违约金10万元至12万元；</w:t>
      </w:r>
    </w:p>
    <w:p w14:paraId="48DF11A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②一次事故或全年累计死亡2人：安全第一责任人在韶关市地区建设范围内公开检查；承包人必须撤换项目主管安全副经理或安全主管；一次或全年累计缴纳违约金7万元至10万元人民币；</w:t>
      </w:r>
    </w:p>
    <w:p w14:paraId="68F6D9D9">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③全年死亡1人：安全第一责任人在韶关市地区建设范围内公开检查，并报其上级单位；建议承包人撤换项目安全主管；缴纳违约金5万元至7万元人民币。</w:t>
      </w:r>
    </w:p>
    <w:p w14:paraId="1ED5113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④重伤事故、造成10人及以上集体中毒住院、经济损失重大的火灾、设备及交通事故，缴纳违约金3万元人民币。</w:t>
      </w:r>
    </w:p>
    <w:p w14:paraId="633FC57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⑤因施工造成的道路交通中断、通讯中断、管线漏水漏气等全部责任事故，由承包人承担责任，并缴纳违约金2万元人民币。</w:t>
      </w:r>
    </w:p>
    <w:p w14:paraId="11FE0F0C">
      <w:pPr>
        <w:keepNext w:val="0"/>
        <w:keepLines w:val="0"/>
        <w:pageBreakBefore w:val="0"/>
        <w:widowControl w:val="0"/>
        <w:kinsoku/>
        <w:wordWrap w:val="0"/>
        <w:overflowPunct/>
        <w:topLinePunct w:val="0"/>
        <w:autoSpaceDE/>
        <w:autoSpaceDN/>
        <w:bidi w:val="0"/>
        <w:adjustRightInd w:val="0"/>
        <w:snapToGrid w:val="0"/>
        <w:spacing w:line="460" w:lineRule="exact"/>
        <w:ind w:firstLine="482" w:firstLineChars="20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4.7 其他违约</w:t>
      </w:r>
    </w:p>
    <w:p w14:paraId="7620B789">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承包人安排在施工场地的主要管理人员（主要指项目经理、项目技术负责人和专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考勤指模打卡每月累计不到位次数超过10天，按1万元/人/天缴纳违约金给发包人。</w:t>
      </w:r>
    </w:p>
    <w:p w14:paraId="4ED0E36B">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4.7.2 中标人施工资料必须与形象进度同步，如招标人在日常检查中发现不同步的现象的，视为违约并扣除违约金5000元/次。</w:t>
      </w:r>
    </w:p>
    <w:p w14:paraId="791E1FD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4.7.3发包人要求承包人替换项目部中不称职人员，而承包人不予替换，视为承包人违约，承包人须按承包人项目部主要管理人员（主要指项目经理、项目技术负责人和专职安全生产管理人员）10万元/人次缴纳违约金给发包人。</w:t>
      </w:r>
    </w:p>
    <w:p w14:paraId="4D593CD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4.7.4发包人根据项目实施进度情况要求承包人增派项目管理人员，而承包人不予增派的，视为承包人违约，承包人须按5万元/人次缴纳违约金给发包人。</w:t>
      </w:r>
    </w:p>
    <w:p w14:paraId="5CFD53C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4.7.5发包人对上述约定中的规定并不免除承包人接受国家、地方政府相关部门依法对承包人的处罚。</w:t>
      </w:r>
    </w:p>
    <w:p w14:paraId="1D54FF5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4.7.6承包人没有正当合理的理由中途退场，可扣除承包人已递交的所有履约风险保证金。</w:t>
      </w:r>
    </w:p>
    <w:p w14:paraId="167C833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4.7.7有下列情况之一的，承包人在一年内不得参与发包人的任何工程任务，并勒令从现施工的工地退场，同时缴纳10万元违约金：</w:t>
      </w:r>
    </w:p>
    <w:p w14:paraId="3EC4D9C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A.路面沉降、开裂超过规范要求并造成不良社会影响的；</w:t>
      </w:r>
    </w:p>
    <w:p w14:paraId="784876D3">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B.发生重大责任安全事故的；</w:t>
      </w:r>
    </w:p>
    <w:p w14:paraId="0267B41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C.不能在合同规定的期限内竣工的；</w:t>
      </w:r>
    </w:p>
    <w:p w14:paraId="5638EBD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D.承包人所承担的施工任务在施工期间，由于工程质量或工程进度原因，监理单位发出10个以上（含10个）停工令的；</w:t>
      </w:r>
    </w:p>
    <w:p w14:paraId="61DC7C8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E.质量监督部门在抽检时发出5个以上（含5个）由于工程质量原因通报的；</w:t>
      </w:r>
    </w:p>
    <w:p w14:paraId="46272F63">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F.业主组织的质量大检查发现由于工程质量原因而通报两次以上（含两次）的；</w:t>
      </w:r>
    </w:p>
    <w:p w14:paraId="79CB4F7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4.7.8承包人必须严格塔吊、起重机等机械设备及货梯、提升机等机电设备的安装、拆卸和使用运行管理。必须落实持证上岗、专人操作、专人检查，严格落实每天操作前和操作后的检查，检查发现未落实相关措施和规定的，承包人须按人民币5000元/次缴纳违约金给发包人。</w:t>
      </w:r>
    </w:p>
    <w:p w14:paraId="4DEFE40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4.7.9承包人必须加强施工组织管理。严格落实高支模、深基坑防护措施，做到严密组织、严格检查，严防重大风险。检查发现未落实相关措施和规定的，承包人须按人民币5000元/处缴纳违约金给发包人。</w:t>
      </w:r>
    </w:p>
    <w:p w14:paraId="26D2207E">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4.7.10承包人应加强生活用电管理，检查发现私拉乱接电线的，责令承包人进行整改，如未按规定时间进行整改或整改不到位的，承包人须按人民币2000元/次缴纳违约金给发包人。</w:t>
      </w:r>
    </w:p>
    <w:p w14:paraId="38A2794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4.7.11承包人应加强建设范围内因雨季造成临时积水部位的管理，防止发生淹亡、溺亡事故，若因措施不严造成的后果全部由承包人承担。</w:t>
      </w:r>
    </w:p>
    <w:p w14:paraId="51145207">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4.7.12承包人不落实人车分流措施，责令承包人进行整改，如未按规定时间进行整改或整改不到位的，承包人须按人民币30万元缴纳违约金给发包人。</w:t>
      </w:r>
    </w:p>
    <w:p w14:paraId="734DF38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4.7.13承包人应严格工地管理。不戴安全帽或穿拖鞋上岗的，首次发现责令承包人进行整改，如未按规定时间进行整改或整改不到位的，承包人须按人民币1000元/人/次缴纳违约金给发包人；应系安全带作业而没有系安全带的、饮酒或醉酒进行现场作业的，承包人须按人民币10000元/人/次缴纳违约金给发包人。</w:t>
      </w:r>
    </w:p>
    <w:p w14:paraId="24511D1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4.7.14承包人必须加强现场临边维护，检查发现临边维护不到位的，首次发现责令承包人进行整改，如未按规定时间进行整改或整改不到位的，承包人须按人民币2000元/处缴纳违约金给发包人。</w:t>
      </w:r>
    </w:p>
    <w:p w14:paraId="5037E84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4.7.15承包人不落实农民工工资专户及实名用工的，承包人须按人民币2000元/人/次缴纳违约金给发包人。</w:t>
      </w:r>
    </w:p>
    <w:p w14:paraId="79F4334E">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4.7.16国家发生重大风险期间，承包人不执行有关部门关于特殊时期管控规定、不落实相关措施的，承包人须按人民币5000元/人/次缴纳违约金给发包人。</w:t>
      </w:r>
    </w:p>
    <w:p w14:paraId="428BF46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4.7.17承包人必须在中标通知书发出之日起一个月内完成现场临时设施（施工用水用电、围蔽、板房、洗车槽、相关公示牌等）施工，因承包人原因导致逾期的，逾期第壹天起按2000元/天缴纳违约金给发包人。</w:t>
      </w:r>
    </w:p>
    <w:p w14:paraId="1647FFCC">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4.7.18中标单位在施工期间应严格遵守国家、省、市有关防火、爆破和施工安全以及文明施工、夜间施工、环卫城管等规定，建立规章制度和防护措施。否则，由此造成的经济损失和法律责任，均由中标人负责。中标人应按安全施工的要求，采取严格科学的安全措施，确保施工安全和第三者的安全，承担由于自身安全措施不力所造成的事故责任和发生的费用。</w:t>
      </w:r>
    </w:p>
    <w:p w14:paraId="7A4BF24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4.7.19投标人的投标报价已包含本工程所必须的所有材料费用及转运人工费用，招标人不另行支付。</w:t>
      </w:r>
    </w:p>
    <w:p w14:paraId="5EC9923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4.7.20中标单位在该工程施工过程中，如与农村村民以及地方发生任何纠纷，中标单位都必须和农村村民以及地方进行有效的协调工作并作出承诺。</w:t>
      </w:r>
    </w:p>
    <w:p w14:paraId="15D2831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4.7.21除项目经理外的其他主要管理人员需离开施工现场3日以上（含3日）须报发包人批准。在其请假离开的时间段内应书面委托其他驻场管理人员全权代表其行使相应职权。否则，每违约一次，承包人应当承担限期整改责任1次。在国家法定节假日期间，承包人应做好管理人员的轮休，并保证现场管理人员不少于3名。在工程实施期间，承包人应对现场主要管理人员进行考勤，并在每月1日前将前一月考勤表报送发包人审核。国家法定节假日期间及夜间施工期间所产生的相关费用，投标人在投标报价时综合考虑在报价内，招标人不另行支付。</w:t>
      </w:r>
    </w:p>
    <w:p w14:paraId="5443BB0F">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4.8工人工资支付专用账户</w:t>
      </w:r>
    </w:p>
    <w:p w14:paraId="4A023023">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4.8.1承包人必须依照相关规定做好工人工资支付保证金、工人工资支付专用账户、用工实名制管理工作。</w:t>
      </w:r>
    </w:p>
    <w:p w14:paraId="5A2AF9A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4.8.2 施工预付款中已包括施工合同价的5%专用于承包人办理工人工资支付保证金，承包人必须于合同签订后5个工作日内办理完成保证金缴交或免缴手续。</w:t>
      </w:r>
    </w:p>
    <w:p w14:paraId="281C2346">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Style w:val="26"/>
          <w:rFonts w:hint="eastAsia" w:ascii="宋体" w:hAnsi="宋体" w:eastAsia="宋体" w:cs="宋体"/>
          <w:color w:val="auto"/>
          <w:kern w:val="0"/>
          <w:highlight w:val="none"/>
        </w:rPr>
      </w:pPr>
      <w:r>
        <w:rPr>
          <w:rFonts w:hint="eastAsia" w:ascii="宋体" w:hAnsi="宋体" w:eastAsia="宋体" w:cs="宋体"/>
          <w:b w:val="0"/>
          <w:bCs/>
          <w:snapToGrid w:val="0"/>
          <w:color w:val="auto"/>
          <w:kern w:val="0"/>
          <w:highlight w:val="none"/>
          <w:lang w:val="en-US" w:eastAsia="zh-CN"/>
        </w:rPr>
        <w:t>（1）承包人已依照相关规定开立工人工资支付专用账户，发包人支付工程进度款时，其中70%支付进入本合同协议书载明的承包人账户、其中30%支付进入本款载明的工人工资支付专用账户。</w:t>
      </w:r>
    </w:p>
    <w:p w14:paraId="2EDA109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（2）承包人应在开工前编制用工实名管理专项方案以及费用使用计划，经监理单位审批后，作为施工合同的组成部分，并依照相关规定做好用工实名信息化管理。</w:t>
      </w:r>
    </w:p>
    <w:p w14:paraId="4CBEDAC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4.8.3依据人力资源社会保障部等十部门印发的《工程建设领域农民工工资专用账户管理暂行办法》（人社部发〔2021〕53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33DE43E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按韶关市人力资源和社会保障局韶关市住房和城乡建设管理局韶关市交通运输局 韶关市水务局韶关市金融工作局国家金融监督管理总局韶关监管分局关于印发《韶关市工程建设领域农民工工资保证金管理实施细则》的通知（韶人社规〔2023〕2号）及《韶关市工程建设领域农民工工资保证金管理实施细则》（韶法审〔2023〕19 号）规定执行。承包人在签订工程施工承包合同后一个月内必须办妥该事项，并将办妥回执交发包人。如发生承包人拖欠民工工资并且向政府或发包人索要承包人拖欠工资的，发包人有权使用工人工资保证金或在剩余进度款范围内代承包人向民工支付工资，承包人对发包人垫付工资的人员范围和工资数额均不得提出异议。发包人代支的工资除了从当期工程款内直接扣除外，承包人须按照发包人所垫付的民工工资2倍向发包人支付违约金。</w:t>
      </w:r>
    </w:p>
    <w:p w14:paraId="1C625022">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4.9</w:t>
      </w:r>
      <w:r>
        <w:rPr>
          <w:rFonts w:hint="eastAsia" w:ascii="宋体" w:hAnsi="宋体" w:eastAsia="宋体" w:cs="宋体"/>
          <w:b w:val="0"/>
          <w:bCs/>
          <w:snapToGrid w:val="0"/>
          <w:color w:val="auto"/>
          <w:kern w:val="0"/>
          <w:highlight w:val="none"/>
          <w:lang w:val="en-US" w:eastAsia="zh-CN"/>
        </w:rPr>
        <w:t>工期进度</w:t>
      </w:r>
    </w:p>
    <w:p w14:paraId="571B4E2E">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trike w:val="0"/>
          <w:dstrike w:val="0"/>
          <w:snapToGrid w:val="0"/>
          <w:color w:val="auto"/>
          <w:kern w:val="0"/>
          <w:highlight w:val="none"/>
          <w:lang w:val="en-US" w:eastAsia="zh-CN"/>
        </w:rPr>
      </w:pPr>
      <w:r>
        <w:rPr>
          <w:rFonts w:hint="eastAsia" w:ascii="宋体" w:hAnsi="宋体" w:eastAsia="宋体" w:cs="宋体"/>
          <w:b w:val="0"/>
          <w:bCs/>
          <w:strike w:val="0"/>
          <w:dstrike w:val="0"/>
          <w:snapToGrid w:val="0"/>
          <w:color w:val="auto"/>
          <w:kern w:val="0"/>
          <w:highlight w:val="none"/>
          <w:lang w:val="en-US" w:eastAsia="zh-CN"/>
        </w:rPr>
        <w:t>4.9.1</w:t>
      </w:r>
      <w:r>
        <w:rPr>
          <w:rFonts w:hint="eastAsia" w:ascii="宋体" w:hAnsi="宋体" w:eastAsia="宋体" w:cs="宋体"/>
          <w:b/>
          <w:bCs w:val="0"/>
          <w:strike w:val="0"/>
          <w:dstrike w:val="0"/>
          <w:snapToGrid w:val="0"/>
          <w:color w:val="auto"/>
          <w:kern w:val="0"/>
          <w:highlight w:val="none"/>
          <w:lang w:val="en-US" w:eastAsia="zh-CN"/>
        </w:rPr>
        <w:t xml:space="preserve"> </w:t>
      </w:r>
      <w:r>
        <w:rPr>
          <w:rFonts w:hint="eastAsia" w:ascii="宋体" w:hAnsi="宋体" w:eastAsia="宋体" w:cs="宋体"/>
          <w:b w:val="0"/>
          <w:bCs/>
          <w:strike w:val="0"/>
          <w:dstrike w:val="0"/>
          <w:snapToGrid w:val="0"/>
          <w:color w:val="auto"/>
          <w:kern w:val="0"/>
          <w:highlight w:val="none"/>
          <w:lang w:val="en-US" w:eastAsia="zh-CN"/>
        </w:rPr>
        <w:t>本招标项目施工标准工期为</w:t>
      </w:r>
      <w:r>
        <w:rPr>
          <w:rFonts w:hint="eastAsia" w:ascii="宋体" w:hAnsi="宋体" w:eastAsia="宋体" w:cs="宋体"/>
          <w:b w:val="0"/>
          <w:bCs/>
          <w:strike w:val="0"/>
          <w:dstrike w:val="0"/>
          <w:snapToGrid w:val="0"/>
          <w:color w:val="auto"/>
          <w:kern w:val="0"/>
          <w:highlight w:val="none"/>
          <w:u w:val="single"/>
          <w:lang w:val="en-US" w:eastAsia="zh-CN"/>
        </w:rPr>
        <w:t>120</w:t>
      </w:r>
      <w:r>
        <w:rPr>
          <w:rFonts w:hint="eastAsia" w:ascii="宋体" w:hAnsi="宋体" w:eastAsia="宋体" w:cs="宋体"/>
          <w:b w:val="0"/>
          <w:bCs/>
          <w:strike w:val="0"/>
          <w:dstrike w:val="0"/>
          <w:snapToGrid w:val="0"/>
          <w:color w:val="auto"/>
          <w:kern w:val="0"/>
          <w:highlight w:val="none"/>
          <w:lang w:val="en-US" w:eastAsia="zh-CN"/>
        </w:rPr>
        <w:t>个日历天，招标工期为</w:t>
      </w:r>
      <w:r>
        <w:rPr>
          <w:rFonts w:hint="eastAsia" w:ascii="宋体" w:hAnsi="宋体" w:eastAsia="宋体" w:cs="宋体"/>
          <w:b w:val="0"/>
          <w:bCs/>
          <w:strike w:val="0"/>
          <w:dstrike w:val="0"/>
          <w:snapToGrid w:val="0"/>
          <w:color w:val="auto"/>
          <w:kern w:val="0"/>
          <w:highlight w:val="none"/>
          <w:u w:val="single"/>
          <w:lang w:val="en-US" w:eastAsia="zh-CN"/>
        </w:rPr>
        <w:t>120</w:t>
      </w:r>
      <w:r>
        <w:rPr>
          <w:rFonts w:hint="eastAsia" w:ascii="宋体" w:hAnsi="宋体" w:eastAsia="宋体" w:cs="宋体"/>
          <w:b w:val="0"/>
          <w:bCs/>
          <w:strike w:val="0"/>
          <w:dstrike w:val="0"/>
          <w:snapToGrid w:val="0"/>
          <w:color w:val="auto"/>
          <w:kern w:val="0"/>
          <w:highlight w:val="none"/>
          <w:lang w:val="en-US" w:eastAsia="zh-CN"/>
        </w:rPr>
        <w:t>个日历天，承包人必须在招标工期内完成招标范围内的全部内容。</w:t>
      </w:r>
    </w:p>
    <w:p w14:paraId="0D57B4F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trike w:val="0"/>
          <w:dstrike w:val="0"/>
          <w:snapToGrid w:val="0"/>
          <w:color w:val="auto"/>
          <w:kern w:val="0"/>
          <w:highlight w:val="none"/>
          <w:lang w:val="en-US" w:eastAsia="zh-CN"/>
        </w:rPr>
      </w:pPr>
      <w:r>
        <w:rPr>
          <w:rFonts w:hint="eastAsia" w:ascii="宋体" w:hAnsi="宋体" w:eastAsia="宋体" w:cs="宋体"/>
          <w:b w:val="0"/>
          <w:bCs/>
          <w:strike w:val="0"/>
          <w:dstrike w:val="0"/>
          <w:snapToGrid w:val="0"/>
          <w:color w:val="auto"/>
          <w:kern w:val="0"/>
          <w:highlight w:val="none"/>
          <w:lang w:val="en-US" w:eastAsia="zh-CN"/>
        </w:rPr>
        <w:t>4.9.2 施工工期从承包人收到监理单位签发的开工令之日起计，至竣工验收合格之日止。</w:t>
      </w:r>
    </w:p>
    <w:p w14:paraId="2E93E60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trike w:val="0"/>
          <w:dstrike w:val="0"/>
          <w:snapToGrid w:val="0"/>
          <w:color w:val="auto"/>
          <w:kern w:val="0"/>
          <w:highlight w:val="none"/>
          <w:lang w:val="en-US" w:eastAsia="zh-CN"/>
        </w:rPr>
      </w:pPr>
      <w:r>
        <w:rPr>
          <w:rFonts w:hint="eastAsia" w:ascii="宋体" w:hAnsi="宋体" w:eastAsia="宋体" w:cs="宋体"/>
          <w:b w:val="0"/>
          <w:bCs/>
          <w:strike w:val="0"/>
          <w:dstrike w:val="0"/>
          <w:snapToGrid w:val="0"/>
          <w:color w:val="auto"/>
          <w:kern w:val="0"/>
          <w:highlight w:val="none"/>
          <w:lang w:val="en-US" w:eastAsia="zh-CN"/>
        </w:rPr>
        <w:t>4.9.3 工期奖惩</w:t>
      </w:r>
    </w:p>
    <w:p w14:paraId="6E8E1F1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trike w:val="0"/>
          <w:dstrike w:val="0"/>
          <w:snapToGrid w:val="0"/>
          <w:color w:val="auto"/>
          <w:kern w:val="0"/>
          <w:highlight w:val="none"/>
          <w:lang w:val="en-US" w:eastAsia="zh-CN"/>
        </w:rPr>
      </w:pPr>
      <w:r>
        <w:rPr>
          <w:rFonts w:hint="eastAsia" w:ascii="宋体" w:hAnsi="宋体" w:eastAsia="宋体" w:cs="宋体"/>
          <w:b w:val="0"/>
          <w:bCs/>
          <w:strike w:val="0"/>
          <w:dstrike w:val="0"/>
          <w:snapToGrid w:val="0"/>
          <w:color w:val="auto"/>
          <w:kern w:val="0"/>
          <w:highlight w:val="none"/>
          <w:lang w:val="en-US" w:eastAsia="zh-CN"/>
        </w:rPr>
        <w:t>☑按施工合同期约定，每延误1天竣工，罚款中标金额的3‰。处罚金额不超过合同价款的5%，累计延误工期达到5天，报请建设行政主管部门做不良行为记录，非承包方原因或不可抗力造成延误的除外。</w:t>
      </w:r>
    </w:p>
    <w:p w14:paraId="13C0D173">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trike w:val="0"/>
          <w:dstrike w:val="0"/>
          <w:snapToGrid w:val="0"/>
          <w:color w:val="auto"/>
          <w:kern w:val="0"/>
          <w:highlight w:val="none"/>
          <w:lang w:val="en-US" w:eastAsia="zh-CN"/>
        </w:rPr>
        <w:t xml:space="preserve">□其他说明：/ </w:t>
      </w:r>
    </w:p>
    <w:p w14:paraId="1A925895">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4.10 项目管理机构</w:t>
      </w:r>
    </w:p>
    <w:p w14:paraId="67E4DA6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4.10.1 承包人派驻的项目管理班子成员必须为其投标文件确定的人员，否则发包人有权终止合同。</w:t>
      </w:r>
    </w:p>
    <w:p w14:paraId="0151D246">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4.10.2 项目管理班子成员不得擅自变更。其中，项目经理若有《广东省住房和城乡建设厅关于建设工程项目招标中标后监督检查的办法》（粤建市〔2009〕8 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580E3EA9">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4.11现场管理</w:t>
      </w:r>
    </w:p>
    <w:p w14:paraId="0AE5045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4.11.1 承包人在施工期间应严格遵守国家、广东省、韶关市有关绿色施工、文明施工、噪声扬尘、消防爆破、环境卫生、渣土清运、治安保卫等方面的规定，并建立相应规章制度和保障措施。否则由此造成的经济损失和法律责任，均由承包人承担。</w:t>
      </w:r>
    </w:p>
    <w:p w14:paraId="55ED1F9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4.11.2 承包人应按安全施工有关规定，采取严格、科学的安全防护措施，确保施工和人员（包括第三者）的安全，承担由自身安全防护措施不力所造成的安全事故责任和发生的费用。</w:t>
      </w:r>
    </w:p>
    <w:p w14:paraId="32948A52">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4.11.3 为保证施工现场的环境卫生，承包人在本招标项目施工过程中，所有的车辆必须按发包人规定的行车路线行驶。</w:t>
      </w:r>
    </w:p>
    <w:p w14:paraId="092C8ED4">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4.12 监督实施</w:t>
      </w:r>
    </w:p>
    <w:p w14:paraId="709B760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4FB499D6">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4.13主材的采购和使用</w:t>
      </w:r>
    </w:p>
    <w:p w14:paraId="088C224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0767EDD6">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4.14竣工资料移交</w:t>
      </w:r>
    </w:p>
    <w:p w14:paraId="3782E7E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项目竣工验收时，承包人应向监理单位和发包人提供符合国家档案部门备案要求的，编制成册的竣工图及有关的技术档案资料（含声像档案）一式四份。</w:t>
      </w:r>
    </w:p>
    <w:p w14:paraId="7EB27D35">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4.15质量保证</w:t>
      </w:r>
    </w:p>
    <w:p w14:paraId="5D2B627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4.15.1 本招标项目缺陷责任期为两年（自通过竣工验收之日起计），在此期间预留金额为结算价3%的质量保证。</w:t>
      </w:r>
    </w:p>
    <w:p w14:paraId="5DC84D77">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4.15.2 质量保证的形式包括质量保证金、质量保证担保、质量保证保险三种，由承包人自主选择。</w:t>
      </w:r>
    </w:p>
    <w:p w14:paraId="69E331BE">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（1）采用质量保证金形式的，在结清审定总造价时一次性扣留相应金额作为质量保证金。</w:t>
      </w:r>
    </w:p>
    <w:p w14:paraId="1E44F8B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p>
    <w:p w14:paraId="617896A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4.15.3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1610D742">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由他人原因造成的缺陷，发包人负责组织维修，承包人不承担费用，且发包人不得从质量保证中扣除费用。</w:t>
      </w:r>
    </w:p>
    <w:p w14:paraId="0792FF2C">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4.15.4 缺陷责任期内，承包人应认真履行合同约定的责任。缺陷责任期到期后，承包人向发包人申请退还质量保证金，发包人应按照《建设工程质量保证金管理办法》有关规定将质量保证金退还给承包人。</w:t>
      </w:r>
    </w:p>
    <w:p w14:paraId="79C45952">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4.16不良行为处理</w:t>
      </w:r>
    </w:p>
    <w:p w14:paraId="2FF22B7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Cs/>
          <w:snapToGrid w:val="0"/>
          <w:color w:val="auto"/>
          <w:kern w:val="0"/>
          <w:sz w:val="24"/>
          <w:szCs w:val="24"/>
          <w:highlight w:val="none"/>
          <w:lang w:val="en-US" w:eastAsia="zh-CN"/>
        </w:rPr>
        <w:t>承包人及其有关人员有下列行为之一的，发包人应及时向建设行政主管部门报告。</w:t>
      </w:r>
    </w:p>
    <w:p w14:paraId="31A235D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（1）转包、违法分包或违反投标承诺分包工程的；</w:t>
      </w:r>
    </w:p>
    <w:p w14:paraId="5CD72E3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（2）非原参加投标中标的项目经理负责组织施工或在实施过程中擅自更换项目经理的、项目的其他主要管理人员与中标文件确定的人员不相符的；</w:t>
      </w:r>
    </w:p>
    <w:p w14:paraId="6B146707">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（3）投标文件确定的大型机械设备没有进入施工现场的；</w:t>
      </w:r>
    </w:p>
    <w:p w14:paraId="22D891B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（4）与建设单位、监理单位串通，签认虚假工程量或工程造价的；</w:t>
      </w:r>
    </w:p>
    <w:p w14:paraId="4EC641B2">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（5）项目经理施工现场管理不到位的；</w:t>
      </w:r>
    </w:p>
    <w:p w14:paraId="6E45087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（6）项目经理在非本人资格证书注册单位从事工程项目施工管理的；</w:t>
      </w:r>
    </w:p>
    <w:p w14:paraId="707D0CD7">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（7）项目经理同时承担超过一项工程项目的；</w:t>
      </w:r>
    </w:p>
    <w:p w14:paraId="0C4495E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（8）违反有关法律、法规、规章规定的其它行为。</w:t>
      </w:r>
    </w:p>
    <w:p w14:paraId="38102361">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4.17 信用评价条款内容</w:t>
      </w:r>
    </w:p>
    <w:p w14:paraId="0B58ACC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由发包人决定是否对施工单位的履约情况进行信用评价。若进行信用评价，评价条款由发包人自拟，条款内容可参考人员到位情况、服务配合程度、服务成果质量、项目后期服务及信用评价结果的运用等。</w:t>
      </w:r>
    </w:p>
    <w:p w14:paraId="3994E860">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 xml:space="preserve">4.18 </w:t>
      </w:r>
      <w:r>
        <w:rPr>
          <w:rFonts w:hint="eastAsia" w:ascii="宋体" w:hAnsi="宋体" w:eastAsia="宋体" w:cs="宋体"/>
          <w:b w:val="0"/>
          <w:bCs/>
          <w:snapToGrid w:val="0"/>
          <w:color w:val="auto"/>
          <w:kern w:val="0"/>
          <w:highlight w:val="none"/>
          <w:lang w:val="en-US" w:eastAsia="zh-CN"/>
        </w:rPr>
        <w:t>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07D0970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承包人应根据《危险性较大的分部分项工程安全管理规定》（住房城乡建设部令第37号）、《住房城乡建设部办公厅关于实施〈危险性较大的分部分项工程安全管理规定〉有关问题的通知》（建办质〔2018〕31号）、《广东省住房和城乡建设厅关于房屋市政工程危险性较大的分部分项工程安全管理的实施细则的通知》（粤建规范〔2019〕2号）和《广东省安全生产委员会办公室 广东省住房和城乡建设厅关于〈严格落实危险性较大的分部分项工程“六不施工”要求的通知》（粤安办〔2020〕151号）等有关危险性较大的分部分项工程的法规规定通知，履行建设工程安全生产管理职责。</w:t>
      </w:r>
    </w:p>
    <w:p w14:paraId="68A4AE2E">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4.19</w:t>
      </w:r>
      <w:r>
        <w:rPr>
          <w:rFonts w:hint="eastAsia" w:ascii="宋体" w:hAnsi="宋体" w:eastAsia="宋体" w:cs="宋体"/>
          <w:b w:val="0"/>
          <w:bCs/>
          <w:snapToGrid w:val="0"/>
          <w:color w:val="auto"/>
          <w:kern w:val="0"/>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w:t>
      </w:r>
    </w:p>
    <w:p w14:paraId="1DCDD16C">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4.20</w:t>
      </w:r>
      <w:r>
        <w:rPr>
          <w:rFonts w:hint="eastAsia" w:ascii="宋体" w:hAnsi="宋体" w:eastAsia="宋体" w:cs="宋体"/>
          <w:b w:val="0"/>
          <w:bCs/>
          <w:snapToGrid w:val="0"/>
          <w:color w:val="auto"/>
          <w:kern w:val="0"/>
          <w:highlight w:val="none"/>
          <w:lang w:val="en-US" w:eastAsia="zh-CN"/>
        </w:rPr>
        <w:t xml:space="preserve"> 承包人须按照《韶关市建筑垃圾管理条例》（2021年5月1日起施行），将弃土运至发包人指定的场所，否则发包人有权要求承包人无条件将弃土从违约弃土点运至发包人指定的场所并扣除违约金人民币1万元/次。承包人对建筑垃圾须按《韶关市建筑垃圾管理条例》（2021年5月1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w:t>
      </w:r>
    </w:p>
    <w:p w14:paraId="6B90DE2A">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4.21</w:t>
      </w:r>
      <w:r>
        <w:rPr>
          <w:rFonts w:hint="eastAsia" w:ascii="宋体" w:hAnsi="宋体" w:eastAsia="宋体" w:cs="宋体"/>
          <w:b w:val="0"/>
          <w:bCs/>
          <w:snapToGrid w:val="0"/>
          <w:color w:val="auto"/>
          <w:kern w:val="0"/>
          <w:highlight w:val="none"/>
          <w:lang w:val="en-US" w:eastAsia="zh-CN"/>
        </w:rPr>
        <w:t xml:space="preserve"> 工程竣工验收后15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w:t>
      </w:r>
    </w:p>
    <w:p w14:paraId="204DE6A4">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4.22</w:t>
      </w:r>
      <w:r>
        <w:rPr>
          <w:rFonts w:hint="eastAsia" w:ascii="宋体" w:hAnsi="宋体" w:eastAsia="宋体" w:cs="宋体"/>
          <w:b w:val="0"/>
          <w:bCs/>
          <w:snapToGrid w:val="0"/>
          <w:color w:val="auto"/>
          <w:kern w:val="0"/>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1A8AAF16">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4.23</w:t>
      </w:r>
      <w:r>
        <w:rPr>
          <w:rFonts w:hint="eastAsia" w:ascii="宋体" w:hAnsi="宋体" w:eastAsia="宋体" w:cs="宋体"/>
          <w:b w:val="0"/>
          <w:bCs/>
          <w:snapToGrid w:val="0"/>
          <w:color w:val="auto"/>
          <w:kern w:val="0"/>
          <w:highlight w:val="none"/>
          <w:lang w:val="en-US" w:eastAsia="zh-CN"/>
        </w:rPr>
        <w:t xml:space="preserve"> 承包人中标后必须按规定及时缴交工人工资保证金、环境噪声排污费等。</w:t>
      </w:r>
    </w:p>
    <w:p w14:paraId="3DB9E688">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 xml:space="preserve">4.24 </w:t>
      </w:r>
      <w:r>
        <w:rPr>
          <w:rFonts w:hint="eastAsia" w:ascii="宋体" w:hAnsi="宋体" w:eastAsia="宋体" w:cs="宋体"/>
          <w:b w:val="0"/>
          <w:bCs/>
          <w:snapToGrid w:val="0"/>
          <w:color w:val="auto"/>
          <w:kern w:val="0"/>
          <w:highlight w:val="none"/>
          <w:lang w:val="en-US" w:eastAsia="zh-CN"/>
        </w:rPr>
        <w:t>工程质量保修期按《中华人民共和国建筑法》、《建设工程质量管理条例》等相关规定实施。</w:t>
      </w:r>
    </w:p>
    <w:p w14:paraId="4DBFBF80">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4.25</w:t>
      </w:r>
      <w:r>
        <w:rPr>
          <w:rFonts w:hint="eastAsia" w:ascii="宋体" w:hAnsi="宋体" w:eastAsia="宋体" w:cs="宋体"/>
          <w:b w:val="0"/>
          <w:bCs/>
          <w:snapToGrid w:val="0"/>
          <w:color w:val="auto"/>
          <w:kern w:val="0"/>
          <w:highlight w:val="none"/>
          <w:lang w:val="en-US" w:eastAsia="zh-CN"/>
        </w:rPr>
        <w:t xml:space="preserve"> 如项目实施过程中发生了工程变更及工程签证，承包人需根据发包人发布的工程变更管理办法和工程签证管理办法完善工程变更签证相关程序。</w:t>
      </w:r>
    </w:p>
    <w:p w14:paraId="494FB71A">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4.26</w:t>
      </w:r>
      <w:r>
        <w:rPr>
          <w:rFonts w:hint="eastAsia" w:ascii="宋体" w:hAnsi="宋体" w:eastAsia="宋体" w:cs="宋体"/>
          <w:b w:val="0"/>
          <w:bCs/>
          <w:snapToGrid w:val="0"/>
          <w:color w:val="auto"/>
          <w:kern w:val="0"/>
          <w:highlight w:val="none"/>
          <w:lang w:val="en-US" w:eastAsia="zh-CN"/>
        </w:rPr>
        <w:t xml:space="preserve"> 承包人需按相关规定要求，设置本工程符合相关要求的永久性标牌及规划公示牌，投标人在投标报价时综合考虑在报价内，发包人不另行支付该部分费用。</w:t>
      </w:r>
    </w:p>
    <w:p w14:paraId="57E6A72D">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 xml:space="preserve">4.27 </w:t>
      </w:r>
      <w:r>
        <w:rPr>
          <w:rFonts w:hint="eastAsia" w:ascii="宋体" w:hAnsi="宋体" w:eastAsia="宋体" w:cs="宋体"/>
          <w:b w:val="0"/>
          <w:bCs/>
          <w:snapToGrid w:val="0"/>
          <w:color w:val="auto"/>
          <w:kern w:val="0"/>
          <w:highlight w:val="none"/>
          <w:lang w:val="en-US" w:eastAsia="zh-CN"/>
        </w:rPr>
        <w:t>承包人应按韶关市住房和城乡建设管理局、韶关市人力资源和社会保障局等职能部门对用工实名制的相关规定，落实工人及相关软硬件设施要求。</w:t>
      </w:r>
    </w:p>
    <w:p w14:paraId="77949634">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rPr>
      </w:pPr>
      <w:r>
        <w:rPr>
          <w:rFonts w:hint="eastAsia" w:ascii="宋体" w:hAnsi="宋体" w:eastAsia="宋体" w:cs="宋体"/>
          <w:b/>
          <w:bCs w:val="0"/>
          <w:snapToGrid w:val="0"/>
          <w:color w:val="auto"/>
          <w:kern w:val="0"/>
          <w:highlight w:val="none"/>
          <w:lang w:val="en-US" w:eastAsia="zh-CN"/>
        </w:rPr>
        <w:t>其他相关条款</w:t>
      </w:r>
      <w:r>
        <w:rPr>
          <w:rFonts w:hint="eastAsia" w:ascii="宋体" w:hAnsi="宋体" w:eastAsia="宋体" w:cs="宋体"/>
          <w:b/>
          <w:bCs w:val="0"/>
          <w:snapToGrid w:val="0"/>
          <w:color w:val="auto"/>
          <w:kern w:val="0"/>
          <w:highlight w:val="none"/>
        </w:rPr>
        <w:t>由招标人根据本工程实际</w:t>
      </w:r>
      <w:r>
        <w:rPr>
          <w:rFonts w:hint="eastAsia" w:ascii="宋体" w:hAnsi="宋体" w:eastAsia="宋体" w:cs="宋体"/>
          <w:b/>
          <w:bCs w:val="0"/>
          <w:snapToGrid w:val="0"/>
          <w:color w:val="auto"/>
          <w:kern w:val="0"/>
          <w:highlight w:val="none"/>
          <w:lang w:eastAsia="zh-CN"/>
        </w:rPr>
        <w:t>情况和地方政策</w:t>
      </w:r>
      <w:r>
        <w:rPr>
          <w:rFonts w:hint="eastAsia" w:ascii="宋体" w:hAnsi="宋体" w:eastAsia="宋体" w:cs="宋体"/>
          <w:b/>
          <w:bCs w:val="0"/>
          <w:snapToGrid w:val="0"/>
          <w:color w:val="auto"/>
          <w:kern w:val="0"/>
          <w:highlight w:val="none"/>
        </w:rPr>
        <w:t>与中标人自行协商</w:t>
      </w:r>
      <w:r>
        <w:rPr>
          <w:rFonts w:hint="eastAsia" w:ascii="宋体" w:hAnsi="宋体" w:eastAsia="宋体" w:cs="宋体"/>
          <w:b/>
          <w:bCs w:val="0"/>
          <w:snapToGrid w:val="0"/>
          <w:color w:val="auto"/>
          <w:kern w:val="0"/>
          <w:highlight w:val="none"/>
          <w:lang w:eastAsia="zh-CN"/>
        </w:rPr>
        <w:t>签订</w:t>
      </w:r>
      <w:r>
        <w:rPr>
          <w:rFonts w:hint="eastAsia" w:ascii="宋体" w:hAnsi="宋体" w:eastAsia="宋体" w:cs="宋体"/>
          <w:b/>
          <w:bCs w:val="0"/>
          <w:snapToGrid w:val="0"/>
          <w:color w:val="auto"/>
          <w:kern w:val="0"/>
          <w:highlight w:val="none"/>
        </w:rPr>
        <w:t>。</w:t>
      </w:r>
    </w:p>
    <w:p w14:paraId="50F53837">
      <w:pPr>
        <w:rPr>
          <w:rFonts w:hint="eastAsia" w:ascii="宋体" w:hAnsi="宋体" w:eastAsia="宋体" w:cs="宋体"/>
          <w:color w:val="auto"/>
          <w:kern w:val="2"/>
          <w:sz w:val="28"/>
          <w:szCs w:val="24"/>
          <w:lang w:eastAsia="zh-CN"/>
        </w:rPr>
      </w:pPr>
    </w:p>
    <w:p w14:paraId="0BF3CF33">
      <w:pPr>
        <w:rPr>
          <w:rFonts w:hint="eastAsia" w:ascii="宋体" w:hAnsi="宋体" w:eastAsia="宋体" w:cs="宋体"/>
          <w:color w:val="auto"/>
          <w:lang w:eastAsia="zh-CN"/>
        </w:rPr>
      </w:pPr>
    </w:p>
    <w:p w14:paraId="3193BBE6">
      <w:pPr>
        <w:rPr>
          <w:rFonts w:hint="eastAsia" w:ascii="宋体" w:hAnsi="宋体" w:eastAsia="宋体" w:cs="宋体"/>
          <w:color w:val="auto"/>
          <w:lang w:eastAsia="zh-CN"/>
        </w:rPr>
      </w:pPr>
    </w:p>
    <w:p w14:paraId="64B35585">
      <w:pPr>
        <w:rPr>
          <w:rFonts w:hint="eastAsia" w:ascii="宋体" w:hAnsi="宋体" w:eastAsia="宋体" w:cs="宋体"/>
          <w:color w:val="auto"/>
        </w:rPr>
      </w:pPr>
    </w:p>
    <w:p w14:paraId="48F75C72">
      <w:pPr>
        <w:rPr>
          <w:rFonts w:hint="eastAsia" w:ascii="宋体" w:hAnsi="宋体" w:eastAsia="宋体" w:cs="宋体"/>
          <w:color w:val="auto"/>
        </w:rPr>
      </w:pPr>
    </w:p>
    <w:p w14:paraId="0C3188C5">
      <w:pPr>
        <w:rPr>
          <w:rFonts w:hint="eastAsia" w:ascii="宋体" w:hAnsi="宋体" w:eastAsia="宋体" w:cs="宋体"/>
          <w:color w:val="auto"/>
        </w:rPr>
      </w:pPr>
    </w:p>
    <w:p w14:paraId="53144623">
      <w:pPr>
        <w:rPr>
          <w:rFonts w:hint="eastAsia" w:ascii="宋体" w:hAnsi="宋体" w:eastAsia="宋体" w:cs="宋体"/>
          <w:color w:val="auto"/>
        </w:rPr>
      </w:pPr>
    </w:p>
    <w:p w14:paraId="6BBC4AF6">
      <w:pPr>
        <w:rPr>
          <w:rFonts w:hint="eastAsia" w:ascii="宋体" w:hAnsi="宋体" w:eastAsia="宋体" w:cs="宋体"/>
          <w:color w:val="auto"/>
        </w:rPr>
      </w:pPr>
    </w:p>
    <w:p w14:paraId="00672DCD">
      <w:pPr>
        <w:rPr>
          <w:rFonts w:hint="eastAsia" w:ascii="宋体" w:hAnsi="宋体" w:eastAsia="宋体" w:cs="宋体"/>
          <w:color w:val="auto"/>
        </w:rPr>
      </w:pPr>
    </w:p>
    <w:p w14:paraId="46412247">
      <w:pPr>
        <w:rPr>
          <w:rFonts w:hint="eastAsia" w:ascii="宋体" w:hAnsi="宋体" w:eastAsia="宋体" w:cs="宋体"/>
          <w:color w:val="auto"/>
        </w:rPr>
      </w:pPr>
    </w:p>
    <w:p w14:paraId="3ACEB1B9">
      <w:pPr>
        <w:rPr>
          <w:rFonts w:hint="eastAsia" w:ascii="宋体" w:hAnsi="宋体" w:eastAsia="宋体" w:cs="宋体"/>
          <w:color w:val="auto"/>
        </w:rPr>
      </w:pPr>
    </w:p>
    <w:p w14:paraId="48582D91">
      <w:pPr>
        <w:rPr>
          <w:rFonts w:hint="eastAsia" w:ascii="宋体" w:hAnsi="宋体" w:eastAsia="宋体" w:cs="宋体"/>
          <w:color w:val="auto"/>
        </w:rPr>
      </w:pPr>
    </w:p>
    <w:p w14:paraId="508633A3">
      <w:pPr>
        <w:rPr>
          <w:rFonts w:hint="eastAsia" w:ascii="宋体" w:hAnsi="宋体" w:eastAsia="宋体" w:cs="宋体"/>
          <w:color w:val="auto"/>
        </w:rPr>
      </w:pPr>
    </w:p>
    <w:bookmarkEnd w:id="233"/>
    <w:bookmarkEnd w:id="234"/>
    <w:p w14:paraId="42B36EC3">
      <w:pPr>
        <w:rPr>
          <w:rFonts w:hint="eastAsia" w:ascii="宋体" w:hAnsi="宋体" w:eastAsia="宋体" w:cs="宋体"/>
          <w:color w:val="auto"/>
        </w:rPr>
      </w:pPr>
      <w:bookmarkStart w:id="235" w:name="_Toc22365"/>
      <w:bookmarkStart w:id="236" w:name="_Toc23902"/>
      <w:bookmarkStart w:id="237" w:name="_Toc23893"/>
      <w:bookmarkStart w:id="238" w:name="_Toc25616"/>
      <w:bookmarkStart w:id="239" w:name="_Toc28086"/>
      <w:bookmarkStart w:id="240" w:name="_Toc23090"/>
      <w:bookmarkStart w:id="241" w:name="_Toc17509"/>
      <w:bookmarkStart w:id="242" w:name="_Toc24572"/>
      <w:bookmarkStart w:id="243" w:name="_Toc24640"/>
      <w:bookmarkStart w:id="244" w:name="_Toc18368"/>
    </w:p>
    <w:p w14:paraId="4BB57E00">
      <w:pPr>
        <w:rPr>
          <w:rFonts w:hint="eastAsia" w:ascii="宋体" w:hAnsi="宋体" w:eastAsia="宋体" w:cs="宋体"/>
          <w:color w:val="auto"/>
        </w:rPr>
      </w:pPr>
    </w:p>
    <w:p w14:paraId="604E0DDC">
      <w:pPr>
        <w:rPr>
          <w:rFonts w:hint="eastAsia" w:ascii="宋体" w:hAnsi="宋体" w:eastAsia="宋体" w:cs="宋体"/>
          <w:color w:val="auto"/>
        </w:rPr>
      </w:pPr>
    </w:p>
    <w:p w14:paraId="1B78FD24">
      <w:pPr>
        <w:rPr>
          <w:rFonts w:hint="eastAsia" w:ascii="宋体" w:hAnsi="宋体" w:eastAsia="宋体" w:cs="宋体"/>
          <w:color w:val="auto"/>
        </w:rPr>
      </w:pPr>
    </w:p>
    <w:p w14:paraId="38126628">
      <w:pPr>
        <w:rPr>
          <w:rFonts w:hint="eastAsia" w:ascii="宋体" w:hAnsi="宋体" w:eastAsia="宋体" w:cs="宋体"/>
          <w:color w:val="auto"/>
        </w:rPr>
      </w:pPr>
    </w:p>
    <w:p w14:paraId="29430170">
      <w:pPr>
        <w:rPr>
          <w:rFonts w:hint="eastAsia" w:ascii="宋体" w:hAnsi="宋体" w:eastAsia="宋体" w:cs="宋体"/>
          <w:color w:val="auto"/>
        </w:rPr>
      </w:pPr>
    </w:p>
    <w:p w14:paraId="5783455D">
      <w:pPr>
        <w:rPr>
          <w:rFonts w:hint="eastAsia" w:ascii="宋体" w:hAnsi="宋体" w:eastAsia="宋体" w:cs="宋体"/>
          <w:color w:val="auto"/>
        </w:rPr>
      </w:pPr>
    </w:p>
    <w:p w14:paraId="7C81D37B">
      <w:pPr>
        <w:rPr>
          <w:rFonts w:hint="eastAsia" w:ascii="宋体" w:hAnsi="宋体" w:eastAsia="宋体" w:cs="宋体"/>
          <w:color w:val="auto"/>
        </w:rPr>
      </w:pPr>
    </w:p>
    <w:p w14:paraId="0F36A2E1">
      <w:pPr>
        <w:rPr>
          <w:rFonts w:hint="eastAsia" w:ascii="宋体" w:hAnsi="宋体" w:eastAsia="宋体" w:cs="宋体"/>
          <w:color w:val="auto"/>
        </w:rPr>
      </w:pPr>
    </w:p>
    <w:p w14:paraId="0AA11563">
      <w:pPr>
        <w:rPr>
          <w:rFonts w:hint="eastAsia" w:ascii="宋体" w:hAnsi="宋体" w:eastAsia="宋体" w:cs="宋体"/>
          <w:color w:val="auto"/>
        </w:rPr>
      </w:pPr>
    </w:p>
    <w:p w14:paraId="21522AB9">
      <w:pPr>
        <w:rPr>
          <w:rFonts w:hint="eastAsia" w:ascii="宋体" w:hAnsi="宋体" w:eastAsia="宋体" w:cs="宋体"/>
          <w:color w:val="auto"/>
        </w:rPr>
      </w:pPr>
    </w:p>
    <w:p w14:paraId="33AD548F">
      <w:pPr>
        <w:rPr>
          <w:rFonts w:hint="eastAsia" w:ascii="宋体" w:hAnsi="宋体" w:eastAsia="宋体" w:cs="宋体"/>
          <w:color w:val="auto"/>
        </w:rPr>
      </w:pPr>
    </w:p>
    <w:p w14:paraId="1C830926">
      <w:pPr>
        <w:rPr>
          <w:rFonts w:hint="eastAsia" w:ascii="宋体" w:hAnsi="宋体" w:eastAsia="宋体" w:cs="宋体"/>
          <w:color w:val="auto"/>
        </w:rPr>
      </w:pPr>
    </w:p>
    <w:p w14:paraId="4C0C649D">
      <w:pPr>
        <w:rPr>
          <w:rFonts w:hint="eastAsia" w:ascii="宋体" w:hAnsi="宋体" w:eastAsia="宋体" w:cs="宋体"/>
          <w:color w:val="auto"/>
        </w:rPr>
      </w:pPr>
    </w:p>
    <w:p w14:paraId="2A5E7B55">
      <w:pPr>
        <w:rPr>
          <w:rFonts w:hint="eastAsia" w:ascii="宋体" w:hAnsi="宋体" w:eastAsia="宋体" w:cs="宋体"/>
          <w:color w:val="auto"/>
        </w:rPr>
      </w:pPr>
    </w:p>
    <w:p w14:paraId="03C28F65">
      <w:pPr>
        <w:pStyle w:val="3"/>
        <w:keepLines w:val="0"/>
        <w:pageBreakBefore w:val="0"/>
        <w:widowControl w:val="0"/>
        <w:shd w:val="clear" w:color="auto" w:fill="auto"/>
        <w:tabs>
          <w:tab w:val="left" w:pos="1830"/>
        </w:tabs>
        <w:kinsoku/>
        <w:wordWrap/>
        <w:overflowPunct/>
        <w:topLinePunct w:val="0"/>
        <w:autoSpaceDE/>
        <w:autoSpaceDN/>
        <w:bidi w:val="0"/>
        <w:adjustRightInd/>
        <w:snapToGrid/>
        <w:spacing w:line="360" w:lineRule="exact"/>
        <w:ind w:left="0" w:firstLine="0"/>
        <w:jc w:val="center"/>
        <w:textAlignment w:val="auto"/>
        <w:rPr>
          <w:rStyle w:val="26"/>
          <w:rFonts w:hint="eastAsia" w:ascii="宋体" w:hAnsi="宋体" w:eastAsia="宋体" w:cs="宋体"/>
          <w:b/>
          <w:bCs/>
          <w:color w:val="auto"/>
          <w:highlight w:val="none"/>
        </w:rPr>
      </w:pPr>
      <w:bookmarkStart w:id="245" w:name="_Toc2470"/>
      <w:r>
        <w:rPr>
          <w:rFonts w:hint="eastAsia" w:ascii="宋体" w:hAnsi="宋体" w:eastAsia="宋体" w:cs="宋体"/>
          <w:color w:val="auto"/>
          <w:sz w:val="32"/>
          <w:szCs w:val="32"/>
          <w:highlight w:val="none"/>
        </w:rPr>
        <w:t>第四章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技术要求</w:t>
      </w:r>
      <w:bookmarkEnd w:id="230"/>
      <w:bookmarkEnd w:id="235"/>
      <w:bookmarkEnd w:id="236"/>
      <w:bookmarkEnd w:id="237"/>
      <w:bookmarkEnd w:id="238"/>
      <w:bookmarkEnd w:id="239"/>
      <w:bookmarkEnd w:id="240"/>
      <w:bookmarkEnd w:id="241"/>
      <w:bookmarkEnd w:id="242"/>
      <w:bookmarkEnd w:id="243"/>
      <w:bookmarkEnd w:id="244"/>
      <w:bookmarkEnd w:id="245"/>
    </w:p>
    <w:p w14:paraId="0DB6B6D3">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246" w:name="_Hlt69670335"/>
      <w:bookmarkEnd w:id="246"/>
      <w:bookmarkStart w:id="247" w:name="_Toc28606"/>
      <w:bookmarkStart w:id="248" w:name="_Toc4412"/>
      <w:r>
        <w:rPr>
          <w:rFonts w:hint="eastAsia" w:ascii="宋体" w:hAnsi="宋体" w:eastAsia="宋体" w:cs="宋体"/>
          <w:color w:val="auto"/>
          <w:kern w:val="2"/>
          <w:sz w:val="28"/>
          <w:szCs w:val="24"/>
          <w:lang w:val="en-US" w:eastAsia="zh-CN"/>
        </w:rPr>
        <w:t>1．房屋建筑工程建设项目</w:t>
      </w:r>
      <w:bookmarkEnd w:id="247"/>
      <w:bookmarkEnd w:id="248"/>
    </w:p>
    <w:p w14:paraId="229D24EB">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bookmarkStart w:id="249" w:name="_Hlt69359245"/>
      <w:bookmarkEnd w:id="249"/>
      <w:bookmarkStart w:id="250" w:name="_Hlt69635252"/>
      <w:bookmarkEnd w:id="250"/>
      <w:bookmarkStart w:id="251" w:name="_Hlt69358458"/>
      <w:bookmarkEnd w:id="251"/>
      <w:bookmarkStart w:id="252" w:name="_Hlt69359086"/>
      <w:bookmarkEnd w:id="252"/>
      <w:bookmarkStart w:id="253" w:name="_Hlt78709799"/>
      <w:bookmarkEnd w:id="253"/>
      <w:bookmarkStart w:id="254" w:name="_Hlt69116858"/>
      <w:bookmarkEnd w:id="254"/>
      <w:bookmarkStart w:id="255" w:name="_Hlt69359243"/>
      <w:bookmarkEnd w:id="255"/>
      <w:r>
        <w:rPr>
          <w:rFonts w:hint="eastAsia" w:ascii="宋体" w:hAnsi="宋体" w:eastAsia="宋体" w:cs="宋体"/>
          <w:bCs/>
          <w:snapToGrid w:val="0"/>
          <w:color w:val="auto"/>
          <w:kern w:val="0"/>
          <w:sz w:val="24"/>
          <w:szCs w:val="24"/>
          <w:highlight w:val="none"/>
        </w:rPr>
        <w:t>房屋建筑工程建设项目必须执行的现行技术规范，包括且不限于：</w:t>
      </w:r>
    </w:p>
    <w:p w14:paraId="148BECE4">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（1）《建筑工程施工质量验收统一标准》；</w:t>
      </w:r>
    </w:p>
    <w:p w14:paraId="05189E60">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（2）《建筑地基基础工程施工质量验收规范》；</w:t>
      </w:r>
    </w:p>
    <w:p w14:paraId="6337B864">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（3）《砌体工程施工质量验收规范》；</w:t>
      </w:r>
    </w:p>
    <w:p w14:paraId="5552DFEA">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（4）《混凝土结构工程施工质量验收规范》；</w:t>
      </w:r>
    </w:p>
    <w:p w14:paraId="11FC865A">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（5）《屋面工程质量验收规范》；</w:t>
      </w:r>
    </w:p>
    <w:p w14:paraId="5A206436">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（6）《地下防水工程质量验收规范》；</w:t>
      </w:r>
    </w:p>
    <w:p w14:paraId="292AB7E5">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（7）</w:t>
      </w:r>
      <w:bookmarkStart w:id="256" w:name="_Hlt78795211"/>
      <w:bookmarkEnd w:id="256"/>
      <w:r>
        <w:rPr>
          <w:rFonts w:hint="eastAsia" w:ascii="宋体" w:hAnsi="宋体" w:eastAsia="宋体" w:cs="宋体"/>
          <w:bCs/>
          <w:snapToGrid w:val="0"/>
          <w:color w:val="auto"/>
          <w:kern w:val="0"/>
          <w:sz w:val="24"/>
          <w:szCs w:val="24"/>
          <w:highlight w:val="none"/>
        </w:rPr>
        <w:t>《建筑地面工程施工质量验收规范》；</w:t>
      </w:r>
    </w:p>
    <w:p w14:paraId="1864BD4D">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（8）《建筑装饰装修工程施工质量验收规范》；</w:t>
      </w:r>
    </w:p>
    <w:p w14:paraId="75B07531">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（9）《建筑给排水及采暖工程施工质量验收规范》；</w:t>
      </w:r>
    </w:p>
    <w:p w14:paraId="5072D1DC">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（10）《建筑电气工程施工质量验收规范》；</w:t>
      </w:r>
    </w:p>
    <w:p w14:paraId="39369A3D">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（11）《住建部绿色建筑评价标准》；</w:t>
      </w:r>
    </w:p>
    <w:p w14:paraId="5AA50A68">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（12）《建筑节能与可再生能源利用通用规范》（GB55015-2021）；</w:t>
      </w:r>
    </w:p>
    <w:p w14:paraId="4B967864">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（13）《建筑环境通用规范》；</w:t>
      </w:r>
    </w:p>
    <w:p w14:paraId="62EA2DB8">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（14）《建筑与市政工程无障碍通用规范》 GB 55019-2021；</w:t>
      </w:r>
    </w:p>
    <w:p w14:paraId="4371ECF5">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（15）《建筑防火通用规范》GB 55037-2022;</w:t>
      </w:r>
    </w:p>
    <w:p w14:paraId="7BD3245B">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（16）《建筑与市政工程抗震通用规范》GB55002-2001;</w:t>
      </w:r>
    </w:p>
    <w:p w14:paraId="00ADB6FB">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（17）《建筑与市政地基基础通用规范》GB55003-2001;</w:t>
      </w:r>
    </w:p>
    <w:p w14:paraId="254DDDFD">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（18）《广东省住房和城乡建设厅绿色施工导则》；</w:t>
      </w:r>
    </w:p>
    <w:p w14:paraId="794359FA">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（19）《广东省建筑工程绿色施工评价标准》；</w:t>
      </w:r>
    </w:p>
    <w:p w14:paraId="4A3D81D1">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（20）《广东省建筑节能与绿色建筑工程施工质量验收规范》</w:t>
      </w:r>
    </w:p>
    <w:p w14:paraId="11D0A5B8">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（21）其他现行国家、广东省关于房建工程的施工及验收规范、定额、规程、标准。</w:t>
      </w:r>
    </w:p>
    <w:p w14:paraId="20E6CA74">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257" w:name="_Toc2532"/>
      <w:bookmarkStart w:id="258" w:name="_Toc16940"/>
      <w:bookmarkStart w:id="259" w:name="_Toc18760"/>
      <w:bookmarkStart w:id="260" w:name="_Toc21871"/>
      <w:r>
        <w:rPr>
          <w:rFonts w:hint="eastAsia" w:ascii="宋体" w:hAnsi="宋体" w:eastAsia="宋体" w:cs="宋体"/>
          <w:color w:val="auto"/>
          <w:kern w:val="2"/>
          <w:sz w:val="28"/>
          <w:szCs w:val="24"/>
          <w:lang w:val="en-US" w:eastAsia="zh-CN"/>
        </w:rPr>
        <w:t>2．市政基础设施工程建设项目</w:t>
      </w:r>
      <w:bookmarkEnd w:id="257"/>
      <w:bookmarkEnd w:id="258"/>
      <w:bookmarkEnd w:id="259"/>
      <w:bookmarkEnd w:id="260"/>
    </w:p>
    <w:p w14:paraId="471BE1B1">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市政基础设施工程建设项目必须执行的现行技术规范，包括且不限于：</w:t>
      </w:r>
    </w:p>
    <w:p w14:paraId="6F4C5B98">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（1）《公路路基施工技术规范》；</w:t>
      </w:r>
    </w:p>
    <w:p w14:paraId="245DD4B6">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（2）《市政道路工程质量检验评定标准》；</w:t>
      </w:r>
    </w:p>
    <w:p w14:paraId="7349848D">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（3）《市政排水管渠工程质量检验评定标准》；</w:t>
      </w:r>
    </w:p>
    <w:p w14:paraId="3D62AB6B">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（4）《给水排水管道工程施工及验收规范》；</w:t>
      </w:r>
    </w:p>
    <w:p w14:paraId="33DDD550">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（5）《城市道路路基工程施工及验收规范》；</w:t>
      </w:r>
    </w:p>
    <w:p w14:paraId="450ED933">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（6）《水泥砼路面施工及验收规范》；</w:t>
      </w:r>
    </w:p>
    <w:p w14:paraId="1ECFAF08">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（7）《公路水泥砼路面施工技术规范》；</w:t>
      </w:r>
    </w:p>
    <w:p w14:paraId="02226B78">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（8）《埋地硬聚氯乙烯排水管道工程技术规程》；</w:t>
      </w:r>
    </w:p>
    <w:p w14:paraId="74220EBB">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（9）《沥青路面施工及验收规范》；</w:t>
      </w:r>
    </w:p>
    <w:p w14:paraId="76F35EA6">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（10）《广东省市政工程施工质量技术资料统一用表》。</w:t>
      </w:r>
    </w:p>
    <w:p w14:paraId="7FCFC536">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（11）《建筑与市政工程无障碍通用规范》 GB 55019-2021；</w:t>
      </w:r>
    </w:p>
    <w:p w14:paraId="2B2A66E4">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（12）《建筑防火通用规范》GB 55037-2022;</w:t>
      </w:r>
    </w:p>
    <w:p w14:paraId="46BD6007">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（13）《建筑与市政工程抗震通用规范》GB55002-2001;</w:t>
      </w:r>
    </w:p>
    <w:p w14:paraId="7392B48D">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（14）《建筑与市政地基基础通用规范》GB55003-2001;</w:t>
      </w:r>
    </w:p>
    <w:p w14:paraId="232B3A10">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（15）《城市道路照明设计标准》（CJJ45-2015）；</w:t>
      </w:r>
    </w:p>
    <w:p w14:paraId="260452D0">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（16）《低压配电设计规范》（GB50054-2011）；</w:t>
      </w:r>
    </w:p>
    <w:p w14:paraId="1F25BD95">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（17）《城市道路照明工程施工及验收规程》（CJJ89-2012）；</w:t>
      </w:r>
    </w:p>
    <w:p w14:paraId="7400CC6E">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（18）《LED 道路照明工程技术规范》（DB44/T 1898-2016）；</w:t>
      </w:r>
    </w:p>
    <w:p w14:paraId="4E9AA8C7">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（19）《灯具第 1 部分：一般要求与试验》（GB7000.1-2015）；</w:t>
      </w:r>
    </w:p>
    <w:p w14:paraId="3C598DAE">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（20）《电缆工程电缆设计标准》（GB50217-2018）；</w:t>
      </w:r>
    </w:p>
    <w:p w14:paraId="6A6F8CE5">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auto"/>
        </w:rPr>
      </w:pPr>
      <w:r>
        <w:rPr>
          <w:rFonts w:hint="eastAsia" w:ascii="宋体" w:hAnsi="宋体" w:eastAsia="宋体" w:cs="宋体"/>
          <w:bCs/>
          <w:snapToGrid w:val="0"/>
          <w:color w:val="auto"/>
          <w:kern w:val="0"/>
          <w:sz w:val="24"/>
          <w:szCs w:val="24"/>
          <w:highlight w:val="none"/>
        </w:rPr>
        <w:t>（21）其他现行国家、广东省关于市政工程的技术及验收规范、定额、规程、标准。</w:t>
      </w:r>
      <w:bookmarkStart w:id="261" w:name="_Toc23373"/>
      <w:bookmarkStart w:id="262" w:name="_Toc29846"/>
      <w:bookmarkStart w:id="263" w:name="_Toc641"/>
    </w:p>
    <w:p w14:paraId="7C6DEB14">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264" w:name="_Toc15606"/>
      <w:bookmarkStart w:id="265" w:name="_Toc11332"/>
      <w:r>
        <w:rPr>
          <w:rFonts w:hint="eastAsia" w:ascii="宋体" w:hAnsi="宋体" w:eastAsia="宋体" w:cs="宋体"/>
          <w:color w:val="auto"/>
          <w:kern w:val="2"/>
          <w:sz w:val="28"/>
          <w:szCs w:val="24"/>
          <w:lang w:val="en-US" w:eastAsia="zh-CN"/>
        </w:rPr>
        <w:t>3．备查要求</w:t>
      </w:r>
      <w:bookmarkEnd w:id="261"/>
      <w:bookmarkEnd w:id="262"/>
      <w:bookmarkEnd w:id="263"/>
      <w:bookmarkEnd w:id="264"/>
      <w:bookmarkEnd w:id="265"/>
    </w:p>
    <w:p w14:paraId="15F86A85">
      <w:pPr>
        <w:pageBreakBefore w:val="0"/>
        <w:widowControl/>
        <w:shd w:val="clear" w:color="auto" w:fill="auto"/>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人必须在施工现场准备至少一套上述规范，</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人和监理单位可随时检查</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人的上述规范，并监督</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人按规范要求执行。</w:t>
      </w:r>
    </w:p>
    <w:p w14:paraId="06E5DBD1">
      <w:pPr>
        <w:rPr>
          <w:rFonts w:hint="eastAsia" w:ascii="宋体" w:hAnsi="宋体" w:eastAsia="宋体" w:cs="宋体"/>
          <w:color w:val="auto"/>
        </w:rPr>
      </w:pPr>
    </w:p>
    <w:p w14:paraId="3F5F7AF8">
      <w:pPr>
        <w:rPr>
          <w:rFonts w:hint="eastAsia" w:ascii="宋体" w:hAnsi="宋体" w:eastAsia="宋体" w:cs="宋体"/>
          <w:color w:val="auto"/>
        </w:rPr>
      </w:pPr>
    </w:p>
    <w:p w14:paraId="4D329FB6">
      <w:pPr>
        <w:rPr>
          <w:rFonts w:hint="eastAsia" w:ascii="宋体" w:hAnsi="宋体" w:eastAsia="宋体" w:cs="宋体"/>
          <w:color w:val="auto"/>
        </w:rPr>
      </w:pPr>
    </w:p>
    <w:p w14:paraId="0A753951">
      <w:pPr>
        <w:rPr>
          <w:rFonts w:hint="eastAsia" w:ascii="宋体" w:hAnsi="宋体" w:eastAsia="宋体" w:cs="宋体"/>
          <w:color w:val="auto"/>
        </w:rPr>
      </w:pPr>
    </w:p>
    <w:p w14:paraId="7567FD7C">
      <w:pPr>
        <w:rPr>
          <w:rFonts w:hint="eastAsia" w:ascii="宋体" w:hAnsi="宋体" w:eastAsia="宋体" w:cs="宋体"/>
          <w:color w:val="auto"/>
        </w:rPr>
      </w:pPr>
    </w:p>
    <w:p w14:paraId="12191B4E">
      <w:pPr>
        <w:rPr>
          <w:rFonts w:hint="eastAsia" w:ascii="宋体" w:hAnsi="宋体" w:eastAsia="宋体" w:cs="宋体"/>
          <w:color w:val="auto"/>
        </w:rPr>
      </w:pPr>
    </w:p>
    <w:p w14:paraId="05C9C55D">
      <w:pPr>
        <w:rPr>
          <w:rFonts w:hint="eastAsia" w:ascii="宋体" w:hAnsi="宋体" w:eastAsia="宋体" w:cs="宋体"/>
          <w:color w:val="auto"/>
        </w:rPr>
      </w:pPr>
    </w:p>
    <w:p w14:paraId="25078F31">
      <w:pPr>
        <w:rPr>
          <w:rFonts w:hint="eastAsia" w:ascii="宋体" w:hAnsi="宋体" w:eastAsia="宋体" w:cs="宋体"/>
          <w:color w:val="auto"/>
        </w:rPr>
      </w:pPr>
    </w:p>
    <w:p w14:paraId="1C49A6F0">
      <w:pPr>
        <w:rPr>
          <w:rFonts w:hint="eastAsia" w:ascii="宋体" w:hAnsi="宋体" w:eastAsia="宋体" w:cs="宋体"/>
          <w:color w:val="auto"/>
        </w:rPr>
      </w:pPr>
    </w:p>
    <w:p w14:paraId="427388D0">
      <w:pPr>
        <w:rPr>
          <w:rFonts w:hint="eastAsia" w:ascii="宋体" w:hAnsi="宋体" w:eastAsia="宋体" w:cs="宋体"/>
          <w:color w:val="auto"/>
        </w:rPr>
      </w:pPr>
    </w:p>
    <w:p w14:paraId="36DA6DA7">
      <w:pPr>
        <w:rPr>
          <w:rFonts w:hint="eastAsia" w:ascii="宋体" w:hAnsi="宋体" w:eastAsia="宋体" w:cs="宋体"/>
          <w:color w:val="auto"/>
        </w:rPr>
      </w:pPr>
    </w:p>
    <w:p w14:paraId="3A1D1C4A">
      <w:pPr>
        <w:rPr>
          <w:rFonts w:hint="eastAsia" w:ascii="宋体" w:hAnsi="宋体" w:eastAsia="宋体" w:cs="宋体"/>
          <w:color w:val="auto"/>
        </w:rPr>
      </w:pPr>
    </w:p>
    <w:p w14:paraId="06B36701">
      <w:pPr>
        <w:pStyle w:val="3"/>
        <w:keepLines w:val="0"/>
        <w:pageBreakBefore w:val="0"/>
        <w:widowControl w:val="0"/>
        <w:shd w:val="clear" w:color="auto" w:fill="auto"/>
        <w:tabs>
          <w:tab w:val="left" w:pos="1830"/>
        </w:tabs>
        <w:kinsoku/>
        <w:wordWrap/>
        <w:overflowPunct/>
        <w:topLinePunct w:val="0"/>
        <w:autoSpaceDE/>
        <w:autoSpaceDN/>
        <w:bidi w:val="0"/>
        <w:adjustRightInd/>
        <w:snapToGrid/>
        <w:spacing w:line="360" w:lineRule="exact"/>
        <w:ind w:left="0" w:firstLine="0"/>
        <w:jc w:val="center"/>
        <w:textAlignment w:val="auto"/>
        <w:rPr>
          <w:rFonts w:hint="eastAsia" w:ascii="宋体" w:hAnsi="宋体" w:eastAsia="宋体" w:cs="宋体"/>
          <w:color w:val="auto"/>
        </w:rPr>
      </w:pPr>
      <w:bookmarkStart w:id="266" w:name="_Toc26762"/>
      <w:bookmarkStart w:id="267" w:name="_Toc8569"/>
      <w:bookmarkStart w:id="268" w:name="_Toc9956"/>
      <w:bookmarkStart w:id="269" w:name="_Toc2426"/>
      <w:bookmarkStart w:id="270" w:name="_Toc13751"/>
      <w:bookmarkStart w:id="271" w:name="_Toc20376"/>
      <w:bookmarkStart w:id="272" w:name="_Toc30591"/>
      <w:bookmarkStart w:id="273" w:name="_Toc26068"/>
      <w:bookmarkStart w:id="274" w:name="_Toc2224"/>
      <w:bookmarkStart w:id="275" w:name="_Toc29718"/>
      <w:bookmarkStart w:id="276" w:name="_Toc11187"/>
      <w:bookmarkStart w:id="277" w:name="_Toc27255"/>
      <w:r>
        <w:rPr>
          <w:rFonts w:hint="eastAsia" w:ascii="宋体" w:hAnsi="宋体" w:eastAsia="宋体" w:cs="宋体"/>
          <w:color w:val="auto"/>
          <w:sz w:val="32"/>
          <w:szCs w:val="32"/>
          <w:highlight w:val="none"/>
        </w:rPr>
        <w:t>第五章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图纸和招标工程量清单</w:t>
      </w:r>
      <w:bookmarkEnd w:id="266"/>
      <w:bookmarkEnd w:id="267"/>
      <w:bookmarkEnd w:id="268"/>
      <w:bookmarkEnd w:id="269"/>
      <w:bookmarkEnd w:id="270"/>
      <w:bookmarkEnd w:id="271"/>
      <w:bookmarkEnd w:id="272"/>
      <w:bookmarkEnd w:id="273"/>
      <w:bookmarkEnd w:id="274"/>
      <w:bookmarkEnd w:id="275"/>
      <w:bookmarkEnd w:id="276"/>
      <w:bookmarkEnd w:id="277"/>
    </w:p>
    <w:p w14:paraId="18FFA09E">
      <w:pPr>
        <w:keepNext w:val="0"/>
        <w:keepLines w:val="0"/>
        <w:pageBreakBefore w:val="0"/>
        <w:widowControl/>
        <w:suppressLineNumbers w:val="0"/>
        <w:kinsoku/>
        <w:wordWrap/>
        <w:overflowPunct/>
        <w:topLinePunct w:val="0"/>
        <w:autoSpaceDE/>
        <w:autoSpaceDN/>
        <w:bidi w:val="0"/>
        <w:adjustRightInd/>
        <w:snapToGrid/>
        <w:spacing w:after="328" w:afterLines="100"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□有，另附复印件 ☑有，自行网上下载（浏览）  □无</w:t>
      </w:r>
    </w:p>
    <w:p w14:paraId="3F322190">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278" w:name="_Toc6732"/>
      <w:r>
        <w:rPr>
          <w:rFonts w:hint="eastAsia" w:ascii="宋体" w:hAnsi="宋体" w:eastAsia="宋体" w:cs="宋体"/>
          <w:color w:val="auto"/>
          <w:kern w:val="2"/>
          <w:sz w:val="28"/>
          <w:szCs w:val="24"/>
          <w:lang w:val="en-US" w:eastAsia="zh-CN"/>
        </w:rPr>
        <w:t>1．图纸</w:t>
      </w:r>
      <w:bookmarkEnd w:id="278"/>
    </w:p>
    <w:p w14:paraId="7BA4C5D8">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highlight w:val="none"/>
        </w:rPr>
        <w:t>本工程</w:t>
      </w:r>
      <w:r>
        <w:rPr>
          <w:rFonts w:hint="eastAsia" w:ascii="宋体" w:hAnsi="宋体" w:eastAsia="宋体" w:cs="宋体"/>
          <w:snapToGrid w:val="0"/>
          <w:color w:val="auto"/>
          <w:kern w:val="0"/>
          <w:highlight w:val="none"/>
          <w:lang w:val="en-US" w:eastAsia="zh-CN"/>
        </w:rPr>
        <w:t>图纸</w:t>
      </w:r>
      <w:r>
        <w:rPr>
          <w:rFonts w:hint="eastAsia" w:ascii="宋体" w:hAnsi="宋体" w:eastAsia="宋体" w:cs="宋体"/>
          <w:snapToGrid w:val="0"/>
          <w:color w:val="auto"/>
          <w:kern w:val="0"/>
          <w:highlight w:val="none"/>
        </w:rPr>
        <w:t>在投标截止时间前15天以补充公告的形式在广东省招标投标监管网（http://zbtb.gd.gov.cn/login）、全国公共资源交易平台（广东省·韶关市）（https://ygp.gdzwfw.gov.cn/ggzy-portal/#/440200/index）网站公布，各投标人可在上述网站上自行下载。</w:t>
      </w:r>
    </w:p>
    <w:p w14:paraId="658D0D87">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279" w:name="_Toc8559"/>
      <w:r>
        <w:rPr>
          <w:rFonts w:hint="eastAsia" w:ascii="宋体" w:hAnsi="宋体" w:eastAsia="宋体" w:cs="宋体"/>
          <w:color w:val="auto"/>
          <w:kern w:val="2"/>
          <w:sz w:val="28"/>
          <w:szCs w:val="24"/>
          <w:lang w:val="en-US" w:eastAsia="zh-CN"/>
        </w:rPr>
        <w:t>2．招标工程量清单</w:t>
      </w:r>
      <w:bookmarkEnd w:id="279"/>
    </w:p>
    <w:p w14:paraId="40E1A063">
      <w:pPr>
        <w:pageBreakBefore w:val="0"/>
        <w:kinsoku/>
        <w:wordWrap w:val="0"/>
        <w:overflowPunct/>
        <w:topLinePunct w:val="0"/>
        <w:autoSpaceDE/>
        <w:autoSpaceDN/>
        <w:bidi w:val="0"/>
        <w:adjustRightInd w:val="0"/>
        <w:snapToGrid w:val="0"/>
        <w:spacing w:line="430" w:lineRule="exact"/>
        <w:ind w:firstLine="482"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本工程招标工程量清单在投标截止时间前15天以补充公告的形式在广东省招标投标监管网（http://zbtb.gd.gov.cn/login）、全国公共资源交易平台（广东省·韶关市）（https://ygp.gdzwfw.gov.cn/ggzy-portal/#/440200/index）网站公布，各投标人可在上述网站上自行下载。</w:t>
      </w:r>
    </w:p>
    <w:p w14:paraId="6ACCE8D9">
      <w:pPr>
        <w:keepNext w:val="0"/>
        <w:keepLines w:val="0"/>
        <w:pageBreakBefore w:val="0"/>
        <w:widowControl w:val="0"/>
        <w:kinsoku/>
        <w:wordWrap w:val="0"/>
        <w:overflowPunct/>
        <w:topLinePunct w:val="0"/>
        <w:autoSpaceDE/>
        <w:autoSpaceDN/>
        <w:bidi w:val="0"/>
        <w:adjustRightInd w:val="0"/>
        <w:snapToGrid w:val="0"/>
        <w:spacing w:line="43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本招标项目按照以下依据编制招标工程量清单</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完整</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软件版</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w:t>
      </w:r>
    </w:p>
    <w:p w14:paraId="62DA5493">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（1）《建设工程工程量清单计价标准》（GB50500—2024）；</w:t>
      </w:r>
    </w:p>
    <w:p w14:paraId="19ED9F03">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规定提交的要求招标人澄清的其他问题一起提交给招标人，招标人将根据实际情况决定是否颁发工程量清单的补充和</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或</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修改文件。</w:t>
      </w:r>
    </w:p>
    <w:p w14:paraId="290A4FCF">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（3）本招标工程量清单措施项目中的暂列金额、暂估价不得作为竞争性费用，投标报价必须按本招标工程量清单规定的金额填报。</w:t>
      </w:r>
    </w:p>
    <w:p w14:paraId="5198259E">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（4）投标报价使用的表格格式须按照《建设工程工程量清单计价标准》（GB50500—2024）。</w:t>
      </w:r>
    </w:p>
    <w:p w14:paraId="3213B230">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（5）《广东省建设工程计价依据</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2024</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》。具体包括</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《房屋建筑与装饰工程工程量计算标准》</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GB/T·50854-2024</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《市政工程工程量计算标准》</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GB/T·50857-2024</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《通用安装工程工程量计算标准》</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GB/T·50856-2024</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《园林绿化工程工程量计算标准》</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CB/T50858-2024</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等；</w:t>
      </w:r>
    </w:p>
    <w:p w14:paraId="13044B68">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）施工图及相关资料；</w:t>
      </w:r>
    </w:p>
    <w:p w14:paraId="330B97D0">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）招标文件；</w:t>
      </w:r>
    </w:p>
    <w:p w14:paraId="3B8E4BC5">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8</w:t>
      </w:r>
      <w:r>
        <w:rPr>
          <w:rFonts w:hint="eastAsia" w:ascii="宋体" w:hAnsi="宋体" w:eastAsia="宋体" w:cs="宋体"/>
          <w:snapToGrid w:val="0"/>
          <w:color w:val="auto"/>
          <w:kern w:val="0"/>
          <w:highlight w:val="none"/>
        </w:rPr>
        <w:t>）施工现场情况、地勘水文资料、工程特点及常规施工方案；</w:t>
      </w:r>
    </w:p>
    <w:p w14:paraId="210CFB08">
      <w:pPr>
        <w:rPr>
          <w:rFonts w:hint="eastAsia" w:ascii="宋体" w:hAnsi="宋体" w:eastAsia="宋体" w:cs="宋体"/>
          <w:color w:val="auto"/>
          <w:lang w:val="en-US" w:eastAsia="zh-CN"/>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9</w:t>
      </w:r>
      <w:r>
        <w:rPr>
          <w:rFonts w:hint="eastAsia" w:ascii="宋体" w:hAnsi="宋体" w:eastAsia="宋体" w:cs="宋体"/>
          <w:snapToGrid w:val="0"/>
          <w:color w:val="auto"/>
          <w:kern w:val="0"/>
          <w:highlight w:val="none"/>
        </w:rPr>
        <w:t>）与建设工程有关的标准、规范、技术资料、材料设备信息价或市场价格等。</w:t>
      </w:r>
    </w:p>
    <w:p w14:paraId="5DBE4AAB">
      <w:pPr>
        <w:pStyle w:val="3"/>
        <w:keepLines w:val="0"/>
        <w:pageBreakBefore w:val="0"/>
        <w:widowControl w:val="0"/>
        <w:shd w:val="clear" w:color="auto" w:fill="auto"/>
        <w:tabs>
          <w:tab w:val="left" w:pos="1830"/>
        </w:tabs>
        <w:kinsoku/>
        <w:wordWrap/>
        <w:overflowPunct/>
        <w:topLinePunct w:val="0"/>
        <w:autoSpaceDE/>
        <w:autoSpaceDN/>
        <w:bidi w:val="0"/>
        <w:adjustRightInd/>
        <w:snapToGrid/>
        <w:spacing w:line="360" w:lineRule="exact"/>
        <w:ind w:left="0" w:firstLine="0"/>
        <w:jc w:val="center"/>
        <w:textAlignment w:val="auto"/>
        <w:rPr>
          <w:rStyle w:val="26"/>
          <w:rFonts w:hint="eastAsia" w:ascii="宋体" w:hAnsi="宋体" w:eastAsia="宋体" w:cs="宋体"/>
          <w:b/>
          <w:bCs/>
          <w:color w:val="auto"/>
          <w:sz w:val="21"/>
          <w:szCs w:val="21"/>
          <w:highlight w:val="none"/>
        </w:rPr>
      </w:pPr>
      <w:bookmarkStart w:id="280" w:name="_Toc22611"/>
      <w:bookmarkStart w:id="281" w:name="_Toc20486"/>
      <w:bookmarkStart w:id="282" w:name="_Toc3301"/>
      <w:bookmarkStart w:id="283" w:name="_Toc23235"/>
      <w:bookmarkStart w:id="284" w:name="_Toc20961"/>
      <w:bookmarkStart w:id="285" w:name="_Toc18703"/>
      <w:bookmarkStart w:id="286" w:name="_Toc23933"/>
      <w:bookmarkStart w:id="287" w:name="_Toc27783"/>
      <w:bookmarkStart w:id="288" w:name="_Toc5605"/>
      <w:bookmarkStart w:id="289" w:name="_Toc11483"/>
      <w:bookmarkStart w:id="290" w:name="_Toc2024"/>
      <w:bookmarkStart w:id="291" w:name="_Toc23861"/>
      <w:r>
        <w:rPr>
          <w:rFonts w:hint="eastAsia" w:ascii="宋体" w:hAnsi="宋体" w:eastAsia="宋体" w:cs="宋体"/>
          <w:color w:val="auto"/>
          <w:sz w:val="32"/>
          <w:szCs w:val="32"/>
          <w:highlight w:val="none"/>
        </w:rPr>
        <w:t>第六章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投标文件格式</w:t>
      </w:r>
      <w:bookmarkEnd w:id="280"/>
      <w:bookmarkEnd w:id="281"/>
      <w:bookmarkEnd w:id="282"/>
      <w:bookmarkEnd w:id="283"/>
      <w:bookmarkEnd w:id="284"/>
      <w:bookmarkEnd w:id="285"/>
      <w:bookmarkEnd w:id="286"/>
      <w:bookmarkEnd w:id="287"/>
      <w:bookmarkEnd w:id="288"/>
      <w:bookmarkEnd w:id="289"/>
      <w:bookmarkEnd w:id="290"/>
      <w:bookmarkEnd w:id="291"/>
    </w:p>
    <w:p w14:paraId="62282AED">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292" w:name="_Toc18444"/>
      <w:bookmarkStart w:id="293" w:name="_Toc27729"/>
      <w:bookmarkStart w:id="294" w:name="_Toc319"/>
      <w:bookmarkStart w:id="295" w:name="_Toc8250"/>
      <w:bookmarkStart w:id="296" w:name="_Toc22593"/>
      <w:bookmarkStart w:id="297" w:name="_Toc8025"/>
      <w:bookmarkStart w:id="298" w:name="_Toc7724"/>
      <w:bookmarkStart w:id="299" w:name="_Toc2924"/>
      <w:bookmarkStart w:id="300" w:name="_Toc15531"/>
      <w:bookmarkStart w:id="301" w:name="_Toc26040"/>
      <w:bookmarkStart w:id="302" w:name="_Toc16570"/>
      <w:bookmarkStart w:id="303" w:name="_Toc16168"/>
      <w:r>
        <w:rPr>
          <w:rFonts w:hint="eastAsia" w:ascii="宋体" w:hAnsi="宋体" w:eastAsia="宋体" w:cs="宋体"/>
          <w:color w:val="auto"/>
          <w:kern w:val="2"/>
          <w:sz w:val="28"/>
          <w:szCs w:val="24"/>
          <w:lang w:val="en-US" w:eastAsia="zh-CN"/>
        </w:rPr>
        <w:t>格式一   封面</w:t>
      </w:r>
      <w:bookmarkEnd w:id="292"/>
      <w:bookmarkEnd w:id="293"/>
      <w:bookmarkEnd w:id="294"/>
      <w:bookmarkEnd w:id="295"/>
      <w:bookmarkEnd w:id="296"/>
      <w:bookmarkEnd w:id="297"/>
      <w:bookmarkEnd w:id="298"/>
      <w:bookmarkEnd w:id="299"/>
      <w:bookmarkEnd w:id="300"/>
      <w:bookmarkEnd w:id="301"/>
      <w:bookmarkEnd w:id="302"/>
      <w:bookmarkEnd w:id="303"/>
    </w:p>
    <w:p w14:paraId="7734159E">
      <w:pPr>
        <w:rPr>
          <w:rFonts w:hint="eastAsia" w:ascii="宋体" w:hAnsi="宋体" w:eastAsia="宋体" w:cs="宋体"/>
          <w:color w:val="auto"/>
        </w:rPr>
      </w:pPr>
    </w:p>
    <w:p w14:paraId="2BF943DF">
      <w:pPr>
        <w:rPr>
          <w:rFonts w:hint="eastAsia" w:ascii="宋体" w:hAnsi="宋体" w:eastAsia="宋体" w:cs="宋体"/>
          <w:color w:val="auto"/>
        </w:rPr>
      </w:pPr>
    </w:p>
    <w:p w14:paraId="326FC9D5">
      <w:pPr>
        <w:rPr>
          <w:rFonts w:hint="eastAsia" w:ascii="宋体" w:hAnsi="宋体" w:eastAsia="宋体" w:cs="宋体"/>
          <w:color w:val="auto"/>
        </w:rPr>
      </w:pPr>
    </w:p>
    <w:p w14:paraId="0722FB7C">
      <w:pPr>
        <w:rPr>
          <w:rFonts w:hint="eastAsia" w:ascii="宋体" w:hAnsi="宋体" w:eastAsia="宋体" w:cs="宋体"/>
          <w:color w:val="auto"/>
        </w:rPr>
      </w:pPr>
    </w:p>
    <w:p w14:paraId="3B83FCD0">
      <w:pPr>
        <w:rPr>
          <w:rFonts w:hint="eastAsia" w:ascii="宋体" w:hAnsi="宋体" w:eastAsia="宋体" w:cs="宋体"/>
          <w:color w:val="auto"/>
        </w:rPr>
      </w:pPr>
    </w:p>
    <w:p w14:paraId="73D642A3">
      <w:pPr>
        <w:rPr>
          <w:rFonts w:hint="eastAsia" w:ascii="宋体" w:hAnsi="宋体" w:eastAsia="宋体" w:cs="宋体"/>
          <w:color w:val="auto"/>
        </w:rPr>
      </w:pPr>
    </w:p>
    <w:p w14:paraId="77FAA63E">
      <w:pPr>
        <w:pStyle w:val="50"/>
        <w:snapToGrid w:val="0"/>
        <w:spacing w:line="240" w:lineRule="auto"/>
        <w:ind w:firstLine="0"/>
        <w:jc w:val="center"/>
        <w:rPr>
          <w:rStyle w:val="26"/>
          <w:rFonts w:hint="eastAsia" w:ascii="宋体" w:hAnsi="宋体" w:eastAsia="宋体" w:cs="宋体"/>
          <w:b/>
          <w:bCs/>
          <w:color w:val="auto"/>
          <w:sz w:val="44"/>
          <w:szCs w:val="44"/>
          <w:highlight w:val="none"/>
        </w:rPr>
      </w:pPr>
      <w:r>
        <w:rPr>
          <w:rStyle w:val="26"/>
          <w:rFonts w:hint="eastAsia" w:ascii="宋体" w:hAnsi="宋体" w:eastAsia="宋体" w:cs="宋体"/>
          <w:color w:val="auto"/>
          <w:sz w:val="44"/>
          <w:szCs w:val="44"/>
          <w:highlight w:val="none"/>
          <w:u w:val="single"/>
        </w:rPr>
        <w:t xml:space="preserve">             </w:t>
      </w:r>
      <w:bookmarkStart w:id="304" w:name="_Toc23835"/>
      <w:bookmarkStart w:id="305" w:name="_Toc21235"/>
      <w:bookmarkStart w:id="306" w:name="_Toc17128"/>
      <w:bookmarkStart w:id="307" w:name="_Toc30993"/>
      <w:r>
        <w:rPr>
          <w:rStyle w:val="26"/>
          <w:rFonts w:hint="eastAsia" w:ascii="宋体" w:hAnsi="宋体" w:eastAsia="宋体" w:cs="宋体"/>
          <w:b/>
          <w:bCs/>
          <w:color w:val="auto"/>
          <w:sz w:val="44"/>
          <w:szCs w:val="44"/>
          <w:highlight w:val="none"/>
        </w:rPr>
        <w:t>（工程名称）招标</w:t>
      </w:r>
      <w:bookmarkEnd w:id="304"/>
      <w:bookmarkEnd w:id="305"/>
      <w:bookmarkEnd w:id="306"/>
      <w:bookmarkEnd w:id="307"/>
      <w:r>
        <w:rPr>
          <w:rStyle w:val="26"/>
          <w:rFonts w:hint="eastAsia" w:ascii="宋体" w:hAnsi="宋体" w:eastAsia="宋体" w:cs="宋体"/>
          <w:b/>
          <w:bCs/>
          <w:color w:val="auto"/>
          <w:sz w:val="44"/>
          <w:szCs w:val="44"/>
          <w:highlight w:val="none"/>
        </w:rPr>
        <w:t xml:space="preserve"> </w:t>
      </w:r>
    </w:p>
    <w:p w14:paraId="229795BD">
      <w:pPr>
        <w:rPr>
          <w:rFonts w:hint="eastAsia" w:ascii="宋体" w:hAnsi="宋体" w:eastAsia="宋体" w:cs="宋体"/>
          <w:color w:val="auto"/>
        </w:rPr>
      </w:pPr>
    </w:p>
    <w:p w14:paraId="5C2325B3">
      <w:pPr>
        <w:rPr>
          <w:rFonts w:hint="eastAsia" w:ascii="宋体" w:hAnsi="宋体" w:eastAsia="宋体" w:cs="宋体"/>
          <w:color w:val="auto"/>
        </w:rPr>
      </w:pPr>
    </w:p>
    <w:p w14:paraId="02541C50">
      <w:pPr>
        <w:pStyle w:val="50"/>
        <w:snapToGrid w:val="0"/>
        <w:spacing w:line="240" w:lineRule="auto"/>
        <w:ind w:firstLine="0"/>
        <w:jc w:val="center"/>
        <w:rPr>
          <w:rStyle w:val="26"/>
          <w:rFonts w:hint="eastAsia" w:ascii="宋体" w:hAnsi="宋体" w:eastAsia="宋体" w:cs="宋体"/>
          <w:b/>
          <w:bCs/>
          <w:color w:val="auto"/>
          <w:sz w:val="44"/>
          <w:szCs w:val="44"/>
          <w:highlight w:val="none"/>
        </w:rPr>
      </w:pPr>
      <w:r>
        <w:rPr>
          <w:rStyle w:val="26"/>
          <w:rFonts w:hint="eastAsia" w:ascii="宋体" w:hAnsi="宋体" w:eastAsia="宋体" w:cs="宋体"/>
          <w:b/>
          <w:bCs/>
          <w:color w:val="auto"/>
          <w:sz w:val="44"/>
          <w:szCs w:val="44"/>
          <w:highlight w:val="none"/>
        </w:rPr>
        <w:t>投  标  文  件</w:t>
      </w:r>
    </w:p>
    <w:p w14:paraId="4A8FE0CA">
      <w:pPr>
        <w:rPr>
          <w:rFonts w:hint="eastAsia" w:ascii="宋体" w:hAnsi="宋体" w:eastAsia="宋体" w:cs="宋体"/>
          <w:color w:val="auto"/>
        </w:rPr>
      </w:pPr>
    </w:p>
    <w:p w14:paraId="51419D59">
      <w:pPr>
        <w:rPr>
          <w:rFonts w:hint="eastAsia" w:ascii="宋体" w:hAnsi="宋体" w:eastAsia="宋体" w:cs="宋体"/>
          <w:color w:val="auto"/>
        </w:rPr>
      </w:pPr>
    </w:p>
    <w:p w14:paraId="342AEB83">
      <w:pPr>
        <w:pStyle w:val="50"/>
        <w:snapToGrid w:val="0"/>
        <w:spacing w:line="240" w:lineRule="auto"/>
        <w:ind w:firstLine="0"/>
        <w:jc w:val="center"/>
        <w:rPr>
          <w:rStyle w:val="26"/>
          <w:rFonts w:hint="eastAsia" w:ascii="宋体" w:hAnsi="宋体" w:eastAsia="宋体" w:cs="宋体"/>
          <w:b/>
          <w:bCs/>
          <w:color w:val="auto"/>
          <w:sz w:val="44"/>
          <w:szCs w:val="44"/>
          <w:highlight w:val="none"/>
        </w:rPr>
      </w:pPr>
      <w:bookmarkStart w:id="308" w:name="_Toc10939"/>
      <w:bookmarkStart w:id="309" w:name="_Toc23170"/>
      <w:bookmarkStart w:id="310" w:name="_Toc25717"/>
      <w:bookmarkStart w:id="311" w:name="_Toc14202"/>
      <w:r>
        <w:rPr>
          <w:rStyle w:val="26"/>
          <w:rFonts w:hint="eastAsia" w:ascii="宋体" w:hAnsi="宋体" w:eastAsia="宋体" w:cs="宋体"/>
          <w:b/>
          <w:bCs/>
          <w:color w:val="auto"/>
          <w:sz w:val="44"/>
          <w:szCs w:val="44"/>
          <w:highlight w:val="none"/>
        </w:rPr>
        <w:t>（商务标书／经济标书／施工组织设计</w:t>
      </w:r>
      <w:r>
        <w:rPr>
          <w:rStyle w:val="26"/>
          <w:rFonts w:hint="eastAsia" w:ascii="宋体" w:hAnsi="宋体" w:eastAsia="宋体" w:cs="宋体"/>
          <w:b/>
          <w:bCs/>
          <w:color w:val="auto"/>
          <w:sz w:val="44"/>
          <w:szCs w:val="44"/>
          <w:highlight w:val="none"/>
          <w:lang w:val="en-US" w:eastAsia="zh-CN"/>
        </w:rPr>
        <w:t>/定标文件</w:t>
      </w:r>
      <w:r>
        <w:rPr>
          <w:rStyle w:val="26"/>
          <w:rFonts w:hint="eastAsia" w:ascii="宋体" w:hAnsi="宋体" w:eastAsia="宋体" w:cs="宋体"/>
          <w:b/>
          <w:bCs/>
          <w:color w:val="auto"/>
          <w:sz w:val="44"/>
          <w:szCs w:val="44"/>
          <w:highlight w:val="none"/>
        </w:rPr>
        <w:t>）</w:t>
      </w:r>
      <w:bookmarkEnd w:id="308"/>
      <w:bookmarkEnd w:id="309"/>
      <w:bookmarkEnd w:id="310"/>
      <w:bookmarkEnd w:id="311"/>
    </w:p>
    <w:p w14:paraId="503C862B">
      <w:pPr>
        <w:rPr>
          <w:rFonts w:hint="eastAsia" w:ascii="宋体" w:hAnsi="宋体" w:eastAsia="宋体" w:cs="宋体"/>
          <w:color w:val="auto"/>
        </w:rPr>
      </w:pPr>
    </w:p>
    <w:p w14:paraId="4DDB1EF6">
      <w:pPr>
        <w:rPr>
          <w:rFonts w:hint="eastAsia" w:ascii="宋体" w:hAnsi="宋体" w:eastAsia="宋体" w:cs="宋体"/>
          <w:color w:val="auto"/>
        </w:rPr>
      </w:pPr>
    </w:p>
    <w:p w14:paraId="5DC449CE">
      <w:pPr>
        <w:rPr>
          <w:rFonts w:hint="eastAsia" w:ascii="宋体" w:hAnsi="宋体" w:eastAsia="宋体" w:cs="宋体"/>
          <w:color w:val="auto"/>
        </w:rPr>
      </w:pPr>
    </w:p>
    <w:p w14:paraId="62D777DC">
      <w:pPr>
        <w:rPr>
          <w:rFonts w:hint="eastAsia" w:ascii="宋体" w:hAnsi="宋体" w:eastAsia="宋体" w:cs="宋体"/>
          <w:color w:val="auto"/>
        </w:rPr>
      </w:pPr>
    </w:p>
    <w:p w14:paraId="19722DA4">
      <w:pPr>
        <w:rPr>
          <w:rFonts w:hint="eastAsia" w:ascii="宋体" w:hAnsi="宋体" w:eastAsia="宋体" w:cs="宋体"/>
          <w:color w:val="auto"/>
        </w:rPr>
      </w:pPr>
    </w:p>
    <w:p w14:paraId="0001EBC3">
      <w:pPr>
        <w:rPr>
          <w:rFonts w:hint="eastAsia" w:ascii="宋体" w:hAnsi="宋体" w:eastAsia="宋体" w:cs="宋体"/>
          <w:color w:val="auto"/>
        </w:rPr>
      </w:pPr>
    </w:p>
    <w:p w14:paraId="3D3D1992">
      <w:pPr>
        <w:pStyle w:val="50"/>
        <w:snapToGrid w:val="0"/>
        <w:spacing w:line="240" w:lineRule="auto"/>
        <w:ind w:firstLine="0"/>
        <w:jc w:val="center"/>
        <w:rPr>
          <w:rStyle w:val="26"/>
          <w:rFonts w:hint="eastAsia" w:ascii="宋体" w:hAnsi="宋体" w:eastAsia="宋体" w:cs="宋体"/>
          <w:color w:val="auto"/>
          <w:sz w:val="30"/>
          <w:szCs w:val="30"/>
          <w:highlight w:val="none"/>
        </w:rPr>
      </w:pPr>
      <w:bookmarkStart w:id="312" w:name="_Toc753"/>
      <w:bookmarkStart w:id="313" w:name="_Toc11118"/>
      <w:bookmarkStart w:id="314" w:name="_Toc8126"/>
      <w:bookmarkStart w:id="315" w:name="_Toc18522"/>
      <w:r>
        <w:rPr>
          <w:rStyle w:val="26"/>
          <w:rFonts w:hint="eastAsia" w:ascii="宋体" w:hAnsi="宋体" w:eastAsia="宋体" w:cs="宋体"/>
          <w:color w:val="auto"/>
          <w:sz w:val="30"/>
          <w:szCs w:val="30"/>
          <w:highlight w:val="none"/>
        </w:rPr>
        <w:t>投标人：</w:t>
      </w:r>
      <w:r>
        <w:rPr>
          <w:rStyle w:val="26"/>
          <w:rFonts w:hint="eastAsia" w:ascii="宋体" w:hAnsi="宋体" w:eastAsia="宋体" w:cs="宋体"/>
          <w:color w:val="auto"/>
          <w:sz w:val="30"/>
          <w:szCs w:val="30"/>
          <w:highlight w:val="none"/>
          <w:u w:val="single"/>
        </w:rPr>
        <w:t xml:space="preserve">                                   </w:t>
      </w:r>
      <w:r>
        <w:rPr>
          <w:rStyle w:val="26"/>
          <w:rFonts w:hint="eastAsia" w:ascii="宋体" w:hAnsi="宋体" w:eastAsia="宋体" w:cs="宋体"/>
          <w:color w:val="auto"/>
          <w:sz w:val="30"/>
          <w:szCs w:val="30"/>
          <w:highlight w:val="none"/>
        </w:rPr>
        <w:t>（盖单位章）</w:t>
      </w:r>
      <w:bookmarkEnd w:id="312"/>
      <w:bookmarkEnd w:id="313"/>
      <w:bookmarkEnd w:id="314"/>
      <w:bookmarkEnd w:id="315"/>
    </w:p>
    <w:p w14:paraId="5F7AE029">
      <w:pPr>
        <w:rPr>
          <w:rFonts w:hint="eastAsia" w:ascii="宋体" w:hAnsi="宋体" w:eastAsia="宋体" w:cs="宋体"/>
          <w:color w:val="auto"/>
        </w:rPr>
      </w:pPr>
    </w:p>
    <w:p w14:paraId="060CEDEE">
      <w:pPr>
        <w:rPr>
          <w:rFonts w:hint="eastAsia" w:ascii="宋体" w:hAnsi="宋体" w:eastAsia="宋体" w:cs="宋体"/>
          <w:color w:val="auto"/>
        </w:rPr>
      </w:pPr>
    </w:p>
    <w:p w14:paraId="28683B0A">
      <w:pPr>
        <w:pStyle w:val="50"/>
        <w:snapToGrid w:val="0"/>
        <w:spacing w:line="240" w:lineRule="auto"/>
        <w:ind w:firstLine="0"/>
        <w:jc w:val="center"/>
        <w:rPr>
          <w:rStyle w:val="26"/>
          <w:rFonts w:hint="eastAsia" w:ascii="宋体" w:hAnsi="宋体" w:eastAsia="宋体" w:cs="宋体"/>
          <w:color w:val="auto"/>
          <w:sz w:val="30"/>
          <w:szCs w:val="30"/>
          <w:highlight w:val="none"/>
        </w:rPr>
      </w:pPr>
      <w:bookmarkStart w:id="316" w:name="_Toc28339"/>
      <w:bookmarkStart w:id="317" w:name="_Toc19176"/>
      <w:bookmarkStart w:id="318" w:name="_Toc501"/>
      <w:bookmarkStart w:id="319" w:name="_Toc12062"/>
      <w:r>
        <w:rPr>
          <w:rStyle w:val="26"/>
          <w:rFonts w:hint="eastAsia" w:ascii="宋体" w:hAnsi="宋体" w:eastAsia="宋体" w:cs="宋体"/>
          <w:color w:val="auto"/>
          <w:sz w:val="30"/>
          <w:szCs w:val="30"/>
          <w:highlight w:val="none"/>
        </w:rPr>
        <w:t>法定代表人或其委托代理人：</w:t>
      </w:r>
      <w:r>
        <w:rPr>
          <w:rStyle w:val="26"/>
          <w:rFonts w:hint="eastAsia" w:ascii="宋体" w:hAnsi="宋体" w:eastAsia="宋体" w:cs="宋体"/>
          <w:color w:val="auto"/>
          <w:sz w:val="30"/>
          <w:szCs w:val="30"/>
          <w:highlight w:val="none"/>
          <w:u w:val="single"/>
        </w:rPr>
        <w:t xml:space="preserve">               </w:t>
      </w:r>
      <w:r>
        <w:rPr>
          <w:rStyle w:val="26"/>
          <w:rFonts w:hint="eastAsia" w:ascii="宋体" w:hAnsi="宋体" w:eastAsia="宋体" w:cs="宋体"/>
          <w:color w:val="auto"/>
          <w:sz w:val="30"/>
          <w:szCs w:val="30"/>
          <w:highlight w:val="none"/>
        </w:rPr>
        <w:t>（签字或盖章）</w:t>
      </w:r>
      <w:bookmarkEnd w:id="316"/>
      <w:bookmarkEnd w:id="317"/>
      <w:bookmarkEnd w:id="318"/>
      <w:bookmarkEnd w:id="319"/>
    </w:p>
    <w:p w14:paraId="29230D4F">
      <w:pPr>
        <w:rPr>
          <w:rFonts w:hint="eastAsia" w:ascii="宋体" w:hAnsi="宋体" w:eastAsia="宋体" w:cs="宋体"/>
          <w:color w:val="auto"/>
        </w:rPr>
      </w:pPr>
    </w:p>
    <w:p w14:paraId="3360A6E0">
      <w:pPr>
        <w:rPr>
          <w:rFonts w:hint="eastAsia" w:ascii="宋体" w:hAnsi="宋体" w:eastAsia="宋体" w:cs="宋体"/>
          <w:color w:val="auto"/>
        </w:rPr>
      </w:pPr>
    </w:p>
    <w:p w14:paraId="75E49D0C">
      <w:pPr>
        <w:pStyle w:val="50"/>
        <w:snapToGrid w:val="0"/>
        <w:spacing w:line="240" w:lineRule="auto"/>
        <w:ind w:firstLine="0"/>
        <w:jc w:val="center"/>
        <w:rPr>
          <w:rStyle w:val="26"/>
          <w:rFonts w:hint="eastAsia" w:ascii="宋体" w:hAnsi="宋体" w:eastAsia="宋体" w:cs="宋体"/>
          <w:b/>
          <w:bCs/>
          <w:color w:val="auto"/>
          <w:sz w:val="30"/>
          <w:szCs w:val="30"/>
          <w:highlight w:val="none"/>
        </w:rPr>
      </w:pPr>
      <w:r>
        <w:rPr>
          <w:rStyle w:val="26"/>
          <w:rFonts w:hint="eastAsia" w:ascii="宋体" w:hAnsi="宋体" w:eastAsia="宋体" w:cs="宋体"/>
          <w:color w:val="auto"/>
          <w:sz w:val="30"/>
          <w:szCs w:val="30"/>
          <w:highlight w:val="none"/>
          <w:u w:val="single"/>
        </w:rPr>
        <w:t xml:space="preserve">         </w:t>
      </w:r>
      <w:bookmarkStart w:id="320" w:name="_Toc23099"/>
      <w:bookmarkStart w:id="321" w:name="_Toc24812"/>
      <w:bookmarkStart w:id="322" w:name="_Toc19304"/>
      <w:bookmarkStart w:id="323" w:name="_Toc29803"/>
      <w:bookmarkStart w:id="324" w:name="_Toc27315"/>
      <w:r>
        <w:rPr>
          <w:rStyle w:val="26"/>
          <w:rFonts w:hint="eastAsia" w:ascii="宋体" w:hAnsi="宋体" w:eastAsia="宋体" w:cs="宋体"/>
          <w:color w:val="auto"/>
          <w:sz w:val="30"/>
          <w:szCs w:val="30"/>
          <w:highlight w:val="none"/>
        </w:rPr>
        <w:t>年</w:t>
      </w:r>
      <w:r>
        <w:rPr>
          <w:rStyle w:val="26"/>
          <w:rFonts w:hint="eastAsia" w:ascii="宋体" w:hAnsi="宋体" w:eastAsia="宋体" w:cs="宋体"/>
          <w:color w:val="auto"/>
          <w:sz w:val="30"/>
          <w:szCs w:val="30"/>
          <w:highlight w:val="none"/>
          <w:u w:val="single"/>
        </w:rPr>
        <w:t xml:space="preserve">      </w:t>
      </w:r>
      <w:r>
        <w:rPr>
          <w:rStyle w:val="26"/>
          <w:rFonts w:hint="eastAsia" w:ascii="宋体" w:hAnsi="宋体" w:eastAsia="宋体" w:cs="宋体"/>
          <w:color w:val="auto"/>
          <w:sz w:val="30"/>
          <w:szCs w:val="30"/>
          <w:highlight w:val="none"/>
        </w:rPr>
        <w:t>月</w:t>
      </w:r>
      <w:r>
        <w:rPr>
          <w:rStyle w:val="26"/>
          <w:rFonts w:hint="eastAsia" w:ascii="宋体" w:hAnsi="宋体" w:eastAsia="宋体" w:cs="宋体"/>
          <w:color w:val="auto"/>
          <w:sz w:val="30"/>
          <w:szCs w:val="30"/>
          <w:highlight w:val="none"/>
          <w:u w:val="single"/>
        </w:rPr>
        <w:t xml:space="preserve">      </w:t>
      </w:r>
      <w:r>
        <w:rPr>
          <w:rStyle w:val="26"/>
          <w:rFonts w:hint="eastAsia" w:ascii="宋体" w:hAnsi="宋体" w:eastAsia="宋体" w:cs="宋体"/>
          <w:color w:val="auto"/>
          <w:sz w:val="30"/>
          <w:szCs w:val="30"/>
          <w:highlight w:val="none"/>
        </w:rPr>
        <w:t>日</w:t>
      </w:r>
      <w:bookmarkEnd w:id="320"/>
      <w:bookmarkEnd w:id="321"/>
      <w:bookmarkEnd w:id="322"/>
      <w:bookmarkEnd w:id="323"/>
      <w:bookmarkEnd w:id="324"/>
    </w:p>
    <w:p w14:paraId="59E3B350">
      <w:pPr>
        <w:rPr>
          <w:rFonts w:hint="eastAsia" w:ascii="宋体" w:hAnsi="宋体" w:eastAsia="宋体" w:cs="宋体"/>
          <w:color w:val="auto"/>
        </w:rPr>
      </w:pPr>
      <w:bookmarkStart w:id="325" w:name="_Toc27916"/>
      <w:bookmarkStart w:id="326" w:name="_Toc10385"/>
      <w:bookmarkStart w:id="327" w:name="_Toc5509"/>
      <w:bookmarkStart w:id="328" w:name="_Toc23624"/>
      <w:bookmarkStart w:id="329" w:name="_Toc30213"/>
      <w:bookmarkStart w:id="330" w:name="_Toc28278"/>
      <w:bookmarkStart w:id="331" w:name="_Toc28797"/>
      <w:bookmarkStart w:id="332" w:name="_Toc30854"/>
      <w:bookmarkStart w:id="333" w:name="_Toc15168"/>
      <w:bookmarkStart w:id="334" w:name="_Toc5547"/>
      <w:bookmarkStart w:id="335" w:name="_Toc21399"/>
    </w:p>
    <w:p w14:paraId="01E4DBCF">
      <w:pPr>
        <w:rPr>
          <w:rFonts w:hint="eastAsia" w:ascii="宋体" w:hAnsi="宋体" w:eastAsia="宋体" w:cs="宋体"/>
          <w:color w:val="auto"/>
        </w:rPr>
      </w:pPr>
    </w:p>
    <w:p w14:paraId="36E710BB">
      <w:pPr>
        <w:rPr>
          <w:rFonts w:hint="eastAsia" w:ascii="宋体" w:hAnsi="宋体" w:eastAsia="宋体" w:cs="宋体"/>
          <w:color w:val="auto"/>
        </w:rPr>
      </w:pPr>
    </w:p>
    <w:p w14:paraId="4DBBCFC6">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336" w:name="_Toc8879"/>
      <w:r>
        <w:rPr>
          <w:rFonts w:hint="eastAsia" w:ascii="宋体" w:hAnsi="宋体" w:eastAsia="宋体" w:cs="宋体"/>
          <w:color w:val="auto"/>
          <w:kern w:val="2"/>
          <w:sz w:val="28"/>
          <w:szCs w:val="24"/>
          <w:lang w:val="en-US" w:eastAsia="zh-CN"/>
        </w:rPr>
        <w:t>格式二   投标函</w:t>
      </w:r>
      <w:bookmarkEnd w:id="325"/>
      <w:bookmarkEnd w:id="326"/>
      <w:bookmarkEnd w:id="327"/>
      <w:bookmarkEnd w:id="328"/>
      <w:bookmarkEnd w:id="329"/>
      <w:bookmarkEnd w:id="330"/>
      <w:bookmarkEnd w:id="331"/>
      <w:bookmarkEnd w:id="332"/>
      <w:bookmarkEnd w:id="333"/>
      <w:bookmarkEnd w:id="334"/>
      <w:bookmarkEnd w:id="335"/>
      <w:bookmarkEnd w:id="336"/>
    </w:p>
    <w:p w14:paraId="0C92EBEB">
      <w:pPr>
        <w:pStyle w:val="40"/>
        <w:widowControl w:val="0"/>
        <w:wordWrap w:val="0"/>
        <w:adjustRightInd w:val="0"/>
        <w:snapToGrid w:val="0"/>
        <w:spacing w:before="240" w:after="240" w:line="440" w:lineRule="exact"/>
        <w:ind w:firstLine="0"/>
        <w:jc w:val="center"/>
        <w:rPr>
          <w:rStyle w:val="26"/>
          <w:rFonts w:hint="eastAsia" w:ascii="宋体" w:hAnsi="宋体" w:eastAsia="宋体" w:cs="宋体"/>
          <w:b/>
          <w:bCs/>
          <w:color w:val="auto"/>
          <w:kern w:val="0"/>
          <w:sz w:val="21"/>
          <w:szCs w:val="21"/>
          <w:highlight w:val="none"/>
        </w:rPr>
      </w:pPr>
      <w:r>
        <w:rPr>
          <w:rFonts w:hint="eastAsia" w:ascii="宋体" w:hAnsi="宋体" w:eastAsia="宋体" w:cs="宋体"/>
          <w:b/>
          <w:snapToGrid w:val="0"/>
          <w:color w:val="auto"/>
          <w:sz w:val="24"/>
          <w:szCs w:val="24"/>
          <w:highlight w:val="none"/>
        </w:rPr>
        <w:t>投  标  函</w:t>
      </w:r>
    </w:p>
    <w:p w14:paraId="3607E24A">
      <w:pPr>
        <w:snapToGrid w:val="0"/>
        <w:spacing w:line="360" w:lineRule="auto"/>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致：</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（招标人名称）</w:t>
      </w:r>
    </w:p>
    <w:p w14:paraId="0B1C5013">
      <w:pPr>
        <w:numPr>
          <w:ilvl w:val="0"/>
          <w:numId w:val="1"/>
        </w:numPr>
        <w:snapToGrid w:val="0"/>
        <w:spacing w:line="360" w:lineRule="auto"/>
        <w:ind w:firstLine="57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我方考察现场并充分研究</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（工程名称）（以下简称“本工程”）招标文件所有内容后，结合自身资质、能力和特点，愿意接受招标文件的全部内容和条件，兹以人民币（大写）：</w:t>
      </w:r>
    </w:p>
    <w:p w14:paraId="3B140A69">
      <w:pPr>
        <w:numPr>
          <w:ilvl w:val="0"/>
          <w:numId w:val="0"/>
        </w:numPr>
        <w:snapToGrid w:val="0"/>
        <w:spacing w:line="360" w:lineRule="auto"/>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）的投标总价竞投本工程施工。</w:t>
      </w:r>
    </w:p>
    <w:p w14:paraId="01C0C0AC">
      <w:pPr>
        <w:snapToGrid w:val="0"/>
        <w:spacing w:line="360" w:lineRule="auto"/>
        <w:ind w:firstLine="570"/>
        <w:rPr>
          <w:rStyle w:val="26"/>
          <w:rFonts w:hint="eastAsia" w:ascii="宋体" w:hAnsi="宋体" w:eastAsia="宋体" w:cs="宋体"/>
          <w:color w:val="auto"/>
          <w:kern w:val="0"/>
          <w:sz w:val="24"/>
          <w:szCs w:val="24"/>
          <w:highlight w:val="none"/>
          <w:lang w:val="en-US"/>
        </w:rPr>
      </w:pPr>
      <w:r>
        <w:rPr>
          <w:rStyle w:val="26"/>
          <w:rFonts w:hint="eastAsia" w:ascii="宋体" w:hAnsi="宋体" w:eastAsia="宋体" w:cs="宋体"/>
          <w:color w:val="auto"/>
          <w:kern w:val="0"/>
          <w:sz w:val="24"/>
          <w:szCs w:val="24"/>
          <w:highlight w:val="none"/>
        </w:rPr>
        <w:t>在我方的上述投标总价中，包括：安全生产措施费</w:t>
      </w:r>
      <w:r>
        <w:rPr>
          <w:rStyle w:val="26"/>
          <w:rFonts w:hint="eastAsia" w:ascii="宋体" w:hAnsi="宋体" w:eastAsia="宋体" w:cs="宋体"/>
          <w:color w:val="auto"/>
          <w:kern w:val="0"/>
          <w:sz w:val="24"/>
          <w:szCs w:val="24"/>
          <w:highlight w:val="none"/>
          <w:lang w:eastAsia="zh-CN"/>
        </w:rPr>
        <w:t>：</w:t>
      </w:r>
      <w:r>
        <w:rPr>
          <w:rStyle w:val="26"/>
          <w:rFonts w:hint="eastAsia" w:ascii="宋体" w:hAnsi="宋体" w:eastAsia="宋体" w:cs="宋体"/>
          <w:color w:val="auto"/>
          <w:kern w:val="0"/>
          <w:sz w:val="24"/>
          <w:szCs w:val="24"/>
          <w:highlight w:val="none"/>
        </w:rPr>
        <w:t>¥</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u w:val="none"/>
          <w:lang w:val="en-US" w:eastAsia="zh-CN"/>
        </w:rPr>
        <w:t xml:space="preserve"> </w:t>
      </w:r>
      <w:r>
        <w:rPr>
          <w:rStyle w:val="26"/>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lang w:val="en-US" w:eastAsia="zh-CN"/>
        </w:rPr>
        <w:t>暂列金额：</w:t>
      </w:r>
      <w:r>
        <w:rPr>
          <w:rStyle w:val="26"/>
          <w:rFonts w:hint="eastAsia" w:ascii="宋体" w:hAnsi="宋体" w:eastAsia="宋体" w:cs="宋体"/>
          <w:color w:val="auto"/>
          <w:kern w:val="0"/>
          <w:sz w:val="24"/>
          <w:szCs w:val="24"/>
          <w:highlight w:val="none"/>
        </w:rPr>
        <w:t>¥</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u w:val="none"/>
          <w:lang w:eastAsia="zh-CN"/>
        </w:rPr>
        <w:t>，</w:t>
      </w:r>
      <w:r>
        <w:rPr>
          <w:rFonts w:hint="eastAsia" w:ascii="宋体" w:hAnsi="宋体" w:eastAsia="宋体" w:cs="宋体"/>
          <w:color w:val="auto"/>
          <w:sz w:val="24"/>
          <w:szCs w:val="24"/>
          <w:highlight w:val="none"/>
          <w:lang w:val="en-US" w:eastAsia="zh-CN"/>
        </w:rPr>
        <w:t>暂估价：</w:t>
      </w:r>
      <w:r>
        <w:rPr>
          <w:rStyle w:val="26"/>
          <w:rFonts w:hint="eastAsia" w:ascii="宋体" w:hAnsi="宋体" w:eastAsia="宋体" w:cs="宋体"/>
          <w:color w:val="auto"/>
          <w:kern w:val="0"/>
          <w:sz w:val="24"/>
          <w:szCs w:val="24"/>
          <w:highlight w:val="none"/>
        </w:rPr>
        <w:t>¥</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u w:val="none"/>
          <w:lang w:eastAsia="zh-CN"/>
        </w:rPr>
        <w:t>。</w:t>
      </w:r>
    </w:p>
    <w:p w14:paraId="606C9DDB">
      <w:pPr>
        <w:snapToGrid w:val="0"/>
        <w:spacing w:line="360" w:lineRule="auto"/>
        <w:ind w:firstLine="57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2.如果我方中标，我方保证按照合同约定的开工日期开始本工程的施工，</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u w:val="single"/>
          <w:lang w:val="en-US" w:eastAsia="zh-CN"/>
        </w:rPr>
        <w:t xml:space="preserve">  </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个日历天内竣工，并确保工程质量达到</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标准和维修其中的任何缺陷。</w:t>
      </w:r>
    </w:p>
    <w:p w14:paraId="10F82FC6">
      <w:pPr>
        <w:snapToGrid w:val="0"/>
        <w:spacing w:line="360" w:lineRule="auto"/>
        <w:ind w:firstLine="57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3.本投标函在你方接收我方递交的投标文件之日起、到招标文件规定的投标有效期期满前对我方具有约束力。我方随时准备接受你方发出的中标通知书。</w:t>
      </w:r>
    </w:p>
    <w:p w14:paraId="120DFB96">
      <w:pPr>
        <w:snapToGrid w:val="0"/>
        <w:spacing w:line="360" w:lineRule="auto"/>
        <w:ind w:firstLine="57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lang w:eastAsia="zh-CN"/>
        </w:rPr>
        <w:t>4.</w:t>
      </w:r>
      <w:r>
        <w:rPr>
          <w:rStyle w:val="26"/>
          <w:rFonts w:hint="eastAsia" w:ascii="宋体" w:hAnsi="宋体" w:eastAsia="宋体" w:cs="宋体"/>
          <w:color w:val="auto"/>
          <w:kern w:val="0"/>
          <w:sz w:val="24"/>
          <w:szCs w:val="24"/>
          <w:highlight w:val="none"/>
        </w:rPr>
        <w:t>我方在此声明，我方不存在本工程招标文件第一章第三节第</w:t>
      </w:r>
      <w:r>
        <w:rPr>
          <w:rStyle w:val="26"/>
          <w:rFonts w:hint="eastAsia" w:ascii="宋体" w:hAnsi="宋体" w:eastAsia="宋体" w:cs="宋体"/>
          <w:b/>
          <w:bCs/>
          <w:color w:val="auto"/>
          <w:kern w:val="0"/>
          <w:sz w:val="24"/>
          <w:szCs w:val="24"/>
          <w:highlight w:val="none"/>
        </w:rPr>
        <w:t>2.4</w:t>
      </w:r>
      <w:r>
        <w:rPr>
          <w:rStyle w:val="26"/>
          <w:rFonts w:hint="eastAsia" w:ascii="宋体" w:hAnsi="宋体" w:eastAsia="宋体" w:cs="宋体"/>
          <w:color w:val="auto"/>
          <w:kern w:val="0"/>
          <w:sz w:val="24"/>
          <w:szCs w:val="24"/>
          <w:highlight w:val="none"/>
        </w:rPr>
        <w:t>条“禁止投标条款”所列出的任何一种情形，并愿意承担因我方就此弄虚作假所引起的一切法律后果。</w:t>
      </w:r>
    </w:p>
    <w:p w14:paraId="0E1EADA7">
      <w:pPr>
        <w:snapToGrid w:val="0"/>
        <w:spacing w:line="360" w:lineRule="auto"/>
        <w:ind w:firstLine="57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lang w:eastAsia="zh-CN"/>
        </w:rPr>
        <w:t>5.</w:t>
      </w:r>
      <w:r>
        <w:rPr>
          <w:rStyle w:val="26"/>
          <w:rFonts w:hint="eastAsia" w:ascii="宋体" w:hAnsi="宋体" w:eastAsia="宋体" w:cs="宋体"/>
          <w:color w:val="auto"/>
          <w:kern w:val="0"/>
          <w:sz w:val="24"/>
          <w:szCs w:val="24"/>
          <w:highlight w:val="none"/>
        </w:rPr>
        <w:t>我方在此承诺，所递交投标文件的全部内容均为真实、有效、准确的，并愿意承担因我方就此弄虚作假所引起的一切法律后果，同时理解和同意有可能被要求提供更多的资料。</w:t>
      </w:r>
    </w:p>
    <w:p w14:paraId="70E35F1F">
      <w:pPr>
        <w:snapToGrid w:val="0"/>
        <w:spacing w:line="360" w:lineRule="auto"/>
        <w:ind w:firstLine="57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6. 我方理解你方不一定要接纳收到的最低投标总价或任何投标总价的投标人中标，也不要求你方解释我方是否中标的原因。</w:t>
      </w:r>
    </w:p>
    <w:p w14:paraId="7A45D4F7">
      <w:pPr>
        <w:snapToGrid w:val="0"/>
        <w:spacing w:line="360" w:lineRule="auto"/>
        <w:rPr>
          <w:rStyle w:val="26"/>
          <w:rFonts w:hint="eastAsia" w:ascii="宋体" w:hAnsi="宋体" w:eastAsia="宋体" w:cs="宋体"/>
          <w:color w:val="auto"/>
          <w:kern w:val="0"/>
          <w:sz w:val="24"/>
          <w:szCs w:val="24"/>
          <w:highlight w:val="none"/>
        </w:rPr>
      </w:pPr>
    </w:p>
    <w:p w14:paraId="5590BBF0">
      <w:pPr>
        <w:snapToGrid w:val="0"/>
        <w:spacing w:line="440" w:lineRule="exact"/>
        <w:jc w:val="right"/>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 xml:space="preserve">    投标人：</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（盖单位章）</w:t>
      </w:r>
    </w:p>
    <w:p w14:paraId="7420DBDF">
      <w:pPr>
        <w:rPr>
          <w:rFonts w:hint="eastAsia" w:ascii="宋体" w:hAnsi="宋体" w:eastAsia="宋体" w:cs="宋体"/>
          <w:color w:val="auto"/>
        </w:rPr>
      </w:pPr>
    </w:p>
    <w:p w14:paraId="0D3BDE2A">
      <w:pPr>
        <w:snapToGrid w:val="0"/>
        <w:spacing w:line="440" w:lineRule="exact"/>
        <w:ind w:firstLine="480" w:firstLineChars="200"/>
        <w:jc w:val="right"/>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法定代表人或其委托代理人：</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（签字或盖章）</w:t>
      </w:r>
    </w:p>
    <w:p w14:paraId="4BF1C921">
      <w:pPr>
        <w:snapToGrid w:val="0"/>
        <w:spacing w:line="440" w:lineRule="exact"/>
        <w:jc w:val="both"/>
        <w:rPr>
          <w:rStyle w:val="26"/>
          <w:rFonts w:hint="eastAsia" w:ascii="宋体" w:hAnsi="宋体" w:eastAsia="宋体" w:cs="宋体"/>
          <w:color w:val="auto"/>
          <w:kern w:val="0"/>
          <w:sz w:val="24"/>
          <w:szCs w:val="24"/>
          <w:highlight w:val="none"/>
        </w:rPr>
      </w:pPr>
    </w:p>
    <w:p w14:paraId="34D3A73A">
      <w:pPr>
        <w:snapToGrid w:val="0"/>
        <w:spacing w:line="440" w:lineRule="exact"/>
        <w:jc w:val="right"/>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 xml:space="preserve">                                       </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年</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月</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日</w:t>
      </w:r>
    </w:p>
    <w:p w14:paraId="3FFD2416">
      <w:pPr>
        <w:rPr>
          <w:rFonts w:hint="eastAsia" w:ascii="宋体" w:hAnsi="宋体" w:eastAsia="宋体" w:cs="宋体"/>
          <w:color w:val="auto"/>
        </w:rPr>
      </w:pPr>
    </w:p>
    <w:p w14:paraId="0FE280B9">
      <w:pPr>
        <w:rPr>
          <w:rFonts w:hint="eastAsia" w:ascii="宋体" w:hAnsi="宋体" w:eastAsia="宋体" w:cs="宋体"/>
          <w:color w:val="auto"/>
        </w:rPr>
      </w:pPr>
    </w:p>
    <w:p w14:paraId="4BA705F7">
      <w:pPr>
        <w:rPr>
          <w:rFonts w:hint="eastAsia" w:ascii="宋体" w:hAnsi="宋体" w:eastAsia="宋体" w:cs="宋体"/>
          <w:color w:val="auto"/>
        </w:rPr>
      </w:pPr>
    </w:p>
    <w:p w14:paraId="34E7B0E3">
      <w:pPr>
        <w:rPr>
          <w:rFonts w:hint="eastAsia" w:ascii="宋体" w:hAnsi="宋体" w:eastAsia="宋体" w:cs="宋体"/>
          <w:color w:val="auto"/>
        </w:rPr>
      </w:pPr>
    </w:p>
    <w:p w14:paraId="566163BD">
      <w:pPr>
        <w:rPr>
          <w:rFonts w:hint="eastAsia" w:ascii="宋体" w:hAnsi="宋体" w:eastAsia="宋体" w:cs="宋体"/>
          <w:color w:val="auto"/>
        </w:rPr>
      </w:pPr>
    </w:p>
    <w:p w14:paraId="3D95126D">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337" w:name="_Toc32320"/>
      <w:bookmarkStart w:id="338" w:name="_Toc5519"/>
      <w:bookmarkStart w:id="339" w:name="_Toc5017"/>
      <w:bookmarkStart w:id="340" w:name="_Toc8294"/>
      <w:bookmarkStart w:id="341" w:name="_Toc12440"/>
      <w:bookmarkStart w:id="342" w:name="_Toc12375"/>
      <w:bookmarkStart w:id="343" w:name="_Toc4375"/>
      <w:bookmarkStart w:id="344" w:name="_Toc1615"/>
      <w:bookmarkStart w:id="345" w:name="_Toc14714"/>
      <w:bookmarkStart w:id="346" w:name="_Toc13340"/>
      <w:bookmarkStart w:id="347" w:name="_Toc7329"/>
      <w:bookmarkStart w:id="348" w:name="_Toc21578"/>
      <w:bookmarkStart w:id="349" w:name="_Toc23704"/>
      <w:r>
        <w:rPr>
          <w:rFonts w:hint="eastAsia" w:ascii="宋体" w:hAnsi="宋体" w:eastAsia="宋体" w:cs="宋体"/>
          <w:color w:val="auto"/>
          <w:kern w:val="2"/>
          <w:sz w:val="28"/>
          <w:szCs w:val="24"/>
          <w:lang w:val="en-US" w:eastAsia="zh-CN"/>
        </w:rPr>
        <w:t>格式三   各项承诺一览表</w:t>
      </w:r>
      <w:bookmarkEnd w:id="337"/>
      <w:bookmarkEnd w:id="338"/>
      <w:bookmarkEnd w:id="339"/>
      <w:bookmarkEnd w:id="340"/>
      <w:bookmarkEnd w:id="341"/>
      <w:bookmarkEnd w:id="342"/>
      <w:bookmarkEnd w:id="343"/>
      <w:bookmarkEnd w:id="344"/>
      <w:bookmarkEnd w:id="345"/>
    </w:p>
    <w:p w14:paraId="09963830">
      <w:pPr>
        <w:pStyle w:val="40"/>
        <w:widowControl w:val="0"/>
        <w:wordWrap w:val="0"/>
        <w:adjustRightInd w:val="0"/>
        <w:snapToGrid w:val="0"/>
        <w:spacing w:before="240" w:after="240" w:line="440" w:lineRule="exact"/>
        <w:ind w:firstLine="0"/>
        <w:jc w:val="center"/>
        <w:rPr>
          <w:rFonts w:hint="eastAsia" w:ascii="宋体" w:hAnsi="宋体" w:eastAsia="宋体" w:cs="宋体"/>
          <w:b/>
          <w:snapToGrid w:val="0"/>
          <w:color w:val="auto"/>
          <w:sz w:val="24"/>
          <w:szCs w:val="24"/>
          <w:highlight w:val="none"/>
        </w:rPr>
      </w:pPr>
      <w:bookmarkStart w:id="350" w:name="_Toc14261300"/>
      <w:r>
        <w:rPr>
          <w:rFonts w:hint="eastAsia" w:ascii="宋体" w:hAnsi="宋体" w:eastAsia="宋体" w:cs="宋体"/>
          <w:b/>
          <w:snapToGrid w:val="0"/>
          <w:color w:val="auto"/>
          <w:sz w:val="24"/>
          <w:szCs w:val="24"/>
          <w:highlight w:val="none"/>
        </w:rPr>
        <w:t>各项承诺一览表</w:t>
      </w:r>
      <w:bookmarkEnd w:id="350"/>
    </w:p>
    <w:tbl>
      <w:tblPr>
        <w:tblStyle w:val="21"/>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256"/>
      </w:tblGrid>
      <w:tr w14:paraId="7F26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7FF56520">
            <w:pPr>
              <w:pStyle w:val="41"/>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序号</w:t>
            </w:r>
          </w:p>
        </w:tc>
        <w:tc>
          <w:tcPr>
            <w:tcW w:w="1573" w:type="dxa"/>
            <w:noWrap w:val="0"/>
            <w:vAlign w:val="center"/>
          </w:tcPr>
          <w:p w14:paraId="64C0F768">
            <w:pPr>
              <w:pStyle w:val="41"/>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承诺事项</w:t>
            </w:r>
          </w:p>
        </w:tc>
        <w:tc>
          <w:tcPr>
            <w:tcW w:w="2923" w:type="dxa"/>
            <w:noWrap w:val="0"/>
            <w:vAlign w:val="center"/>
          </w:tcPr>
          <w:p w14:paraId="7E4C6117">
            <w:pPr>
              <w:pStyle w:val="41"/>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承诺内容</w:t>
            </w:r>
          </w:p>
        </w:tc>
        <w:tc>
          <w:tcPr>
            <w:tcW w:w="4256" w:type="dxa"/>
            <w:noWrap w:val="0"/>
            <w:vAlign w:val="center"/>
          </w:tcPr>
          <w:p w14:paraId="3AD5DBB7">
            <w:pPr>
              <w:pStyle w:val="41"/>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违约承诺</w:t>
            </w:r>
          </w:p>
        </w:tc>
      </w:tr>
      <w:tr w14:paraId="49F8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7" w:hRule="atLeast"/>
          <w:jc w:val="center"/>
        </w:trPr>
        <w:tc>
          <w:tcPr>
            <w:tcW w:w="716" w:type="dxa"/>
            <w:noWrap w:val="0"/>
            <w:vAlign w:val="center"/>
          </w:tcPr>
          <w:p w14:paraId="307BBEAF">
            <w:pPr>
              <w:pStyle w:val="41"/>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573" w:type="dxa"/>
            <w:noWrap w:val="0"/>
            <w:vAlign w:val="center"/>
          </w:tcPr>
          <w:p w14:paraId="479DEDC1">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自愿接受招标</w:t>
            </w:r>
          </w:p>
          <w:p w14:paraId="7D21E449">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文件条款的承诺</w:t>
            </w:r>
          </w:p>
        </w:tc>
        <w:tc>
          <w:tcPr>
            <w:tcW w:w="2923" w:type="dxa"/>
            <w:noWrap w:val="0"/>
            <w:vAlign w:val="center"/>
          </w:tcPr>
          <w:p w14:paraId="56E8A6CE">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我方自愿接受招标文件的所有条款，所递交的投标文件已经充分响应招标文件的实质性要求。</w:t>
            </w:r>
          </w:p>
        </w:tc>
        <w:tc>
          <w:tcPr>
            <w:tcW w:w="4256" w:type="dxa"/>
            <w:noWrap w:val="0"/>
            <w:vAlign w:val="center"/>
          </w:tcPr>
          <w:p w14:paraId="5F0A930F">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如果我方的投标文件未响应、违反、偏离招标文件的实质性要求，我方接受招标人或其授权的招标代理机构或其组建的评标委员会依据招标文件作出的相应处理，包括否决投标。</w:t>
            </w:r>
          </w:p>
        </w:tc>
      </w:tr>
      <w:tr w14:paraId="2D66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2" w:hRule="atLeast"/>
          <w:jc w:val="center"/>
        </w:trPr>
        <w:tc>
          <w:tcPr>
            <w:tcW w:w="716" w:type="dxa"/>
            <w:noWrap w:val="0"/>
            <w:vAlign w:val="center"/>
          </w:tcPr>
          <w:p w14:paraId="70060353">
            <w:pPr>
              <w:pStyle w:val="41"/>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573" w:type="dxa"/>
            <w:noWrap w:val="0"/>
            <w:vAlign w:val="center"/>
          </w:tcPr>
          <w:p w14:paraId="3F7516A6">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无禁止投标</w:t>
            </w:r>
          </w:p>
          <w:p w14:paraId="19099F88">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情形的承诺</w:t>
            </w:r>
          </w:p>
        </w:tc>
        <w:tc>
          <w:tcPr>
            <w:tcW w:w="2923" w:type="dxa"/>
            <w:noWrap w:val="0"/>
            <w:vAlign w:val="center"/>
          </w:tcPr>
          <w:p w14:paraId="4F3E5CC4">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我方不存在招标文件第一章第三节第</w:t>
            </w: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条“禁止投标条款”规定的任何一种情形。</w:t>
            </w:r>
          </w:p>
        </w:tc>
        <w:tc>
          <w:tcPr>
            <w:tcW w:w="4256" w:type="dxa"/>
            <w:noWrap w:val="0"/>
            <w:vAlign w:val="center"/>
          </w:tcPr>
          <w:p w14:paraId="33493C11">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如果我方有招标文件第一章第三节第</w:t>
            </w: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0A72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8" w:hRule="atLeast"/>
          <w:jc w:val="center"/>
        </w:trPr>
        <w:tc>
          <w:tcPr>
            <w:tcW w:w="716" w:type="dxa"/>
            <w:noWrap w:val="0"/>
            <w:vAlign w:val="center"/>
          </w:tcPr>
          <w:p w14:paraId="3141E5D0">
            <w:pPr>
              <w:pStyle w:val="41"/>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573" w:type="dxa"/>
            <w:noWrap w:val="0"/>
            <w:vAlign w:val="center"/>
          </w:tcPr>
          <w:p w14:paraId="382B2F6D">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自觉抵制围标</w:t>
            </w:r>
          </w:p>
          <w:p w14:paraId="668B3E81">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串标和弄虚</w:t>
            </w:r>
          </w:p>
          <w:p w14:paraId="12512AE6">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作假行为的承诺</w:t>
            </w:r>
          </w:p>
        </w:tc>
        <w:tc>
          <w:tcPr>
            <w:tcW w:w="2923" w:type="dxa"/>
            <w:noWrap w:val="0"/>
            <w:vAlign w:val="center"/>
          </w:tcPr>
          <w:p w14:paraId="16CC3EC5">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我方合法正当、诚实守信地参与投标，不组织、不参加围标串标违法行为，不通过弄虚作假行为骗取中标。</w:t>
            </w:r>
          </w:p>
        </w:tc>
        <w:tc>
          <w:tcPr>
            <w:tcW w:w="4256" w:type="dxa"/>
            <w:noWrap w:val="0"/>
            <w:vAlign w:val="center"/>
          </w:tcPr>
          <w:p w14:paraId="392F9D67">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0734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5" w:hRule="atLeast"/>
          <w:jc w:val="center"/>
        </w:trPr>
        <w:tc>
          <w:tcPr>
            <w:tcW w:w="716" w:type="dxa"/>
            <w:noWrap w:val="0"/>
            <w:vAlign w:val="center"/>
          </w:tcPr>
          <w:p w14:paraId="75D96684">
            <w:pPr>
              <w:pStyle w:val="41"/>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573" w:type="dxa"/>
            <w:noWrap w:val="0"/>
            <w:vAlign w:val="center"/>
          </w:tcPr>
          <w:p w14:paraId="038DB9F9">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w:t>
            </w:r>
          </w:p>
          <w:p w14:paraId="66C2DE97">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任职承诺</w:t>
            </w:r>
          </w:p>
        </w:tc>
        <w:tc>
          <w:tcPr>
            <w:tcW w:w="2923" w:type="dxa"/>
            <w:noWrap w:val="0"/>
            <w:vAlign w:val="center"/>
          </w:tcPr>
          <w:p w14:paraId="54DA4F55">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我方拟派项目经理现阶段没有担任任何在施（包括已中标未开工、已开工未竣工）建设工程项目的项目经理。</w:t>
            </w:r>
          </w:p>
        </w:tc>
        <w:tc>
          <w:tcPr>
            <w:tcW w:w="4256" w:type="dxa"/>
            <w:noWrap w:val="0"/>
            <w:vAlign w:val="center"/>
          </w:tcPr>
          <w:p w14:paraId="48A50563">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EB4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5" w:hRule="atLeast"/>
          <w:jc w:val="center"/>
        </w:trPr>
        <w:tc>
          <w:tcPr>
            <w:tcW w:w="716" w:type="dxa"/>
            <w:noWrap w:val="0"/>
            <w:vAlign w:val="center"/>
          </w:tcPr>
          <w:p w14:paraId="4EDABC00">
            <w:pPr>
              <w:pStyle w:val="41"/>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573" w:type="dxa"/>
            <w:noWrap w:val="0"/>
            <w:vAlign w:val="center"/>
          </w:tcPr>
          <w:p w14:paraId="7C34E12A">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070D1D24">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真实性承诺</w:t>
            </w:r>
          </w:p>
        </w:tc>
        <w:tc>
          <w:tcPr>
            <w:tcW w:w="2923" w:type="dxa"/>
            <w:noWrap w:val="0"/>
            <w:vAlign w:val="center"/>
          </w:tcPr>
          <w:p w14:paraId="05A1647B">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我方所递交投标文件的全部内容均为真实、有效、准确的。</w:t>
            </w:r>
          </w:p>
        </w:tc>
        <w:tc>
          <w:tcPr>
            <w:tcW w:w="4256" w:type="dxa"/>
            <w:noWrap w:val="0"/>
            <w:vAlign w:val="center"/>
          </w:tcPr>
          <w:p w14:paraId="6166712F">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如果我方递交的投标文件任何内容不真实或无效或不准确，我方接受招标人或其授权的招标代理机构或其组建的评标委员会依据招标文件作出的相应处理，包括否决投标。</w:t>
            </w:r>
          </w:p>
        </w:tc>
      </w:tr>
      <w:tr w14:paraId="3092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2E6E1209">
            <w:pPr>
              <w:pStyle w:val="41"/>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573" w:type="dxa"/>
            <w:noWrap w:val="0"/>
            <w:vAlign w:val="center"/>
          </w:tcPr>
          <w:p w14:paraId="7DEFB2F5">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69B4EEC1">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信息公开承诺</w:t>
            </w:r>
          </w:p>
        </w:tc>
        <w:tc>
          <w:tcPr>
            <w:tcW w:w="2923" w:type="dxa"/>
            <w:noWrap w:val="0"/>
            <w:vAlign w:val="center"/>
          </w:tcPr>
          <w:p w14:paraId="1A13002D">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我方提供完整的电子文件。如果我方成为本项目中标候选人，我方同意并授权招标人在评标结果公示期内公开我方商务标书的全部内容。</w:t>
            </w:r>
          </w:p>
        </w:tc>
        <w:tc>
          <w:tcPr>
            <w:tcW w:w="4256" w:type="dxa"/>
            <w:tcBorders>
              <w:bottom w:val="single" w:color="auto" w:sz="4" w:space="0"/>
              <w:tr2bl w:val="single" w:color="auto" w:sz="4" w:space="0"/>
            </w:tcBorders>
            <w:noWrap w:val="0"/>
            <w:vAlign w:val="center"/>
          </w:tcPr>
          <w:p w14:paraId="6C910419">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p>
        </w:tc>
      </w:tr>
      <w:tr w14:paraId="03CE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7FADA9BD">
            <w:pPr>
              <w:pStyle w:val="41"/>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573" w:type="dxa"/>
            <w:noWrap w:val="0"/>
            <w:vAlign w:val="center"/>
          </w:tcPr>
          <w:p w14:paraId="17D2FD2B">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对不正常报价</w:t>
            </w:r>
          </w:p>
          <w:p w14:paraId="5E5F1E3F">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的确认承诺</w:t>
            </w:r>
          </w:p>
        </w:tc>
        <w:tc>
          <w:tcPr>
            <w:tcW w:w="2923" w:type="dxa"/>
            <w:noWrap w:val="0"/>
            <w:vAlign w:val="center"/>
          </w:tcPr>
          <w:p w14:paraId="6A619D13">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如果我方中标，我方接受招标人在合同订立期间依据招标文件有关条款约定对我方已标价工程量清单中不正常报价的修正或认定，并按要求签署《不正常报价清单》加以确认。</w:t>
            </w:r>
          </w:p>
        </w:tc>
        <w:tc>
          <w:tcPr>
            <w:tcW w:w="4256" w:type="dxa"/>
            <w:tcBorders>
              <w:tr2bl w:val="single" w:color="auto" w:sz="4" w:space="0"/>
            </w:tcBorders>
            <w:noWrap w:val="0"/>
            <w:vAlign w:val="center"/>
          </w:tcPr>
          <w:p w14:paraId="3200B7FB">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宋体" w:hAnsi="宋体" w:eastAsia="宋体" w:cs="宋体"/>
                <w:snapToGrid w:val="0"/>
                <w:color w:val="auto"/>
                <w:kern w:val="0"/>
                <w:sz w:val="24"/>
                <w:szCs w:val="24"/>
                <w:highlight w:val="none"/>
              </w:rPr>
            </w:pPr>
          </w:p>
          <w:p w14:paraId="289BECED">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宋体" w:hAnsi="宋体" w:eastAsia="宋体" w:cs="宋体"/>
                <w:snapToGrid w:val="0"/>
                <w:color w:val="auto"/>
                <w:kern w:val="0"/>
                <w:sz w:val="24"/>
                <w:szCs w:val="24"/>
                <w:highlight w:val="none"/>
              </w:rPr>
            </w:pPr>
          </w:p>
        </w:tc>
      </w:tr>
      <w:tr w14:paraId="2923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37CF1AF4">
            <w:pPr>
              <w:pStyle w:val="41"/>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573" w:type="dxa"/>
            <w:noWrap w:val="0"/>
            <w:vAlign w:val="center"/>
          </w:tcPr>
          <w:p w14:paraId="6E2F8218">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按时提交履约</w:t>
            </w:r>
          </w:p>
          <w:p w14:paraId="1907617C">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保证的承诺</w:t>
            </w:r>
          </w:p>
        </w:tc>
        <w:tc>
          <w:tcPr>
            <w:tcW w:w="2923" w:type="dxa"/>
            <w:noWrap w:val="0"/>
            <w:vAlign w:val="center"/>
          </w:tcPr>
          <w:p w14:paraId="125C78F4">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如果我方中标，我方保证在招标文件规定的时限内全额提交履约保证。</w:t>
            </w:r>
          </w:p>
        </w:tc>
        <w:tc>
          <w:tcPr>
            <w:tcW w:w="4256" w:type="dxa"/>
            <w:noWrap w:val="0"/>
            <w:vAlign w:val="center"/>
          </w:tcPr>
          <w:p w14:paraId="0BA02E67">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78E0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165FD5BE">
            <w:pPr>
              <w:pStyle w:val="41"/>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573" w:type="dxa"/>
            <w:noWrap w:val="0"/>
            <w:vAlign w:val="center"/>
          </w:tcPr>
          <w:p w14:paraId="53F9492D">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按时签订合同</w:t>
            </w:r>
          </w:p>
          <w:p w14:paraId="7284DE49">
            <w:pPr>
              <w:pStyle w:val="5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的承诺</w:t>
            </w:r>
          </w:p>
        </w:tc>
        <w:tc>
          <w:tcPr>
            <w:tcW w:w="2923" w:type="dxa"/>
            <w:noWrap w:val="0"/>
            <w:vAlign w:val="center"/>
          </w:tcPr>
          <w:p w14:paraId="66C73FDD">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如果我方中标，我方保证在招标文件规定的时限内与招标人签订合同，不提出违背或超出招标文件、中标文件的要求。</w:t>
            </w:r>
          </w:p>
        </w:tc>
        <w:tc>
          <w:tcPr>
            <w:tcW w:w="4256" w:type="dxa"/>
            <w:noWrap w:val="0"/>
            <w:vAlign w:val="center"/>
          </w:tcPr>
          <w:p w14:paraId="3812CEBC">
            <w:pPr>
              <w:pStyle w:val="5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323C3B98">
      <w:pPr>
        <w:rPr>
          <w:rFonts w:hint="eastAsia" w:ascii="宋体" w:hAnsi="宋体" w:eastAsia="宋体" w:cs="宋体"/>
          <w:color w:val="auto"/>
        </w:rPr>
      </w:pPr>
    </w:p>
    <w:p w14:paraId="63A82D9C">
      <w:pPr>
        <w:rPr>
          <w:rFonts w:hint="eastAsia" w:ascii="宋体" w:hAnsi="宋体" w:eastAsia="宋体" w:cs="宋体"/>
          <w:color w:val="auto"/>
        </w:rPr>
      </w:pPr>
    </w:p>
    <w:p w14:paraId="7E6DB24B">
      <w:pPr>
        <w:rPr>
          <w:rFonts w:hint="eastAsia" w:ascii="宋体" w:hAnsi="宋体" w:eastAsia="宋体" w:cs="宋体"/>
          <w:color w:val="auto"/>
        </w:rPr>
      </w:pPr>
    </w:p>
    <w:p w14:paraId="17F417AE">
      <w:pPr>
        <w:rPr>
          <w:rFonts w:hint="eastAsia" w:ascii="宋体" w:hAnsi="宋体" w:eastAsia="宋体" w:cs="宋体"/>
          <w:color w:val="auto"/>
        </w:rPr>
      </w:pPr>
    </w:p>
    <w:p w14:paraId="17D7B049">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48D06ED9">
      <w:pPr>
        <w:rPr>
          <w:rFonts w:hint="eastAsia" w:ascii="宋体" w:hAnsi="宋体" w:eastAsia="宋体" w:cs="宋体"/>
          <w:color w:val="auto"/>
        </w:rPr>
      </w:pPr>
    </w:p>
    <w:p w14:paraId="0707CBE6">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法定代表人或其委托代理人：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690F04E5">
      <w:pPr>
        <w:rPr>
          <w:rFonts w:hint="eastAsia" w:ascii="宋体" w:hAnsi="宋体" w:eastAsia="宋体" w:cs="宋体"/>
          <w:color w:val="auto"/>
        </w:rPr>
      </w:pPr>
    </w:p>
    <w:p w14:paraId="5F29ABD6">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44C8AFA8">
      <w:pPr>
        <w:rPr>
          <w:rFonts w:hint="eastAsia" w:ascii="宋体" w:hAnsi="宋体" w:eastAsia="宋体" w:cs="宋体"/>
          <w:color w:val="auto"/>
        </w:rPr>
      </w:pPr>
    </w:p>
    <w:p w14:paraId="46E99E3E">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351" w:name="_Toc22"/>
      <w:bookmarkStart w:id="352" w:name="_Toc25154"/>
      <w:bookmarkStart w:id="353" w:name="_Toc30144"/>
      <w:bookmarkStart w:id="354" w:name="_Toc4663"/>
      <w:bookmarkStart w:id="355" w:name="_Toc4092"/>
      <w:bookmarkStart w:id="356" w:name="_Toc270"/>
      <w:bookmarkStart w:id="357" w:name="_Toc1495"/>
      <w:bookmarkStart w:id="358" w:name="_Toc14045"/>
      <w:r>
        <w:rPr>
          <w:rFonts w:hint="eastAsia" w:ascii="宋体" w:hAnsi="宋体" w:eastAsia="宋体" w:cs="宋体"/>
          <w:color w:val="auto"/>
          <w:kern w:val="2"/>
          <w:sz w:val="28"/>
          <w:szCs w:val="24"/>
          <w:lang w:val="en-US" w:eastAsia="zh-CN"/>
        </w:rPr>
        <w:t>格式四   授权委托书</w:t>
      </w:r>
      <w:bookmarkEnd w:id="346"/>
      <w:bookmarkEnd w:id="347"/>
      <w:bookmarkEnd w:id="348"/>
      <w:bookmarkEnd w:id="349"/>
      <w:bookmarkEnd w:id="351"/>
      <w:bookmarkEnd w:id="352"/>
      <w:bookmarkEnd w:id="353"/>
      <w:bookmarkEnd w:id="354"/>
      <w:bookmarkEnd w:id="355"/>
      <w:bookmarkEnd w:id="356"/>
      <w:bookmarkEnd w:id="357"/>
      <w:bookmarkEnd w:id="358"/>
    </w:p>
    <w:p w14:paraId="5FF8F0C9">
      <w:pPr>
        <w:snapToGrid w:val="0"/>
        <w:spacing w:before="260" w:after="260" w:line="440" w:lineRule="exact"/>
        <w:jc w:val="center"/>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授权委托书</w:t>
      </w:r>
    </w:p>
    <w:p w14:paraId="263EA2B2">
      <w:pPr>
        <w:snapToGrid w:val="0"/>
        <w:spacing w:line="360" w:lineRule="auto"/>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 xml:space="preserve">    本人</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（姓名）系</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（投标人名称）的法定代表人，现委托</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（姓名）为我方代理人。代理人根据授权，以我方名义签署、澄清、说明、补正、递交、撤回、修改</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（工程名称）投标文件、签订合同和处理有关事宜，其法律后果由我方承担。</w:t>
      </w:r>
    </w:p>
    <w:p w14:paraId="079A756C">
      <w:pPr>
        <w:snapToGrid w:val="0"/>
        <w:spacing w:line="360" w:lineRule="auto"/>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委托期限：</w:t>
      </w:r>
      <w:r>
        <w:rPr>
          <w:rFonts w:hint="eastAsia" w:ascii="宋体" w:hAnsi="宋体" w:eastAsia="宋体" w:cs="宋体"/>
          <w:snapToGrid w:val="0"/>
          <w:color w:val="auto"/>
          <w:kern w:val="0"/>
          <w:sz w:val="24"/>
          <w:szCs w:val="24"/>
          <w:highlight w:val="none"/>
          <w:u w:val="single"/>
        </w:rPr>
        <w:t>至投标有效期的期满之日止</w:t>
      </w:r>
      <w:r>
        <w:rPr>
          <w:rStyle w:val="26"/>
          <w:rFonts w:hint="eastAsia" w:ascii="宋体" w:hAnsi="宋体" w:eastAsia="宋体" w:cs="宋体"/>
          <w:color w:val="auto"/>
          <w:kern w:val="0"/>
          <w:sz w:val="24"/>
          <w:szCs w:val="24"/>
          <w:highlight w:val="none"/>
        </w:rPr>
        <w:t>。</w:t>
      </w:r>
    </w:p>
    <w:p w14:paraId="23E745EC">
      <w:pPr>
        <w:snapToGrid w:val="0"/>
        <w:spacing w:line="360" w:lineRule="auto"/>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 xml:space="preserve">    代理人无转委托权。</w:t>
      </w:r>
    </w:p>
    <w:p w14:paraId="375137B2">
      <w:pPr>
        <w:rPr>
          <w:rFonts w:hint="eastAsia" w:ascii="宋体" w:hAnsi="宋体" w:eastAsia="宋体" w:cs="宋体"/>
          <w:color w:val="auto"/>
        </w:rPr>
      </w:pPr>
    </w:p>
    <w:p w14:paraId="60D9D10B">
      <w:pPr>
        <w:rPr>
          <w:rFonts w:hint="eastAsia" w:ascii="宋体" w:hAnsi="宋体" w:eastAsia="宋体" w:cs="宋体"/>
          <w:color w:val="auto"/>
        </w:rPr>
      </w:pPr>
    </w:p>
    <w:p w14:paraId="3C601395">
      <w:pPr>
        <w:rPr>
          <w:rFonts w:hint="eastAsia" w:ascii="宋体" w:hAnsi="宋体" w:eastAsia="宋体" w:cs="宋体"/>
          <w:color w:val="auto"/>
        </w:rPr>
      </w:pPr>
    </w:p>
    <w:p w14:paraId="1E84C777">
      <w:pPr>
        <w:snapToGrid w:val="0"/>
        <w:spacing w:line="440" w:lineRule="exact"/>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　　　　　　　　　　投  标  人：</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（盖单位章）</w:t>
      </w:r>
    </w:p>
    <w:p w14:paraId="2E0B3C3B">
      <w:pPr>
        <w:rPr>
          <w:rFonts w:hint="eastAsia" w:ascii="宋体" w:hAnsi="宋体" w:eastAsia="宋体" w:cs="宋体"/>
          <w:color w:val="auto"/>
        </w:rPr>
      </w:pPr>
    </w:p>
    <w:p w14:paraId="23A8440E">
      <w:pPr>
        <w:rPr>
          <w:rFonts w:hint="eastAsia" w:ascii="宋体" w:hAnsi="宋体" w:eastAsia="宋体" w:cs="宋体"/>
          <w:color w:val="auto"/>
        </w:rPr>
      </w:pPr>
    </w:p>
    <w:p w14:paraId="5F4C6746">
      <w:pPr>
        <w:snapToGrid w:val="0"/>
        <w:spacing w:line="440" w:lineRule="exact"/>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　　　　　　　　　</w:t>
      </w:r>
      <w:r>
        <w:rPr>
          <w:rStyle w:val="26"/>
          <w:rFonts w:hint="eastAsia" w:ascii="宋体" w:hAnsi="宋体" w:eastAsia="宋体" w:cs="宋体"/>
          <w:color w:val="auto"/>
          <w:kern w:val="0"/>
          <w:sz w:val="24"/>
          <w:szCs w:val="24"/>
          <w:highlight w:val="none"/>
          <w:lang w:val="en-US" w:eastAsia="zh-CN"/>
        </w:rPr>
        <w:t xml:space="preserve">  </w:t>
      </w:r>
      <w:r>
        <w:rPr>
          <w:rStyle w:val="26"/>
          <w:rFonts w:hint="eastAsia" w:ascii="宋体" w:hAnsi="宋体" w:eastAsia="宋体" w:cs="宋体"/>
          <w:color w:val="auto"/>
          <w:kern w:val="0"/>
          <w:sz w:val="24"/>
          <w:szCs w:val="24"/>
          <w:highlight w:val="none"/>
        </w:rPr>
        <w:t>法定代表人：</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（签字或盖章）</w:t>
      </w:r>
    </w:p>
    <w:p w14:paraId="03600267">
      <w:pPr>
        <w:snapToGrid w:val="0"/>
        <w:spacing w:line="440" w:lineRule="exact"/>
        <w:rPr>
          <w:rStyle w:val="26"/>
          <w:rFonts w:hint="eastAsia" w:ascii="宋体" w:hAnsi="宋体" w:eastAsia="宋体" w:cs="宋体"/>
          <w:color w:val="auto"/>
          <w:kern w:val="0"/>
          <w:sz w:val="24"/>
          <w:szCs w:val="24"/>
          <w:highlight w:val="none"/>
        </w:rPr>
      </w:pPr>
    </w:p>
    <w:p w14:paraId="344C53AA">
      <w:pPr>
        <w:snapToGrid w:val="0"/>
        <w:spacing w:line="440" w:lineRule="exact"/>
        <w:rPr>
          <w:rStyle w:val="26"/>
          <w:rFonts w:hint="eastAsia" w:ascii="宋体" w:hAnsi="宋体" w:eastAsia="宋体" w:cs="宋体"/>
          <w:color w:val="auto"/>
          <w:kern w:val="0"/>
          <w:sz w:val="24"/>
          <w:szCs w:val="24"/>
          <w:highlight w:val="none"/>
        </w:rPr>
      </w:pPr>
    </w:p>
    <w:p w14:paraId="10F047DA">
      <w:pPr>
        <w:snapToGrid w:val="0"/>
        <w:spacing w:line="440" w:lineRule="exact"/>
        <w:ind w:left="2640" w:leftChars="200" w:hanging="2160" w:hangingChars="9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　　　　　　　</w:t>
      </w:r>
      <w:r>
        <w:rPr>
          <w:rStyle w:val="26"/>
          <w:rFonts w:hint="eastAsia" w:ascii="宋体" w:hAnsi="宋体" w:eastAsia="宋体" w:cs="宋体"/>
          <w:color w:val="auto"/>
          <w:kern w:val="0"/>
          <w:sz w:val="24"/>
          <w:szCs w:val="24"/>
          <w:highlight w:val="none"/>
          <w:lang w:val="en-US" w:eastAsia="zh-CN"/>
        </w:rPr>
        <w:t xml:space="preserve">  </w:t>
      </w:r>
      <w:r>
        <w:rPr>
          <w:rStyle w:val="26"/>
          <w:rFonts w:hint="eastAsia" w:ascii="宋体" w:hAnsi="宋体" w:eastAsia="宋体" w:cs="宋体"/>
          <w:color w:val="auto"/>
          <w:kern w:val="0"/>
          <w:sz w:val="24"/>
          <w:szCs w:val="24"/>
          <w:highlight w:val="none"/>
        </w:rPr>
        <w:t>　　委托代理人：</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（签字或盖章）</w:t>
      </w:r>
    </w:p>
    <w:p w14:paraId="5988A793">
      <w:pPr>
        <w:snapToGrid w:val="0"/>
        <w:spacing w:line="440" w:lineRule="exact"/>
        <w:rPr>
          <w:rStyle w:val="26"/>
          <w:rFonts w:hint="eastAsia" w:ascii="宋体" w:hAnsi="宋体" w:eastAsia="宋体" w:cs="宋体"/>
          <w:color w:val="auto"/>
          <w:kern w:val="0"/>
          <w:sz w:val="24"/>
          <w:szCs w:val="24"/>
          <w:highlight w:val="none"/>
        </w:rPr>
      </w:pPr>
    </w:p>
    <w:p w14:paraId="02CD916B">
      <w:pPr>
        <w:snapToGrid w:val="0"/>
        <w:spacing w:line="440" w:lineRule="exact"/>
        <w:rPr>
          <w:rStyle w:val="26"/>
          <w:rFonts w:hint="eastAsia" w:ascii="宋体" w:hAnsi="宋体" w:eastAsia="宋体" w:cs="宋体"/>
          <w:color w:val="auto"/>
          <w:kern w:val="0"/>
          <w:sz w:val="24"/>
          <w:szCs w:val="24"/>
          <w:highlight w:val="none"/>
        </w:rPr>
      </w:pPr>
    </w:p>
    <w:p w14:paraId="73E37D72">
      <w:pPr>
        <w:snapToGrid w:val="0"/>
        <w:spacing w:line="440" w:lineRule="exact"/>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　　　　　　　　　　　　　 　　</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年</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月</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日</w:t>
      </w:r>
    </w:p>
    <w:p w14:paraId="0DB87D0A">
      <w:pPr>
        <w:rPr>
          <w:rFonts w:hint="eastAsia" w:ascii="宋体" w:hAnsi="宋体" w:eastAsia="宋体" w:cs="宋体"/>
          <w:color w:val="auto"/>
        </w:rPr>
      </w:pPr>
    </w:p>
    <w:p w14:paraId="44D0E457">
      <w:pPr>
        <w:rPr>
          <w:rFonts w:hint="eastAsia" w:ascii="宋体" w:hAnsi="宋体" w:eastAsia="宋体" w:cs="宋体"/>
          <w:color w:val="auto"/>
        </w:rPr>
      </w:pPr>
      <w:r>
        <w:rPr>
          <w:rFonts w:hint="eastAsia" w:ascii="宋体" w:hAnsi="宋体" w:eastAsia="宋体" w:cs="宋体"/>
          <w:color w:val="auto"/>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 name="流程图: 可选过程 4" hidden="1"/>
                <wp:cNvGraphicFramePr/>
                <a:graphic xmlns:a="http://schemas.openxmlformats.org/drawingml/2006/main">
                  <a:graphicData uri="http://schemas.microsoft.com/office/word/2010/wordprocessingShape">
                    <wps:wsp>
                      <wps:cNvSpPr/>
                      <wps:spPr>
                        <a:xfrm>
                          <a:off x="0" y="0"/>
                          <a:ext cx="635000" cy="6350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420FE1B">
                            <w:pPr>
                              <w:rPr>
                                <w:rFonts w:cs="Times New Roman"/>
                              </w:rPr>
                            </w:pPr>
                          </w:p>
                        </w:txbxContent>
                      </wps:txbx>
                      <wps:bodyPr upright="1"/>
                    </wps:wsp>
                  </a:graphicData>
                </a:graphic>
              </wp:anchor>
            </w:drawing>
          </mc:Choice>
          <mc:Fallback>
            <w:pict>
              <v:shape id="_x0000_s1026" o:spid="_x0000_s1026" o:spt="176" type="#_x0000_t176" style="position:absolute;left:0pt;margin-left:0pt;margin-top:0pt;height:50pt;width:50pt;visibility:hidden;z-index:251659264;mso-width-relative:page;mso-height-relative:page;" fillcolor="#FFFFFF" filled="t" stroked="t" coordsize="21600,21600" o:gfxdata="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bZ&#10;PMLRAAAABQEAAA8AAAAAAAAAAQAgAAAAIgAAAGRycy9kb3ducmV2LnhtbFBLAQIUABQAAAAIAIdO&#10;4kC01MxAKgIAAFkEAAAOAAAAAAAAAAEAIAAAACABAABkcnMvZTJvRG9jLnhtbFBLBQYAAAAABgAG&#10;AFkBAAC8BQAAAAA=&#10;">
                <v:fill on="t" focussize="0,0"/>
                <v:stroke color="#000000" joinstyle="miter"/>
                <v:imagedata o:title=""/>
                <o:lock v:ext="edit" aspectratio="f"/>
                <v:textbox>
                  <w:txbxContent>
                    <w:p w14:paraId="3420FE1B">
                      <w:pPr>
                        <w:rPr>
                          <w:rFonts w:cs="Times New Roman"/>
                        </w:rPr>
                      </w:pPr>
                    </w:p>
                  </w:txbxContent>
                </v:textbox>
              </v:shape>
            </w:pict>
          </mc:Fallback>
        </mc:AlternateContent>
      </w:r>
      <w:r>
        <w:rPr>
          <w:rFonts w:hint="eastAsia" w:ascii="宋体" w:hAnsi="宋体" w:eastAsia="宋体" w:cs="宋体"/>
          <w:color w:val="auto"/>
        </w:rPr>
        <mc:AlternateContent>
          <mc:Choice Requires="wps">
            <w:drawing>
              <wp:anchor distT="0" distB="0" distL="114300" distR="114300" simplePos="0" relativeHeight="251660288"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 name="流程图: 可选过程 2"/>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0B4FDF3">
                            <w:pPr>
                              <w:jc w:val="center"/>
                              <w:rPr>
                                <w:rStyle w:val="26"/>
                                <w:rFonts w:cs="Times New Roman"/>
                              </w:rPr>
                            </w:pPr>
                          </w:p>
                          <w:p w14:paraId="2199C9AB">
                            <w:pPr>
                              <w:jc w:val="center"/>
                              <w:rPr>
                                <w:rStyle w:val="26"/>
                                <w:rFonts w:cs="Times New Roman"/>
                              </w:rPr>
                            </w:pPr>
                          </w:p>
                          <w:p w14:paraId="181BB574">
                            <w:pPr>
                              <w:jc w:val="center"/>
                              <w:rPr>
                                <w:rStyle w:val="26"/>
                                <w:rFonts w:cs="Times New Roman"/>
                              </w:rPr>
                            </w:pPr>
                          </w:p>
                          <w:p w14:paraId="4749CA96">
                            <w:pPr>
                              <w:jc w:val="center"/>
                              <w:rPr>
                                <w:rStyle w:val="26"/>
                                <w:rFonts w:hint="eastAsia" w:ascii="Times New Roman" w:hAnsi="Times New Roman" w:cs="Times New Roman"/>
                              </w:rPr>
                            </w:pPr>
                            <w:r>
                              <w:rPr>
                                <w:rStyle w:val="26"/>
                                <w:rFonts w:hint="eastAsia" w:ascii="Times New Roman" w:hAnsi="Times New Roman" w:cs="Times New Roman"/>
                              </w:rPr>
                              <w:t>委托代理人身份证复印件正、反面</w:t>
                            </w:r>
                          </w:p>
                          <w:p w14:paraId="69F50813">
                            <w:pPr>
                              <w:rPr>
                                <w:rStyle w:val="26"/>
                                <w:rFonts w:cs="Times New Roman"/>
                              </w:rPr>
                            </w:pPr>
                          </w:p>
                        </w:txbxContent>
                      </wps:txbx>
                      <wps:bodyPr upright="1"/>
                    </wps:wsp>
                  </a:graphicData>
                </a:graphic>
              </wp:anchor>
            </w:drawing>
          </mc:Choice>
          <mc:Fallback>
            <w:pict>
              <v:shape id="_x0000_s1026" o:spid="_x0000_s1026" o:spt="176" type="#_x0000_t176" style="position:absolute;left:0pt;margin-left:115.5pt;margin-top:2.6pt;height:124.75pt;width:251.25pt;z-index:251660288;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J9Os2AAAAAkBAAAPAAAAAAAAAAEAIAAAACIAAABkcnMvZG93bnJldi54bWxQSwECFAAU&#10;AAAACACHTuJA/zAfFSoCAABQBAAADgAAAAAAAAABACAAAAAnAQAAZHJzL2Uyb0RvYy54bWxQSwUG&#10;AAAAAAYABgBZAQAAwwUAAAAA&#10;">
                <v:fill on="t" focussize="0,0"/>
                <v:stroke color="#000000" joinstyle="miter"/>
                <v:imagedata o:title=""/>
                <o:lock v:ext="edit" aspectratio="f"/>
                <v:textbox>
                  <w:txbxContent>
                    <w:p w14:paraId="40B4FDF3">
                      <w:pPr>
                        <w:jc w:val="center"/>
                        <w:rPr>
                          <w:rStyle w:val="26"/>
                          <w:rFonts w:cs="Times New Roman"/>
                        </w:rPr>
                      </w:pPr>
                    </w:p>
                    <w:p w14:paraId="2199C9AB">
                      <w:pPr>
                        <w:jc w:val="center"/>
                        <w:rPr>
                          <w:rStyle w:val="26"/>
                          <w:rFonts w:cs="Times New Roman"/>
                        </w:rPr>
                      </w:pPr>
                    </w:p>
                    <w:p w14:paraId="181BB574">
                      <w:pPr>
                        <w:jc w:val="center"/>
                        <w:rPr>
                          <w:rStyle w:val="26"/>
                          <w:rFonts w:cs="Times New Roman"/>
                        </w:rPr>
                      </w:pPr>
                    </w:p>
                    <w:p w14:paraId="4749CA96">
                      <w:pPr>
                        <w:jc w:val="center"/>
                        <w:rPr>
                          <w:rStyle w:val="26"/>
                          <w:rFonts w:hint="eastAsia" w:ascii="Times New Roman" w:hAnsi="Times New Roman" w:cs="Times New Roman"/>
                        </w:rPr>
                      </w:pPr>
                      <w:r>
                        <w:rPr>
                          <w:rStyle w:val="26"/>
                          <w:rFonts w:hint="eastAsia" w:ascii="Times New Roman" w:hAnsi="Times New Roman" w:cs="Times New Roman"/>
                        </w:rPr>
                        <w:t>委托代理人身份证复印件正、反面</w:t>
                      </w:r>
                    </w:p>
                    <w:p w14:paraId="69F50813">
                      <w:pPr>
                        <w:rPr>
                          <w:rStyle w:val="26"/>
                          <w:rFonts w:cs="Times New Roman"/>
                        </w:rPr>
                      </w:pPr>
                    </w:p>
                  </w:txbxContent>
                </v:textbox>
              </v:shape>
            </w:pict>
          </mc:Fallback>
        </mc:AlternateContent>
      </w:r>
    </w:p>
    <w:p w14:paraId="4977EBB6">
      <w:pPr>
        <w:rPr>
          <w:rFonts w:hint="eastAsia" w:ascii="宋体" w:hAnsi="宋体" w:eastAsia="宋体" w:cs="宋体"/>
          <w:color w:val="auto"/>
        </w:rPr>
      </w:pPr>
    </w:p>
    <w:p w14:paraId="5342A0F7">
      <w:pPr>
        <w:rPr>
          <w:rFonts w:hint="eastAsia" w:ascii="宋体" w:hAnsi="宋体" w:eastAsia="宋体" w:cs="宋体"/>
          <w:color w:val="auto"/>
        </w:rPr>
      </w:pPr>
    </w:p>
    <w:p w14:paraId="7F42A6EF">
      <w:pPr>
        <w:rPr>
          <w:rFonts w:hint="eastAsia" w:ascii="宋体" w:hAnsi="宋体" w:eastAsia="宋体" w:cs="宋体"/>
          <w:color w:val="auto"/>
        </w:rPr>
      </w:pPr>
    </w:p>
    <w:p w14:paraId="457D63B0">
      <w:pPr>
        <w:rPr>
          <w:rFonts w:hint="eastAsia" w:ascii="宋体" w:hAnsi="宋体" w:eastAsia="宋体" w:cs="宋体"/>
          <w:color w:val="auto"/>
        </w:rPr>
      </w:pPr>
    </w:p>
    <w:p w14:paraId="3862A264">
      <w:pPr>
        <w:rPr>
          <w:rFonts w:hint="eastAsia" w:ascii="宋体" w:hAnsi="宋体" w:eastAsia="宋体" w:cs="宋体"/>
          <w:color w:val="auto"/>
        </w:rPr>
      </w:pPr>
    </w:p>
    <w:p w14:paraId="21CED16A">
      <w:pPr>
        <w:rPr>
          <w:rFonts w:hint="eastAsia" w:ascii="宋体" w:hAnsi="宋体" w:eastAsia="宋体" w:cs="宋体"/>
          <w:color w:val="auto"/>
        </w:rPr>
      </w:pPr>
    </w:p>
    <w:p w14:paraId="4657B1EA">
      <w:pPr>
        <w:pStyle w:val="53"/>
        <w:snapToGrid w:val="0"/>
        <w:rPr>
          <w:rStyle w:val="26"/>
          <w:rFonts w:hint="eastAsia" w:ascii="宋体" w:hAnsi="宋体" w:eastAsia="宋体" w:cs="宋体"/>
          <w:color w:val="auto"/>
          <w:kern w:val="0"/>
          <w:highlight w:val="none"/>
        </w:rPr>
      </w:pPr>
    </w:p>
    <w:p w14:paraId="56CFEC4A">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Style w:val="26"/>
          <w:rFonts w:hint="eastAsia" w:ascii="宋体" w:hAnsi="宋体" w:eastAsia="宋体" w:cs="宋体"/>
          <w:b/>
          <w:bCs/>
          <w:color w:val="auto"/>
          <w:kern w:val="0"/>
          <w:highlight w:val="none"/>
        </w:rPr>
      </w:pPr>
      <w:bookmarkStart w:id="359" w:name="_Toc2463"/>
      <w:bookmarkStart w:id="360" w:name="_Toc25505"/>
      <w:bookmarkStart w:id="361" w:name="_Toc19982"/>
      <w:bookmarkStart w:id="362" w:name="_Toc2417"/>
      <w:bookmarkStart w:id="363" w:name="_Toc17587"/>
      <w:bookmarkStart w:id="364" w:name="_Toc18342"/>
      <w:bookmarkStart w:id="365" w:name="_Toc1326"/>
      <w:bookmarkStart w:id="366" w:name="_Toc31156"/>
      <w:bookmarkStart w:id="367" w:name="_Toc11066"/>
      <w:bookmarkStart w:id="368" w:name="_Toc2433"/>
      <w:bookmarkStart w:id="369" w:name="_Toc3305"/>
      <w:bookmarkStart w:id="370" w:name="_Toc4433"/>
      <w:r>
        <w:rPr>
          <w:rFonts w:hint="eastAsia" w:ascii="宋体" w:hAnsi="宋体" w:eastAsia="宋体" w:cs="宋体"/>
          <w:color w:val="auto"/>
          <w:kern w:val="2"/>
          <w:sz w:val="28"/>
          <w:szCs w:val="24"/>
          <w:lang w:val="en-US" w:eastAsia="zh-CN"/>
        </w:rPr>
        <w:t>格式五   法定代表人身份证明</w:t>
      </w:r>
      <w:bookmarkEnd w:id="359"/>
    </w:p>
    <w:p w14:paraId="39D5019F">
      <w:pPr>
        <w:snapToGrid w:val="0"/>
        <w:spacing w:before="260" w:after="260" w:line="440" w:lineRule="exact"/>
        <w:jc w:val="center"/>
        <w:rPr>
          <w:rStyle w:val="26"/>
          <w:rFonts w:hint="eastAsia" w:ascii="宋体" w:hAnsi="宋体" w:eastAsia="宋体" w:cs="宋体"/>
          <w:color w:val="auto"/>
          <w:kern w:val="0"/>
          <w:sz w:val="24"/>
          <w:szCs w:val="24"/>
          <w:highlight w:val="none"/>
        </w:rPr>
      </w:pPr>
      <w:r>
        <w:rPr>
          <w:rStyle w:val="26"/>
          <w:rFonts w:hint="eastAsia" w:ascii="宋体" w:hAnsi="宋体" w:eastAsia="宋体" w:cs="宋体"/>
          <w:b/>
          <w:bCs/>
          <w:color w:val="auto"/>
          <w:kern w:val="0"/>
          <w:sz w:val="24"/>
          <w:szCs w:val="24"/>
          <w:highlight w:val="none"/>
        </w:rPr>
        <w:t>法定代表人身份证明</w:t>
      </w:r>
    </w:p>
    <w:p w14:paraId="07B141B8">
      <w:pPr>
        <w:snapToGrid w:val="0"/>
        <w:spacing w:line="440" w:lineRule="exact"/>
        <w:ind w:firstLine="480" w:firstLineChars="200"/>
        <w:rPr>
          <w:rStyle w:val="26"/>
          <w:rFonts w:hint="eastAsia" w:ascii="宋体" w:hAnsi="宋体" w:eastAsia="宋体" w:cs="宋体"/>
          <w:color w:val="auto"/>
          <w:kern w:val="0"/>
          <w:sz w:val="24"/>
          <w:szCs w:val="24"/>
          <w:highlight w:val="none"/>
          <w:u w:val="single"/>
        </w:rPr>
      </w:pPr>
      <w:r>
        <w:rPr>
          <w:rStyle w:val="26"/>
          <w:rFonts w:hint="eastAsia" w:ascii="宋体" w:hAnsi="宋体" w:eastAsia="宋体" w:cs="宋体"/>
          <w:color w:val="auto"/>
          <w:kern w:val="0"/>
          <w:sz w:val="24"/>
          <w:szCs w:val="24"/>
          <w:highlight w:val="none"/>
        </w:rPr>
        <w:t>投标人名称：</w:t>
      </w:r>
      <w:r>
        <w:rPr>
          <w:rStyle w:val="26"/>
          <w:rFonts w:hint="eastAsia" w:ascii="宋体" w:hAnsi="宋体" w:eastAsia="宋体" w:cs="宋体"/>
          <w:color w:val="auto"/>
          <w:kern w:val="0"/>
          <w:sz w:val="24"/>
          <w:szCs w:val="24"/>
          <w:highlight w:val="none"/>
          <w:u w:val="single"/>
        </w:rPr>
        <w:t xml:space="preserve">                  </w:t>
      </w:r>
    </w:p>
    <w:p w14:paraId="52FD7F45">
      <w:pPr>
        <w:snapToGrid w:val="0"/>
        <w:spacing w:line="440" w:lineRule="exact"/>
        <w:ind w:firstLine="480" w:firstLineChars="200"/>
        <w:rPr>
          <w:rStyle w:val="26"/>
          <w:rFonts w:hint="eastAsia" w:ascii="宋体" w:hAnsi="宋体" w:eastAsia="宋体" w:cs="宋体"/>
          <w:color w:val="auto"/>
          <w:kern w:val="0"/>
          <w:sz w:val="24"/>
          <w:szCs w:val="24"/>
          <w:highlight w:val="none"/>
          <w:u w:val="single"/>
        </w:rPr>
      </w:pPr>
      <w:r>
        <w:rPr>
          <w:rStyle w:val="26"/>
          <w:rFonts w:hint="eastAsia" w:ascii="宋体" w:hAnsi="宋体" w:eastAsia="宋体" w:cs="宋体"/>
          <w:color w:val="auto"/>
          <w:kern w:val="0"/>
          <w:sz w:val="24"/>
          <w:szCs w:val="24"/>
          <w:highlight w:val="none"/>
        </w:rPr>
        <w:t>姓名：</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性别：</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年龄：</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职务：</w:t>
      </w:r>
      <w:r>
        <w:rPr>
          <w:rStyle w:val="26"/>
          <w:rFonts w:hint="eastAsia" w:ascii="宋体" w:hAnsi="宋体" w:eastAsia="宋体" w:cs="宋体"/>
          <w:color w:val="auto"/>
          <w:kern w:val="0"/>
          <w:sz w:val="24"/>
          <w:szCs w:val="24"/>
          <w:highlight w:val="none"/>
          <w:u w:val="single"/>
        </w:rPr>
        <w:t xml:space="preserve">           </w:t>
      </w:r>
    </w:p>
    <w:p w14:paraId="75A96C90">
      <w:pPr>
        <w:snapToGrid w:val="0"/>
        <w:spacing w:line="440" w:lineRule="exact"/>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系</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（投标人名称）的法定代表人。</w:t>
      </w:r>
    </w:p>
    <w:p w14:paraId="4A230523">
      <w:pPr>
        <w:snapToGrid w:val="0"/>
        <w:spacing w:line="440" w:lineRule="exact"/>
        <w:ind w:firstLine="480" w:firstLineChars="200"/>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特此证明。</w:t>
      </w:r>
    </w:p>
    <w:p w14:paraId="21FE2602">
      <w:pPr>
        <w:rPr>
          <w:rFonts w:hint="eastAsia" w:ascii="宋体" w:hAnsi="宋体" w:eastAsia="宋体" w:cs="宋体"/>
          <w:color w:val="auto"/>
        </w:rPr>
      </w:pPr>
    </w:p>
    <w:p w14:paraId="29AEC12E">
      <w:pPr>
        <w:rPr>
          <w:rFonts w:hint="eastAsia" w:ascii="宋体" w:hAnsi="宋体" w:eastAsia="宋体" w:cs="宋体"/>
          <w:color w:val="auto"/>
        </w:rPr>
      </w:pPr>
    </w:p>
    <w:p w14:paraId="59273DA7">
      <w:pPr>
        <w:snapToGrid w:val="0"/>
        <w:spacing w:line="440" w:lineRule="exact"/>
        <w:jc w:val="right"/>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投标人：</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（盖单位章）</w:t>
      </w:r>
    </w:p>
    <w:p w14:paraId="3AAADE41">
      <w:pPr>
        <w:rPr>
          <w:rFonts w:hint="eastAsia" w:ascii="宋体" w:hAnsi="宋体" w:eastAsia="宋体" w:cs="宋体"/>
          <w:color w:val="auto"/>
        </w:rPr>
      </w:pPr>
    </w:p>
    <w:p w14:paraId="1E1350DD">
      <w:pPr>
        <w:rPr>
          <w:rFonts w:hint="eastAsia" w:ascii="宋体" w:hAnsi="宋体" w:eastAsia="宋体" w:cs="宋体"/>
          <w:color w:val="auto"/>
        </w:rPr>
      </w:pPr>
    </w:p>
    <w:p w14:paraId="7F526556">
      <w:pPr>
        <w:snapToGrid w:val="0"/>
        <w:spacing w:line="440" w:lineRule="exact"/>
        <w:jc w:val="right"/>
        <w:rPr>
          <w:rStyle w:val="26"/>
          <w:rFonts w:hint="eastAsia" w:ascii="宋体" w:hAnsi="宋体" w:eastAsia="宋体" w:cs="宋体"/>
          <w:color w:val="auto"/>
          <w:kern w:val="0"/>
          <w:sz w:val="24"/>
          <w:szCs w:val="24"/>
          <w:highlight w:val="none"/>
        </w:rPr>
      </w:pPr>
      <w:r>
        <w:rPr>
          <w:rStyle w:val="26"/>
          <w:rFonts w:hint="eastAsia" w:ascii="宋体" w:hAnsi="宋体" w:eastAsia="宋体" w:cs="宋体"/>
          <w:color w:val="auto"/>
          <w:kern w:val="0"/>
          <w:sz w:val="24"/>
          <w:szCs w:val="24"/>
          <w:highlight w:val="none"/>
        </w:rPr>
        <w:t xml:space="preserve">                        法定代表人：</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（签字或盖章）</w:t>
      </w:r>
    </w:p>
    <w:p w14:paraId="680FAEF5">
      <w:pPr>
        <w:rPr>
          <w:rFonts w:hint="eastAsia" w:ascii="宋体" w:hAnsi="宋体" w:eastAsia="宋体" w:cs="宋体"/>
          <w:color w:val="auto"/>
        </w:rPr>
      </w:pPr>
    </w:p>
    <w:p w14:paraId="33169D79">
      <w:pPr>
        <w:snapToGrid w:val="0"/>
        <w:spacing w:line="440" w:lineRule="exact"/>
        <w:jc w:val="right"/>
        <w:rPr>
          <w:rStyle w:val="26"/>
          <w:rFonts w:hint="eastAsia" w:ascii="宋体" w:hAnsi="宋体" w:eastAsia="宋体" w:cs="宋体"/>
          <w:color w:val="auto"/>
          <w:kern w:val="0"/>
          <w:sz w:val="21"/>
          <w:szCs w:val="21"/>
          <w:highlight w:val="none"/>
        </w:rPr>
      </w:pPr>
      <w:r>
        <w:rPr>
          <w:rStyle w:val="26"/>
          <w:rFonts w:hint="eastAsia" w:ascii="宋体" w:hAnsi="宋体" w:eastAsia="宋体" w:cs="宋体"/>
          <w:color w:val="auto"/>
          <w:kern w:val="0"/>
          <w:sz w:val="24"/>
          <w:szCs w:val="24"/>
          <w:highlight w:val="none"/>
        </w:rPr>
        <w:t xml:space="preserve">                            </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年</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月</w:t>
      </w:r>
      <w:r>
        <w:rPr>
          <w:rStyle w:val="26"/>
          <w:rFonts w:hint="eastAsia" w:ascii="宋体" w:hAnsi="宋体" w:eastAsia="宋体" w:cs="宋体"/>
          <w:color w:val="auto"/>
          <w:kern w:val="0"/>
          <w:sz w:val="24"/>
          <w:szCs w:val="24"/>
          <w:highlight w:val="none"/>
          <w:u w:val="single"/>
        </w:rPr>
        <w:t xml:space="preserve">      </w:t>
      </w:r>
      <w:r>
        <w:rPr>
          <w:rStyle w:val="26"/>
          <w:rFonts w:hint="eastAsia" w:ascii="宋体" w:hAnsi="宋体" w:eastAsia="宋体" w:cs="宋体"/>
          <w:color w:val="auto"/>
          <w:kern w:val="0"/>
          <w:sz w:val="24"/>
          <w:szCs w:val="24"/>
          <w:highlight w:val="none"/>
        </w:rPr>
        <w:t>日</w:t>
      </w:r>
    </w:p>
    <w:p w14:paraId="28959CD3">
      <w:pPr>
        <w:rPr>
          <w:rFonts w:hint="eastAsia" w:ascii="宋体" w:hAnsi="宋体" w:eastAsia="宋体" w:cs="宋体"/>
          <w:color w:val="auto"/>
        </w:rPr>
      </w:pPr>
    </w:p>
    <w:p w14:paraId="0D15938E">
      <w:pPr>
        <w:rPr>
          <w:rFonts w:hint="eastAsia" w:ascii="宋体" w:hAnsi="宋体" w:eastAsia="宋体" w:cs="宋体"/>
          <w:color w:val="auto"/>
        </w:rPr>
      </w:pPr>
    </w:p>
    <w:p w14:paraId="37F6E448">
      <w:pPr>
        <w:rPr>
          <w:rFonts w:hint="eastAsia" w:ascii="宋体" w:hAnsi="宋体" w:eastAsia="宋体" w:cs="宋体"/>
          <w:color w:val="auto"/>
        </w:rPr>
      </w:pPr>
    </w:p>
    <w:p w14:paraId="78EE3903">
      <w:pPr>
        <w:rPr>
          <w:rFonts w:hint="eastAsia" w:ascii="宋体" w:hAnsi="宋体" w:eastAsia="宋体" w:cs="宋体"/>
          <w:color w:val="auto"/>
        </w:rPr>
      </w:pPr>
      <w:r>
        <w:rPr>
          <w:rFonts w:hint="eastAsia" w:ascii="宋体" w:hAnsi="宋体" w:eastAsia="宋体" w:cs="宋体"/>
          <w:color w:val="auto"/>
        </w:rPr>
        <mc:AlternateContent>
          <mc:Choice Requires="wps">
            <w:drawing>
              <wp:anchor distT="0" distB="0" distL="114300" distR="114300" simplePos="0" relativeHeight="251661312"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5" name="流程图: 可选过程 5"/>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42781A8">
                            <w:pPr>
                              <w:jc w:val="center"/>
                              <w:rPr>
                                <w:rStyle w:val="26"/>
                                <w:rFonts w:cs="Times New Roman"/>
                              </w:rPr>
                            </w:pPr>
                          </w:p>
                          <w:p w14:paraId="79350FD2">
                            <w:pPr>
                              <w:jc w:val="center"/>
                              <w:rPr>
                                <w:rStyle w:val="26"/>
                                <w:rFonts w:cs="Times New Roman"/>
                              </w:rPr>
                            </w:pPr>
                          </w:p>
                          <w:p w14:paraId="3B832BD8">
                            <w:pPr>
                              <w:jc w:val="center"/>
                              <w:rPr>
                                <w:rStyle w:val="26"/>
                                <w:rFonts w:cs="Times New Roman"/>
                              </w:rPr>
                            </w:pPr>
                          </w:p>
                          <w:p w14:paraId="77BC77F1">
                            <w:pPr>
                              <w:jc w:val="center"/>
                              <w:rPr>
                                <w:rStyle w:val="26"/>
                                <w:rFonts w:cs="Times New Roman"/>
                              </w:rPr>
                            </w:pPr>
                            <w:r>
                              <w:rPr>
                                <w:rStyle w:val="26"/>
                                <w:rFonts w:hint="eastAsia"/>
                              </w:rPr>
                              <w:t>法定代表人身份证复印件正、反面</w:t>
                            </w:r>
                          </w:p>
                          <w:p w14:paraId="4352EAF1">
                            <w:pPr>
                              <w:rPr>
                                <w:rStyle w:val="26"/>
                                <w:rFonts w:cs="Times New Roman"/>
                              </w:rPr>
                            </w:pPr>
                          </w:p>
                        </w:txbxContent>
                      </wps:txbx>
                      <wps:bodyPr upright="1"/>
                    </wps:wsp>
                  </a:graphicData>
                </a:graphic>
              </wp:anchor>
            </w:drawing>
          </mc:Choice>
          <mc:Fallback>
            <w:pict>
              <v:shape id="_x0000_s1026" o:spid="_x0000_s1026" o:spt="176" type="#_x0000_t176" style="position:absolute;left:0pt;margin-left:127.5pt;margin-top:1.6pt;height:124.75pt;width:222.45pt;z-index:251661312;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4V1KbYAAAACQEAAA8AAAAAAAAAAQAgAAAAIgAAAGRycy9kb3ducmV2LnhtbFBLAQIUABQA&#10;AAAIAIdO4kD832UEKQIAAFAEAAAOAAAAAAAAAAEAIAAAACcBAABkcnMvZTJvRG9jLnhtbFBLBQYA&#10;AAAABgAGAFkBAADCBQAAAAA=&#10;">
                <v:fill on="t" focussize="0,0"/>
                <v:stroke color="#000000" joinstyle="miter"/>
                <v:imagedata o:title=""/>
                <o:lock v:ext="edit" aspectratio="f"/>
                <v:textbox>
                  <w:txbxContent>
                    <w:p w14:paraId="742781A8">
                      <w:pPr>
                        <w:jc w:val="center"/>
                        <w:rPr>
                          <w:rStyle w:val="26"/>
                          <w:rFonts w:cs="Times New Roman"/>
                        </w:rPr>
                      </w:pPr>
                    </w:p>
                    <w:p w14:paraId="79350FD2">
                      <w:pPr>
                        <w:jc w:val="center"/>
                        <w:rPr>
                          <w:rStyle w:val="26"/>
                          <w:rFonts w:cs="Times New Roman"/>
                        </w:rPr>
                      </w:pPr>
                    </w:p>
                    <w:p w14:paraId="3B832BD8">
                      <w:pPr>
                        <w:jc w:val="center"/>
                        <w:rPr>
                          <w:rStyle w:val="26"/>
                          <w:rFonts w:cs="Times New Roman"/>
                        </w:rPr>
                      </w:pPr>
                    </w:p>
                    <w:p w14:paraId="77BC77F1">
                      <w:pPr>
                        <w:jc w:val="center"/>
                        <w:rPr>
                          <w:rStyle w:val="26"/>
                          <w:rFonts w:cs="Times New Roman"/>
                        </w:rPr>
                      </w:pPr>
                      <w:r>
                        <w:rPr>
                          <w:rStyle w:val="26"/>
                          <w:rFonts w:hint="eastAsia"/>
                        </w:rPr>
                        <w:t>法定代表人身份证复印件正、反面</w:t>
                      </w:r>
                    </w:p>
                    <w:p w14:paraId="4352EAF1">
                      <w:pPr>
                        <w:rPr>
                          <w:rStyle w:val="26"/>
                          <w:rFonts w:cs="Times New Roman"/>
                        </w:rPr>
                      </w:pPr>
                    </w:p>
                  </w:txbxContent>
                </v:textbox>
              </v:shape>
            </w:pict>
          </mc:Fallback>
        </mc:AlternateContent>
      </w:r>
    </w:p>
    <w:p w14:paraId="0B62CE95">
      <w:pPr>
        <w:rPr>
          <w:rFonts w:hint="eastAsia" w:ascii="宋体" w:hAnsi="宋体" w:eastAsia="宋体" w:cs="宋体"/>
          <w:color w:val="auto"/>
        </w:rPr>
      </w:pPr>
    </w:p>
    <w:p w14:paraId="2F90217F">
      <w:pPr>
        <w:rPr>
          <w:rFonts w:hint="eastAsia" w:ascii="宋体" w:hAnsi="宋体" w:eastAsia="宋体" w:cs="宋体"/>
          <w:color w:val="auto"/>
        </w:rPr>
      </w:pPr>
    </w:p>
    <w:p w14:paraId="14E18C2B">
      <w:pPr>
        <w:rPr>
          <w:rFonts w:hint="eastAsia" w:ascii="宋体" w:hAnsi="宋体" w:eastAsia="宋体" w:cs="宋体"/>
          <w:color w:val="auto"/>
        </w:rPr>
      </w:pPr>
    </w:p>
    <w:p w14:paraId="218D349C">
      <w:pPr>
        <w:rPr>
          <w:rFonts w:hint="eastAsia" w:ascii="宋体" w:hAnsi="宋体" w:eastAsia="宋体" w:cs="宋体"/>
          <w:color w:val="auto"/>
        </w:rPr>
      </w:pPr>
    </w:p>
    <w:p w14:paraId="48EB4B82">
      <w:pPr>
        <w:rPr>
          <w:rFonts w:hint="eastAsia" w:ascii="宋体" w:hAnsi="宋体" w:eastAsia="宋体" w:cs="宋体"/>
          <w:color w:val="auto"/>
        </w:rPr>
      </w:pPr>
    </w:p>
    <w:p w14:paraId="30515501">
      <w:pPr>
        <w:rPr>
          <w:rFonts w:hint="eastAsia" w:ascii="宋体" w:hAnsi="宋体" w:eastAsia="宋体" w:cs="宋体"/>
          <w:color w:val="auto"/>
        </w:rPr>
      </w:pPr>
    </w:p>
    <w:p w14:paraId="30EC0386">
      <w:pPr>
        <w:rPr>
          <w:rFonts w:hint="eastAsia" w:ascii="宋体" w:hAnsi="宋体" w:eastAsia="宋体" w:cs="宋体"/>
          <w:color w:val="auto"/>
        </w:rPr>
      </w:pPr>
    </w:p>
    <w:p w14:paraId="772040FE">
      <w:pPr>
        <w:rPr>
          <w:rFonts w:hint="eastAsia" w:ascii="宋体" w:hAnsi="宋体" w:eastAsia="宋体" w:cs="宋体"/>
          <w:color w:val="auto"/>
        </w:rPr>
      </w:pPr>
    </w:p>
    <w:p w14:paraId="0AFF4F8C">
      <w:pPr>
        <w:rPr>
          <w:rFonts w:hint="eastAsia" w:ascii="宋体" w:hAnsi="宋体" w:eastAsia="宋体" w:cs="宋体"/>
          <w:color w:val="auto"/>
        </w:rPr>
      </w:pPr>
    </w:p>
    <w:p w14:paraId="6111DA43">
      <w:pPr>
        <w:rPr>
          <w:rFonts w:hint="eastAsia" w:ascii="宋体" w:hAnsi="宋体" w:eastAsia="宋体" w:cs="宋体"/>
          <w:color w:val="auto"/>
        </w:rPr>
      </w:pPr>
    </w:p>
    <w:p w14:paraId="0802FB8B">
      <w:pPr>
        <w:rPr>
          <w:rFonts w:hint="eastAsia" w:ascii="宋体" w:hAnsi="宋体" w:eastAsia="宋体" w:cs="宋体"/>
          <w:color w:val="auto"/>
        </w:rPr>
      </w:pPr>
    </w:p>
    <w:p w14:paraId="668FB1C5">
      <w:pPr>
        <w:tabs>
          <w:tab w:val="left" w:pos="654"/>
          <w:tab w:val="left" w:pos="1734"/>
          <w:tab w:val="left" w:pos="2814"/>
          <w:tab w:val="left" w:pos="3894"/>
          <w:tab w:val="left" w:pos="5334"/>
          <w:tab w:val="left" w:pos="6414"/>
          <w:tab w:val="left" w:pos="7254"/>
          <w:tab w:val="left" w:pos="8574"/>
          <w:tab w:val="left" w:pos="9654"/>
        </w:tabs>
        <w:snapToGrid w:val="0"/>
        <w:rPr>
          <w:rStyle w:val="26"/>
          <w:rFonts w:hint="eastAsia" w:ascii="宋体" w:hAnsi="宋体" w:eastAsia="宋体" w:cs="宋体"/>
          <w:color w:val="auto"/>
          <w:kern w:val="0"/>
          <w:sz w:val="28"/>
          <w:szCs w:val="28"/>
          <w:highlight w:val="none"/>
        </w:rPr>
      </w:pPr>
    </w:p>
    <w:p w14:paraId="4C036F42">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371" w:name="_Toc2177"/>
      <w:r>
        <w:rPr>
          <w:rFonts w:hint="eastAsia" w:ascii="宋体" w:hAnsi="宋体" w:eastAsia="宋体" w:cs="宋体"/>
          <w:color w:val="auto"/>
          <w:kern w:val="2"/>
          <w:sz w:val="28"/>
          <w:szCs w:val="24"/>
          <w:lang w:val="en-US" w:eastAsia="zh-CN"/>
        </w:rPr>
        <w:t>格式六</w:t>
      </w:r>
      <w:bookmarkEnd w:id="360"/>
      <w:bookmarkEnd w:id="361"/>
      <w:bookmarkEnd w:id="362"/>
      <w:bookmarkEnd w:id="363"/>
      <w:bookmarkEnd w:id="364"/>
      <w:bookmarkEnd w:id="365"/>
      <w:bookmarkEnd w:id="366"/>
      <w:bookmarkEnd w:id="367"/>
      <w:bookmarkEnd w:id="368"/>
      <w:bookmarkEnd w:id="369"/>
      <w:bookmarkEnd w:id="370"/>
      <w:r>
        <w:rPr>
          <w:rFonts w:hint="eastAsia" w:ascii="宋体" w:hAnsi="宋体" w:eastAsia="宋体" w:cs="宋体"/>
          <w:color w:val="auto"/>
          <w:kern w:val="2"/>
          <w:sz w:val="28"/>
          <w:szCs w:val="24"/>
          <w:lang w:val="en-US" w:eastAsia="zh-CN"/>
        </w:rPr>
        <w:t xml:space="preserve">   联合体协议书</w:t>
      </w:r>
      <w:bookmarkEnd w:id="371"/>
    </w:p>
    <w:p w14:paraId="0B699A6E">
      <w:pPr>
        <w:pStyle w:val="40"/>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4"/>
          <w:highlight w:val="none"/>
        </w:rPr>
      </w:pPr>
      <w:bookmarkStart w:id="372" w:name="_Toc31837"/>
      <w:bookmarkStart w:id="373" w:name="_Toc18314"/>
      <w:bookmarkStart w:id="374" w:name="_Toc2633"/>
      <w:bookmarkStart w:id="375" w:name="_Toc32195"/>
      <w:r>
        <w:rPr>
          <w:rFonts w:hint="eastAsia" w:ascii="宋体" w:hAnsi="宋体" w:eastAsia="宋体" w:cs="宋体"/>
          <w:b/>
          <w:snapToGrid w:val="0"/>
          <w:color w:val="auto"/>
          <w:sz w:val="24"/>
          <w:szCs w:val="24"/>
          <w:highlight w:val="none"/>
        </w:rPr>
        <w:t>联合体协议书</w:t>
      </w:r>
    </w:p>
    <w:p w14:paraId="2E4B6829">
      <w:pPr>
        <w:pStyle w:val="40"/>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牵头人名称：</w:t>
      </w:r>
      <w:r>
        <w:rPr>
          <w:rFonts w:hint="eastAsia" w:ascii="宋体" w:hAnsi="宋体" w:eastAsia="宋体" w:cs="宋体"/>
          <w:snapToGrid w:val="0"/>
          <w:color w:val="auto"/>
          <w:sz w:val="24"/>
          <w:szCs w:val="24"/>
          <w:highlight w:val="none"/>
          <w:u w:val="single"/>
        </w:rPr>
        <w:t xml:space="preserve">                                                  </w:t>
      </w:r>
    </w:p>
    <w:p w14:paraId="727B70B1">
      <w:pPr>
        <w:pStyle w:val="40"/>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4AFE846C">
      <w:pPr>
        <w:pStyle w:val="40"/>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21350C64">
      <w:pPr>
        <w:rPr>
          <w:rFonts w:hint="eastAsia" w:ascii="宋体" w:hAnsi="宋体" w:eastAsia="宋体" w:cs="宋体"/>
          <w:color w:val="auto"/>
        </w:rPr>
      </w:pPr>
    </w:p>
    <w:p w14:paraId="466A8BD8">
      <w:pPr>
        <w:pStyle w:val="40"/>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成员二名称：</w:t>
      </w:r>
      <w:r>
        <w:rPr>
          <w:rFonts w:hint="eastAsia" w:ascii="宋体" w:hAnsi="宋体" w:eastAsia="宋体" w:cs="宋体"/>
          <w:snapToGrid w:val="0"/>
          <w:color w:val="auto"/>
          <w:sz w:val="24"/>
          <w:szCs w:val="24"/>
          <w:highlight w:val="none"/>
          <w:u w:val="single"/>
        </w:rPr>
        <w:t xml:space="preserve">                                                  </w:t>
      </w:r>
    </w:p>
    <w:p w14:paraId="2C4ED6E1">
      <w:pPr>
        <w:pStyle w:val="40"/>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6CA2069E">
      <w:pPr>
        <w:pStyle w:val="40"/>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33252233">
      <w:pPr>
        <w:pStyle w:val="40"/>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w:t>
      </w:r>
    </w:p>
    <w:p w14:paraId="6164F0B2">
      <w:pPr>
        <w:pStyle w:val="40"/>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上述各成员单位经过友好协商，自愿组成联合体，共同参加</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（项目名称）（以下简称“本项目”）的施工投标并争取赢得本项目施工承包合同（以下简称合同）。现就联合体投标事宜订立如下协议：</w:t>
      </w:r>
    </w:p>
    <w:p w14:paraId="49AEFEB6">
      <w:pPr>
        <w:pStyle w:val="40"/>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1．</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（某成员单位名称）为联合体牵头人。</w:t>
      </w:r>
    </w:p>
    <w:p w14:paraId="7DE177AD">
      <w:pPr>
        <w:pStyle w:val="40"/>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lang w:eastAsia="zh-CN"/>
        </w:rPr>
        <w:t>2.</w:t>
      </w:r>
      <w:r>
        <w:rPr>
          <w:rFonts w:hint="eastAsia" w:ascii="宋体" w:hAnsi="宋体" w:eastAsia="宋体" w:cs="宋体"/>
          <w:snapToGrid w:val="0"/>
          <w:color w:val="auto"/>
          <w:sz w:val="24"/>
          <w:szCs w:val="24"/>
          <w:highlight w:val="none"/>
        </w:rPr>
        <w:t>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55D81897">
      <w:pPr>
        <w:pStyle w:val="40"/>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lang w:eastAsia="zh-CN"/>
        </w:rPr>
        <w:t>3.</w:t>
      </w:r>
      <w:r>
        <w:rPr>
          <w:rFonts w:hint="eastAsia" w:ascii="宋体" w:hAnsi="宋体" w:eastAsia="宋体" w:cs="宋体"/>
          <w:snapToGrid w:val="0"/>
          <w:color w:val="auto"/>
          <w:sz w:val="24"/>
          <w:szCs w:val="24"/>
          <w:highlight w:val="none"/>
        </w:rPr>
        <w:t>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3565CF44">
      <w:pPr>
        <w:pStyle w:val="40"/>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lang w:eastAsia="zh-CN"/>
        </w:rPr>
        <w:t>4.</w:t>
      </w:r>
      <w:r>
        <w:rPr>
          <w:rFonts w:hint="eastAsia" w:ascii="宋体" w:hAnsi="宋体" w:eastAsia="宋体" w:cs="宋体"/>
          <w:snapToGrid w:val="0"/>
          <w:color w:val="auto"/>
          <w:sz w:val="24"/>
          <w:szCs w:val="24"/>
          <w:highlight w:val="none"/>
        </w:rPr>
        <w:t>联合体各成员单位内部的职责分工如下：</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。按照本条上述分工，联合体成员单位各自所承担的合同工作量比例如下：</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w:t>
      </w:r>
    </w:p>
    <w:p w14:paraId="313FCB3C">
      <w:pPr>
        <w:pStyle w:val="40"/>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lang w:eastAsia="zh-CN"/>
        </w:rPr>
        <w:t>5.</w:t>
      </w:r>
      <w:r>
        <w:rPr>
          <w:rFonts w:hint="eastAsia" w:ascii="宋体" w:hAnsi="宋体" w:eastAsia="宋体" w:cs="宋体"/>
          <w:snapToGrid w:val="0"/>
          <w:color w:val="auto"/>
          <w:sz w:val="24"/>
          <w:szCs w:val="24"/>
          <w:highlight w:val="none"/>
        </w:rPr>
        <w:t>投标工作和联合体在中标后工程实施过程中的有关费用按各自承担的工作量分摊。</w:t>
      </w:r>
    </w:p>
    <w:p w14:paraId="71EAD528">
      <w:pPr>
        <w:pStyle w:val="40"/>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lang w:eastAsia="zh-CN"/>
        </w:rPr>
        <w:t>6.</w:t>
      </w:r>
      <w:r>
        <w:rPr>
          <w:rFonts w:hint="eastAsia" w:ascii="宋体" w:hAnsi="宋体" w:eastAsia="宋体" w:cs="宋体"/>
          <w:snapToGrid w:val="0"/>
          <w:color w:val="auto"/>
          <w:sz w:val="24"/>
          <w:szCs w:val="24"/>
          <w:highlight w:val="none"/>
        </w:rPr>
        <w:t>联合体中标后，本联合体协议是合同的附件，对联合体各成员单位有合同约束力。</w:t>
      </w:r>
    </w:p>
    <w:p w14:paraId="10FFB00C">
      <w:pPr>
        <w:pStyle w:val="40"/>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lang w:eastAsia="zh-CN"/>
        </w:rPr>
        <w:t>7.</w:t>
      </w:r>
      <w:r>
        <w:rPr>
          <w:rFonts w:hint="eastAsia" w:ascii="宋体" w:hAnsi="宋体" w:eastAsia="宋体" w:cs="宋体"/>
          <w:snapToGrid w:val="0"/>
          <w:color w:val="auto"/>
          <w:sz w:val="24"/>
          <w:szCs w:val="24"/>
          <w:highlight w:val="none"/>
        </w:rPr>
        <w:t>本协议书自签署之日起生效，联合体未中标或者中标时合同履行完毕后自动失效。</w:t>
      </w:r>
    </w:p>
    <w:p w14:paraId="66886F5F">
      <w:pPr>
        <w:pStyle w:val="40"/>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lang w:eastAsia="zh-CN"/>
        </w:rPr>
        <w:t>8.</w:t>
      </w:r>
      <w:r>
        <w:rPr>
          <w:rFonts w:hint="eastAsia" w:ascii="宋体" w:hAnsi="宋体" w:eastAsia="宋体" w:cs="宋体"/>
          <w:snapToGrid w:val="0"/>
          <w:color w:val="auto"/>
          <w:sz w:val="24"/>
          <w:szCs w:val="24"/>
          <w:highlight w:val="none"/>
        </w:rPr>
        <w:t>本协议书一式</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份，联合体成员和招标人各执一份。</w:t>
      </w:r>
    </w:p>
    <w:p w14:paraId="30EDD66C">
      <w:pPr>
        <w:rPr>
          <w:rFonts w:hint="eastAsia" w:ascii="宋体" w:hAnsi="宋体" w:eastAsia="宋体" w:cs="宋体"/>
          <w:color w:val="auto"/>
        </w:rPr>
      </w:pPr>
    </w:p>
    <w:p w14:paraId="4B0B16C2">
      <w:pPr>
        <w:pStyle w:val="40"/>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牵头人名称：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7FB6DBD2">
      <w:pPr>
        <w:rPr>
          <w:rFonts w:hint="eastAsia" w:ascii="宋体" w:hAnsi="宋体" w:eastAsia="宋体" w:cs="宋体"/>
          <w:color w:val="auto"/>
        </w:rPr>
      </w:pPr>
    </w:p>
    <w:p w14:paraId="6CC59F5B">
      <w:pPr>
        <w:pStyle w:val="40"/>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7296890A">
      <w:pPr>
        <w:rPr>
          <w:rFonts w:hint="eastAsia" w:ascii="宋体" w:hAnsi="宋体" w:eastAsia="宋体" w:cs="宋体"/>
          <w:color w:val="auto"/>
        </w:rPr>
      </w:pPr>
    </w:p>
    <w:p w14:paraId="68A4392A">
      <w:pPr>
        <w:rPr>
          <w:rFonts w:hint="eastAsia" w:ascii="宋体" w:hAnsi="宋体" w:eastAsia="宋体" w:cs="宋体"/>
          <w:color w:val="auto"/>
        </w:rPr>
      </w:pPr>
    </w:p>
    <w:p w14:paraId="6B663772">
      <w:pPr>
        <w:pStyle w:val="40"/>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成员二名称：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19154B28">
      <w:pPr>
        <w:rPr>
          <w:rFonts w:hint="eastAsia" w:ascii="宋体" w:hAnsi="宋体" w:eastAsia="宋体" w:cs="宋体"/>
          <w:color w:val="auto"/>
        </w:rPr>
      </w:pPr>
    </w:p>
    <w:p w14:paraId="0DE7ECF1">
      <w:pPr>
        <w:rPr>
          <w:rFonts w:hint="eastAsia" w:ascii="宋体" w:hAnsi="宋体" w:eastAsia="宋体" w:cs="宋体"/>
          <w:color w:val="auto"/>
        </w:rPr>
      </w:pPr>
    </w:p>
    <w:p w14:paraId="10EA608A">
      <w:pPr>
        <w:pStyle w:val="40"/>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3C4EAA7F">
      <w:pPr>
        <w:rPr>
          <w:rFonts w:hint="eastAsia" w:ascii="宋体" w:hAnsi="宋体" w:eastAsia="宋体" w:cs="宋体"/>
          <w:color w:val="auto"/>
        </w:rPr>
      </w:pPr>
    </w:p>
    <w:p w14:paraId="37A3E262">
      <w:pPr>
        <w:rPr>
          <w:rFonts w:hint="eastAsia" w:ascii="宋体" w:hAnsi="宋体" w:eastAsia="宋体" w:cs="宋体"/>
          <w:color w:val="auto"/>
        </w:rPr>
      </w:pPr>
    </w:p>
    <w:p w14:paraId="21AAD331">
      <w:pPr>
        <w:pStyle w:val="40"/>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2FF3B481">
      <w:pPr>
        <w:rPr>
          <w:rFonts w:hint="eastAsia" w:ascii="宋体" w:hAnsi="宋体" w:eastAsia="宋体" w:cs="宋体"/>
          <w:color w:val="auto"/>
        </w:rPr>
      </w:pPr>
    </w:p>
    <w:p w14:paraId="12E77094">
      <w:pPr>
        <w:pStyle w:val="40"/>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说明：《联合体协议书》由委托代理人签字或盖章的，应附法定代表人签字或盖章的授权委托书。</w:t>
      </w:r>
    </w:p>
    <w:p w14:paraId="2F845504">
      <w:pPr>
        <w:rPr>
          <w:rFonts w:hint="eastAsia" w:ascii="宋体" w:hAnsi="宋体" w:eastAsia="宋体" w:cs="宋体"/>
          <w:color w:val="auto"/>
        </w:rPr>
      </w:pPr>
    </w:p>
    <w:p w14:paraId="5A676E91">
      <w:pPr>
        <w:rPr>
          <w:rFonts w:hint="eastAsia" w:ascii="宋体" w:hAnsi="宋体" w:eastAsia="宋体" w:cs="宋体"/>
          <w:color w:val="auto"/>
        </w:rPr>
      </w:pPr>
    </w:p>
    <w:p w14:paraId="5582B421">
      <w:pPr>
        <w:rPr>
          <w:rFonts w:hint="eastAsia" w:ascii="宋体" w:hAnsi="宋体" w:eastAsia="宋体" w:cs="宋体"/>
          <w:color w:val="auto"/>
        </w:rPr>
      </w:pPr>
    </w:p>
    <w:p w14:paraId="39907BC0">
      <w:pPr>
        <w:rPr>
          <w:rFonts w:hint="eastAsia" w:ascii="宋体" w:hAnsi="宋体" w:eastAsia="宋体" w:cs="宋体"/>
          <w:color w:val="auto"/>
        </w:rPr>
      </w:pPr>
    </w:p>
    <w:p w14:paraId="0BE7123E">
      <w:pPr>
        <w:rPr>
          <w:rFonts w:hint="eastAsia" w:ascii="宋体" w:hAnsi="宋体" w:eastAsia="宋体" w:cs="宋体"/>
          <w:color w:val="auto"/>
        </w:rPr>
      </w:pPr>
    </w:p>
    <w:p w14:paraId="352FAA72">
      <w:pPr>
        <w:rPr>
          <w:rFonts w:hint="eastAsia" w:ascii="宋体" w:hAnsi="宋体" w:eastAsia="宋体" w:cs="宋体"/>
          <w:color w:val="auto"/>
        </w:rPr>
      </w:pPr>
    </w:p>
    <w:p w14:paraId="182AFCA3">
      <w:pPr>
        <w:rPr>
          <w:rFonts w:hint="eastAsia" w:ascii="宋体" w:hAnsi="宋体" w:eastAsia="宋体" w:cs="宋体"/>
          <w:color w:val="auto"/>
        </w:rPr>
      </w:pPr>
    </w:p>
    <w:p w14:paraId="707341D4">
      <w:pPr>
        <w:rPr>
          <w:rFonts w:hint="eastAsia" w:ascii="宋体" w:hAnsi="宋体" w:eastAsia="宋体" w:cs="宋体"/>
          <w:color w:val="auto"/>
        </w:rPr>
      </w:pPr>
    </w:p>
    <w:p w14:paraId="75EA2D53">
      <w:pPr>
        <w:rPr>
          <w:rFonts w:hint="eastAsia" w:ascii="宋体" w:hAnsi="宋体" w:eastAsia="宋体" w:cs="宋体"/>
          <w:color w:val="auto"/>
        </w:rPr>
      </w:pPr>
    </w:p>
    <w:p w14:paraId="66B34C0D">
      <w:pPr>
        <w:rPr>
          <w:rFonts w:hint="eastAsia" w:ascii="宋体" w:hAnsi="宋体" w:eastAsia="宋体" w:cs="宋体"/>
          <w:color w:val="auto"/>
        </w:rPr>
      </w:pPr>
    </w:p>
    <w:p w14:paraId="4EBDB48C">
      <w:pPr>
        <w:rPr>
          <w:rFonts w:hint="eastAsia" w:ascii="宋体" w:hAnsi="宋体" w:eastAsia="宋体" w:cs="宋体"/>
          <w:color w:val="auto"/>
        </w:rPr>
      </w:pPr>
    </w:p>
    <w:p w14:paraId="7D45D07B">
      <w:pPr>
        <w:rPr>
          <w:rFonts w:hint="eastAsia" w:ascii="宋体" w:hAnsi="宋体" w:eastAsia="宋体" w:cs="宋体"/>
          <w:color w:val="auto"/>
        </w:rPr>
      </w:pPr>
    </w:p>
    <w:p w14:paraId="1BEF0BB6">
      <w:pPr>
        <w:rPr>
          <w:rFonts w:hint="eastAsia" w:ascii="宋体" w:hAnsi="宋体" w:eastAsia="宋体" w:cs="宋体"/>
          <w:color w:val="auto"/>
        </w:rPr>
      </w:pPr>
    </w:p>
    <w:p w14:paraId="3BF8D3E1">
      <w:pPr>
        <w:rPr>
          <w:rFonts w:hint="eastAsia" w:ascii="宋体" w:hAnsi="宋体" w:eastAsia="宋体" w:cs="宋体"/>
          <w:color w:val="auto"/>
        </w:rPr>
      </w:pPr>
    </w:p>
    <w:p w14:paraId="0D9BA508">
      <w:pPr>
        <w:rPr>
          <w:rFonts w:hint="eastAsia" w:ascii="宋体" w:hAnsi="宋体" w:eastAsia="宋体" w:cs="宋体"/>
          <w:color w:val="auto"/>
        </w:rPr>
      </w:pPr>
    </w:p>
    <w:p w14:paraId="6F38D9F9">
      <w:pPr>
        <w:rPr>
          <w:rFonts w:hint="eastAsia" w:ascii="宋体" w:hAnsi="宋体" w:eastAsia="宋体" w:cs="宋体"/>
          <w:color w:val="auto"/>
        </w:rPr>
      </w:pPr>
    </w:p>
    <w:p w14:paraId="6337A6C5">
      <w:pPr>
        <w:rPr>
          <w:rFonts w:hint="eastAsia" w:ascii="宋体" w:hAnsi="宋体" w:eastAsia="宋体" w:cs="宋体"/>
          <w:color w:val="auto"/>
        </w:rPr>
      </w:pPr>
    </w:p>
    <w:p w14:paraId="0DD6E690">
      <w:pPr>
        <w:rPr>
          <w:rFonts w:hint="eastAsia" w:ascii="宋体" w:hAnsi="宋体" w:eastAsia="宋体" w:cs="宋体"/>
          <w:color w:val="auto"/>
        </w:rPr>
      </w:pPr>
    </w:p>
    <w:p w14:paraId="3F390832">
      <w:pPr>
        <w:rPr>
          <w:rFonts w:hint="eastAsia" w:ascii="宋体" w:hAnsi="宋体" w:eastAsia="宋体" w:cs="宋体"/>
          <w:color w:val="auto"/>
        </w:rPr>
      </w:pPr>
    </w:p>
    <w:p w14:paraId="0D8E3244">
      <w:pPr>
        <w:rPr>
          <w:rFonts w:hint="eastAsia" w:ascii="宋体" w:hAnsi="宋体" w:eastAsia="宋体" w:cs="宋体"/>
          <w:color w:val="auto"/>
        </w:rPr>
      </w:pPr>
    </w:p>
    <w:p w14:paraId="5281CF9D">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376" w:name="_Toc18643"/>
      <w:bookmarkStart w:id="377" w:name="_Toc14726"/>
      <w:bookmarkStart w:id="378" w:name="_Toc16429"/>
      <w:bookmarkStart w:id="379" w:name="_Toc1116"/>
      <w:bookmarkStart w:id="380" w:name="_Toc6145"/>
      <w:bookmarkStart w:id="381" w:name="_Toc5313"/>
      <w:bookmarkStart w:id="382" w:name="_Toc5097"/>
      <w:bookmarkStart w:id="383" w:name="_Toc15973"/>
      <w:r>
        <w:rPr>
          <w:rFonts w:hint="eastAsia" w:ascii="宋体" w:hAnsi="宋体" w:eastAsia="宋体" w:cs="宋体"/>
          <w:color w:val="auto"/>
          <w:kern w:val="2"/>
          <w:sz w:val="28"/>
          <w:szCs w:val="24"/>
          <w:lang w:val="en-US" w:eastAsia="zh-CN"/>
        </w:rPr>
        <w:t>格式七   投标人基本情况表</w:t>
      </w:r>
      <w:bookmarkEnd w:id="372"/>
      <w:bookmarkEnd w:id="373"/>
      <w:bookmarkEnd w:id="374"/>
      <w:bookmarkEnd w:id="375"/>
      <w:bookmarkEnd w:id="376"/>
      <w:bookmarkEnd w:id="377"/>
      <w:bookmarkEnd w:id="378"/>
      <w:bookmarkEnd w:id="379"/>
      <w:bookmarkEnd w:id="380"/>
      <w:bookmarkEnd w:id="381"/>
      <w:bookmarkEnd w:id="382"/>
      <w:bookmarkEnd w:id="383"/>
    </w:p>
    <w:p w14:paraId="1D0AB530">
      <w:pPr>
        <w:bidi w:val="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投标人基本情况表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969"/>
        <w:gridCol w:w="1826"/>
        <w:gridCol w:w="870"/>
        <w:gridCol w:w="307"/>
        <w:gridCol w:w="1040"/>
        <w:gridCol w:w="278"/>
        <w:gridCol w:w="766"/>
        <w:gridCol w:w="1538"/>
      </w:tblGrid>
      <w:tr w14:paraId="55B1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1605" w:type="dxa"/>
            <w:noWrap w:val="0"/>
            <w:vAlign w:val="center"/>
          </w:tcPr>
          <w:p w14:paraId="389A7E29">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投标人名称</w:t>
            </w:r>
          </w:p>
        </w:tc>
        <w:tc>
          <w:tcPr>
            <w:tcW w:w="7594" w:type="dxa"/>
            <w:gridSpan w:val="8"/>
            <w:noWrap w:val="0"/>
            <w:vAlign w:val="center"/>
          </w:tcPr>
          <w:p w14:paraId="2E2AB25B">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66EA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1605" w:type="dxa"/>
            <w:noWrap w:val="0"/>
            <w:vAlign w:val="center"/>
          </w:tcPr>
          <w:p w14:paraId="527917C7">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注册地址</w:t>
            </w:r>
          </w:p>
        </w:tc>
        <w:tc>
          <w:tcPr>
            <w:tcW w:w="3665" w:type="dxa"/>
            <w:gridSpan w:val="3"/>
            <w:noWrap w:val="0"/>
            <w:vAlign w:val="center"/>
          </w:tcPr>
          <w:p w14:paraId="0ADEC4E3">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347" w:type="dxa"/>
            <w:gridSpan w:val="2"/>
            <w:noWrap w:val="0"/>
            <w:vAlign w:val="center"/>
          </w:tcPr>
          <w:p w14:paraId="004862E0">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邮政编码</w:t>
            </w:r>
          </w:p>
        </w:tc>
        <w:tc>
          <w:tcPr>
            <w:tcW w:w="2582" w:type="dxa"/>
            <w:gridSpan w:val="3"/>
            <w:noWrap w:val="0"/>
            <w:vAlign w:val="center"/>
          </w:tcPr>
          <w:p w14:paraId="57E73EF8">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43C8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1605" w:type="dxa"/>
            <w:vMerge w:val="restart"/>
            <w:noWrap w:val="0"/>
            <w:vAlign w:val="center"/>
          </w:tcPr>
          <w:p w14:paraId="56A302CC">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联系方式</w:t>
            </w:r>
          </w:p>
        </w:tc>
        <w:tc>
          <w:tcPr>
            <w:tcW w:w="969" w:type="dxa"/>
            <w:noWrap w:val="0"/>
            <w:vAlign w:val="center"/>
          </w:tcPr>
          <w:p w14:paraId="5C3EE54B">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联系人</w:t>
            </w:r>
          </w:p>
        </w:tc>
        <w:tc>
          <w:tcPr>
            <w:tcW w:w="2696" w:type="dxa"/>
            <w:gridSpan w:val="2"/>
            <w:noWrap w:val="0"/>
            <w:vAlign w:val="center"/>
          </w:tcPr>
          <w:p w14:paraId="5C92A685">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347" w:type="dxa"/>
            <w:gridSpan w:val="2"/>
            <w:noWrap w:val="0"/>
            <w:vAlign w:val="center"/>
          </w:tcPr>
          <w:p w14:paraId="4B9DCBBB">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  话</w:t>
            </w:r>
          </w:p>
        </w:tc>
        <w:tc>
          <w:tcPr>
            <w:tcW w:w="2582" w:type="dxa"/>
            <w:gridSpan w:val="3"/>
            <w:noWrap w:val="0"/>
            <w:vAlign w:val="center"/>
          </w:tcPr>
          <w:p w14:paraId="6859EFDE">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792F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1605" w:type="dxa"/>
            <w:vMerge w:val="continue"/>
            <w:noWrap w:val="0"/>
            <w:vAlign w:val="center"/>
          </w:tcPr>
          <w:p w14:paraId="63EC4A0E">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69" w:type="dxa"/>
            <w:noWrap w:val="0"/>
            <w:vAlign w:val="center"/>
          </w:tcPr>
          <w:p w14:paraId="3B3FD7C2">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传  真</w:t>
            </w:r>
          </w:p>
        </w:tc>
        <w:tc>
          <w:tcPr>
            <w:tcW w:w="2696" w:type="dxa"/>
            <w:gridSpan w:val="2"/>
            <w:noWrap w:val="0"/>
            <w:vAlign w:val="center"/>
          </w:tcPr>
          <w:p w14:paraId="75272FA8">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347" w:type="dxa"/>
            <w:gridSpan w:val="2"/>
            <w:noWrap w:val="0"/>
            <w:vAlign w:val="center"/>
          </w:tcPr>
          <w:p w14:paraId="766D3D15">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电子邮箱</w:t>
            </w:r>
          </w:p>
        </w:tc>
        <w:tc>
          <w:tcPr>
            <w:tcW w:w="2582" w:type="dxa"/>
            <w:gridSpan w:val="3"/>
            <w:noWrap w:val="0"/>
            <w:vAlign w:val="center"/>
          </w:tcPr>
          <w:p w14:paraId="2430A569">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2110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1605" w:type="dxa"/>
            <w:noWrap w:val="0"/>
            <w:vAlign w:val="center"/>
          </w:tcPr>
          <w:p w14:paraId="78E266E8">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单位性质</w:t>
            </w:r>
          </w:p>
        </w:tc>
        <w:tc>
          <w:tcPr>
            <w:tcW w:w="7594" w:type="dxa"/>
            <w:gridSpan w:val="8"/>
            <w:noWrap w:val="0"/>
            <w:vAlign w:val="center"/>
          </w:tcPr>
          <w:p w14:paraId="33638F4B">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3478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1605" w:type="dxa"/>
            <w:noWrap w:val="0"/>
            <w:vAlign w:val="center"/>
          </w:tcPr>
          <w:p w14:paraId="26AE09BA">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法定代表人</w:t>
            </w:r>
          </w:p>
        </w:tc>
        <w:tc>
          <w:tcPr>
            <w:tcW w:w="969" w:type="dxa"/>
            <w:noWrap w:val="0"/>
            <w:vAlign w:val="center"/>
          </w:tcPr>
          <w:p w14:paraId="7E301B19">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1826" w:type="dxa"/>
            <w:noWrap w:val="0"/>
            <w:vAlign w:val="center"/>
          </w:tcPr>
          <w:p w14:paraId="5474ADE2">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177" w:type="dxa"/>
            <w:gridSpan w:val="2"/>
            <w:noWrap w:val="0"/>
            <w:vAlign w:val="center"/>
          </w:tcPr>
          <w:p w14:paraId="035B886F">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技术职称</w:t>
            </w:r>
          </w:p>
        </w:tc>
        <w:tc>
          <w:tcPr>
            <w:tcW w:w="1318" w:type="dxa"/>
            <w:gridSpan w:val="2"/>
            <w:noWrap w:val="0"/>
            <w:vAlign w:val="center"/>
          </w:tcPr>
          <w:p w14:paraId="38E1F5E4">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766" w:type="dxa"/>
            <w:noWrap w:val="0"/>
            <w:vAlign w:val="center"/>
          </w:tcPr>
          <w:p w14:paraId="6604024E">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电话</w:t>
            </w:r>
          </w:p>
        </w:tc>
        <w:tc>
          <w:tcPr>
            <w:tcW w:w="1538" w:type="dxa"/>
            <w:noWrap w:val="0"/>
            <w:vAlign w:val="center"/>
          </w:tcPr>
          <w:p w14:paraId="6DB70C56">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7666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1605" w:type="dxa"/>
            <w:noWrap w:val="0"/>
            <w:vAlign w:val="center"/>
          </w:tcPr>
          <w:p w14:paraId="56CCE893">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成立时间</w:t>
            </w:r>
          </w:p>
        </w:tc>
        <w:tc>
          <w:tcPr>
            <w:tcW w:w="2795" w:type="dxa"/>
            <w:gridSpan w:val="2"/>
            <w:noWrap w:val="0"/>
            <w:vAlign w:val="center"/>
          </w:tcPr>
          <w:p w14:paraId="7EE03FDE">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4799" w:type="dxa"/>
            <w:gridSpan w:val="6"/>
            <w:noWrap w:val="0"/>
            <w:vAlign w:val="center"/>
          </w:tcPr>
          <w:p w14:paraId="72A8AF27">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员工总人数（个）：</w:t>
            </w:r>
          </w:p>
        </w:tc>
      </w:tr>
      <w:tr w14:paraId="5D64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605" w:type="dxa"/>
            <w:noWrap w:val="0"/>
            <w:vAlign w:val="center"/>
          </w:tcPr>
          <w:p w14:paraId="1741FE6B">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企业资质</w:t>
            </w:r>
          </w:p>
          <w:p w14:paraId="1E096849">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类型和等级</w:t>
            </w:r>
          </w:p>
        </w:tc>
        <w:tc>
          <w:tcPr>
            <w:tcW w:w="2795" w:type="dxa"/>
            <w:gridSpan w:val="2"/>
            <w:noWrap w:val="0"/>
            <w:vAlign w:val="center"/>
          </w:tcPr>
          <w:p w14:paraId="3DB7243A">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177" w:type="dxa"/>
            <w:gridSpan w:val="2"/>
            <w:vMerge w:val="restart"/>
            <w:noWrap w:val="0"/>
            <w:vAlign w:val="center"/>
          </w:tcPr>
          <w:p w14:paraId="4A249D6F">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其中</w:t>
            </w:r>
          </w:p>
        </w:tc>
        <w:tc>
          <w:tcPr>
            <w:tcW w:w="2084" w:type="dxa"/>
            <w:gridSpan w:val="3"/>
            <w:noWrap w:val="0"/>
            <w:vAlign w:val="center"/>
          </w:tcPr>
          <w:p w14:paraId="7C7BD888">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538" w:type="dxa"/>
            <w:noWrap w:val="0"/>
            <w:vAlign w:val="center"/>
          </w:tcPr>
          <w:p w14:paraId="2E8E454E">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14CE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605" w:type="dxa"/>
            <w:noWrap w:val="0"/>
            <w:vAlign w:val="center"/>
          </w:tcPr>
          <w:p w14:paraId="24A7CA78">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营业执照号</w:t>
            </w:r>
          </w:p>
        </w:tc>
        <w:tc>
          <w:tcPr>
            <w:tcW w:w="2795" w:type="dxa"/>
            <w:gridSpan w:val="2"/>
            <w:noWrap w:val="0"/>
            <w:vAlign w:val="center"/>
          </w:tcPr>
          <w:p w14:paraId="5EF52B90">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177" w:type="dxa"/>
            <w:gridSpan w:val="2"/>
            <w:vMerge w:val="continue"/>
            <w:noWrap w:val="0"/>
            <w:vAlign w:val="center"/>
          </w:tcPr>
          <w:p w14:paraId="37DEB2E4">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084" w:type="dxa"/>
            <w:gridSpan w:val="3"/>
            <w:noWrap w:val="0"/>
            <w:vAlign w:val="center"/>
          </w:tcPr>
          <w:p w14:paraId="31A23F70">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高级职称人员</w:t>
            </w:r>
          </w:p>
        </w:tc>
        <w:tc>
          <w:tcPr>
            <w:tcW w:w="1538" w:type="dxa"/>
            <w:noWrap w:val="0"/>
            <w:vAlign w:val="center"/>
          </w:tcPr>
          <w:p w14:paraId="5C5CDB83">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573D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1605" w:type="dxa"/>
            <w:noWrap w:val="0"/>
            <w:vAlign w:val="center"/>
          </w:tcPr>
          <w:p w14:paraId="35E7BB54">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注册资金</w:t>
            </w:r>
          </w:p>
        </w:tc>
        <w:tc>
          <w:tcPr>
            <w:tcW w:w="2795" w:type="dxa"/>
            <w:gridSpan w:val="2"/>
            <w:noWrap w:val="0"/>
            <w:vAlign w:val="center"/>
          </w:tcPr>
          <w:p w14:paraId="16F7D4CF">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177" w:type="dxa"/>
            <w:gridSpan w:val="2"/>
            <w:vMerge w:val="continue"/>
            <w:noWrap w:val="0"/>
            <w:vAlign w:val="center"/>
          </w:tcPr>
          <w:p w14:paraId="693FA0F3">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084" w:type="dxa"/>
            <w:gridSpan w:val="3"/>
            <w:noWrap w:val="0"/>
            <w:vAlign w:val="center"/>
          </w:tcPr>
          <w:p w14:paraId="2E6E6EFC">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中级职称人员</w:t>
            </w:r>
          </w:p>
        </w:tc>
        <w:tc>
          <w:tcPr>
            <w:tcW w:w="1538" w:type="dxa"/>
            <w:noWrap w:val="0"/>
            <w:vAlign w:val="center"/>
          </w:tcPr>
          <w:p w14:paraId="71EAB540">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78F4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exact"/>
          <w:jc w:val="center"/>
        </w:trPr>
        <w:tc>
          <w:tcPr>
            <w:tcW w:w="1605" w:type="dxa"/>
            <w:noWrap w:val="0"/>
            <w:vAlign w:val="center"/>
          </w:tcPr>
          <w:p w14:paraId="6FBC0966">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基本账户</w:t>
            </w:r>
          </w:p>
          <w:p w14:paraId="0F7051C8">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开户银行</w:t>
            </w:r>
          </w:p>
        </w:tc>
        <w:tc>
          <w:tcPr>
            <w:tcW w:w="2795" w:type="dxa"/>
            <w:gridSpan w:val="2"/>
            <w:noWrap w:val="0"/>
            <w:vAlign w:val="center"/>
          </w:tcPr>
          <w:p w14:paraId="4EB8899E">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177" w:type="dxa"/>
            <w:gridSpan w:val="2"/>
            <w:vMerge w:val="continue"/>
            <w:noWrap w:val="0"/>
            <w:vAlign w:val="center"/>
          </w:tcPr>
          <w:p w14:paraId="73A064C4">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084" w:type="dxa"/>
            <w:gridSpan w:val="3"/>
            <w:noWrap w:val="0"/>
            <w:vAlign w:val="center"/>
          </w:tcPr>
          <w:p w14:paraId="119AC8ED">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初级职称人员</w:t>
            </w:r>
          </w:p>
        </w:tc>
        <w:tc>
          <w:tcPr>
            <w:tcW w:w="1538" w:type="dxa"/>
            <w:noWrap w:val="0"/>
            <w:vAlign w:val="center"/>
          </w:tcPr>
          <w:p w14:paraId="75822468">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11AD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1605" w:type="dxa"/>
            <w:noWrap w:val="0"/>
            <w:vAlign w:val="center"/>
          </w:tcPr>
          <w:p w14:paraId="6F02986F">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基本账户</w:t>
            </w:r>
          </w:p>
          <w:p w14:paraId="41B29BFE">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银行账号</w:t>
            </w:r>
          </w:p>
        </w:tc>
        <w:tc>
          <w:tcPr>
            <w:tcW w:w="2795" w:type="dxa"/>
            <w:gridSpan w:val="2"/>
            <w:noWrap w:val="0"/>
            <w:vAlign w:val="center"/>
          </w:tcPr>
          <w:p w14:paraId="402155B8">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177" w:type="dxa"/>
            <w:gridSpan w:val="2"/>
            <w:vMerge w:val="continue"/>
            <w:noWrap w:val="0"/>
            <w:vAlign w:val="center"/>
          </w:tcPr>
          <w:p w14:paraId="132A3F90">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084" w:type="dxa"/>
            <w:gridSpan w:val="3"/>
            <w:noWrap w:val="0"/>
            <w:vAlign w:val="center"/>
          </w:tcPr>
          <w:p w14:paraId="44FD29D2">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技术员</w:t>
            </w:r>
          </w:p>
        </w:tc>
        <w:tc>
          <w:tcPr>
            <w:tcW w:w="1538" w:type="dxa"/>
            <w:noWrap w:val="0"/>
            <w:vAlign w:val="center"/>
          </w:tcPr>
          <w:p w14:paraId="530284C3">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6704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1605" w:type="dxa"/>
            <w:noWrap w:val="0"/>
            <w:vAlign w:val="center"/>
          </w:tcPr>
          <w:p w14:paraId="720409D4">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经营范围</w:t>
            </w:r>
          </w:p>
        </w:tc>
        <w:tc>
          <w:tcPr>
            <w:tcW w:w="7594" w:type="dxa"/>
            <w:gridSpan w:val="8"/>
            <w:noWrap w:val="0"/>
            <w:vAlign w:val="center"/>
          </w:tcPr>
          <w:p w14:paraId="2BF4E941">
            <w:pPr>
              <w:pStyle w:val="54"/>
              <w:keepNext w:val="0"/>
              <w:keepLines w:val="0"/>
              <w:suppressLineNumbers w:val="0"/>
              <w:wordWrap w:val="0"/>
              <w:adjustRightInd w:val="0"/>
              <w:snapToGrid w:val="0"/>
              <w:spacing w:before="0" w:beforeAutospacing="0" w:after="0" w:afterAutospacing="0"/>
              <w:ind w:left="0" w:right="0"/>
              <w:jc w:val="left"/>
              <w:rPr>
                <w:rFonts w:hint="eastAsia" w:ascii="宋体" w:hAnsi="宋体" w:eastAsia="宋体" w:cs="宋体"/>
                <w:snapToGrid w:val="0"/>
                <w:color w:val="auto"/>
                <w:kern w:val="0"/>
                <w:sz w:val="21"/>
                <w:szCs w:val="21"/>
                <w:highlight w:val="none"/>
              </w:rPr>
            </w:pPr>
          </w:p>
        </w:tc>
      </w:tr>
      <w:tr w14:paraId="70F2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1605" w:type="dxa"/>
            <w:noWrap w:val="0"/>
            <w:vAlign w:val="center"/>
          </w:tcPr>
          <w:p w14:paraId="6B97C2CF">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关联企业情况</w:t>
            </w:r>
          </w:p>
        </w:tc>
        <w:tc>
          <w:tcPr>
            <w:tcW w:w="7594" w:type="dxa"/>
            <w:gridSpan w:val="8"/>
            <w:noWrap w:val="0"/>
            <w:vAlign w:val="center"/>
          </w:tcPr>
          <w:p w14:paraId="43E47A12">
            <w:pPr>
              <w:pStyle w:val="54"/>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包括但不限于与投标人存在以下关系的不同单位：</w:t>
            </w:r>
          </w:p>
          <w:p w14:paraId="3BB786D1">
            <w:pPr>
              <w:pStyle w:val="54"/>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eastAsia="zh-CN"/>
              </w:rPr>
              <w:t>1.</w:t>
            </w:r>
            <w:r>
              <w:rPr>
                <w:rFonts w:hint="eastAsia" w:ascii="宋体" w:hAnsi="宋体" w:eastAsia="宋体" w:cs="宋体"/>
                <w:snapToGrid w:val="0"/>
                <w:color w:val="auto"/>
                <w:kern w:val="0"/>
                <w:sz w:val="21"/>
                <w:szCs w:val="21"/>
                <w:highlight w:val="none"/>
              </w:rPr>
              <w:t>法定代表人为同一人的。</w:t>
            </w:r>
          </w:p>
          <w:p w14:paraId="65B75F00">
            <w:pPr>
              <w:pStyle w:val="54"/>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eastAsia="zh-CN"/>
              </w:rPr>
              <w:t>2.</w:t>
            </w:r>
            <w:r>
              <w:rPr>
                <w:rFonts w:hint="eastAsia" w:ascii="宋体" w:hAnsi="宋体" w:eastAsia="宋体" w:cs="宋体"/>
                <w:snapToGrid w:val="0"/>
                <w:color w:val="auto"/>
                <w:kern w:val="0"/>
                <w:sz w:val="21"/>
                <w:szCs w:val="21"/>
                <w:highlight w:val="none"/>
              </w:rPr>
              <w:t>存在控股、管理关系的。</w:t>
            </w:r>
          </w:p>
          <w:p w14:paraId="43D2F22F">
            <w:pPr>
              <w:pStyle w:val="54"/>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eastAsia="zh-CN"/>
              </w:rPr>
              <w:t>3.</w:t>
            </w:r>
            <w:r>
              <w:rPr>
                <w:rFonts w:hint="eastAsia" w:ascii="宋体" w:hAnsi="宋体" w:eastAsia="宋体" w:cs="宋体"/>
                <w:snapToGrid w:val="0"/>
                <w:color w:val="auto"/>
                <w:kern w:val="0"/>
                <w:sz w:val="21"/>
                <w:szCs w:val="21"/>
                <w:highlight w:val="none"/>
              </w:rPr>
              <w:t>主要人员相互任职的。</w:t>
            </w:r>
          </w:p>
        </w:tc>
      </w:tr>
      <w:tr w14:paraId="7D2C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605" w:type="dxa"/>
            <w:noWrap w:val="0"/>
            <w:vAlign w:val="center"/>
          </w:tcPr>
          <w:p w14:paraId="5EEFCECD">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c>
          <w:tcPr>
            <w:tcW w:w="7594" w:type="dxa"/>
            <w:gridSpan w:val="8"/>
            <w:noWrap w:val="0"/>
            <w:vAlign w:val="center"/>
          </w:tcPr>
          <w:p w14:paraId="1E6B2180">
            <w:pPr>
              <w:pStyle w:val="54"/>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bl>
    <w:p w14:paraId="2A2272AA">
      <w:pPr>
        <w:pStyle w:val="54"/>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说明：</w:t>
      </w:r>
    </w:p>
    <w:p w14:paraId="3FDE691B">
      <w:pPr>
        <w:pStyle w:val="54"/>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eastAsia="zh-CN"/>
        </w:rPr>
        <w:t>1.</w:t>
      </w:r>
      <w:r>
        <w:rPr>
          <w:rFonts w:hint="eastAsia" w:ascii="宋体" w:hAnsi="宋体" w:eastAsia="宋体" w:cs="宋体"/>
          <w:snapToGrid w:val="0"/>
          <w:color w:val="auto"/>
          <w:kern w:val="0"/>
          <w:sz w:val="21"/>
          <w:szCs w:val="21"/>
          <w:highlight w:val="none"/>
        </w:rPr>
        <w:t>《投标人基本情况表》后应附以下资料：</w:t>
      </w:r>
    </w:p>
    <w:p w14:paraId="22E10E42">
      <w:pPr>
        <w:pStyle w:val="54"/>
        <w:wordWrap w:val="0"/>
        <w:adjustRightInd w:val="0"/>
        <w:snapToGrid w:val="0"/>
        <w:spacing w:line="400" w:lineRule="exac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（1）企业营业执照、资质证书、安全生产许可证的证书彩色扫描件；</w:t>
      </w:r>
      <w:r>
        <w:rPr>
          <w:rFonts w:hint="eastAsia" w:ascii="宋体" w:hAnsi="宋体" w:eastAsia="宋体" w:cs="宋体"/>
          <w:b/>
          <w:bCs/>
          <w:snapToGrid w:val="0"/>
          <w:color w:val="auto"/>
          <w:kern w:val="0"/>
          <w:sz w:val="21"/>
          <w:szCs w:val="21"/>
          <w:highlight w:val="none"/>
        </w:rPr>
        <w:t>（因推行电子证照，企业的营业执照、资质证书等可以提供电子证照。为实时掌握项目投标单位的是否具备企业安全生产条件，企业的安全生 产许可证需提供企业实时网页查询页，实时查询页的打印时间应在项目招标公告发布之日起至开标前。企业的安全生产许可证实时网页查询路径：登录“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w:t>
      </w:r>
      <w:r>
        <w:rPr>
          <w:rFonts w:hint="eastAsia" w:ascii="宋体" w:hAnsi="宋体" w:eastAsia="宋体" w:cs="宋体"/>
          <w:b/>
          <w:bCs/>
          <w:snapToGrid w:val="0"/>
          <w:color w:val="auto"/>
          <w:kern w:val="0"/>
          <w:sz w:val="21"/>
          <w:szCs w:val="21"/>
          <w:highlight w:val="none"/>
          <w:lang w:eastAsia="zh-CN"/>
        </w:rPr>
        <w:t>：</w:t>
      </w:r>
      <w:r>
        <w:rPr>
          <w:rFonts w:hint="eastAsia" w:ascii="宋体" w:hAnsi="宋体" w:eastAsia="宋体" w:cs="宋体"/>
          <w:b/>
          <w:bCs/>
          <w:snapToGrid w:val="0"/>
          <w:color w:val="auto"/>
          <w:kern w:val="0"/>
          <w:sz w:val="21"/>
          <w:szCs w:val="21"/>
          <w:highlight w:val="none"/>
        </w:rPr>
        <w:t>//zlaq.mohurd.gov.cn，进入后点击“安全生产许可证信息”，输入企业名称和统一社会信用代码即可查询。如中标后，投标单位安全生产许可证发生被暂扣情形，需双方另行协商）</w:t>
      </w:r>
      <w:r>
        <w:rPr>
          <w:rFonts w:hint="eastAsia" w:ascii="宋体" w:hAnsi="宋体" w:eastAsia="宋体" w:cs="宋体"/>
          <w:snapToGrid w:val="0"/>
          <w:color w:val="auto"/>
          <w:kern w:val="0"/>
          <w:sz w:val="21"/>
          <w:szCs w:val="21"/>
          <w:highlight w:val="none"/>
          <w:lang w:eastAsia="zh-CN"/>
        </w:rPr>
        <w:t>；</w:t>
      </w:r>
    </w:p>
    <w:p w14:paraId="2696DEE7">
      <w:pPr>
        <w:pStyle w:val="54"/>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（2）“进粤企业和人员诚信信息登记平台”企业信息情况。（适用于省外建筑企业）；</w:t>
      </w:r>
    </w:p>
    <w:p w14:paraId="7F9C29E6">
      <w:pPr>
        <w:pStyle w:val="54"/>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（3）《法人和非法人组织公共信用信息报告》（在“信用中国”网站企业查询界面中下载）。</w:t>
      </w:r>
    </w:p>
    <w:p w14:paraId="0B4F67F2">
      <w:pPr>
        <w:pStyle w:val="54"/>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8"/>
          <w:highlight w:val="none"/>
        </w:rPr>
        <w:t xml:space="preserve"> </w:t>
      </w:r>
      <w:r>
        <w:rPr>
          <w:rFonts w:hint="eastAsia" w:ascii="宋体" w:hAnsi="宋体" w:eastAsia="宋体" w:cs="宋体"/>
          <w:snapToGrid w:val="0"/>
          <w:color w:val="auto"/>
          <w:kern w:val="0"/>
          <w:sz w:val="22"/>
          <w:szCs w:val="28"/>
          <w:highlight w:val="none"/>
          <w:lang w:eastAsia="zh-CN"/>
        </w:rPr>
        <w:t>2.</w:t>
      </w:r>
      <w:r>
        <w:rPr>
          <w:rFonts w:hint="eastAsia" w:ascii="宋体" w:hAnsi="宋体" w:eastAsia="宋体" w:cs="宋体"/>
          <w:snapToGrid w:val="0"/>
          <w:color w:val="auto"/>
          <w:kern w:val="0"/>
          <w:sz w:val="22"/>
          <w:szCs w:val="22"/>
          <w:highlight w:val="none"/>
        </w:rPr>
        <w:t>联合体投标的，联合体成员单位均应填写《投标人基本情况表》并提供以上所需资料。</w:t>
      </w:r>
    </w:p>
    <w:p w14:paraId="6E478D3B">
      <w:pPr>
        <w:pStyle w:val="54"/>
        <w:wordWrap w:val="0"/>
        <w:adjustRightInd w:val="0"/>
        <w:snapToGrid w:val="0"/>
        <w:spacing w:line="400" w:lineRule="exact"/>
        <w:rPr>
          <w:rFonts w:hint="eastAsia" w:ascii="宋体" w:hAnsi="宋体" w:eastAsia="宋体" w:cs="宋体"/>
          <w:snapToGrid w:val="0"/>
          <w:color w:val="auto"/>
          <w:kern w:val="0"/>
          <w:sz w:val="22"/>
          <w:szCs w:val="22"/>
          <w:highlight w:val="none"/>
        </w:rPr>
      </w:pPr>
    </w:p>
    <w:p w14:paraId="1B8D1B31">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highlight w:val="none"/>
        </w:rPr>
      </w:pPr>
      <w:bookmarkStart w:id="384" w:name="_Toc1272"/>
      <w:bookmarkStart w:id="385" w:name="_Toc30505"/>
      <w:r>
        <w:rPr>
          <w:rFonts w:hint="eastAsia" w:ascii="宋体" w:hAnsi="宋体" w:eastAsia="宋体" w:cs="宋体"/>
          <w:color w:val="auto"/>
          <w:kern w:val="2"/>
          <w:sz w:val="28"/>
          <w:szCs w:val="24"/>
          <w:lang w:val="en-US" w:eastAsia="zh-CN"/>
        </w:rPr>
        <w:t>格式八   项目经理简历表</w:t>
      </w:r>
      <w:bookmarkEnd w:id="384"/>
      <w:bookmarkEnd w:id="385"/>
    </w:p>
    <w:tbl>
      <w:tblPr>
        <w:tblStyle w:val="21"/>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9512F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AAE294A">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38DC2CF">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A1F72F9">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99F705F">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D3362F7">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976442B">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42670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BE4391E">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7A82782">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466689F">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38716A9">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F33879A">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B949C86">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637708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5BCE09E">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2F9F6264">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DBE3DC2">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81251B7">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669F18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0805D314">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7DF20A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C41E2B7">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9855062">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D4B4C3B">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07B306C">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D72D7A4">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48AD856">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35E2DD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9355C02">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D62D1FD">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DFCFDD3">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341C363">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D4511C3">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D27A4C8">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37B6C4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EF6C207">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4F4852F">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A9E0CBD">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B0A64F5">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512C569">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4837B94">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30BC36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91F9C25">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4A11C3F">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E646820">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3852C4C">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9ED25A2">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1116369">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4DE982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4AAA0D8">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D7011F6">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C1743F2">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0C86595">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A862C0A">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0E0F0E9">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bl>
    <w:p w14:paraId="092BDE3F">
      <w:pPr>
        <w:spacing w:before="98" w:line="360" w:lineRule="auto"/>
        <w:jc w:val="center"/>
        <w:rPr>
          <w:rFonts w:hint="eastAsia" w:ascii="宋体" w:hAnsi="宋体" w:eastAsia="宋体" w:cs="宋体"/>
          <w:b/>
          <w:bCs/>
          <w:color w:val="auto"/>
          <w:spacing w:val="-5"/>
          <w:sz w:val="24"/>
          <w:szCs w:val="24"/>
          <w:highlight w:val="none"/>
        </w:rPr>
      </w:pPr>
      <w:r>
        <w:rPr>
          <w:rFonts w:hint="eastAsia" w:ascii="宋体" w:hAnsi="宋体" w:eastAsia="宋体" w:cs="宋体"/>
          <w:b/>
          <w:bCs/>
          <w:color w:val="auto"/>
          <w:spacing w:val="-5"/>
          <w:sz w:val="24"/>
          <w:szCs w:val="24"/>
          <w:highlight w:val="none"/>
        </w:rPr>
        <w:t>项目经理简历表</w:t>
      </w:r>
    </w:p>
    <w:p w14:paraId="14049813">
      <w:pPr>
        <w:wordWrap w:val="0"/>
        <w:adjustRightInd w:val="0"/>
        <w:snapToGrid w:val="0"/>
        <w:spacing w:line="440" w:lineRule="exact"/>
        <w:rPr>
          <w:rFonts w:hint="eastAsia" w:ascii="宋体" w:hAnsi="宋体" w:eastAsia="宋体" w:cs="宋体"/>
          <w:snapToGrid w:val="0"/>
          <w:color w:val="auto"/>
          <w:kern w:val="0"/>
          <w:szCs w:val="28"/>
          <w:highlight w:val="none"/>
        </w:rPr>
      </w:pPr>
    </w:p>
    <w:p w14:paraId="541071BA">
      <w:pPr>
        <w:rPr>
          <w:rFonts w:hint="eastAsia" w:ascii="宋体" w:hAnsi="宋体" w:eastAsia="宋体" w:cs="宋体"/>
          <w:color w:val="auto"/>
        </w:rPr>
      </w:pPr>
    </w:p>
    <w:p w14:paraId="1BFC7375">
      <w:pPr>
        <w:pStyle w:val="41"/>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065BEF3A">
      <w:pPr>
        <w:rPr>
          <w:rFonts w:hint="eastAsia" w:ascii="宋体" w:hAnsi="宋体" w:eastAsia="宋体" w:cs="宋体"/>
          <w:color w:val="auto"/>
        </w:rPr>
      </w:pPr>
    </w:p>
    <w:p w14:paraId="6714DA57">
      <w:pPr>
        <w:pStyle w:val="41"/>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40717EAC">
      <w:pPr>
        <w:rPr>
          <w:rFonts w:hint="eastAsia" w:ascii="宋体" w:hAnsi="宋体" w:eastAsia="宋体" w:cs="宋体"/>
          <w:color w:val="auto"/>
        </w:rPr>
      </w:pPr>
    </w:p>
    <w:p w14:paraId="4E647775">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说明：《项目经理简历表》后应附拟派项目经理以下资料：</w:t>
      </w:r>
    </w:p>
    <w:p w14:paraId="516FB162">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8"/>
          <w:highlight w:val="none"/>
          <w:lang w:eastAsia="zh-CN"/>
        </w:rPr>
        <w:t>1.</w:t>
      </w:r>
      <w:r>
        <w:rPr>
          <w:rFonts w:hint="eastAsia" w:ascii="宋体" w:hAnsi="宋体" w:eastAsia="宋体" w:cs="宋体"/>
          <w:snapToGrid w:val="0"/>
          <w:color w:val="auto"/>
          <w:kern w:val="0"/>
          <w:sz w:val="21"/>
          <w:szCs w:val="28"/>
          <w:highlight w:val="none"/>
        </w:rPr>
        <w:t>身份证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5C48634D">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eastAsia="zh-CN"/>
        </w:rPr>
        <w:t>2.</w:t>
      </w:r>
      <w:r>
        <w:rPr>
          <w:rFonts w:hint="eastAsia" w:ascii="宋体" w:hAnsi="宋体" w:eastAsia="宋体" w:cs="宋体"/>
          <w:snapToGrid w:val="0"/>
          <w:color w:val="auto"/>
          <w:kern w:val="0"/>
          <w:sz w:val="21"/>
          <w:szCs w:val="21"/>
          <w:highlight w:val="none"/>
        </w:rPr>
        <w:t>建造师电子注册证书（在使用有效期内的有效电子证书）彩色扫描件；</w:t>
      </w:r>
    </w:p>
    <w:p w14:paraId="72B37A7A">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8"/>
          <w:highlight w:val="none"/>
          <w:lang w:eastAsia="zh-CN"/>
        </w:rPr>
        <w:t>3.</w:t>
      </w:r>
      <w:r>
        <w:rPr>
          <w:rFonts w:hint="eastAsia" w:ascii="宋体" w:hAnsi="宋体" w:eastAsia="宋体" w:cs="宋体"/>
          <w:snapToGrid w:val="0"/>
          <w:color w:val="auto"/>
          <w:kern w:val="0"/>
          <w:sz w:val="21"/>
          <w:szCs w:val="28"/>
          <w:highlight w:val="none"/>
        </w:rPr>
        <w:t>B类安全生产考核合格证书</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或广东省建筑施工企业管理人员安全生产考核系统考核合格信息彩色扫描件；</w:t>
      </w:r>
    </w:p>
    <w:p w14:paraId="6F53CBB4">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lang w:eastAsia="zh-CN"/>
        </w:rPr>
        <w:t>4.</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至少连续三个月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其中必须有2026年</w:t>
      </w:r>
      <w:r>
        <w:rPr>
          <w:rFonts w:hint="eastAsia" w:ascii="宋体" w:hAnsi="宋体" w:eastAsia="宋体" w:cs="宋体"/>
          <w:snapToGrid w:val="0"/>
          <w:color w:val="auto"/>
          <w:kern w:val="0"/>
          <w:sz w:val="21"/>
          <w:szCs w:val="28"/>
          <w:highlight w:val="none"/>
          <w:lang w:val="en-US" w:eastAsia="zh-CN"/>
        </w:rPr>
        <w:t>5</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。拟派项目经理为退休返聘人员无法提供社保证明的，提供退休证和劳动合同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72F1B29A">
      <w:pPr>
        <w:wordWrap w:val="0"/>
        <w:adjustRightInd w:val="0"/>
        <w:snapToGrid w:val="0"/>
        <w:spacing w:line="400" w:lineRule="exact"/>
        <w:ind w:firstLine="210" w:firstLineChars="100"/>
        <w:rPr>
          <w:rFonts w:hint="eastAsia" w:ascii="宋体" w:hAnsi="宋体" w:eastAsia="宋体" w:cs="宋体"/>
          <w:snapToGrid w:val="0"/>
          <w:color w:val="auto"/>
          <w:kern w:val="0"/>
          <w:sz w:val="21"/>
          <w:szCs w:val="28"/>
          <w:highlight w:val="none"/>
          <w:lang w:val="en-US" w:eastAsia="zh-CN"/>
        </w:rPr>
      </w:pPr>
      <w:r>
        <w:rPr>
          <w:rFonts w:hint="eastAsia" w:ascii="宋体" w:hAnsi="宋体" w:eastAsia="宋体" w:cs="宋体"/>
          <w:snapToGrid w:val="0"/>
          <w:color w:val="auto"/>
          <w:kern w:val="0"/>
          <w:sz w:val="21"/>
          <w:szCs w:val="28"/>
          <w:highlight w:val="none"/>
          <w:lang w:val="en-US" w:eastAsia="zh-CN"/>
        </w:rPr>
        <w:t>5.“进粤企业和人员诚信信息登记平台”个人（项目经理等）信息情况截图。（适用于省外建筑企业）。</w:t>
      </w:r>
    </w:p>
    <w:p w14:paraId="6012B4CD">
      <w:pPr>
        <w:rPr>
          <w:rFonts w:hint="eastAsia" w:ascii="宋体" w:hAnsi="宋体" w:eastAsia="宋体" w:cs="宋体"/>
          <w:color w:val="auto"/>
          <w:lang w:val="en-US" w:eastAsia="zh-CN"/>
        </w:rPr>
      </w:pPr>
    </w:p>
    <w:p w14:paraId="548FE738">
      <w:pPr>
        <w:rPr>
          <w:rFonts w:hint="eastAsia" w:ascii="宋体" w:hAnsi="宋体" w:eastAsia="宋体" w:cs="宋体"/>
          <w:color w:val="auto"/>
          <w:lang w:val="en-US" w:eastAsia="zh-CN"/>
        </w:rPr>
      </w:pPr>
    </w:p>
    <w:p w14:paraId="64F86476">
      <w:pPr>
        <w:rPr>
          <w:rFonts w:hint="eastAsia" w:ascii="宋体" w:hAnsi="宋体" w:eastAsia="宋体" w:cs="宋体"/>
          <w:color w:val="auto"/>
          <w:lang w:val="en-US" w:eastAsia="zh-CN"/>
        </w:rPr>
      </w:pPr>
    </w:p>
    <w:p w14:paraId="6D283D66">
      <w:pPr>
        <w:rPr>
          <w:rFonts w:hint="eastAsia" w:ascii="宋体" w:hAnsi="宋体" w:eastAsia="宋体" w:cs="宋体"/>
          <w:color w:val="auto"/>
          <w:lang w:val="en-US" w:eastAsia="zh-CN"/>
        </w:rPr>
      </w:pPr>
    </w:p>
    <w:p w14:paraId="681CEA3B">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386" w:name="_Toc31193"/>
      <w:bookmarkStart w:id="387" w:name="_Toc13202"/>
      <w:bookmarkStart w:id="388" w:name="_Toc22871"/>
      <w:bookmarkStart w:id="389" w:name="_Toc22848"/>
      <w:bookmarkStart w:id="390" w:name="_Toc32542"/>
      <w:bookmarkStart w:id="391" w:name="_Toc11605"/>
      <w:bookmarkStart w:id="392" w:name="_Toc4071"/>
      <w:bookmarkStart w:id="393" w:name="_Toc28584"/>
      <w:bookmarkStart w:id="394" w:name="_Toc17422"/>
      <w:bookmarkStart w:id="395" w:name="_Toc13967"/>
      <w:bookmarkStart w:id="396" w:name="_Toc3726"/>
      <w:bookmarkStart w:id="397" w:name="_Toc2497"/>
      <w:r>
        <w:rPr>
          <w:rFonts w:hint="eastAsia" w:ascii="宋体" w:hAnsi="宋体" w:eastAsia="宋体" w:cs="宋体"/>
          <w:color w:val="auto"/>
          <w:kern w:val="2"/>
          <w:sz w:val="28"/>
          <w:szCs w:val="24"/>
          <w:lang w:val="en-US" w:eastAsia="zh-CN"/>
        </w:rPr>
        <w:t>格式九   项目经理任职声明</w:t>
      </w:r>
      <w:bookmarkEnd w:id="386"/>
      <w:bookmarkEnd w:id="387"/>
      <w:bookmarkEnd w:id="388"/>
      <w:bookmarkEnd w:id="389"/>
      <w:bookmarkEnd w:id="390"/>
      <w:bookmarkEnd w:id="391"/>
      <w:bookmarkEnd w:id="392"/>
      <w:bookmarkEnd w:id="393"/>
      <w:bookmarkEnd w:id="394"/>
      <w:bookmarkEnd w:id="395"/>
      <w:bookmarkEnd w:id="396"/>
      <w:bookmarkEnd w:id="397"/>
    </w:p>
    <w:p w14:paraId="2337B90B">
      <w:pPr>
        <w:spacing w:before="98" w:line="360" w:lineRule="auto"/>
        <w:jc w:val="center"/>
        <w:rPr>
          <w:rFonts w:hint="eastAsia" w:ascii="宋体" w:hAnsi="宋体" w:eastAsia="宋体" w:cs="宋体"/>
          <w:color w:val="auto"/>
          <w:highlight w:val="none"/>
        </w:rPr>
      </w:pPr>
      <w:r>
        <w:rPr>
          <w:rFonts w:hint="eastAsia" w:ascii="宋体" w:hAnsi="宋体" w:eastAsia="宋体" w:cs="宋体"/>
          <w:b/>
          <w:bCs/>
          <w:color w:val="auto"/>
          <w:spacing w:val="-5"/>
          <w:sz w:val="24"/>
          <w:szCs w:val="24"/>
          <w:highlight w:val="none"/>
        </w:rPr>
        <w:t>项目经理任职声明</w:t>
      </w:r>
    </w:p>
    <w:p w14:paraId="1B93071C">
      <w:pPr>
        <w:spacing w:before="78"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14:paraId="767AD264">
      <w:pPr>
        <w:spacing w:before="155"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我方在此声明，我方拟派往（项目名称）的项目经理（项目经理姓名）现阶段没有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14:paraId="647ED9C0">
      <w:pPr>
        <w:spacing w:before="35" w:line="360" w:lineRule="auto"/>
        <w:ind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14:paraId="4AADC383">
      <w:pPr>
        <w:spacing w:before="78" w:line="360" w:lineRule="auto"/>
        <w:ind w:left="48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3"/>
          <w:sz w:val="24"/>
          <w:szCs w:val="24"/>
          <w:highlight w:val="none"/>
        </w:rPr>
        <w:t>特此承诺</w:t>
      </w:r>
      <w:r>
        <w:rPr>
          <w:rFonts w:hint="eastAsia" w:ascii="宋体" w:hAnsi="宋体" w:eastAsia="宋体" w:cs="宋体"/>
          <w:color w:val="auto"/>
          <w:spacing w:val="-3"/>
          <w:sz w:val="24"/>
          <w:szCs w:val="24"/>
          <w:highlight w:val="none"/>
          <w:lang w:eastAsia="zh-CN"/>
        </w:rPr>
        <w:t>。</w:t>
      </w:r>
    </w:p>
    <w:p w14:paraId="0F7A0CD8">
      <w:pPr>
        <w:rPr>
          <w:rFonts w:hint="eastAsia" w:ascii="宋体" w:hAnsi="宋体" w:eastAsia="宋体" w:cs="宋体"/>
          <w:color w:val="auto"/>
        </w:rPr>
      </w:pPr>
    </w:p>
    <w:p w14:paraId="1CC9C93B">
      <w:pPr>
        <w:rPr>
          <w:rFonts w:hint="eastAsia" w:ascii="宋体" w:hAnsi="宋体" w:eastAsia="宋体" w:cs="宋体"/>
          <w:color w:val="auto"/>
        </w:rPr>
      </w:pPr>
    </w:p>
    <w:p w14:paraId="70CE8219">
      <w:pPr>
        <w:rPr>
          <w:rFonts w:hint="eastAsia" w:ascii="宋体" w:hAnsi="宋体" w:eastAsia="宋体" w:cs="宋体"/>
          <w:color w:val="auto"/>
        </w:rPr>
      </w:pPr>
    </w:p>
    <w:p w14:paraId="2D2A6C08">
      <w:pPr>
        <w:spacing w:before="79"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color="auto"/>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369AA323">
      <w:pPr>
        <w:pStyle w:val="8"/>
        <w:spacing w:line="360" w:lineRule="auto"/>
        <w:rPr>
          <w:rFonts w:hint="eastAsia" w:ascii="宋体" w:hAnsi="宋体" w:eastAsia="宋体" w:cs="宋体"/>
          <w:color w:val="auto"/>
          <w:sz w:val="24"/>
          <w:szCs w:val="24"/>
          <w:highlight w:val="none"/>
        </w:rPr>
      </w:pPr>
    </w:p>
    <w:p w14:paraId="1D324B8A">
      <w:pPr>
        <w:spacing w:before="78"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color="auto"/>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368CF712">
      <w:pPr>
        <w:pStyle w:val="8"/>
        <w:spacing w:line="360" w:lineRule="auto"/>
        <w:rPr>
          <w:rFonts w:hint="eastAsia" w:ascii="宋体" w:hAnsi="宋体" w:eastAsia="宋体" w:cs="宋体"/>
          <w:color w:val="auto"/>
          <w:sz w:val="24"/>
          <w:szCs w:val="24"/>
          <w:highlight w:val="none"/>
        </w:rPr>
      </w:pPr>
    </w:p>
    <w:p w14:paraId="2BE4B45A">
      <w:pPr>
        <w:spacing w:before="79" w:line="360" w:lineRule="auto"/>
        <w:ind w:left="6276"/>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9"/>
          <w:sz w:val="24"/>
          <w:szCs w:val="24"/>
          <w:highlight w:val="none"/>
        </w:rPr>
        <w:t>日</w:t>
      </w:r>
    </w:p>
    <w:p w14:paraId="19C960C4">
      <w:pPr>
        <w:spacing w:line="360" w:lineRule="auto"/>
        <w:rPr>
          <w:rFonts w:hint="eastAsia" w:ascii="宋体" w:hAnsi="宋体" w:eastAsia="宋体" w:cs="宋体"/>
          <w:color w:val="auto"/>
          <w:sz w:val="24"/>
          <w:szCs w:val="24"/>
          <w:highlight w:val="none"/>
        </w:rPr>
      </w:pPr>
    </w:p>
    <w:p w14:paraId="06D4CC63">
      <w:pPr>
        <w:spacing w:line="360" w:lineRule="auto"/>
        <w:rPr>
          <w:rFonts w:hint="eastAsia" w:ascii="宋体" w:hAnsi="宋体" w:eastAsia="宋体" w:cs="宋体"/>
          <w:color w:val="auto"/>
          <w:sz w:val="24"/>
          <w:szCs w:val="24"/>
          <w:highlight w:val="none"/>
        </w:rPr>
      </w:pPr>
    </w:p>
    <w:p w14:paraId="5C6A70E5">
      <w:pPr>
        <w:spacing w:line="360" w:lineRule="auto"/>
        <w:rPr>
          <w:rFonts w:hint="eastAsia" w:ascii="宋体" w:hAnsi="宋体" w:eastAsia="宋体" w:cs="宋体"/>
          <w:color w:val="auto"/>
          <w:sz w:val="24"/>
          <w:szCs w:val="24"/>
          <w:highlight w:val="none"/>
        </w:rPr>
      </w:pPr>
    </w:p>
    <w:p w14:paraId="049A1AA8">
      <w:pPr>
        <w:spacing w:line="360" w:lineRule="auto"/>
        <w:rPr>
          <w:rFonts w:hint="eastAsia" w:ascii="宋体" w:hAnsi="宋体" w:eastAsia="宋体" w:cs="宋体"/>
          <w:color w:val="auto"/>
          <w:sz w:val="24"/>
          <w:szCs w:val="24"/>
          <w:highlight w:val="none"/>
        </w:rPr>
      </w:pPr>
    </w:p>
    <w:p w14:paraId="78A843BD">
      <w:pPr>
        <w:spacing w:line="360" w:lineRule="auto"/>
        <w:rPr>
          <w:rFonts w:hint="eastAsia" w:ascii="宋体" w:hAnsi="宋体" w:eastAsia="宋体" w:cs="宋体"/>
          <w:color w:val="auto"/>
          <w:sz w:val="24"/>
          <w:szCs w:val="24"/>
          <w:highlight w:val="none"/>
        </w:rPr>
      </w:pPr>
    </w:p>
    <w:p w14:paraId="722476CB">
      <w:pPr>
        <w:spacing w:line="360" w:lineRule="auto"/>
        <w:rPr>
          <w:rFonts w:hint="eastAsia" w:ascii="宋体" w:hAnsi="宋体" w:eastAsia="宋体" w:cs="宋体"/>
          <w:color w:val="auto"/>
          <w:sz w:val="24"/>
          <w:szCs w:val="24"/>
          <w:highlight w:val="none"/>
        </w:rPr>
      </w:pPr>
    </w:p>
    <w:p w14:paraId="44889E04">
      <w:pPr>
        <w:spacing w:line="360" w:lineRule="auto"/>
        <w:rPr>
          <w:rFonts w:hint="eastAsia" w:ascii="宋体" w:hAnsi="宋体" w:eastAsia="宋体" w:cs="宋体"/>
          <w:color w:val="auto"/>
          <w:sz w:val="24"/>
          <w:szCs w:val="24"/>
          <w:highlight w:val="none"/>
        </w:rPr>
      </w:pPr>
    </w:p>
    <w:p w14:paraId="6D1BA1CA">
      <w:pPr>
        <w:spacing w:line="360" w:lineRule="auto"/>
        <w:rPr>
          <w:rFonts w:hint="eastAsia" w:ascii="宋体" w:hAnsi="宋体" w:eastAsia="宋体" w:cs="宋体"/>
          <w:color w:val="auto"/>
          <w:sz w:val="24"/>
          <w:szCs w:val="24"/>
          <w:highlight w:val="none"/>
        </w:rPr>
      </w:pPr>
    </w:p>
    <w:p w14:paraId="73349EDB">
      <w:pPr>
        <w:spacing w:line="360" w:lineRule="auto"/>
        <w:rPr>
          <w:rFonts w:hint="eastAsia" w:ascii="宋体" w:hAnsi="宋体" w:eastAsia="宋体" w:cs="宋体"/>
          <w:color w:val="auto"/>
          <w:sz w:val="24"/>
          <w:szCs w:val="24"/>
          <w:highlight w:val="none"/>
        </w:rPr>
      </w:pPr>
    </w:p>
    <w:p w14:paraId="7874BCCE">
      <w:pPr>
        <w:spacing w:line="360" w:lineRule="auto"/>
        <w:rPr>
          <w:rFonts w:hint="eastAsia" w:ascii="宋体" w:hAnsi="宋体" w:eastAsia="宋体" w:cs="宋体"/>
          <w:color w:val="auto"/>
          <w:sz w:val="24"/>
          <w:szCs w:val="24"/>
          <w:highlight w:val="none"/>
        </w:rPr>
      </w:pPr>
    </w:p>
    <w:p w14:paraId="7420A40A">
      <w:pPr>
        <w:spacing w:line="360" w:lineRule="auto"/>
        <w:rPr>
          <w:rFonts w:hint="eastAsia" w:ascii="宋体" w:hAnsi="宋体" w:eastAsia="宋体" w:cs="宋体"/>
          <w:color w:val="auto"/>
          <w:sz w:val="24"/>
          <w:szCs w:val="24"/>
          <w:highlight w:val="none"/>
        </w:rPr>
      </w:pPr>
    </w:p>
    <w:p w14:paraId="74CB4EE3">
      <w:pPr>
        <w:spacing w:line="360" w:lineRule="auto"/>
        <w:rPr>
          <w:rFonts w:hint="eastAsia" w:ascii="宋体" w:hAnsi="宋体" w:eastAsia="宋体" w:cs="宋体"/>
          <w:color w:val="auto"/>
          <w:sz w:val="24"/>
          <w:szCs w:val="24"/>
          <w:highlight w:val="none"/>
        </w:rPr>
      </w:pPr>
    </w:p>
    <w:p w14:paraId="41146AF9">
      <w:pPr>
        <w:spacing w:line="360" w:lineRule="auto"/>
        <w:rPr>
          <w:rFonts w:hint="eastAsia" w:ascii="宋体" w:hAnsi="宋体" w:eastAsia="宋体" w:cs="宋体"/>
          <w:color w:val="auto"/>
          <w:sz w:val="24"/>
          <w:szCs w:val="24"/>
          <w:highlight w:val="none"/>
        </w:rPr>
      </w:pPr>
    </w:p>
    <w:p w14:paraId="03683817">
      <w:pPr>
        <w:spacing w:line="360" w:lineRule="auto"/>
        <w:rPr>
          <w:rFonts w:hint="eastAsia" w:ascii="宋体" w:hAnsi="宋体" w:eastAsia="宋体" w:cs="宋体"/>
          <w:color w:val="auto"/>
          <w:sz w:val="24"/>
          <w:szCs w:val="24"/>
          <w:highlight w:val="none"/>
        </w:rPr>
      </w:pPr>
    </w:p>
    <w:p w14:paraId="1EEC0C2B">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highlight w:val="none"/>
        </w:rPr>
      </w:pPr>
      <w:bookmarkStart w:id="398" w:name="_Toc19408"/>
      <w:bookmarkStart w:id="399" w:name="_Toc21596"/>
      <w:bookmarkStart w:id="400" w:name="_Toc19909"/>
      <w:bookmarkStart w:id="401" w:name="_Toc12596"/>
      <w:bookmarkStart w:id="402" w:name="_Toc31329"/>
      <w:bookmarkStart w:id="403" w:name="_Toc23472"/>
      <w:bookmarkStart w:id="404" w:name="_Toc14097"/>
      <w:bookmarkStart w:id="405" w:name="_Toc17998"/>
      <w:bookmarkStart w:id="406" w:name="_Toc30703"/>
      <w:bookmarkStart w:id="407" w:name="_Toc7992"/>
      <w:bookmarkStart w:id="408" w:name="_Toc2397"/>
      <w:bookmarkStart w:id="409" w:name="_Toc32297"/>
      <w:r>
        <w:rPr>
          <w:rFonts w:hint="eastAsia" w:ascii="宋体" w:hAnsi="宋体" w:eastAsia="宋体" w:cs="宋体"/>
          <w:color w:val="auto"/>
          <w:kern w:val="2"/>
          <w:sz w:val="28"/>
          <w:szCs w:val="24"/>
          <w:lang w:val="en-US" w:eastAsia="zh-CN"/>
        </w:rPr>
        <w:t>格式十   项目技术负责人简历表</w:t>
      </w:r>
      <w:bookmarkEnd w:id="398"/>
      <w:bookmarkEnd w:id="399"/>
      <w:bookmarkEnd w:id="400"/>
      <w:bookmarkEnd w:id="401"/>
      <w:bookmarkEnd w:id="402"/>
      <w:bookmarkEnd w:id="403"/>
      <w:bookmarkEnd w:id="404"/>
      <w:bookmarkEnd w:id="405"/>
      <w:bookmarkEnd w:id="406"/>
      <w:bookmarkEnd w:id="407"/>
      <w:bookmarkEnd w:id="408"/>
      <w:bookmarkEnd w:id="409"/>
    </w:p>
    <w:p w14:paraId="6EE10392">
      <w:pPr>
        <w:spacing w:before="98" w:line="360" w:lineRule="auto"/>
        <w:jc w:val="center"/>
        <w:rPr>
          <w:rFonts w:hint="eastAsia" w:ascii="宋体" w:hAnsi="宋体" w:eastAsia="宋体" w:cs="宋体"/>
          <w:b/>
          <w:bCs/>
          <w:color w:val="auto"/>
          <w:spacing w:val="-5"/>
          <w:sz w:val="24"/>
          <w:szCs w:val="24"/>
          <w:highlight w:val="none"/>
        </w:rPr>
      </w:pPr>
      <w:r>
        <w:rPr>
          <w:rFonts w:hint="eastAsia" w:ascii="宋体" w:hAnsi="宋体" w:eastAsia="宋体" w:cs="宋体"/>
          <w:b/>
          <w:bCs/>
          <w:color w:val="auto"/>
          <w:spacing w:val="-5"/>
          <w:sz w:val="24"/>
          <w:szCs w:val="24"/>
          <w:highlight w:val="none"/>
        </w:rPr>
        <w:t>项目技术负责人简历表</w:t>
      </w:r>
    </w:p>
    <w:tbl>
      <w:tblPr>
        <w:tblStyle w:val="21"/>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3FD6AF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567" w:hRule="atLeast"/>
          <w:jc w:val="center"/>
        </w:trPr>
        <w:tc>
          <w:tcPr>
            <w:tcW w:w="17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89EA1F6">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姓   名</w:t>
            </w:r>
          </w:p>
        </w:tc>
        <w:tc>
          <w:tcPr>
            <w:tcW w:w="1232" w:type="dxa"/>
            <w:gridSpan w:val="2"/>
            <w:tcBorders>
              <w:top w:val="single" w:color="auto" w:sz="6" w:space="0"/>
              <w:left w:val="nil"/>
              <w:bottom w:val="single" w:color="auto" w:sz="6" w:space="0"/>
              <w:right w:val="single" w:color="auto" w:sz="6" w:space="0"/>
            </w:tcBorders>
            <w:shd w:val="clear" w:color="auto" w:fill="auto"/>
            <w:vAlign w:val="center"/>
          </w:tcPr>
          <w:p w14:paraId="6A5F6CDC">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294" w:type="dxa"/>
            <w:tcBorders>
              <w:top w:val="single" w:color="auto" w:sz="6" w:space="0"/>
              <w:left w:val="nil"/>
              <w:bottom w:val="single" w:color="auto" w:sz="6" w:space="0"/>
              <w:right w:val="single" w:color="auto" w:sz="6" w:space="0"/>
            </w:tcBorders>
            <w:shd w:val="clear" w:color="auto" w:fill="auto"/>
            <w:vAlign w:val="center"/>
          </w:tcPr>
          <w:p w14:paraId="0C0F404E">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性  别</w:t>
            </w:r>
          </w:p>
        </w:tc>
        <w:tc>
          <w:tcPr>
            <w:tcW w:w="1946" w:type="dxa"/>
            <w:tcBorders>
              <w:top w:val="single" w:color="auto" w:sz="6" w:space="0"/>
              <w:left w:val="nil"/>
              <w:bottom w:val="single" w:color="auto" w:sz="6" w:space="0"/>
              <w:right w:val="single" w:color="auto" w:sz="6" w:space="0"/>
            </w:tcBorders>
            <w:shd w:val="clear" w:color="auto" w:fill="auto"/>
            <w:vAlign w:val="center"/>
          </w:tcPr>
          <w:p w14:paraId="131A6ED9">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733" w:type="dxa"/>
            <w:gridSpan w:val="2"/>
            <w:tcBorders>
              <w:top w:val="single" w:color="auto" w:sz="6" w:space="0"/>
              <w:left w:val="nil"/>
              <w:bottom w:val="single" w:color="auto" w:sz="6" w:space="0"/>
              <w:right w:val="single" w:color="auto" w:sz="6" w:space="0"/>
            </w:tcBorders>
            <w:shd w:val="clear" w:color="auto" w:fill="auto"/>
            <w:vAlign w:val="center"/>
          </w:tcPr>
          <w:p w14:paraId="30337305">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年   龄</w:t>
            </w:r>
          </w:p>
        </w:tc>
        <w:tc>
          <w:tcPr>
            <w:tcW w:w="1327" w:type="dxa"/>
            <w:tcBorders>
              <w:top w:val="single" w:color="auto" w:sz="6" w:space="0"/>
              <w:left w:val="nil"/>
              <w:bottom w:val="single" w:color="auto" w:sz="6" w:space="0"/>
              <w:right w:val="single" w:color="auto" w:sz="6" w:space="0"/>
            </w:tcBorders>
            <w:shd w:val="clear" w:color="auto" w:fill="auto"/>
            <w:vAlign w:val="center"/>
          </w:tcPr>
          <w:p w14:paraId="3F232673">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r>
      <w:tr w14:paraId="7D58DB1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567" w:hRule="atLeast"/>
          <w:jc w:val="center"/>
        </w:trPr>
        <w:tc>
          <w:tcPr>
            <w:tcW w:w="17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FFF6862">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职   务</w:t>
            </w:r>
          </w:p>
        </w:tc>
        <w:tc>
          <w:tcPr>
            <w:tcW w:w="1232" w:type="dxa"/>
            <w:gridSpan w:val="2"/>
            <w:tcBorders>
              <w:top w:val="single" w:color="auto" w:sz="6" w:space="0"/>
              <w:left w:val="nil"/>
              <w:bottom w:val="single" w:color="auto" w:sz="6" w:space="0"/>
              <w:right w:val="single" w:color="auto" w:sz="6" w:space="0"/>
            </w:tcBorders>
            <w:shd w:val="clear" w:color="auto" w:fill="auto"/>
            <w:vAlign w:val="center"/>
          </w:tcPr>
          <w:p w14:paraId="68A83FBC">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294" w:type="dxa"/>
            <w:tcBorders>
              <w:top w:val="single" w:color="auto" w:sz="6" w:space="0"/>
              <w:left w:val="nil"/>
              <w:bottom w:val="single" w:color="auto" w:sz="6" w:space="0"/>
              <w:right w:val="single" w:color="auto" w:sz="6" w:space="0"/>
            </w:tcBorders>
            <w:shd w:val="clear" w:color="auto" w:fill="auto"/>
            <w:vAlign w:val="center"/>
          </w:tcPr>
          <w:p w14:paraId="3BE7C953">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职  称</w:t>
            </w:r>
          </w:p>
        </w:tc>
        <w:tc>
          <w:tcPr>
            <w:tcW w:w="1946" w:type="dxa"/>
            <w:tcBorders>
              <w:top w:val="single" w:color="auto" w:sz="6" w:space="0"/>
              <w:left w:val="nil"/>
              <w:bottom w:val="single" w:color="auto" w:sz="6" w:space="0"/>
              <w:right w:val="single" w:color="auto" w:sz="6" w:space="0"/>
            </w:tcBorders>
            <w:shd w:val="clear" w:color="auto" w:fill="auto"/>
            <w:vAlign w:val="center"/>
          </w:tcPr>
          <w:p w14:paraId="6668FA62">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733" w:type="dxa"/>
            <w:gridSpan w:val="2"/>
            <w:tcBorders>
              <w:top w:val="single" w:color="auto" w:sz="6" w:space="0"/>
              <w:left w:val="nil"/>
              <w:bottom w:val="single" w:color="auto" w:sz="6" w:space="0"/>
              <w:right w:val="single" w:color="auto" w:sz="6" w:space="0"/>
            </w:tcBorders>
            <w:shd w:val="clear" w:color="auto" w:fill="auto"/>
            <w:vAlign w:val="center"/>
          </w:tcPr>
          <w:p w14:paraId="62784BCA">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学   历</w:t>
            </w:r>
          </w:p>
        </w:tc>
        <w:tc>
          <w:tcPr>
            <w:tcW w:w="1327" w:type="dxa"/>
            <w:tcBorders>
              <w:top w:val="single" w:color="auto" w:sz="6" w:space="0"/>
              <w:left w:val="nil"/>
              <w:bottom w:val="single" w:color="auto" w:sz="6" w:space="0"/>
              <w:right w:val="single" w:color="auto" w:sz="6" w:space="0"/>
            </w:tcBorders>
            <w:shd w:val="clear" w:color="auto" w:fill="auto"/>
            <w:vAlign w:val="center"/>
          </w:tcPr>
          <w:p w14:paraId="5454906E">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r>
      <w:tr w14:paraId="211A755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567" w:hRule="atLeast"/>
          <w:jc w:val="center"/>
        </w:trPr>
        <w:tc>
          <w:tcPr>
            <w:tcW w:w="1738"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5894F8B">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参加工作时间</w:t>
            </w:r>
          </w:p>
        </w:tc>
        <w:tc>
          <w:tcPr>
            <w:tcW w:w="2526" w:type="dxa"/>
            <w:gridSpan w:val="3"/>
            <w:tcBorders>
              <w:top w:val="single" w:color="auto" w:sz="6" w:space="0"/>
              <w:left w:val="nil"/>
              <w:bottom w:val="single" w:color="auto" w:sz="6" w:space="0"/>
              <w:right w:val="single" w:color="auto" w:sz="6" w:space="0"/>
            </w:tcBorders>
            <w:shd w:val="clear" w:color="auto" w:fill="auto"/>
            <w:vAlign w:val="center"/>
          </w:tcPr>
          <w:p w14:paraId="3F0E96F0">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3679" w:type="dxa"/>
            <w:gridSpan w:val="3"/>
            <w:tcBorders>
              <w:top w:val="single" w:color="auto" w:sz="6" w:space="0"/>
              <w:left w:val="nil"/>
              <w:bottom w:val="single" w:color="auto" w:sz="6" w:space="0"/>
              <w:right w:val="single" w:color="auto" w:sz="6" w:space="0"/>
            </w:tcBorders>
            <w:shd w:val="clear" w:color="auto" w:fill="auto"/>
            <w:vAlign w:val="center"/>
          </w:tcPr>
          <w:p w14:paraId="50ADE7B9">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从事工程建设项目管理工作年限</w:t>
            </w:r>
          </w:p>
        </w:tc>
        <w:tc>
          <w:tcPr>
            <w:tcW w:w="1327" w:type="dxa"/>
            <w:tcBorders>
              <w:top w:val="single" w:color="auto" w:sz="6" w:space="0"/>
              <w:left w:val="nil"/>
              <w:bottom w:val="single" w:color="auto" w:sz="6" w:space="0"/>
              <w:right w:val="single" w:color="auto" w:sz="6" w:space="0"/>
            </w:tcBorders>
            <w:shd w:val="clear" w:color="auto" w:fill="auto"/>
            <w:vAlign w:val="center"/>
          </w:tcPr>
          <w:p w14:paraId="55212D0B">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r>
      <w:tr w14:paraId="01BDF85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567" w:hRule="atLeast"/>
          <w:jc w:val="center"/>
        </w:trPr>
        <w:tc>
          <w:tcPr>
            <w:tcW w:w="9270" w:type="dxa"/>
            <w:gridSpan w:val="9"/>
            <w:tcBorders>
              <w:top w:val="single" w:color="auto" w:sz="6" w:space="0"/>
              <w:left w:val="single" w:color="auto" w:sz="6" w:space="0"/>
              <w:bottom w:val="single" w:color="auto" w:sz="6" w:space="0"/>
              <w:right w:val="single" w:color="auto" w:sz="6" w:space="0"/>
            </w:tcBorders>
            <w:shd w:val="clear" w:color="auto" w:fill="auto"/>
            <w:vAlign w:val="center"/>
          </w:tcPr>
          <w:p w14:paraId="4886DE8F">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以项目技术负责人身份参与过的主要业绩（已完工项目）</w:t>
            </w:r>
          </w:p>
        </w:tc>
      </w:tr>
      <w:tr w14:paraId="44F199C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567" w:hRule="atLeast"/>
          <w:jc w:val="center"/>
        </w:trPr>
        <w:tc>
          <w:tcPr>
            <w:tcW w:w="775" w:type="dxa"/>
            <w:tcBorders>
              <w:top w:val="single" w:color="auto" w:sz="6" w:space="0"/>
              <w:left w:val="single" w:color="auto" w:sz="6" w:space="0"/>
              <w:bottom w:val="single" w:color="auto" w:sz="6" w:space="0"/>
              <w:right w:val="single" w:color="auto" w:sz="4" w:space="0"/>
            </w:tcBorders>
            <w:shd w:val="clear" w:color="auto" w:fill="auto"/>
            <w:vAlign w:val="center"/>
          </w:tcPr>
          <w:p w14:paraId="7CA74EB0">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序号</w:t>
            </w:r>
          </w:p>
        </w:tc>
        <w:tc>
          <w:tcPr>
            <w:tcW w:w="1547" w:type="dxa"/>
            <w:gridSpan w:val="2"/>
            <w:tcBorders>
              <w:top w:val="single" w:color="auto" w:sz="6" w:space="0"/>
              <w:left w:val="nil"/>
              <w:bottom w:val="single" w:color="auto" w:sz="6" w:space="0"/>
              <w:right w:val="single" w:color="auto" w:sz="6" w:space="0"/>
            </w:tcBorders>
            <w:shd w:val="clear" w:color="auto" w:fill="auto"/>
            <w:vAlign w:val="center"/>
          </w:tcPr>
          <w:p w14:paraId="18D2A99F">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项目名称</w:t>
            </w:r>
          </w:p>
        </w:tc>
        <w:tc>
          <w:tcPr>
            <w:tcW w:w="1942" w:type="dxa"/>
            <w:gridSpan w:val="2"/>
            <w:tcBorders>
              <w:top w:val="single" w:color="auto" w:sz="6" w:space="0"/>
              <w:left w:val="nil"/>
              <w:bottom w:val="single" w:color="auto" w:sz="6" w:space="0"/>
              <w:right w:val="single" w:color="auto" w:sz="6" w:space="0"/>
            </w:tcBorders>
            <w:shd w:val="clear" w:color="auto" w:fill="auto"/>
            <w:vAlign w:val="center"/>
          </w:tcPr>
          <w:p w14:paraId="4AB9070F">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建设单位</w:t>
            </w:r>
          </w:p>
        </w:tc>
        <w:tc>
          <w:tcPr>
            <w:tcW w:w="1973" w:type="dxa"/>
            <w:gridSpan w:val="2"/>
            <w:tcBorders>
              <w:top w:val="single" w:color="auto" w:sz="6" w:space="0"/>
              <w:left w:val="nil"/>
              <w:bottom w:val="single" w:color="auto" w:sz="6" w:space="0"/>
              <w:right w:val="single" w:color="auto" w:sz="6" w:space="0"/>
            </w:tcBorders>
            <w:shd w:val="clear" w:color="auto" w:fill="auto"/>
            <w:vAlign w:val="center"/>
          </w:tcPr>
          <w:p w14:paraId="6E7C79DA">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建设内容和规模</w:t>
            </w:r>
          </w:p>
        </w:tc>
        <w:tc>
          <w:tcPr>
            <w:tcW w:w="1706" w:type="dxa"/>
            <w:tcBorders>
              <w:top w:val="single" w:color="auto" w:sz="6" w:space="0"/>
              <w:left w:val="nil"/>
              <w:bottom w:val="single" w:color="auto" w:sz="6" w:space="0"/>
              <w:right w:val="single" w:color="auto" w:sz="6" w:space="0"/>
            </w:tcBorders>
            <w:shd w:val="clear" w:color="auto" w:fill="auto"/>
            <w:vAlign w:val="center"/>
          </w:tcPr>
          <w:p w14:paraId="3734ACC2">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开、竣工日期</w:t>
            </w:r>
          </w:p>
        </w:tc>
        <w:tc>
          <w:tcPr>
            <w:tcW w:w="1327" w:type="dxa"/>
            <w:tcBorders>
              <w:top w:val="single" w:color="auto" w:sz="6" w:space="0"/>
              <w:left w:val="nil"/>
              <w:bottom w:val="single" w:color="auto" w:sz="6" w:space="0"/>
              <w:right w:val="single" w:color="auto" w:sz="6" w:space="0"/>
            </w:tcBorders>
            <w:shd w:val="clear" w:color="auto" w:fill="auto"/>
            <w:vAlign w:val="center"/>
          </w:tcPr>
          <w:p w14:paraId="3F2C2DAB">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质量等级</w:t>
            </w:r>
          </w:p>
        </w:tc>
      </w:tr>
      <w:tr w14:paraId="6EAF4D8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567" w:hRule="atLeast"/>
          <w:jc w:val="center"/>
        </w:trPr>
        <w:tc>
          <w:tcPr>
            <w:tcW w:w="775" w:type="dxa"/>
            <w:tcBorders>
              <w:top w:val="single" w:color="auto" w:sz="6" w:space="0"/>
              <w:left w:val="single" w:color="auto" w:sz="6" w:space="0"/>
              <w:bottom w:val="single" w:color="auto" w:sz="6" w:space="0"/>
              <w:right w:val="single" w:color="auto" w:sz="4" w:space="0"/>
            </w:tcBorders>
            <w:shd w:val="clear" w:color="auto" w:fill="auto"/>
            <w:vAlign w:val="center"/>
          </w:tcPr>
          <w:p w14:paraId="71C67C42">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1547" w:type="dxa"/>
            <w:gridSpan w:val="2"/>
            <w:tcBorders>
              <w:top w:val="single" w:color="auto" w:sz="6" w:space="0"/>
              <w:left w:val="nil"/>
              <w:bottom w:val="single" w:color="auto" w:sz="6" w:space="0"/>
              <w:right w:val="single" w:color="auto" w:sz="6" w:space="0"/>
            </w:tcBorders>
            <w:shd w:val="clear" w:color="auto" w:fill="auto"/>
            <w:vAlign w:val="center"/>
          </w:tcPr>
          <w:p w14:paraId="65114EB7">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942" w:type="dxa"/>
            <w:gridSpan w:val="2"/>
            <w:tcBorders>
              <w:top w:val="single" w:color="auto" w:sz="6" w:space="0"/>
              <w:left w:val="nil"/>
              <w:bottom w:val="single" w:color="auto" w:sz="6" w:space="0"/>
              <w:right w:val="single" w:color="auto" w:sz="6" w:space="0"/>
            </w:tcBorders>
            <w:shd w:val="clear" w:color="auto" w:fill="auto"/>
            <w:vAlign w:val="center"/>
          </w:tcPr>
          <w:p w14:paraId="49481C64">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973" w:type="dxa"/>
            <w:gridSpan w:val="2"/>
            <w:tcBorders>
              <w:top w:val="single" w:color="auto" w:sz="6" w:space="0"/>
              <w:left w:val="nil"/>
              <w:bottom w:val="single" w:color="auto" w:sz="6" w:space="0"/>
              <w:right w:val="single" w:color="auto" w:sz="6" w:space="0"/>
            </w:tcBorders>
            <w:shd w:val="clear" w:color="auto" w:fill="auto"/>
            <w:vAlign w:val="center"/>
          </w:tcPr>
          <w:p w14:paraId="217EC04F">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706" w:type="dxa"/>
            <w:tcBorders>
              <w:top w:val="single" w:color="auto" w:sz="6" w:space="0"/>
              <w:left w:val="nil"/>
              <w:bottom w:val="single" w:color="auto" w:sz="6" w:space="0"/>
              <w:right w:val="single" w:color="auto" w:sz="6" w:space="0"/>
            </w:tcBorders>
            <w:shd w:val="clear" w:color="auto" w:fill="auto"/>
            <w:vAlign w:val="center"/>
          </w:tcPr>
          <w:p w14:paraId="16ED998B">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327" w:type="dxa"/>
            <w:tcBorders>
              <w:top w:val="single" w:color="auto" w:sz="6" w:space="0"/>
              <w:left w:val="nil"/>
              <w:bottom w:val="single" w:color="auto" w:sz="6" w:space="0"/>
              <w:right w:val="single" w:color="auto" w:sz="6" w:space="0"/>
            </w:tcBorders>
            <w:shd w:val="clear" w:color="auto" w:fill="auto"/>
            <w:vAlign w:val="center"/>
          </w:tcPr>
          <w:p w14:paraId="69A42B89">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r>
      <w:tr w14:paraId="0F3DDD3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567" w:hRule="atLeast"/>
          <w:jc w:val="center"/>
        </w:trPr>
        <w:tc>
          <w:tcPr>
            <w:tcW w:w="775" w:type="dxa"/>
            <w:tcBorders>
              <w:top w:val="single" w:color="auto" w:sz="6" w:space="0"/>
              <w:left w:val="single" w:color="auto" w:sz="6" w:space="0"/>
              <w:bottom w:val="single" w:color="auto" w:sz="6" w:space="0"/>
              <w:right w:val="single" w:color="auto" w:sz="4" w:space="0"/>
            </w:tcBorders>
            <w:shd w:val="clear" w:color="auto" w:fill="auto"/>
            <w:vAlign w:val="center"/>
          </w:tcPr>
          <w:p w14:paraId="17DBBEBD">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1547" w:type="dxa"/>
            <w:gridSpan w:val="2"/>
            <w:tcBorders>
              <w:top w:val="single" w:color="auto" w:sz="6" w:space="0"/>
              <w:left w:val="nil"/>
              <w:bottom w:val="single" w:color="auto" w:sz="6" w:space="0"/>
              <w:right w:val="single" w:color="auto" w:sz="6" w:space="0"/>
            </w:tcBorders>
            <w:shd w:val="clear" w:color="auto" w:fill="auto"/>
            <w:vAlign w:val="center"/>
          </w:tcPr>
          <w:p w14:paraId="0563D3F5">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942" w:type="dxa"/>
            <w:gridSpan w:val="2"/>
            <w:tcBorders>
              <w:top w:val="single" w:color="auto" w:sz="6" w:space="0"/>
              <w:left w:val="nil"/>
              <w:bottom w:val="single" w:color="auto" w:sz="6" w:space="0"/>
              <w:right w:val="single" w:color="auto" w:sz="6" w:space="0"/>
            </w:tcBorders>
            <w:shd w:val="clear" w:color="auto" w:fill="auto"/>
            <w:vAlign w:val="center"/>
          </w:tcPr>
          <w:p w14:paraId="324EA680">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973" w:type="dxa"/>
            <w:gridSpan w:val="2"/>
            <w:tcBorders>
              <w:top w:val="single" w:color="auto" w:sz="6" w:space="0"/>
              <w:left w:val="nil"/>
              <w:bottom w:val="single" w:color="auto" w:sz="6" w:space="0"/>
              <w:right w:val="single" w:color="auto" w:sz="6" w:space="0"/>
            </w:tcBorders>
            <w:shd w:val="clear" w:color="auto" w:fill="auto"/>
            <w:vAlign w:val="center"/>
          </w:tcPr>
          <w:p w14:paraId="4B7283E1">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706" w:type="dxa"/>
            <w:tcBorders>
              <w:top w:val="single" w:color="auto" w:sz="6" w:space="0"/>
              <w:left w:val="nil"/>
              <w:bottom w:val="single" w:color="auto" w:sz="6" w:space="0"/>
              <w:right w:val="single" w:color="auto" w:sz="6" w:space="0"/>
            </w:tcBorders>
            <w:shd w:val="clear" w:color="auto" w:fill="auto"/>
            <w:vAlign w:val="center"/>
          </w:tcPr>
          <w:p w14:paraId="58D925BE">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327" w:type="dxa"/>
            <w:tcBorders>
              <w:top w:val="single" w:color="auto" w:sz="6" w:space="0"/>
              <w:left w:val="nil"/>
              <w:bottom w:val="single" w:color="auto" w:sz="6" w:space="0"/>
              <w:right w:val="single" w:color="auto" w:sz="6" w:space="0"/>
            </w:tcBorders>
            <w:shd w:val="clear" w:color="auto" w:fill="auto"/>
            <w:vAlign w:val="center"/>
          </w:tcPr>
          <w:p w14:paraId="28BDFCE4">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r>
      <w:tr w14:paraId="4648347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567" w:hRule="atLeast"/>
          <w:jc w:val="center"/>
        </w:trPr>
        <w:tc>
          <w:tcPr>
            <w:tcW w:w="775" w:type="dxa"/>
            <w:tcBorders>
              <w:top w:val="single" w:color="auto" w:sz="6" w:space="0"/>
              <w:left w:val="single" w:color="auto" w:sz="6" w:space="0"/>
              <w:bottom w:val="single" w:color="auto" w:sz="6" w:space="0"/>
              <w:right w:val="single" w:color="auto" w:sz="4" w:space="0"/>
            </w:tcBorders>
            <w:shd w:val="clear" w:color="auto" w:fill="auto"/>
            <w:vAlign w:val="center"/>
          </w:tcPr>
          <w:p w14:paraId="158DB086">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1547" w:type="dxa"/>
            <w:gridSpan w:val="2"/>
            <w:tcBorders>
              <w:top w:val="single" w:color="auto" w:sz="6" w:space="0"/>
              <w:left w:val="nil"/>
              <w:bottom w:val="single" w:color="auto" w:sz="6" w:space="0"/>
              <w:right w:val="single" w:color="auto" w:sz="6" w:space="0"/>
            </w:tcBorders>
            <w:shd w:val="clear" w:color="auto" w:fill="auto"/>
            <w:vAlign w:val="center"/>
          </w:tcPr>
          <w:p w14:paraId="546A9259">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942" w:type="dxa"/>
            <w:gridSpan w:val="2"/>
            <w:tcBorders>
              <w:top w:val="single" w:color="auto" w:sz="6" w:space="0"/>
              <w:left w:val="nil"/>
              <w:bottom w:val="single" w:color="auto" w:sz="6" w:space="0"/>
              <w:right w:val="single" w:color="auto" w:sz="6" w:space="0"/>
            </w:tcBorders>
            <w:shd w:val="clear" w:color="auto" w:fill="auto"/>
            <w:vAlign w:val="center"/>
          </w:tcPr>
          <w:p w14:paraId="6FABB070">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973" w:type="dxa"/>
            <w:gridSpan w:val="2"/>
            <w:tcBorders>
              <w:top w:val="single" w:color="auto" w:sz="6" w:space="0"/>
              <w:left w:val="nil"/>
              <w:bottom w:val="single" w:color="auto" w:sz="6" w:space="0"/>
              <w:right w:val="single" w:color="auto" w:sz="6" w:space="0"/>
            </w:tcBorders>
            <w:shd w:val="clear" w:color="auto" w:fill="auto"/>
            <w:vAlign w:val="center"/>
          </w:tcPr>
          <w:p w14:paraId="15758887">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706" w:type="dxa"/>
            <w:tcBorders>
              <w:top w:val="single" w:color="auto" w:sz="6" w:space="0"/>
              <w:left w:val="nil"/>
              <w:bottom w:val="single" w:color="auto" w:sz="6" w:space="0"/>
              <w:right w:val="single" w:color="auto" w:sz="6" w:space="0"/>
            </w:tcBorders>
            <w:shd w:val="clear" w:color="auto" w:fill="auto"/>
            <w:vAlign w:val="center"/>
          </w:tcPr>
          <w:p w14:paraId="05E23ADC">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327" w:type="dxa"/>
            <w:tcBorders>
              <w:top w:val="single" w:color="auto" w:sz="6" w:space="0"/>
              <w:left w:val="nil"/>
              <w:bottom w:val="single" w:color="auto" w:sz="6" w:space="0"/>
              <w:right w:val="single" w:color="auto" w:sz="6" w:space="0"/>
            </w:tcBorders>
            <w:shd w:val="clear" w:color="auto" w:fill="auto"/>
            <w:vAlign w:val="center"/>
          </w:tcPr>
          <w:p w14:paraId="148282A2">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r>
      <w:tr w14:paraId="4209679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567" w:hRule="atLeast"/>
          <w:jc w:val="center"/>
        </w:trPr>
        <w:tc>
          <w:tcPr>
            <w:tcW w:w="775" w:type="dxa"/>
            <w:tcBorders>
              <w:top w:val="single" w:color="auto" w:sz="6" w:space="0"/>
              <w:left w:val="single" w:color="auto" w:sz="6" w:space="0"/>
              <w:bottom w:val="single" w:color="auto" w:sz="6" w:space="0"/>
              <w:right w:val="single" w:color="auto" w:sz="4" w:space="0"/>
            </w:tcBorders>
            <w:shd w:val="clear" w:color="auto" w:fill="auto"/>
            <w:vAlign w:val="center"/>
          </w:tcPr>
          <w:p w14:paraId="62EE31B9">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547" w:type="dxa"/>
            <w:gridSpan w:val="2"/>
            <w:tcBorders>
              <w:top w:val="single" w:color="auto" w:sz="6" w:space="0"/>
              <w:left w:val="nil"/>
              <w:bottom w:val="single" w:color="auto" w:sz="6" w:space="0"/>
              <w:right w:val="single" w:color="auto" w:sz="6" w:space="0"/>
            </w:tcBorders>
            <w:shd w:val="clear" w:color="auto" w:fill="auto"/>
            <w:vAlign w:val="center"/>
          </w:tcPr>
          <w:p w14:paraId="25CEB413">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942" w:type="dxa"/>
            <w:gridSpan w:val="2"/>
            <w:tcBorders>
              <w:top w:val="single" w:color="auto" w:sz="6" w:space="0"/>
              <w:left w:val="nil"/>
              <w:bottom w:val="single" w:color="auto" w:sz="6" w:space="0"/>
              <w:right w:val="single" w:color="auto" w:sz="6" w:space="0"/>
            </w:tcBorders>
            <w:shd w:val="clear" w:color="auto" w:fill="auto"/>
            <w:vAlign w:val="center"/>
          </w:tcPr>
          <w:p w14:paraId="70A17C44">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973" w:type="dxa"/>
            <w:gridSpan w:val="2"/>
            <w:tcBorders>
              <w:top w:val="single" w:color="auto" w:sz="6" w:space="0"/>
              <w:left w:val="nil"/>
              <w:bottom w:val="single" w:color="auto" w:sz="6" w:space="0"/>
              <w:right w:val="single" w:color="auto" w:sz="6" w:space="0"/>
            </w:tcBorders>
            <w:shd w:val="clear" w:color="auto" w:fill="auto"/>
            <w:vAlign w:val="center"/>
          </w:tcPr>
          <w:p w14:paraId="789D9F1F">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706" w:type="dxa"/>
            <w:tcBorders>
              <w:top w:val="single" w:color="auto" w:sz="6" w:space="0"/>
              <w:left w:val="nil"/>
              <w:bottom w:val="single" w:color="auto" w:sz="6" w:space="0"/>
              <w:right w:val="single" w:color="auto" w:sz="6" w:space="0"/>
            </w:tcBorders>
            <w:shd w:val="clear" w:color="auto" w:fill="auto"/>
            <w:vAlign w:val="center"/>
          </w:tcPr>
          <w:p w14:paraId="26D96AEE">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327" w:type="dxa"/>
            <w:tcBorders>
              <w:top w:val="single" w:color="auto" w:sz="6" w:space="0"/>
              <w:left w:val="nil"/>
              <w:bottom w:val="single" w:color="auto" w:sz="6" w:space="0"/>
              <w:right w:val="single" w:color="auto" w:sz="6" w:space="0"/>
            </w:tcBorders>
            <w:shd w:val="clear" w:color="auto" w:fill="auto"/>
            <w:vAlign w:val="center"/>
          </w:tcPr>
          <w:p w14:paraId="3F61F688">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r>
      <w:tr w14:paraId="701DB35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567" w:hRule="atLeast"/>
          <w:jc w:val="center"/>
        </w:trPr>
        <w:tc>
          <w:tcPr>
            <w:tcW w:w="775" w:type="dxa"/>
            <w:tcBorders>
              <w:top w:val="single" w:color="auto" w:sz="6" w:space="0"/>
              <w:left w:val="single" w:color="auto" w:sz="6" w:space="0"/>
              <w:bottom w:val="single" w:color="auto" w:sz="6" w:space="0"/>
              <w:right w:val="single" w:color="auto" w:sz="4" w:space="0"/>
            </w:tcBorders>
            <w:shd w:val="clear" w:color="auto" w:fill="auto"/>
            <w:vAlign w:val="center"/>
          </w:tcPr>
          <w:p w14:paraId="2F0ED977">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547" w:type="dxa"/>
            <w:gridSpan w:val="2"/>
            <w:tcBorders>
              <w:top w:val="single" w:color="auto" w:sz="6" w:space="0"/>
              <w:left w:val="nil"/>
              <w:bottom w:val="single" w:color="auto" w:sz="6" w:space="0"/>
              <w:right w:val="single" w:color="auto" w:sz="6" w:space="0"/>
            </w:tcBorders>
            <w:shd w:val="clear" w:color="auto" w:fill="auto"/>
            <w:vAlign w:val="center"/>
          </w:tcPr>
          <w:p w14:paraId="3C11CB93">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942" w:type="dxa"/>
            <w:gridSpan w:val="2"/>
            <w:tcBorders>
              <w:top w:val="single" w:color="auto" w:sz="6" w:space="0"/>
              <w:left w:val="nil"/>
              <w:bottom w:val="single" w:color="auto" w:sz="6" w:space="0"/>
              <w:right w:val="single" w:color="auto" w:sz="6" w:space="0"/>
            </w:tcBorders>
            <w:shd w:val="clear" w:color="auto" w:fill="auto"/>
            <w:vAlign w:val="center"/>
          </w:tcPr>
          <w:p w14:paraId="03E3F176">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973" w:type="dxa"/>
            <w:gridSpan w:val="2"/>
            <w:tcBorders>
              <w:top w:val="single" w:color="auto" w:sz="6" w:space="0"/>
              <w:left w:val="nil"/>
              <w:bottom w:val="single" w:color="auto" w:sz="6" w:space="0"/>
              <w:right w:val="single" w:color="auto" w:sz="6" w:space="0"/>
            </w:tcBorders>
            <w:shd w:val="clear" w:color="auto" w:fill="auto"/>
            <w:vAlign w:val="center"/>
          </w:tcPr>
          <w:p w14:paraId="61E89C49">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706" w:type="dxa"/>
            <w:tcBorders>
              <w:top w:val="single" w:color="auto" w:sz="6" w:space="0"/>
              <w:left w:val="nil"/>
              <w:bottom w:val="single" w:color="auto" w:sz="6" w:space="0"/>
              <w:right w:val="single" w:color="auto" w:sz="6" w:space="0"/>
            </w:tcBorders>
            <w:shd w:val="clear" w:color="auto" w:fill="auto"/>
            <w:vAlign w:val="center"/>
          </w:tcPr>
          <w:p w14:paraId="774E0679">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c>
          <w:tcPr>
            <w:tcW w:w="1327" w:type="dxa"/>
            <w:tcBorders>
              <w:top w:val="single" w:color="auto" w:sz="6" w:space="0"/>
              <w:left w:val="nil"/>
              <w:bottom w:val="single" w:color="auto" w:sz="6" w:space="0"/>
              <w:right w:val="single" w:color="auto" w:sz="6" w:space="0"/>
            </w:tcBorders>
            <w:shd w:val="clear" w:color="auto" w:fill="auto"/>
            <w:vAlign w:val="center"/>
          </w:tcPr>
          <w:p w14:paraId="1394E691">
            <w:pPr>
              <w:keepNext w:val="0"/>
              <w:keepLines w:val="0"/>
              <w:widowControl/>
              <w:suppressLineNumbers w:val="0"/>
              <w:wordWrap w:val="0"/>
              <w:adjustRightInd w:val="0"/>
              <w:snapToGrid w:val="0"/>
              <w:spacing w:before="0" w:beforeAutospacing="0" w:after="0" w:afterAutospacing="0" w:line="360" w:lineRule="auto"/>
              <w:ind w:left="0" w:right="0"/>
              <w:jc w:val="center"/>
              <w:textAlignment w:val="baseline"/>
              <w:rPr>
                <w:rFonts w:hint="eastAsia" w:ascii="宋体" w:hAnsi="宋体" w:eastAsia="宋体" w:cs="宋体"/>
                <w:color w:val="auto"/>
                <w:kern w:val="0"/>
                <w:sz w:val="21"/>
                <w:szCs w:val="21"/>
                <w:highlight w:val="none"/>
              </w:rPr>
            </w:pPr>
          </w:p>
        </w:tc>
      </w:tr>
    </w:tbl>
    <w:p w14:paraId="2A8F460B">
      <w:pPr>
        <w:rPr>
          <w:rFonts w:hint="eastAsia" w:ascii="宋体" w:hAnsi="宋体" w:eastAsia="宋体" w:cs="宋体"/>
          <w:color w:val="auto"/>
        </w:rPr>
      </w:pPr>
    </w:p>
    <w:p w14:paraId="3D63E4C2">
      <w:pPr>
        <w:rPr>
          <w:rFonts w:hint="eastAsia" w:ascii="宋体" w:hAnsi="宋体" w:eastAsia="宋体" w:cs="宋体"/>
          <w:color w:val="auto"/>
        </w:rPr>
      </w:pPr>
    </w:p>
    <w:p w14:paraId="51D32282">
      <w:pPr>
        <w:pStyle w:val="41"/>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36BC55F1">
      <w:pPr>
        <w:rPr>
          <w:rFonts w:hint="eastAsia" w:ascii="宋体" w:hAnsi="宋体" w:eastAsia="宋体" w:cs="宋体"/>
          <w:color w:val="auto"/>
        </w:rPr>
      </w:pPr>
    </w:p>
    <w:p w14:paraId="43824EDF">
      <w:pPr>
        <w:pStyle w:val="41"/>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1E9602F2">
      <w:pPr>
        <w:rPr>
          <w:rFonts w:hint="eastAsia" w:ascii="宋体" w:hAnsi="宋体" w:eastAsia="宋体" w:cs="宋体"/>
          <w:color w:val="auto"/>
        </w:rPr>
      </w:pPr>
    </w:p>
    <w:p w14:paraId="71930446">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说明：《项目技术负责人简历表》后应附拟派项目技术负责人以下资料：</w:t>
      </w:r>
    </w:p>
    <w:p w14:paraId="67F65ECF">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8"/>
          <w:highlight w:val="none"/>
          <w:lang w:eastAsia="zh-CN"/>
        </w:rPr>
        <w:t>1.</w:t>
      </w:r>
      <w:r>
        <w:rPr>
          <w:rFonts w:hint="eastAsia" w:ascii="宋体" w:hAnsi="宋体" w:eastAsia="宋体" w:cs="宋体"/>
          <w:snapToGrid w:val="0"/>
          <w:color w:val="auto"/>
          <w:kern w:val="0"/>
          <w:sz w:val="21"/>
          <w:szCs w:val="28"/>
          <w:highlight w:val="none"/>
        </w:rPr>
        <w:t>身份证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5C4FCBE9">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8"/>
          <w:highlight w:val="none"/>
          <w:lang w:eastAsia="zh-CN"/>
        </w:rPr>
        <w:t>2.</w:t>
      </w:r>
      <w:r>
        <w:rPr>
          <w:rFonts w:hint="eastAsia" w:ascii="宋体" w:hAnsi="宋体" w:eastAsia="宋体" w:cs="宋体"/>
          <w:snapToGrid w:val="0"/>
          <w:color w:val="auto"/>
          <w:kern w:val="0"/>
          <w:sz w:val="21"/>
          <w:szCs w:val="28"/>
          <w:highlight w:val="none"/>
        </w:rPr>
        <w:t>职称证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43090BCB">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lang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至少连续三个月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其中必须有2026年</w:t>
      </w:r>
      <w:r>
        <w:rPr>
          <w:rFonts w:hint="eastAsia" w:ascii="宋体" w:hAnsi="宋体" w:eastAsia="宋体" w:cs="宋体"/>
          <w:snapToGrid w:val="0"/>
          <w:color w:val="auto"/>
          <w:kern w:val="0"/>
          <w:sz w:val="21"/>
          <w:szCs w:val="28"/>
          <w:highlight w:val="none"/>
          <w:lang w:val="en-US" w:eastAsia="zh-CN"/>
        </w:rPr>
        <w:t>5</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3777E786">
      <w:pPr>
        <w:wordWrap w:val="0"/>
        <w:adjustRightInd w:val="0"/>
        <w:snapToGrid w:val="0"/>
        <w:spacing w:line="400" w:lineRule="exact"/>
        <w:ind w:firstLine="210" w:firstLineChars="100"/>
        <w:rPr>
          <w:rFonts w:hint="eastAsia" w:ascii="宋体" w:hAnsi="宋体" w:eastAsia="宋体" w:cs="宋体"/>
          <w:snapToGrid w:val="0"/>
          <w:color w:val="auto"/>
          <w:kern w:val="0"/>
          <w:sz w:val="21"/>
          <w:szCs w:val="28"/>
          <w:highlight w:val="none"/>
          <w:lang w:val="en-US" w:eastAsia="zh-CN"/>
        </w:rPr>
      </w:pPr>
      <w:r>
        <w:rPr>
          <w:rFonts w:hint="eastAsia" w:ascii="宋体" w:hAnsi="宋体" w:eastAsia="宋体" w:cs="宋体"/>
          <w:snapToGrid w:val="0"/>
          <w:color w:val="auto"/>
          <w:kern w:val="0"/>
          <w:sz w:val="21"/>
          <w:szCs w:val="28"/>
          <w:highlight w:val="none"/>
          <w:lang w:val="en-US" w:eastAsia="zh-CN"/>
        </w:rPr>
        <w:t>4.“进粤企业和人员诚信信息登记平台”个人（项目经理等）信息情况截图。（适用于省外建筑企业）。</w:t>
      </w:r>
    </w:p>
    <w:p w14:paraId="73D6EB1E">
      <w:pPr>
        <w:rPr>
          <w:rFonts w:hint="eastAsia" w:ascii="宋体" w:hAnsi="宋体" w:eastAsia="宋体" w:cs="宋体"/>
          <w:color w:val="auto"/>
          <w:lang w:val="en-US" w:eastAsia="zh-CN"/>
        </w:rPr>
      </w:pPr>
    </w:p>
    <w:p w14:paraId="3E4DCBC8">
      <w:pPr>
        <w:rPr>
          <w:rFonts w:hint="eastAsia" w:ascii="宋体" w:hAnsi="宋体" w:eastAsia="宋体" w:cs="宋体"/>
          <w:color w:val="auto"/>
          <w:lang w:val="en-US" w:eastAsia="zh-CN"/>
        </w:rPr>
      </w:pPr>
    </w:p>
    <w:p w14:paraId="2847B47A">
      <w:pPr>
        <w:rPr>
          <w:rFonts w:hint="eastAsia" w:ascii="宋体" w:hAnsi="宋体" w:eastAsia="宋体" w:cs="宋体"/>
          <w:color w:val="auto"/>
          <w:lang w:val="en-US" w:eastAsia="zh-CN"/>
        </w:rPr>
      </w:pPr>
    </w:p>
    <w:p w14:paraId="1C9063F5">
      <w:pPr>
        <w:rPr>
          <w:rFonts w:hint="eastAsia" w:ascii="宋体" w:hAnsi="宋体" w:eastAsia="宋体" w:cs="宋体"/>
          <w:color w:val="auto"/>
          <w:lang w:val="en-US" w:eastAsia="zh-CN"/>
        </w:rPr>
      </w:pPr>
    </w:p>
    <w:p w14:paraId="49F2A497">
      <w:pPr>
        <w:rPr>
          <w:rFonts w:hint="eastAsia" w:ascii="宋体" w:hAnsi="宋体" w:eastAsia="宋体" w:cs="宋体"/>
          <w:color w:val="auto"/>
          <w:lang w:val="en-US" w:eastAsia="zh-CN"/>
        </w:rPr>
      </w:pPr>
    </w:p>
    <w:p w14:paraId="5508B26C">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Style w:val="26"/>
          <w:rFonts w:hint="eastAsia" w:ascii="宋体" w:hAnsi="宋体" w:eastAsia="宋体" w:cs="宋体"/>
          <w:b/>
          <w:bCs/>
          <w:color w:val="auto"/>
          <w:sz w:val="21"/>
          <w:szCs w:val="21"/>
          <w:highlight w:val="none"/>
        </w:rPr>
      </w:pPr>
      <w:bookmarkStart w:id="410" w:name="_Toc19125"/>
      <w:bookmarkStart w:id="411" w:name="_Toc31072"/>
      <w:bookmarkStart w:id="412" w:name="_Toc29544"/>
      <w:bookmarkStart w:id="413" w:name="_Toc6024"/>
      <w:bookmarkStart w:id="414" w:name="_Toc8959"/>
      <w:bookmarkStart w:id="415" w:name="_Toc13261"/>
      <w:bookmarkStart w:id="416" w:name="_Toc9476"/>
      <w:bookmarkStart w:id="417" w:name="_Toc28355"/>
      <w:bookmarkStart w:id="418" w:name="_Toc25312"/>
      <w:bookmarkStart w:id="419" w:name="_Toc4370"/>
      <w:bookmarkStart w:id="420" w:name="_Toc19829"/>
      <w:bookmarkStart w:id="421" w:name="_Toc636"/>
      <w:bookmarkStart w:id="422" w:name="_Toc11642"/>
      <w:r>
        <w:rPr>
          <w:rFonts w:hint="eastAsia" w:ascii="宋体" w:hAnsi="宋体" w:eastAsia="宋体" w:cs="宋体"/>
          <w:color w:val="auto"/>
          <w:kern w:val="2"/>
          <w:sz w:val="28"/>
          <w:szCs w:val="24"/>
          <w:lang w:val="en-US" w:eastAsia="zh-CN"/>
        </w:rPr>
        <w:t>格式十一   项目管理机构组成</w:t>
      </w:r>
      <w:bookmarkEnd w:id="410"/>
      <w:bookmarkEnd w:id="411"/>
      <w:bookmarkEnd w:id="412"/>
      <w:bookmarkEnd w:id="413"/>
      <w:bookmarkEnd w:id="414"/>
      <w:bookmarkEnd w:id="415"/>
      <w:bookmarkEnd w:id="416"/>
      <w:bookmarkEnd w:id="417"/>
      <w:bookmarkEnd w:id="418"/>
      <w:bookmarkEnd w:id="419"/>
      <w:bookmarkEnd w:id="420"/>
      <w:bookmarkEnd w:id="421"/>
      <w:bookmarkEnd w:id="422"/>
    </w:p>
    <w:p w14:paraId="0F566F1E">
      <w:pPr>
        <w:spacing w:before="98" w:line="360" w:lineRule="auto"/>
        <w:jc w:val="center"/>
        <w:rPr>
          <w:rFonts w:hint="eastAsia" w:ascii="宋体" w:hAnsi="宋体" w:eastAsia="宋体" w:cs="宋体"/>
          <w:b/>
          <w:bCs/>
          <w:color w:val="auto"/>
          <w:spacing w:val="-5"/>
          <w:sz w:val="24"/>
          <w:szCs w:val="24"/>
          <w:highlight w:val="none"/>
        </w:rPr>
      </w:pPr>
      <w:bookmarkStart w:id="423" w:name="_Toc14261751"/>
      <w:r>
        <w:rPr>
          <w:rFonts w:hint="eastAsia" w:ascii="宋体" w:hAnsi="宋体" w:eastAsia="宋体" w:cs="宋体"/>
          <w:b/>
          <w:bCs/>
          <w:color w:val="auto"/>
          <w:spacing w:val="-5"/>
          <w:sz w:val="24"/>
          <w:szCs w:val="24"/>
          <w:highlight w:val="none"/>
        </w:rPr>
        <w:t>项目管理机构组成表</w:t>
      </w:r>
      <w:bookmarkEnd w:id="423"/>
    </w:p>
    <w:tbl>
      <w:tblPr>
        <w:tblStyle w:val="21"/>
        <w:tblW w:w="93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78"/>
        <w:gridCol w:w="1488"/>
        <w:gridCol w:w="1418"/>
        <w:gridCol w:w="942"/>
        <w:gridCol w:w="855"/>
        <w:gridCol w:w="1610"/>
        <w:gridCol w:w="2266"/>
      </w:tblGrid>
      <w:tr w14:paraId="335B8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jc w:val="center"/>
        </w:trPr>
        <w:tc>
          <w:tcPr>
            <w:tcW w:w="778" w:type="dxa"/>
            <w:tcBorders>
              <w:top w:val="single" w:color="auto" w:sz="6" w:space="0"/>
              <w:left w:val="single" w:color="auto" w:sz="6" w:space="0"/>
              <w:bottom w:val="single" w:color="auto" w:sz="6" w:space="0"/>
              <w:right w:val="single" w:color="auto" w:sz="6" w:space="0"/>
            </w:tcBorders>
            <w:noWrap w:val="0"/>
            <w:vAlign w:val="center"/>
          </w:tcPr>
          <w:p w14:paraId="4ECC4F8A">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88" w:type="dxa"/>
            <w:tcBorders>
              <w:top w:val="single" w:color="auto" w:sz="6" w:space="0"/>
              <w:left w:val="single" w:color="auto" w:sz="6" w:space="0"/>
              <w:bottom w:val="single" w:color="auto" w:sz="6" w:space="0"/>
              <w:right w:val="single" w:color="auto" w:sz="6" w:space="0"/>
            </w:tcBorders>
            <w:noWrap w:val="0"/>
            <w:vAlign w:val="center"/>
          </w:tcPr>
          <w:p w14:paraId="4A66CE84">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418" w:type="dxa"/>
            <w:tcBorders>
              <w:top w:val="single" w:color="auto" w:sz="6" w:space="0"/>
              <w:left w:val="single" w:color="auto" w:sz="6" w:space="0"/>
              <w:bottom w:val="single" w:color="auto" w:sz="6" w:space="0"/>
              <w:right w:val="single" w:color="auto" w:sz="6" w:space="0"/>
            </w:tcBorders>
            <w:noWrap w:val="0"/>
            <w:vAlign w:val="center"/>
          </w:tcPr>
          <w:p w14:paraId="08ABCD67">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42" w:type="dxa"/>
            <w:tcBorders>
              <w:top w:val="single" w:color="auto" w:sz="6" w:space="0"/>
              <w:left w:val="single" w:color="auto" w:sz="6" w:space="0"/>
              <w:bottom w:val="single" w:color="auto" w:sz="6" w:space="0"/>
              <w:right w:val="single" w:color="auto" w:sz="6" w:space="0"/>
            </w:tcBorders>
            <w:noWrap w:val="0"/>
            <w:vAlign w:val="center"/>
          </w:tcPr>
          <w:p w14:paraId="13B578CD">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55" w:type="dxa"/>
            <w:tcBorders>
              <w:top w:val="single" w:color="auto" w:sz="6" w:space="0"/>
              <w:left w:val="single" w:color="auto" w:sz="6" w:space="0"/>
              <w:bottom w:val="single" w:color="auto" w:sz="6" w:space="0"/>
              <w:right w:val="single" w:color="auto" w:sz="6" w:space="0"/>
            </w:tcBorders>
            <w:noWrap w:val="0"/>
            <w:vAlign w:val="center"/>
          </w:tcPr>
          <w:p w14:paraId="263262F1">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610" w:type="dxa"/>
            <w:tcBorders>
              <w:top w:val="single" w:color="auto" w:sz="6" w:space="0"/>
              <w:left w:val="single" w:color="auto" w:sz="6" w:space="0"/>
              <w:bottom w:val="single" w:color="auto" w:sz="6" w:space="0"/>
              <w:right w:val="single" w:color="auto" w:sz="6" w:space="0"/>
            </w:tcBorders>
            <w:noWrap w:val="0"/>
            <w:vAlign w:val="center"/>
          </w:tcPr>
          <w:p w14:paraId="2D4952F2">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266" w:type="dxa"/>
            <w:tcBorders>
              <w:top w:val="single" w:color="auto" w:sz="6" w:space="0"/>
              <w:left w:val="single" w:color="auto" w:sz="6" w:space="0"/>
              <w:bottom w:val="single" w:color="auto" w:sz="6" w:space="0"/>
              <w:right w:val="single" w:color="auto" w:sz="6" w:space="0"/>
            </w:tcBorders>
            <w:noWrap w:val="0"/>
            <w:vAlign w:val="center"/>
          </w:tcPr>
          <w:p w14:paraId="3243EBA5">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03EBAB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3" w:hRule="exact"/>
          <w:jc w:val="center"/>
        </w:trPr>
        <w:tc>
          <w:tcPr>
            <w:tcW w:w="778" w:type="dxa"/>
            <w:tcBorders>
              <w:top w:val="single" w:color="auto" w:sz="6" w:space="0"/>
              <w:left w:val="single" w:color="auto" w:sz="6" w:space="0"/>
              <w:bottom w:val="single" w:color="auto" w:sz="6" w:space="0"/>
              <w:right w:val="single" w:color="auto" w:sz="6" w:space="0"/>
            </w:tcBorders>
            <w:noWrap w:val="0"/>
            <w:vAlign w:val="center"/>
          </w:tcPr>
          <w:p w14:paraId="7E7AAC9F">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88" w:type="dxa"/>
            <w:tcBorders>
              <w:top w:val="single" w:color="auto" w:sz="6" w:space="0"/>
              <w:left w:val="single" w:color="auto" w:sz="6" w:space="0"/>
              <w:bottom w:val="single" w:color="auto" w:sz="6" w:space="0"/>
              <w:right w:val="single" w:color="auto" w:sz="6" w:space="0"/>
            </w:tcBorders>
            <w:noWrap w:val="0"/>
            <w:vAlign w:val="center"/>
          </w:tcPr>
          <w:p w14:paraId="59534BB2">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418" w:type="dxa"/>
            <w:tcBorders>
              <w:top w:val="single" w:color="auto" w:sz="6" w:space="0"/>
              <w:left w:val="single" w:color="auto" w:sz="6" w:space="0"/>
              <w:bottom w:val="single" w:color="auto" w:sz="6" w:space="0"/>
              <w:right w:val="single" w:color="auto" w:sz="6" w:space="0"/>
            </w:tcBorders>
            <w:noWrap w:val="0"/>
            <w:vAlign w:val="center"/>
          </w:tcPr>
          <w:p w14:paraId="73798F6B">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42" w:type="dxa"/>
            <w:tcBorders>
              <w:top w:val="single" w:color="auto" w:sz="6" w:space="0"/>
              <w:left w:val="single" w:color="auto" w:sz="6" w:space="0"/>
              <w:bottom w:val="single" w:color="auto" w:sz="6" w:space="0"/>
              <w:right w:val="single" w:color="auto" w:sz="6" w:space="0"/>
            </w:tcBorders>
            <w:noWrap w:val="0"/>
            <w:vAlign w:val="center"/>
          </w:tcPr>
          <w:p w14:paraId="370F8485">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751E69E4">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610" w:type="dxa"/>
            <w:tcBorders>
              <w:top w:val="single" w:color="auto" w:sz="6" w:space="0"/>
              <w:left w:val="single" w:color="auto" w:sz="6" w:space="0"/>
              <w:bottom w:val="single" w:color="auto" w:sz="6" w:space="0"/>
              <w:right w:val="single" w:color="auto" w:sz="6" w:space="0"/>
            </w:tcBorders>
            <w:noWrap w:val="0"/>
            <w:vAlign w:val="center"/>
          </w:tcPr>
          <w:p w14:paraId="43375810">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266" w:type="dxa"/>
            <w:tcBorders>
              <w:top w:val="single" w:color="auto" w:sz="6" w:space="0"/>
              <w:left w:val="single" w:color="auto" w:sz="6" w:space="0"/>
              <w:bottom w:val="single" w:color="auto" w:sz="6" w:space="0"/>
              <w:right w:val="single" w:color="auto" w:sz="6" w:space="0"/>
            </w:tcBorders>
            <w:noWrap w:val="0"/>
            <w:vAlign w:val="center"/>
          </w:tcPr>
          <w:p w14:paraId="648821C0">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10AF3D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6" w:hRule="exact"/>
          <w:jc w:val="center"/>
        </w:trPr>
        <w:tc>
          <w:tcPr>
            <w:tcW w:w="778" w:type="dxa"/>
            <w:tcBorders>
              <w:top w:val="single" w:color="auto" w:sz="6" w:space="0"/>
              <w:left w:val="single" w:color="auto" w:sz="6" w:space="0"/>
              <w:bottom w:val="single" w:color="auto" w:sz="6" w:space="0"/>
              <w:right w:val="single" w:color="auto" w:sz="6" w:space="0"/>
            </w:tcBorders>
            <w:noWrap w:val="0"/>
            <w:vAlign w:val="center"/>
          </w:tcPr>
          <w:p w14:paraId="5F601942">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88" w:type="dxa"/>
            <w:tcBorders>
              <w:top w:val="single" w:color="auto" w:sz="6" w:space="0"/>
              <w:left w:val="single" w:color="auto" w:sz="6" w:space="0"/>
              <w:bottom w:val="single" w:color="auto" w:sz="6" w:space="0"/>
              <w:right w:val="single" w:color="auto" w:sz="6" w:space="0"/>
            </w:tcBorders>
            <w:noWrap w:val="0"/>
            <w:vAlign w:val="center"/>
          </w:tcPr>
          <w:p w14:paraId="52727569">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0A8D37F1">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418" w:type="dxa"/>
            <w:tcBorders>
              <w:top w:val="single" w:color="auto" w:sz="6" w:space="0"/>
              <w:left w:val="single" w:color="auto" w:sz="6" w:space="0"/>
              <w:bottom w:val="single" w:color="auto" w:sz="6" w:space="0"/>
              <w:right w:val="single" w:color="auto" w:sz="6" w:space="0"/>
            </w:tcBorders>
            <w:noWrap w:val="0"/>
            <w:vAlign w:val="center"/>
          </w:tcPr>
          <w:p w14:paraId="1CEECACE">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42" w:type="dxa"/>
            <w:tcBorders>
              <w:top w:val="single" w:color="auto" w:sz="6" w:space="0"/>
              <w:left w:val="single" w:color="auto" w:sz="6" w:space="0"/>
              <w:bottom w:val="single" w:color="auto" w:sz="6" w:space="0"/>
              <w:right w:val="single" w:color="auto" w:sz="6" w:space="0"/>
            </w:tcBorders>
            <w:noWrap w:val="0"/>
            <w:vAlign w:val="center"/>
          </w:tcPr>
          <w:p w14:paraId="209798C4">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1968AE71">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610" w:type="dxa"/>
            <w:tcBorders>
              <w:top w:val="single" w:color="auto" w:sz="6" w:space="0"/>
              <w:left w:val="single" w:color="auto" w:sz="6" w:space="0"/>
              <w:bottom w:val="single" w:color="auto" w:sz="6" w:space="0"/>
              <w:right w:val="single" w:color="auto" w:sz="6" w:space="0"/>
            </w:tcBorders>
            <w:noWrap w:val="0"/>
            <w:vAlign w:val="center"/>
          </w:tcPr>
          <w:p w14:paraId="34F5766E">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266" w:type="dxa"/>
            <w:tcBorders>
              <w:top w:val="single" w:color="auto" w:sz="6" w:space="0"/>
              <w:left w:val="single" w:color="auto" w:sz="6" w:space="0"/>
              <w:bottom w:val="single" w:color="auto" w:sz="6" w:space="0"/>
              <w:right w:val="single" w:color="auto" w:sz="6" w:space="0"/>
            </w:tcBorders>
            <w:noWrap w:val="0"/>
            <w:vAlign w:val="center"/>
          </w:tcPr>
          <w:p w14:paraId="16FF481B">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352E6F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1" w:hRule="exact"/>
          <w:jc w:val="center"/>
        </w:trPr>
        <w:tc>
          <w:tcPr>
            <w:tcW w:w="778" w:type="dxa"/>
            <w:tcBorders>
              <w:top w:val="single" w:color="auto" w:sz="6" w:space="0"/>
              <w:left w:val="single" w:color="auto" w:sz="6" w:space="0"/>
              <w:right w:val="single" w:color="auto" w:sz="6" w:space="0"/>
            </w:tcBorders>
            <w:noWrap w:val="0"/>
            <w:vAlign w:val="center"/>
          </w:tcPr>
          <w:p w14:paraId="418B90BB">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88" w:type="dxa"/>
            <w:tcBorders>
              <w:top w:val="single" w:color="auto" w:sz="6" w:space="0"/>
              <w:left w:val="single" w:color="auto" w:sz="6" w:space="0"/>
              <w:right w:val="single" w:color="auto" w:sz="6" w:space="0"/>
            </w:tcBorders>
            <w:noWrap w:val="0"/>
            <w:vAlign w:val="center"/>
          </w:tcPr>
          <w:p w14:paraId="67DD1139">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418" w:type="dxa"/>
            <w:tcBorders>
              <w:top w:val="single" w:color="auto" w:sz="6" w:space="0"/>
              <w:left w:val="single" w:color="auto" w:sz="6" w:space="0"/>
              <w:bottom w:val="single" w:color="auto" w:sz="6" w:space="0"/>
              <w:right w:val="single" w:color="auto" w:sz="6" w:space="0"/>
            </w:tcBorders>
            <w:noWrap w:val="0"/>
            <w:vAlign w:val="center"/>
          </w:tcPr>
          <w:p w14:paraId="471739F2">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42" w:type="dxa"/>
            <w:tcBorders>
              <w:top w:val="single" w:color="auto" w:sz="6" w:space="0"/>
              <w:left w:val="single" w:color="auto" w:sz="6" w:space="0"/>
              <w:bottom w:val="single" w:color="auto" w:sz="6" w:space="0"/>
              <w:right w:val="single" w:color="auto" w:sz="6" w:space="0"/>
            </w:tcBorders>
            <w:noWrap w:val="0"/>
            <w:vAlign w:val="center"/>
          </w:tcPr>
          <w:p w14:paraId="110A7ED1">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6D7161FB">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610" w:type="dxa"/>
            <w:tcBorders>
              <w:top w:val="single" w:color="auto" w:sz="6" w:space="0"/>
              <w:left w:val="single" w:color="auto" w:sz="6" w:space="0"/>
              <w:bottom w:val="single" w:color="auto" w:sz="6" w:space="0"/>
              <w:right w:val="single" w:color="auto" w:sz="6" w:space="0"/>
            </w:tcBorders>
            <w:noWrap w:val="0"/>
            <w:vAlign w:val="center"/>
          </w:tcPr>
          <w:p w14:paraId="6C36AE5E">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266" w:type="dxa"/>
            <w:tcBorders>
              <w:top w:val="single" w:color="auto" w:sz="6" w:space="0"/>
              <w:left w:val="single" w:color="auto" w:sz="6" w:space="0"/>
              <w:bottom w:val="single" w:color="auto" w:sz="6" w:space="0"/>
              <w:right w:val="single" w:color="auto" w:sz="6" w:space="0"/>
            </w:tcBorders>
            <w:noWrap w:val="0"/>
            <w:vAlign w:val="center"/>
          </w:tcPr>
          <w:p w14:paraId="7691ACC5">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3CDD93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5" w:hRule="exact"/>
          <w:jc w:val="center"/>
        </w:trPr>
        <w:tc>
          <w:tcPr>
            <w:tcW w:w="778" w:type="dxa"/>
            <w:tcBorders>
              <w:top w:val="single" w:color="auto" w:sz="6" w:space="0"/>
              <w:left w:val="single" w:color="auto" w:sz="6" w:space="0"/>
              <w:bottom w:val="single" w:color="auto" w:sz="6" w:space="0"/>
              <w:right w:val="single" w:color="auto" w:sz="6" w:space="0"/>
            </w:tcBorders>
            <w:noWrap w:val="0"/>
            <w:vAlign w:val="center"/>
          </w:tcPr>
          <w:p w14:paraId="7074A1B3">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488" w:type="dxa"/>
            <w:tcBorders>
              <w:top w:val="single" w:color="auto" w:sz="6" w:space="0"/>
              <w:left w:val="single" w:color="auto" w:sz="6" w:space="0"/>
              <w:bottom w:val="single" w:color="auto" w:sz="6" w:space="0"/>
              <w:right w:val="single" w:color="auto" w:sz="6" w:space="0"/>
            </w:tcBorders>
            <w:noWrap w:val="0"/>
            <w:vAlign w:val="center"/>
          </w:tcPr>
          <w:p w14:paraId="77B0169A">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418" w:type="dxa"/>
            <w:tcBorders>
              <w:top w:val="single" w:color="auto" w:sz="6" w:space="0"/>
              <w:left w:val="single" w:color="auto" w:sz="6" w:space="0"/>
              <w:bottom w:val="single" w:color="auto" w:sz="6" w:space="0"/>
              <w:right w:val="single" w:color="auto" w:sz="6" w:space="0"/>
            </w:tcBorders>
            <w:noWrap w:val="0"/>
            <w:vAlign w:val="center"/>
          </w:tcPr>
          <w:p w14:paraId="2CA9DADC">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42" w:type="dxa"/>
            <w:tcBorders>
              <w:top w:val="single" w:color="auto" w:sz="6" w:space="0"/>
              <w:left w:val="single" w:color="auto" w:sz="6" w:space="0"/>
              <w:bottom w:val="single" w:color="auto" w:sz="6" w:space="0"/>
              <w:right w:val="single" w:color="auto" w:sz="6" w:space="0"/>
            </w:tcBorders>
            <w:noWrap w:val="0"/>
            <w:vAlign w:val="center"/>
          </w:tcPr>
          <w:p w14:paraId="647834BE">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64E3ED6B">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610" w:type="dxa"/>
            <w:tcBorders>
              <w:top w:val="single" w:color="auto" w:sz="6" w:space="0"/>
              <w:left w:val="single" w:color="auto" w:sz="6" w:space="0"/>
              <w:bottom w:val="single" w:color="auto" w:sz="6" w:space="0"/>
              <w:right w:val="single" w:color="auto" w:sz="6" w:space="0"/>
            </w:tcBorders>
            <w:noWrap w:val="0"/>
            <w:vAlign w:val="center"/>
          </w:tcPr>
          <w:p w14:paraId="7C58C289">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266" w:type="dxa"/>
            <w:tcBorders>
              <w:top w:val="single" w:color="auto" w:sz="6" w:space="0"/>
              <w:left w:val="single" w:color="auto" w:sz="6" w:space="0"/>
              <w:bottom w:val="single" w:color="auto" w:sz="6" w:space="0"/>
              <w:right w:val="single" w:color="auto" w:sz="6" w:space="0"/>
            </w:tcBorders>
            <w:noWrap w:val="0"/>
            <w:vAlign w:val="center"/>
          </w:tcPr>
          <w:p w14:paraId="2E39CE0E">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718695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5" w:hRule="exact"/>
          <w:jc w:val="center"/>
        </w:trPr>
        <w:tc>
          <w:tcPr>
            <w:tcW w:w="778" w:type="dxa"/>
            <w:tcBorders>
              <w:top w:val="single" w:color="auto" w:sz="6" w:space="0"/>
              <w:left w:val="single" w:color="auto" w:sz="6" w:space="0"/>
              <w:bottom w:val="single" w:color="auto" w:sz="6" w:space="0"/>
              <w:right w:val="single" w:color="auto" w:sz="6" w:space="0"/>
            </w:tcBorders>
            <w:noWrap w:val="0"/>
            <w:vAlign w:val="center"/>
          </w:tcPr>
          <w:p w14:paraId="65147F58">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488" w:type="dxa"/>
            <w:tcBorders>
              <w:top w:val="single" w:color="auto" w:sz="6" w:space="0"/>
              <w:left w:val="single" w:color="auto" w:sz="6" w:space="0"/>
              <w:bottom w:val="single" w:color="auto" w:sz="6" w:space="0"/>
              <w:right w:val="single" w:color="auto" w:sz="6" w:space="0"/>
            </w:tcBorders>
            <w:noWrap w:val="0"/>
            <w:vAlign w:val="center"/>
          </w:tcPr>
          <w:p w14:paraId="2F9FE8A4">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418" w:type="dxa"/>
            <w:tcBorders>
              <w:top w:val="single" w:color="auto" w:sz="6" w:space="0"/>
              <w:left w:val="single" w:color="auto" w:sz="6" w:space="0"/>
              <w:bottom w:val="single" w:color="auto" w:sz="6" w:space="0"/>
              <w:right w:val="single" w:color="auto" w:sz="6" w:space="0"/>
            </w:tcBorders>
            <w:noWrap w:val="0"/>
            <w:vAlign w:val="center"/>
          </w:tcPr>
          <w:p w14:paraId="6E869C15">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42" w:type="dxa"/>
            <w:tcBorders>
              <w:top w:val="single" w:color="auto" w:sz="6" w:space="0"/>
              <w:left w:val="single" w:color="auto" w:sz="6" w:space="0"/>
              <w:bottom w:val="single" w:color="auto" w:sz="6" w:space="0"/>
              <w:right w:val="single" w:color="auto" w:sz="6" w:space="0"/>
            </w:tcBorders>
            <w:noWrap w:val="0"/>
            <w:vAlign w:val="center"/>
          </w:tcPr>
          <w:p w14:paraId="2ABBEC47">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2BC29546">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610" w:type="dxa"/>
            <w:tcBorders>
              <w:top w:val="single" w:color="auto" w:sz="6" w:space="0"/>
              <w:left w:val="single" w:color="auto" w:sz="6" w:space="0"/>
              <w:bottom w:val="single" w:color="auto" w:sz="6" w:space="0"/>
              <w:right w:val="single" w:color="auto" w:sz="6" w:space="0"/>
            </w:tcBorders>
            <w:noWrap w:val="0"/>
            <w:vAlign w:val="center"/>
          </w:tcPr>
          <w:p w14:paraId="73F64DD4">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266" w:type="dxa"/>
            <w:tcBorders>
              <w:top w:val="single" w:color="auto" w:sz="6" w:space="0"/>
              <w:left w:val="single" w:color="auto" w:sz="6" w:space="0"/>
              <w:bottom w:val="single" w:color="auto" w:sz="6" w:space="0"/>
              <w:right w:val="single" w:color="auto" w:sz="6" w:space="0"/>
            </w:tcBorders>
            <w:noWrap w:val="0"/>
            <w:vAlign w:val="center"/>
          </w:tcPr>
          <w:p w14:paraId="7ADA3C6C">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7B985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5" w:hRule="exact"/>
          <w:jc w:val="center"/>
        </w:trPr>
        <w:tc>
          <w:tcPr>
            <w:tcW w:w="778" w:type="dxa"/>
            <w:tcBorders>
              <w:top w:val="single" w:color="auto" w:sz="6" w:space="0"/>
              <w:left w:val="single" w:color="auto" w:sz="6" w:space="0"/>
              <w:bottom w:val="single" w:color="auto" w:sz="6" w:space="0"/>
              <w:right w:val="single" w:color="auto" w:sz="6" w:space="0"/>
            </w:tcBorders>
            <w:noWrap w:val="0"/>
            <w:vAlign w:val="center"/>
          </w:tcPr>
          <w:p w14:paraId="6799977A">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488" w:type="dxa"/>
            <w:tcBorders>
              <w:top w:val="single" w:color="auto" w:sz="6" w:space="0"/>
              <w:left w:val="single" w:color="auto" w:sz="6" w:space="0"/>
              <w:bottom w:val="single" w:color="auto" w:sz="6" w:space="0"/>
              <w:right w:val="single" w:color="auto" w:sz="6" w:space="0"/>
            </w:tcBorders>
            <w:noWrap w:val="0"/>
            <w:vAlign w:val="center"/>
          </w:tcPr>
          <w:p w14:paraId="3723456C">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418" w:type="dxa"/>
            <w:tcBorders>
              <w:top w:val="single" w:color="auto" w:sz="6" w:space="0"/>
              <w:left w:val="single" w:color="auto" w:sz="6" w:space="0"/>
              <w:bottom w:val="single" w:color="auto" w:sz="6" w:space="0"/>
              <w:right w:val="single" w:color="auto" w:sz="6" w:space="0"/>
            </w:tcBorders>
            <w:noWrap w:val="0"/>
            <w:vAlign w:val="center"/>
          </w:tcPr>
          <w:p w14:paraId="52047142">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42" w:type="dxa"/>
            <w:tcBorders>
              <w:top w:val="single" w:color="auto" w:sz="6" w:space="0"/>
              <w:left w:val="single" w:color="auto" w:sz="6" w:space="0"/>
              <w:bottom w:val="single" w:color="auto" w:sz="6" w:space="0"/>
              <w:right w:val="single" w:color="auto" w:sz="6" w:space="0"/>
            </w:tcBorders>
            <w:noWrap w:val="0"/>
            <w:vAlign w:val="center"/>
          </w:tcPr>
          <w:p w14:paraId="68A22754">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458B21FA">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610" w:type="dxa"/>
            <w:tcBorders>
              <w:top w:val="single" w:color="auto" w:sz="6" w:space="0"/>
              <w:left w:val="single" w:color="auto" w:sz="6" w:space="0"/>
              <w:bottom w:val="single" w:color="auto" w:sz="6" w:space="0"/>
              <w:right w:val="single" w:color="auto" w:sz="6" w:space="0"/>
            </w:tcBorders>
            <w:noWrap w:val="0"/>
            <w:vAlign w:val="center"/>
          </w:tcPr>
          <w:p w14:paraId="2FC8038F">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266" w:type="dxa"/>
            <w:tcBorders>
              <w:top w:val="single" w:color="auto" w:sz="6" w:space="0"/>
              <w:left w:val="single" w:color="auto" w:sz="6" w:space="0"/>
              <w:bottom w:val="single" w:color="auto" w:sz="6" w:space="0"/>
              <w:right w:val="single" w:color="auto" w:sz="6" w:space="0"/>
            </w:tcBorders>
            <w:noWrap w:val="0"/>
            <w:vAlign w:val="center"/>
          </w:tcPr>
          <w:p w14:paraId="28298122">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51561D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5" w:hRule="exact"/>
          <w:jc w:val="center"/>
        </w:trPr>
        <w:tc>
          <w:tcPr>
            <w:tcW w:w="778" w:type="dxa"/>
            <w:tcBorders>
              <w:top w:val="single" w:color="auto" w:sz="6" w:space="0"/>
              <w:left w:val="single" w:color="auto" w:sz="6" w:space="0"/>
              <w:bottom w:val="single" w:color="auto" w:sz="6" w:space="0"/>
              <w:right w:val="single" w:color="auto" w:sz="6" w:space="0"/>
            </w:tcBorders>
            <w:noWrap w:val="0"/>
            <w:vAlign w:val="center"/>
          </w:tcPr>
          <w:p w14:paraId="1D4B95D0">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488" w:type="dxa"/>
            <w:tcBorders>
              <w:top w:val="single" w:color="auto" w:sz="6" w:space="0"/>
              <w:left w:val="single" w:color="auto" w:sz="6" w:space="0"/>
              <w:bottom w:val="single" w:color="auto" w:sz="6" w:space="0"/>
              <w:right w:val="single" w:color="auto" w:sz="6" w:space="0"/>
            </w:tcBorders>
            <w:noWrap w:val="0"/>
            <w:vAlign w:val="center"/>
          </w:tcPr>
          <w:p w14:paraId="6B446498">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418" w:type="dxa"/>
            <w:tcBorders>
              <w:top w:val="single" w:color="auto" w:sz="6" w:space="0"/>
              <w:left w:val="single" w:color="auto" w:sz="6" w:space="0"/>
              <w:bottom w:val="single" w:color="auto" w:sz="6" w:space="0"/>
              <w:right w:val="single" w:color="auto" w:sz="6" w:space="0"/>
            </w:tcBorders>
            <w:noWrap w:val="0"/>
            <w:vAlign w:val="center"/>
          </w:tcPr>
          <w:p w14:paraId="6AAF6845">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42" w:type="dxa"/>
            <w:tcBorders>
              <w:top w:val="single" w:color="auto" w:sz="6" w:space="0"/>
              <w:left w:val="single" w:color="auto" w:sz="6" w:space="0"/>
              <w:bottom w:val="single" w:color="auto" w:sz="6" w:space="0"/>
              <w:right w:val="single" w:color="auto" w:sz="6" w:space="0"/>
            </w:tcBorders>
            <w:noWrap w:val="0"/>
            <w:vAlign w:val="center"/>
          </w:tcPr>
          <w:p w14:paraId="3648470B">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0BBEE83E">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610" w:type="dxa"/>
            <w:tcBorders>
              <w:top w:val="single" w:color="auto" w:sz="6" w:space="0"/>
              <w:left w:val="single" w:color="auto" w:sz="6" w:space="0"/>
              <w:bottom w:val="single" w:color="auto" w:sz="6" w:space="0"/>
              <w:right w:val="single" w:color="auto" w:sz="6" w:space="0"/>
            </w:tcBorders>
            <w:noWrap w:val="0"/>
            <w:vAlign w:val="center"/>
          </w:tcPr>
          <w:p w14:paraId="76F24956">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266" w:type="dxa"/>
            <w:tcBorders>
              <w:top w:val="single" w:color="auto" w:sz="6" w:space="0"/>
              <w:left w:val="single" w:color="auto" w:sz="6" w:space="0"/>
              <w:bottom w:val="single" w:color="auto" w:sz="6" w:space="0"/>
              <w:right w:val="single" w:color="auto" w:sz="6" w:space="0"/>
            </w:tcBorders>
            <w:noWrap w:val="0"/>
            <w:vAlign w:val="center"/>
          </w:tcPr>
          <w:p w14:paraId="5659EBD1">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760280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5" w:hRule="exact"/>
          <w:jc w:val="center"/>
        </w:trPr>
        <w:tc>
          <w:tcPr>
            <w:tcW w:w="778" w:type="dxa"/>
            <w:tcBorders>
              <w:top w:val="single" w:color="auto" w:sz="6" w:space="0"/>
              <w:left w:val="single" w:color="auto" w:sz="6" w:space="0"/>
              <w:bottom w:val="single" w:color="auto" w:sz="6" w:space="0"/>
              <w:right w:val="single" w:color="auto" w:sz="6" w:space="0"/>
            </w:tcBorders>
            <w:noWrap w:val="0"/>
            <w:vAlign w:val="center"/>
          </w:tcPr>
          <w:p w14:paraId="48D268BE">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488" w:type="dxa"/>
            <w:tcBorders>
              <w:top w:val="single" w:color="auto" w:sz="6" w:space="0"/>
              <w:left w:val="single" w:color="auto" w:sz="6" w:space="0"/>
              <w:bottom w:val="single" w:color="auto" w:sz="6" w:space="0"/>
              <w:right w:val="single" w:color="auto" w:sz="6" w:space="0"/>
            </w:tcBorders>
            <w:noWrap w:val="0"/>
            <w:vAlign w:val="center"/>
          </w:tcPr>
          <w:p w14:paraId="280CB51D">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noWrap w:val="0"/>
            <w:vAlign w:val="center"/>
          </w:tcPr>
          <w:p w14:paraId="6039CA05">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42" w:type="dxa"/>
            <w:tcBorders>
              <w:top w:val="single" w:color="auto" w:sz="6" w:space="0"/>
              <w:left w:val="single" w:color="auto" w:sz="6" w:space="0"/>
              <w:bottom w:val="single" w:color="auto" w:sz="6" w:space="0"/>
              <w:right w:val="single" w:color="auto" w:sz="6" w:space="0"/>
            </w:tcBorders>
            <w:noWrap w:val="0"/>
            <w:vAlign w:val="center"/>
          </w:tcPr>
          <w:p w14:paraId="6D3AFEB9">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2591F872">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610" w:type="dxa"/>
            <w:tcBorders>
              <w:top w:val="single" w:color="auto" w:sz="6" w:space="0"/>
              <w:left w:val="single" w:color="auto" w:sz="6" w:space="0"/>
              <w:bottom w:val="single" w:color="auto" w:sz="6" w:space="0"/>
              <w:right w:val="single" w:color="auto" w:sz="6" w:space="0"/>
            </w:tcBorders>
            <w:noWrap w:val="0"/>
            <w:vAlign w:val="center"/>
          </w:tcPr>
          <w:p w14:paraId="0F3F75C7">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266" w:type="dxa"/>
            <w:tcBorders>
              <w:top w:val="single" w:color="auto" w:sz="6" w:space="0"/>
              <w:left w:val="single" w:color="auto" w:sz="6" w:space="0"/>
              <w:bottom w:val="single" w:color="auto" w:sz="6" w:space="0"/>
              <w:right w:val="single" w:color="auto" w:sz="6" w:space="0"/>
            </w:tcBorders>
            <w:noWrap w:val="0"/>
            <w:vAlign w:val="center"/>
          </w:tcPr>
          <w:p w14:paraId="6A45D25C">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1E0647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9" w:hRule="exact"/>
          <w:jc w:val="center"/>
        </w:trPr>
        <w:tc>
          <w:tcPr>
            <w:tcW w:w="778" w:type="dxa"/>
            <w:tcBorders>
              <w:top w:val="single" w:color="auto" w:sz="6" w:space="0"/>
              <w:left w:val="single" w:color="auto" w:sz="6" w:space="0"/>
              <w:bottom w:val="single" w:color="auto" w:sz="6" w:space="0"/>
              <w:right w:val="single" w:color="auto" w:sz="6" w:space="0"/>
            </w:tcBorders>
            <w:noWrap w:val="0"/>
            <w:vAlign w:val="center"/>
          </w:tcPr>
          <w:p w14:paraId="32EF8227">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488" w:type="dxa"/>
            <w:tcBorders>
              <w:top w:val="single" w:color="auto" w:sz="6" w:space="0"/>
              <w:left w:val="single" w:color="auto" w:sz="6" w:space="0"/>
              <w:bottom w:val="single" w:color="auto" w:sz="6" w:space="0"/>
              <w:right w:val="single" w:color="auto" w:sz="6" w:space="0"/>
            </w:tcBorders>
            <w:noWrap w:val="0"/>
            <w:vAlign w:val="center"/>
          </w:tcPr>
          <w:p w14:paraId="4CF6564A">
            <w:pPr>
              <w:keepNext w:val="0"/>
              <w:keepLines w:val="0"/>
              <w:widowControl/>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418" w:type="dxa"/>
            <w:tcBorders>
              <w:top w:val="single" w:color="auto" w:sz="6" w:space="0"/>
              <w:left w:val="single" w:color="auto" w:sz="6" w:space="0"/>
              <w:bottom w:val="single" w:color="auto" w:sz="6" w:space="0"/>
              <w:right w:val="single" w:color="auto" w:sz="6" w:space="0"/>
            </w:tcBorders>
            <w:noWrap w:val="0"/>
            <w:vAlign w:val="center"/>
          </w:tcPr>
          <w:p w14:paraId="5C43E555">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42" w:type="dxa"/>
            <w:tcBorders>
              <w:top w:val="single" w:color="auto" w:sz="6" w:space="0"/>
              <w:left w:val="single" w:color="auto" w:sz="6" w:space="0"/>
              <w:bottom w:val="single" w:color="auto" w:sz="6" w:space="0"/>
              <w:right w:val="single" w:color="auto" w:sz="6" w:space="0"/>
            </w:tcBorders>
            <w:noWrap w:val="0"/>
            <w:vAlign w:val="center"/>
          </w:tcPr>
          <w:p w14:paraId="1F722B90">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14:paraId="216F3668">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610" w:type="dxa"/>
            <w:tcBorders>
              <w:top w:val="single" w:color="auto" w:sz="6" w:space="0"/>
              <w:left w:val="single" w:color="auto" w:sz="6" w:space="0"/>
              <w:bottom w:val="single" w:color="auto" w:sz="6" w:space="0"/>
              <w:right w:val="single" w:color="auto" w:sz="6" w:space="0"/>
            </w:tcBorders>
            <w:noWrap w:val="0"/>
            <w:vAlign w:val="center"/>
          </w:tcPr>
          <w:p w14:paraId="0909E06F">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266" w:type="dxa"/>
            <w:tcBorders>
              <w:top w:val="single" w:color="auto" w:sz="6" w:space="0"/>
              <w:left w:val="single" w:color="auto" w:sz="6" w:space="0"/>
              <w:bottom w:val="single" w:color="auto" w:sz="6" w:space="0"/>
              <w:right w:val="single" w:color="auto" w:sz="6" w:space="0"/>
            </w:tcBorders>
            <w:noWrap w:val="0"/>
            <w:vAlign w:val="center"/>
          </w:tcPr>
          <w:p w14:paraId="3EC5883D">
            <w:pPr>
              <w:keepNext w:val="0"/>
              <w:keepLines w:val="0"/>
              <w:widowControl/>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bl>
    <w:p w14:paraId="70C33785">
      <w:pPr>
        <w:pStyle w:val="40"/>
        <w:widowControl w:val="0"/>
        <w:wordWrap w:val="0"/>
        <w:adjustRightInd w:val="0"/>
        <w:snapToGrid w:val="0"/>
        <w:spacing w:line="400" w:lineRule="exact"/>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说明：</w:t>
      </w:r>
    </w:p>
    <w:p w14:paraId="1FDF06D1">
      <w:pPr>
        <w:pStyle w:val="40"/>
        <w:widowControl w:val="0"/>
        <w:wordWrap w:val="0"/>
        <w:adjustRightInd w:val="0"/>
        <w:snapToGrid w:val="0"/>
        <w:spacing w:line="400" w:lineRule="exact"/>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lang w:eastAsia="zh-CN"/>
        </w:rPr>
        <w:t>1.</w:t>
      </w:r>
      <w:r>
        <w:rPr>
          <w:rFonts w:hint="eastAsia" w:ascii="宋体" w:hAnsi="宋体" w:eastAsia="宋体" w:cs="宋体"/>
          <w:snapToGrid w:val="0"/>
          <w:color w:val="auto"/>
          <w:sz w:val="21"/>
          <w:highlight w:val="none"/>
        </w:rPr>
        <w:t>《项目管理机构组成表》后应附表中拟派人员（项目经理、项目技术负责人除外）以下资料：</w:t>
      </w:r>
    </w:p>
    <w:p w14:paraId="325E764D">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47AF047E">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（2）职称证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lang w:val="en-US" w:eastAsia="zh-CN"/>
        </w:rPr>
        <w:t>如有</w:t>
      </w:r>
      <w:r>
        <w:rPr>
          <w:rFonts w:hint="eastAsia" w:ascii="宋体" w:hAnsi="宋体" w:eastAsia="宋体" w:cs="宋体"/>
          <w:snapToGrid w:val="0"/>
          <w:color w:val="auto"/>
          <w:kern w:val="0"/>
          <w:sz w:val="21"/>
          <w:szCs w:val="28"/>
          <w:highlight w:val="none"/>
          <w:lang w:eastAsia="zh-CN"/>
        </w:rPr>
        <w:t>）</w:t>
      </w:r>
    </w:p>
    <w:p w14:paraId="3D71A523">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至少连续三个月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其中必须有2026年</w:t>
      </w:r>
      <w:r>
        <w:rPr>
          <w:rFonts w:hint="eastAsia" w:ascii="宋体" w:hAnsi="宋体" w:eastAsia="宋体" w:cs="宋体"/>
          <w:snapToGrid w:val="0"/>
          <w:color w:val="auto"/>
          <w:kern w:val="0"/>
          <w:sz w:val="21"/>
          <w:szCs w:val="28"/>
          <w:highlight w:val="none"/>
          <w:lang w:val="en-US" w:eastAsia="zh-CN"/>
        </w:rPr>
        <w:t>5</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。拟派人员为退休返聘人员无法提供社保证明的，提供退休证和劳动合同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7465B780">
      <w:pPr>
        <w:wordWrap w:val="0"/>
        <w:adjustRightInd w:val="0"/>
        <w:snapToGrid w:val="0"/>
        <w:spacing w:line="400" w:lineRule="exact"/>
        <w:ind w:firstLine="210" w:firstLineChars="100"/>
        <w:rPr>
          <w:rFonts w:hint="eastAsia" w:ascii="宋体" w:hAnsi="宋体" w:eastAsia="宋体" w:cs="宋体"/>
          <w:snapToGrid w:val="0"/>
          <w:color w:val="auto"/>
          <w:kern w:val="0"/>
          <w:sz w:val="21"/>
          <w:szCs w:val="28"/>
          <w:highlight w:val="none"/>
        </w:rPr>
      </w:pPr>
      <w:bookmarkStart w:id="424" w:name="_附件二十四：技术标提问单"/>
      <w:bookmarkEnd w:id="424"/>
      <w:bookmarkStart w:id="425" w:name="_Hlt68774664"/>
      <w:bookmarkEnd w:id="425"/>
      <w:bookmarkStart w:id="426" w:name="_附件十：单项工程费汇总表"/>
      <w:bookmarkEnd w:id="426"/>
      <w:bookmarkStart w:id="427" w:name="_附件二十五：综合评审合理低价法"/>
      <w:bookmarkEnd w:id="427"/>
      <w:bookmarkStart w:id="428" w:name="_Hlt69116778"/>
      <w:bookmarkEnd w:id="428"/>
      <w:r>
        <w:rPr>
          <w:rFonts w:hint="eastAsia" w:ascii="宋体" w:hAnsi="宋体" w:eastAsia="宋体" w:cs="宋体"/>
          <w:snapToGrid w:val="0"/>
          <w:color w:val="auto"/>
          <w:sz w:val="21"/>
          <w:highlight w:val="none"/>
          <w:lang w:eastAsia="zh-CN"/>
        </w:rPr>
        <w:t>（</w:t>
      </w:r>
      <w:r>
        <w:rPr>
          <w:rFonts w:hint="eastAsia" w:ascii="宋体" w:hAnsi="宋体" w:eastAsia="宋体" w:cs="宋体"/>
          <w:snapToGrid w:val="0"/>
          <w:color w:val="auto"/>
          <w:sz w:val="21"/>
          <w:highlight w:val="none"/>
          <w:lang w:val="en-US" w:eastAsia="zh-CN"/>
        </w:rPr>
        <w:t>4</w:t>
      </w:r>
      <w:r>
        <w:rPr>
          <w:rFonts w:hint="eastAsia" w:ascii="宋体" w:hAnsi="宋体" w:eastAsia="宋体" w:cs="宋体"/>
          <w:snapToGrid w:val="0"/>
          <w:color w:val="auto"/>
          <w:sz w:val="21"/>
          <w:highlight w:val="none"/>
          <w:lang w:eastAsia="zh-CN"/>
        </w:rPr>
        <w:t>）</w:t>
      </w:r>
      <w:r>
        <w:rPr>
          <w:rFonts w:hint="eastAsia" w:ascii="宋体" w:hAnsi="宋体" w:eastAsia="宋体" w:cs="宋体"/>
          <w:snapToGrid w:val="0"/>
          <w:color w:val="auto"/>
          <w:kern w:val="0"/>
          <w:sz w:val="21"/>
          <w:szCs w:val="28"/>
          <w:highlight w:val="none"/>
          <w:lang w:val="en-US" w:eastAsia="zh-CN"/>
        </w:rPr>
        <w:t>“进粤企业和人员诚信信息登记平台”个人（项目经理等）信息情况截图。（适用于省外建筑企业）。</w:t>
      </w:r>
    </w:p>
    <w:p w14:paraId="74CDA0BB">
      <w:pPr>
        <w:keepNext w:val="0"/>
        <w:keepLines w:val="0"/>
        <w:widowControl/>
        <w:suppressLineNumbers w:val="0"/>
        <w:jc w:val="left"/>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 xml:space="preserve">    </w:t>
      </w:r>
      <w:r>
        <w:rPr>
          <w:rFonts w:hint="eastAsia" w:ascii="宋体" w:hAnsi="宋体" w:eastAsia="宋体" w:cs="宋体"/>
          <w:snapToGrid w:val="0"/>
          <w:color w:val="auto"/>
          <w:sz w:val="21"/>
          <w:highlight w:val="none"/>
          <w:lang w:eastAsia="zh-CN"/>
        </w:rPr>
        <w:t>2.</w:t>
      </w:r>
      <w:r>
        <w:rPr>
          <w:rFonts w:hint="eastAsia" w:ascii="宋体" w:hAnsi="宋体" w:eastAsia="宋体" w:cs="宋体"/>
          <w:snapToGrid w:val="0"/>
          <w:color w:val="auto"/>
          <w:sz w:val="21"/>
          <w:highlight w:val="none"/>
        </w:rPr>
        <w:t>联合体投标的，《项目管理机构组成表》应包括联合体成员单位参与项目管理机构的人员，并提供以上所需资料。</w:t>
      </w:r>
    </w:p>
    <w:p w14:paraId="5CF6F990">
      <w:pPr>
        <w:rPr>
          <w:rFonts w:hint="eastAsia" w:ascii="宋体" w:hAnsi="宋体" w:eastAsia="宋体" w:cs="宋体"/>
          <w:color w:val="auto"/>
        </w:rPr>
      </w:pPr>
    </w:p>
    <w:p w14:paraId="77EAFBF2">
      <w:pPr>
        <w:rPr>
          <w:rFonts w:hint="eastAsia" w:ascii="宋体" w:hAnsi="宋体" w:eastAsia="宋体" w:cs="宋体"/>
          <w:color w:val="auto"/>
        </w:rPr>
      </w:pPr>
    </w:p>
    <w:p w14:paraId="6687E5C7">
      <w:pPr>
        <w:rPr>
          <w:rFonts w:hint="eastAsia" w:ascii="宋体" w:hAnsi="宋体" w:eastAsia="宋体" w:cs="宋体"/>
          <w:color w:val="auto"/>
        </w:rPr>
      </w:pPr>
    </w:p>
    <w:p w14:paraId="447CB02B">
      <w:pPr>
        <w:rPr>
          <w:rFonts w:hint="eastAsia" w:ascii="宋体" w:hAnsi="宋体" w:eastAsia="宋体" w:cs="宋体"/>
          <w:color w:val="auto"/>
        </w:rPr>
      </w:pPr>
      <w:bookmarkStart w:id="429" w:name="_Toc36804690"/>
      <w:bookmarkStart w:id="430" w:name="_Toc26904"/>
      <w:bookmarkStart w:id="431" w:name="_Toc30931"/>
      <w:bookmarkStart w:id="432" w:name="_Toc14136"/>
      <w:bookmarkStart w:id="433" w:name="_Toc18504"/>
      <w:bookmarkStart w:id="434" w:name="_Toc18297"/>
      <w:bookmarkStart w:id="435" w:name="_Toc29671"/>
      <w:bookmarkStart w:id="436" w:name="_Toc6379"/>
      <w:bookmarkStart w:id="437" w:name="_Toc19935"/>
      <w:bookmarkStart w:id="438" w:name="_Toc23831"/>
      <w:bookmarkStart w:id="439" w:name="_Toc14143"/>
      <w:bookmarkStart w:id="440" w:name="_Toc9224"/>
      <w:bookmarkStart w:id="441" w:name="_Toc28494"/>
    </w:p>
    <w:p w14:paraId="6BADB87A">
      <w:pPr>
        <w:rPr>
          <w:rFonts w:hint="eastAsia" w:ascii="宋体" w:hAnsi="宋体" w:eastAsia="宋体" w:cs="宋体"/>
          <w:color w:val="auto"/>
        </w:rPr>
      </w:pPr>
    </w:p>
    <w:p w14:paraId="4B21B877">
      <w:pPr>
        <w:rPr>
          <w:rFonts w:hint="eastAsia" w:ascii="宋体" w:hAnsi="宋体" w:eastAsia="宋体" w:cs="宋体"/>
          <w:color w:val="auto"/>
        </w:rPr>
      </w:pPr>
    </w:p>
    <w:p w14:paraId="52F34189">
      <w:pPr>
        <w:rPr>
          <w:rFonts w:hint="eastAsia" w:ascii="宋体" w:hAnsi="宋体" w:eastAsia="宋体" w:cs="宋体"/>
          <w:color w:val="auto"/>
        </w:rPr>
      </w:pPr>
    </w:p>
    <w:p w14:paraId="06EA3518">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Style w:val="26"/>
          <w:rFonts w:hint="eastAsia" w:ascii="宋体" w:hAnsi="宋体" w:eastAsia="宋体" w:cs="宋体"/>
          <w:b/>
          <w:bCs/>
          <w:color w:val="auto"/>
          <w:sz w:val="21"/>
          <w:szCs w:val="21"/>
          <w:highlight w:val="none"/>
        </w:rPr>
      </w:pPr>
      <w:bookmarkStart w:id="442" w:name="_Toc26854"/>
      <w:r>
        <w:rPr>
          <w:rFonts w:hint="eastAsia" w:ascii="宋体" w:hAnsi="宋体" w:eastAsia="宋体" w:cs="宋体"/>
          <w:color w:val="auto"/>
          <w:kern w:val="2"/>
          <w:sz w:val="28"/>
          <w:szCs w:val="24"/>
          <w:lang w:val="en-US" w:eastAsia="zh-CN"/>
        </w:rPr>
        <w:t>格式十二   建造师查询页（有效期+建造师签字）</w:t>
      </w:r>
      <w:bookmarkEnd w:id="429"/>
      <w:bookmarkEnd w:id="430"/>
      <w:bookmarkEnd w:id="431"/>
      <w:bookmarkEnd w:id="442"/>
    </w:p>
    <w:bookmarkEnd w:id="432"/>
    <w:bookmarkEnd w:id="433"/>
    <w:bookmarkEnd w:id="434"/>
    <w:bookmarkEnd w:id="435"/>
    <w:bookmarkEnd w:id="436"/>
    <w:bookmarkEnd w:id="437"/>
    <w:bookmarkEnd w:id="438"/>
    <w:bookmarkEnd w:id="439"/>
    <w:bookmarkEnd w:id="440"/>
    <w:bookmarkEnd w:id="441"/>
    <w:p w14:paraId="2CFD48BD">
      <w:pPr>
        <w:spacing w:line="336" w:lineRule="auto"/>
        <w:contextualSpacing/>
        <w:jc w:val="left"/>
        <w:rPr>
          <w:rFonts w:hint="eastAsia" w:ascii="宋体" w:hAnsi="宋体" w:eastAsia="宋体" w:cs="宋体"/>
          <w:color w:val="auto"/>
          <w:position w:val="-235"/>
          <w:highlight w:val="none"/>
        </w:rPr>
      </w:pPr>
      <w:r>
        <w:rPr>
          <w:rFonts w:hint="eastAsia" w:ascii="宋体" w:hAnsi="宋体" w:eastAsia="宋体" w:cs="宋体"/>
          <w:color w:val="auto"/>
          <w:position w:val="-235"/>
          <w:highlight w:val="none"/>
        </w:rPr>
        <w:drawing>
          <wp:inline distT="0" distB="0" distL="114300" distR="114300">
            <wp:extent cx="5790565" cy="8250555"/>
            <wp:effectExtent l="0" t="0" r="635" b="17145"/>
            <wp:docPr id="6" name="图片 13"/>
            <wp:cNvGraphicFramePr/>
            <a:graphic xmlns:a="http://schemas.openxmlformats.org/drawingml/2006/main">
              <a:graphicData uri="http://schemas.openxmlformats.org/drawingml/2006/picture">
                <pic:pic xmlns:pic="http://schemas.openxmlformats.org/drawingml/2006/picture">
                  <pic:nvPicPr>
                    <pic:cNvPr id="6" name="图片 13"/>
                    <pic:cNvPicPr/>
                  </pic:nvPicPr>
                  <pic:blipFill>
                    <a:blip r:embed="rId32"/>
                    <a:stretch>
                      <a:fillRect/>
                    </a:stretch>
                  </pic:blipFill>
                  <pic:spPr>
                    <a:xfrm>
                      <a:off x="0" y="0"/>
                      <a:ext cx="5790565" cy="8250555"/>
                    </a:xfrm>
                    <a:prstGeom prst="rect">
                      <a:avLst/>
                    </a:prstGeom>
                    <a:noFill/>
                    <a:ln>
                      <a:noFill/>
                    </a:ln>
                  </pic:spPr>
                </pic:pic>
              </a:graphicData>
            </a:graphic>
          </wp:inline>
        </w:drawing>
      </w:r>
    </w:p>
    <w:p w14:paraId="182B7F99">
      <w:pPr>
        <w:rPr>
          <w:rFonts w:hint="eastAsia" w:ascii="宋体" w:hAnsi="宋体" w:eastAsia="宋体" w:cs="宋体"/>
          <w:color w:val="auto"/>
        </w:rPr>
      </w:pPr>
    </w:p>
    <w:p w14:paraId="79667951">
      <w:pPr>
        <w:rPr>
          <w:rFonts w:hint="eastAsia" w:ascii="宋体" w:hAnsi="宋体" w:eastAsia="宋体" w:cs="宋体"/>
          <w:color w:val="auto"/>
        </w:rPr>
      </w:pPr>
    </w:p>
    <w:p w14:paraId="4F8CDF91">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Style w:val="26"/>
          <w:rFonts w:hint="eastAsia" w:ascii="宋体" w:hAnsi="宋体" w:eastAsia="宋体" w:cs="宋体"/>
          <w:b/>
          <w:bCs/>
          <w:color w:val="auto"/>
          <w:sz w:val="21"/>
          <w:szCs w:val="21"/>
          <w:highlight w:val="none"/>
        </w:rPr>
      </w:pPr>
      <w:bookmarkStart w:id="443" w:name="_Toc11422"/>
      <w:bookmarkStart w:id="444" w:name="_Toc13386"/>
      <w:r>
        <w:rPr>
          <w:rFonts w:hint="eastAsia" w:ascii="宋体" w:hAnsi="宋体" w:eastAsia="宋体" w:cs="宋体"/>
          <w:color w:val="auto"/>
          <w:kern w:val="2"/>
          <w:sz w:val="28"/>
          <w:szCs w:val="24"/>
          <w:lang w:val="en-US" w:eastAsia="zh-CN"/>
        </w:rPr>
        <w:t>格式十三</w:t>
      </w:r>
      <w:bookmarkEnd w:id="443"/>
      <w:r>
        <w:rPr>
          <w:rFonts w:hint="eastAsia" w:ascii="宋体" w:hAnsi="宋体" w:eastAsia="宋体" w:cs="宋体"/>
          <w:color w:val="auto"/>
          <w:kern w:val="2"/>
          <w:sz w:val="28"/>
          <w:szCs w:val="24"/>
          <w:lang w:val="en-US" w:eastAsia="zh-CN"/>
        </w:rPr>
        <w:t xml:space="preserve">   危险性较大的分部分项工程清单及超过一定规模的危险性较大的分部分项工程清单</w:t>
      </w:r>
      <w:bookmarkEnd w:id="444"/>
    </w:p>
    <w:p w14:paraId="27FA99E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rPr>
        <w:t>根据中华人民共和国住房和城乡建设部令第37号《危险性较大的分部分项工程 安全管理规定》（以下简称“37号文 ”），投标人在投标时须补充完善危大工程清单并 明确相应的安全管理措施。</w:t>
      </w:r>
    </w:p>
    <w:p w14:paraId="2C104DC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2.</w:t>
      </w:r>
      <w:r>
        <w:rPr>
          <w:rFonts w:hint="eastAsia" w:ascii="宋体" w:hAnsi="宋体" w:eastAsia="宋体" w:cs="宋体"/>
          <w:color w:val="auto"/>
          <w:sz w:val="24"/>
          <w:szCs w:val="24"/>
        </w:rPr>
        <w:t>招标人根据设计文件的要求及37号文、粤建规范〔2019〕2号文的规定列出“危 险性较大的分部分项工程清单及超过一定规模的危险性较大的分部分项工程清单 ”中与 本招标项目相关的清单项，具体详见第5点“打 √ ”标识。</w:t>
      </w:r>
    </w:p>
    <w:p w14:paraId="2575DD0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（1）投标单位同意建设单位在清单中标识的该项请在对应项打“ √ ”标识，并与投标文件中提供相应的安全管理措施。</w:t>
      </w:r>
    </w:p>
    <w:p w14:paraId="2112AD9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（2）投标单位对清单中认为需要补充的该项请在对应项打“ √ ”标识，并与投标文件中提供相应的安全管理措施。</w:t>
      </w:r>
    </w:p>
    <w:p w14:paraId="380A1FD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（3）投标单位不同意建设单位在清单中标识的该项请在对应项打“ × ”标识，并在备注栏填上相关说明。</w:t>
      </w:r>
    </w:p>
    <w:p w14:paraId="6FC1E38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3.</w:t>
      </w:r>
      <w:r>
        <w:rPr>
          <w:rFonts w:hint="eastAsia" w:ascii="宋体" w:hAnsi="宋体" w:eastAsia="宋体" w:cs="宋体"/>
          <w:color w:val="auto"/>
          <w:sz w:val="24"/>
          <w:szCs w:val="24"/>
        </w:rPr>
        <w:t>投标单位应当在投标时根据招标人提供的下述第5点清单，在投标施工组织中回应建设单位提供的危大工程清单，补充相应的安全管理措施。（为减轻标书编制的工作量，投标单位回应的危大工程清单该部分的页数应控制在3页内）</w:t>
      </w:r>
    </w:p>
    <w:p w14:paraId="5BA57C9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4.</w:t>
      </w:r>
      <w:r>
        <w:rPr>
          <w:rFonts w:hint="eastAsia" w:ascii="宋体" w:hAnsi="宋体" w:eastAsia="宋体" w:cs="宋体"/>
          <w:color w:val="auto"/>
          <w:sz w:val="24"/>
          <w:szCs w:val="24"/>
        </w:rPr>
        <w:t>对于超过一定规模的危大工程，中标单位应当组织召开专家论证会对专项施工 方案进行论证。实行施工总承包的，由施工总承包单位组织召开专家论证会。专家论证 前专项施工方案应当通过施工总承包单位审核和总监理工程师审查。</w:t>
      </w:r>
    </w:p>
    <w:p w14:paraId="448A597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5.</w:t>
      </w:r>
      <w:r>
        <w:rPr>
          <w:rFonts w:hint="eastAsia" w:ascii="宋体" w:hAnsi="宋体" w:eastAsia="宋体" w:cs="宋体"/>
          <w:color w:val="auto"/>
          <w:sz w:val="24"/>
          <w:szCs w:val="24"/>
        </w:rPr>
        <w:t>危险性较大的分部分项工程清单及超过一定规模的危险性较大的分部分项工程清单：</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1"/>
        <w:gridCol w:w="1200"/>
        <w:gridCol w:w="1217"/>
        <w:gridCol w:w="796"/>
      </w:tblGrid>
      <w:tr w14:paraId="593D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27C564FC">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一、危险性较大的分部分项工程清单</w:t>
            </w:r>
          </w:p>
        </w:tc>
        <w:tc>
          <w:tcPr>
            <w:tcW w:w="1200" w:type="dxa"/>
            <w:shd w:val="clear" w:color="auto" w:fill="auto"/>
            <w:vAlign w:val="center"/>
          </w:tcPr>
          <w:p w14:paraId="5545E9AC">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建设单位</w:t>
            </w:r>
          </w:p>
        </w:tc>
        <w:tc>
          <w:tcPr>
            <w:tcW w:w="1217" w:type="dxa"/>
            <w:shd w:val="clear" w:color="auto" w:fill="auto"/>
            <w:vAlign w:val="center"/>
          </w:tcPr>
          <w:p w14:paraId="00A301EB">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投标单位</w:t>
            </w:r>
          </w:p>
        </w:tc>
        <w:tc>
          <w:tcPr>
            <w:tcW w:w="796" w:type="dxa"/>
            <w:shd w:val="clear" w:color="auto" w:fill="auto"/>
            <w:vAlign w:val="center"/>
          </w:tcPr>
          <w:p w14:paraId="0B0759DE">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备注</w:t>
            </w:r>
          </w:p>
        </w:tc>
      </w:tr>
      <w:tr w14:paraId="7C75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17A5C95B">
            <w:pPr>
              <w:widowControl w:val="0"/>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一、基坑支护</w:t>
            </w:r>
          </w:p>
        </w:tc>
        <w:tc>
          <w:tcPr>
            <w:tcW w:w="1200" w:type="dxa"/>
            <w:shd w:val="clear" w:color="auto" w:fill="auto"/>
            <w:vAlign w:val="center"/>
          </w:tcPr>
          <w:p w14:paraId="274B30DA">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tc>
        <w:tc>
          <w:tcPr>
            <w:tcW w:w="1217" w:type="dxa"/>
            <w:shd w:val="clear" w:color="auto" w:fill="auto"/>
            <w:vAlign w:val="center"/>
          </w:tcPr>
          <w:p w14:paraId="65C91670">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0B10B499">
            <w:pPr>
              <w:widowControl w:val="0"/>
              <w:jc w:val="center"/>
              <w:rPr>
                <w:rFonts w:hint="eastAsia" w:ascii="宋体" w:hAnsi="宋体" w:eastAsia="宋体" w:cs="宋体"/>
                <w:color w:val="auto"/>
                <w:sz w:val="24"/>
                <w:szCs w:val="24"/>
                <w:lang w:val="en-US" w:eastAsia="zh-CN"/>
              </w:rPr>
            </w:pPr>
          </w:p>
        </w:tc>
      </w:tr>
      <w:tr w14:paraId="1F4A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78855F55">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（一）开挖深度超过3m（含3m）的基坑（槽）的土方开挖、支护、降水工程。</w:t>
            </w:r>
          </w:p>
        </w:tc>
        <w:tc>
          <w:tcPr>
            <w:tcW w:w="1200" w:type="dxa"/>
            <w:shd w:val="clear" w:color="auto" w:fill="auto"/>
            <w:vAlign w:val="center"/>
          </w:tcPr>
          <w:p w14:paraId="3EA7CD2B">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tc>
        <w:tc>
          <w:tcPr>
            <w:tcW w:w="1217" w:type="dxa"/>
            <w:shd w:val="clear" w:color="auto" w:fill="auto"/>
            <w:vAlign w:val="center"/>
          </w:tcPr>
          <w:p w14:paraId="10D08A70">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055AA409">
            <w:pPr>
              <w:widowControl w:val="0"/>
              <w:jc w:val="center"/>
              <w:rPr>
                <w:rFonts w:hint="eastAsia" w:ascii="宋体" w:hAnsi="宋体" w:eastAsia="宋体" w:cs="宋体"/>
                <w:color w:val="auto"/>
                <w:sz w:val="24"/>
                <w:szCs w:val="24"/>
                <w:lang w:val="en-US" w:eastAsia="zh-CN"/>
              </w:rPr>
            </w:pPr>
          </w:p>
        </w:tc>
      </w:tr>
      <w:tr w14:paraId="00D0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324A221F">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（二）开挖深度虽未超过3m，但地质条件、周围环境和地下管线复杂，或影响毗邻建、构筑物安全的基坑（槽）的土方开挖、支护、降水工程。</w:t>
            </w:r>
          </w:p>
        </w:tc>
        <w:tc>
          <w:tcPr>
            <w:tcW w:w="1200" w:type="dxa"/>
            <w:shd w:val="clear" w:color="auto" w:fill="auto"/>
            <w:vAlign w:val="center"/>
          </w:tcPr>
          <w:p w14:paraId="0A03FFC5">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p>
        </w:tc>
        <w:tc>
          <w:tcPr>
            <w:tcW w:w="1217" w:type="dxa"/>
            <w:shd w:val="clear" w:color="auto" w:fill="auto"/>
            <w:vAlign w:val="center"/>
          </w:tcPr>
          <w:p w14:paraId="73A11915">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6EDE8D5F">
            <w:pPr>
              <w:widowControl w:val="0"/>
              <w:jc w:val="center"/>
              <w:rPr>
                <w:rFonts w:hint="eastAsia" w:ascii="宋体" w:hAnsi="宋体" w:eastAsia="宋体" w:cs="宋体"/>
                <w:color w:val="auto"/>
                <w:sz w:val="24"/>
                <w:szCs w:val="24"/>
                <w:lang w:val="en-US" w:eastAsia="zh-CN"/>
              </w:rPr>
            </w:pPr>
          </w:p>
        </w:tc>
      </w:tr>
      <w:tr w14:paraId="65B4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665BD84A">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二、模板工程及支撑体系</w:t>
            </w:r>
          </w:p>
        </w:tc>
        <w:tc>
          <w:tcPr>
            <w:tcW w:w="1200" w:type="dxa"/>
            <w:shd w:val="clear" w:color="auto" w:fill="auto"/>
            <w:vAlign w:val="center"/>
          </w:tcPr>
          <w:p w14:paraId="16E6B383">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2C89C329">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32B9E324">
            <w:pPr>
              <w:widowControl w:val="0"/>
              <w:jc w:val="center"/>
              <w:rPr>
                <w:rFonts w:hint="eastAsia" w:ascii="宋体" w:hAnsi="宋体" w:eastAsia="宋体" w:cs="宋体"/>
                <w:color w:val="auto"/>
                <w:sz w:val="24"/>
                <w:szCs w:val="24"/>
                <w:lang w:val="en-US" w:eastAsia="zh-CN"/>
              </w:rPr>
            </w:pPr>
          </w:p>
        </w:tc>
      </w:tr>
      <w:tr w14:paraId="577C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049FD528">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（一）各类工具式模板工程：包括滑模、爬模、飞模、隧道模等工程。</w:t>
            </w:r>
          </w:p>
        </w:tc>
        <w:tc>
          <w:tcPr>
            <w:tcW w:w="1200" w:type="dxa"/>
            <w:shd w:val="clear" w:color="auto" w:fill="auto"/>
            <w:vAlign w:val="center"/>
          </w:tcPr>
          <w:p w14:paraId="7CF3D771">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1BA0F2EE">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44CEBC34">
            <w:pPr>
              <w:widowControl w:val="0"/>
              <w:jc w:val="center"/>
              <w:rPr>
                <w:rFonts w:hint="eastAsia" w:ascii="宋体" w:hAnsi="宋体" w:eastAsia="宋体" w:cs="宋体"/>
                <w:color w:val="auto"/>
                <w:sz w:val="24"/>
                <w:szCs w:val="24"/>
                <w:lang w:val="en-US" w:eastAsia="zh-CN"/>
              </w:rPr>
            </w:pPr>
          </w:p>
        </w:tc>
      </w:tr>
      <w:tr w14:paraId="6682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6C278E8E">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（二）混凝土模板支撑工程：搭设高度 5m 及以上，或搭设跨度 10m 及以上，或施工总荷载（荷 载效应基本组合的设计值，以下简称设计值）10kN/m2 及以上，或集中线荷载（设计值）15kN/m 及以上，或高度大于支撑水平投影宽度且相对 独立无联系构件的混凝土模板支撑工程。</w:t>
            </w:r>
          </w:p>
        </w:tc>
        <w:tc>
          <w:tcPr>
            <w:tcW w:w="1200" w:type="dxa"/>
            <w:shd w:val="clear" w:color="auto" w:fill="auto"/>
            <w:vAlign w:val="center"/>
          </w:tcPr>
          <w:p w14:paraId="235B23C0">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tc>
        <w:tc>
          <w:tcPr>
            <w:tcW w:w="1217" w:type="dxa"/>
            <w:shd w:val="clear" w:color="auto" w:fill="auto"/>
            <w:vAlign w:val="center"/>
          </w:tcPr>
          <w:p w14:paraId="659A33AB">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2759337F">
            <w:pPr>
              <w:widowControl w:val="0"/>
              <w:jc w:val="center"/>
              <w:rPr>
                <w:rFonts w:hint="eastAsia" w:ascii="宋体" w:hAnsi="宋体" w:eastAsia="宋体" w:cs="宋体"/>
                <w:color w:val="auto"/>
                <w:sz w:val="24"/>
                <w:szCs w:val="24"/>
                <w:lang w:val="en-US" w:eastAsia="zh-CN"/>
              </w:rPr>
            </w:pPr>
          </w:p>
        </w:tc>
      </w:tr>
      <w:tr w14:paraId="3A9C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263F0749">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（三）承重支撑体系：用于钢结构安装等满堂支撑体系。</w:t>
            </w:r>
          </w:p>
        </w:tc>
        <w:tc>
          <w:tcPr>
            <w:tcW w:w="1200" w:type="dxa"/>
            <w:shd w:val="clear" w:color="auto" w:fill="auto"/>
            <w:vAlign w:val="center"/>
          </w:tcPr>
          <w:p w14:paraId="6AA87CB2">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1038FE67">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65F9A88F">
            <w:pPr>
              <w:widowControl w:val="0"/>
              <w:jc w:val="center"/>
              <w:rPr>
                <w:rFonts w:hint="eastAsia" w:ascii="宋体" w:hAnsi="宋体" w:eastAsia="宋体" w:cs="宋体"/>
                <w:color w:val="auto"/>
                <w:sz w:val="24"/>
                <w:szCs w:val="24"/>
                <w:lang w:val="en-US" w:eastAsia="zh-CN"/>
              </w:rPr>
            </w:pPr>
          </w:p>
        </w:tc>
      </w:tr>
      <w:tr w14:paraId="45E2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4164CEFC">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三、起重吊装及起重机械安装拆卸工程</w:t>
            </w:r>
          </w:p>
        </w:tc>
        <w:tc>
          <w:tcPr>
            <w:tcW w:w="1200" w:type="dxa"/>
            <w:shd w:val="clear" w:color="auto" w:fill="auto"/>
            <w:vAlign w:val="center"/>
          </w:tcPr>
          <w:p w14:paraId="35305B33">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781451A9">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04D9D24E">
            <w:pPr>
              <w:widowControl w:val="0"/>
              <w:jc w:val="center"/>
              <w:rPr>
                <w:rFonts w:hint="eastAsia" w:ascii="宋体" w:hAnsi="宋体" w:eastAsia="宋体" w:cs="宋体"/>
                <w:color w:val="auto"/>
                <w:sz w:val="24"/>
                <w:szCs w:val="24"/>
                <w:lang w:val="en-US" w:eastAsia="zh-CN"/>
              </w:rPr>
            </w:pPr>
          </w:p>
        </w:tc>
      </w:tr>
      <w:tr w14:paraId="542F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025D4709">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（一）采用非常规起重设备、方法，且单件起吊重量在10kN 及以上的起重吊装工程。</w:t>
            </w:r>
          </w:p>
        </w:tc>
        <w:tc>
          <w:tcPr>
            <w:tcW w:w="1200" w:type="dxa"/>
            <w:shd w:val="clear" w:color="auto" w:fill="auto"/>
            <w:vAlign w:val="center"/>
          </w:tcPr>
          <w:p w14:paraId="33C994FE">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508C1AB6">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1EB9FA38">
            <w:pPr>
              <w:widowControl w:val="0"/>
              <w:jc w:val="center"/>
              <w:rPr>
                <w:rFonts w:hint="eastAsia" w:ascii="宋体" w:hAnsi="宋体" w:eastAsia="宋体" w:cs="宋体"/>
                <w:color w:val="auto"/>
                <w:sz w:val="24"/>
                <w:szCs w:val="24"/>
                <w:lang w:val="en-US" w:eastAsia="zh-CN"/>
              </w:rPr>
            </w:pPr>
          </w:p>
        </w:tc>
      </w:tr>
      <w:tr w14:paraId="6C9A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1532D816">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（二）采用起重机械进行安装的工程。</w:t>
            </w:r>
          </w:p>
        </w:tc>
        <w:tc>
          <w:tcPr>
            <w:tcW w:w="1200" w:type="dxa"/>
            <w:shd w:val="clear" w:color="auto" w:fill="auto"/>
            <w:vAlign w:val="center"/>
          </w:tcPr>
          <w:p w14:paraId="64B3CA93">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37FBD182">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05B2526C">
            <w:pPr>
              <w:widowControl w:val="0"/>
              <w:jc w:val="center"/>
              <w:rPr>
                <w:rFonts w:hint="eastAsia" w:ascii="宋体" w:hAnsi="宋体" w:eastAsia="宋体" w:cs="宋体"/>
                <w:color w:val="auto"/>
                <w:sz w:val="24"/>
                <w:szCs w:val="24"/>
                <w:lang w:val="en-US" w:eastAsia="zh-CN"/>
              </w:rPr>
            </w:pPr>
          </w:p>
        </w:tc>
      </w:tr>
      <w:tr w14:paraId="53C8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3ACC78E6">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（三）起重机械安装和拆卸工程。</w:t>
            </w:r>
          </w:p>
        </w:tc>
        <w:tc>
          <w:tcPr>
            <w:tcW w:w="1200" w:type="dxa"/>
            <w:shd w:val="clear" w:color="auto" w:fill="auto"/>
            <w:vAlign w:val="center"/>
          </w:tcPr>
          <w:p w14:paraId="3324710B">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1F214005">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48C5760B">
            <w:pPr>
              <w:widowControl w:val="0"/>
              <w:jc w:val="center"/>
              <w:rPr>
                <w:rFonts w:hint="eastAsia" w:ascii="宋体" w:hAnsi="宋体" w:eastAsia="宋体" w:cs="宋体"/>
                <w:color w:val="auto"/>
                <w:sz w:val="24"/>
                <w:szCs w:val="24"/>
                <w:lang w:val="en-US" w:eastAsia="zh-CN"/>
              </w:rPr>
            </w:pPr>
          </w:p>
        </w:tc>
      </w:tr>
      <w:tr w14:paraId="1A28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299D8F65">
            <w:pPr>
              <w:widowControl w:val="0"/>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四、脚手架工程</w:t>
            </w:r>
          </w:p>
        </w:tc>
        <w:tc>
          <w:tcPr>
            <w:tcW w:w="1200" w:type="dxa"/>
            <w:shd w:val="clear" w:color="auto" w:fill="auto"/>
            <w:vAlign w:val="center"/>
          </w:tcPr>
          <w:p w14:paraId="73469896">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48362AF5">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6F9B6FFE">
            <w:pPr>
              <w:widowControl w:val="0"/>
              <w:jc w:val="center"/>
              <w:rPr>
                <w:rFonts w:hint="eastAsia" w:ascii="宋体" w:hAnsi="宋体" w:eastAsia="宋体" w:cs="宋体"/>
                <w:color w:val="auto"/>
                <w:sz w:val="24"/>
                <w:szCs w:val="24"/>
                <w:lang w:val="en-US" w:eastAsia="zh-CN"/>
              </w:rPr>
            </w:pPr>
          </w:p>
        </w:tc>
      </w:tr>
      <w:tr w14:paraId="53B1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2B7EB1FD">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（一）搭设高度 24m 及以上的落地式钢管脚手架工程（包括采光井、电梯井脚手架）。</w:t>
            </w:r>
          </w:p>
        </w:tc>
        <w:tc>
          <w:tcPr>
            <w:tcW w:w="1200" w:type="dxa"/>
            <w:shd w:val="clear" w:color="auto" w:fill="auto"/>
            <w:vAlign w:val="center"/>
          </w:tcPr>
          <w:p w14:paraId="454C3D01">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07F23BD4">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5D4A8610">
            <w:pPr>
              <w:widowControl w:val="0"/>
              <w:jc w:val="center"/>
              <w:rPr>
                <w:rFonts w:hint="eastAsia" w:ascii="宋体" w:hAnsi="宋体" w:eastAsia="宋体" w:cs="宋体"/>
                <w:color w:val="auto"/>
                <w:sz w:val="24"/>
                <w:szCs w:val="24"/>
                <w:lang w:val="en-US" w:eastAsia="zh-CN"/>
              </w:rPr>
            </w:pPr>
          </w:p>
        </w:tc>
      </w:tr>
      <w:tr w14:paraId="56CA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6BF7684A">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（二）附着式升降脚手架工程。</w:t>
            </w:r>
          </w:p>
        </w:tc>
        <w:tc>
          <w:tcPr>
            <w:tcW w:w="1200" w:type="dxa"/>
            <w:shd w:val="clear" w:color="auto" w:fill="auto"/>
            <w:vAlign w:val="center"/>
          </w:tcPr>
          <w:p w14:paraId="128A3099">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09FDE552">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501C8B7D">
            <w:pPr>
              <w:widowControl w:val="0"/>
              <w:jc w:val="center"/>
              <w:rPr>
                <w:rFonts w:hint="eastAsia" w:ascii="宋体" w:hAnsi="宋体" w:eastAsia="宋体" w:cs="宋体"/>
                <w:color w:val="auto"/>
                <w:sz w:val="24"/>
                <w:szCs w:val="24"/>
                <w:lang w:val="en-US" w:eastAsia="zh-CN"/>
              </w:rPr>
            </w:pPr>
          </w:p>
        </w:tc>
      </w:tr>
      <w:tr w14:paraId="11BA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24FAAB72">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（三）悬挑式脚手架工程。</w:t>
            </w:r>
          </w:p>
        </w:tc>
        <w:tc>
          <w:tcPr>
            <w:tcW w:w="1200" w:type="dxa"/>
            <w:shd w:val="clear" w:color="auto" w:fill="auto"/>
            <w:vAlign w:val="center"/>
          </w:tcPr>
          <w:p w14:paraId="34E05C70">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40894509">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4D694321">
            <w:pPr>
              <w:widowControl w:val="0"/>
              <w:jc w:val="center"/>
              <w:rPr>
                <w:rFonts w:hint="eastAsia" w:ascii="宋体" w:hAnsi="宋体" w:eastAsia="宋体" w:cs="宋体"/>
                <w:color w:val="auto"/>
                <w:sz w:val="24"/>
                <w:szCs w:val="24"/>
                <w:lang w:val="en-US" w:eastAsia="zh-CN"/>
              </w:rPr>
            </w:pPr>
          </w:p>
        </w:tc>
      </w:tr>
      <w:tr w14:paraId="77F8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6863C501">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（四）高处作业吊篮。</w:t>
            </w:r>
          </w:p>
        </w:tc>
        <w:tc>
          <w:tcPr>
            <w:tcW w:w="1200" w:type="dxa"/>
            <w:shd w:val="clear" w:color="auto" w:fill="auto"/>
            <w:vAlign w:val="center"/>
          </w:tcPr>
          <w:p w14:paraId="4E187A56">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62D36BE5">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43D1BA02">
            <w:pPr>
              <w:widowControl w:val="0"/>
              <w:jc w:val="center"/>
              <w:rPr>
                <w:rFonts w:hint="eastAsia" w:ascii="宋体" w:hAnsi="宋体" w:eastAsia="宋体" w:cs="宋体"/>
                <w:color w:val="auto"/>
                <w:sz w:val="24"/>
                <w:szCs w:val="24"/>
                <w:lang w:val="en-US" w:eastAsia="zh-CN"/>
              </w:rPr>
            </w:pPr>
          </w:p>
        </w:tc>
      </w:tr>
      <w:tr w14:paraId="4D12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60696FE1">
            <w:pPr>
              <w:widowControl w:val="0"/>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（五）卸料平台、操作平台工程。</w:t>
            </w:r>
          </w:p>
        </w:tc>
        <w:tc>
          <w:tcPr>
            <w:tcW w:w="1200" w:type="dxa"/>
            <w:shd w:val="clear" w:color="auto" w:fill="auto"/>
            <w:vAlign w:val="center"/>
          </w:tcPr>
          <w:p w14:paraId="5016209E">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3B55EEF6">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2A7A9393">
            <w:pPr>
              <w:widowControl w:val="0"/>
              <w:jc w:val="center"/>
              <w:rPr>
                <w:rFonts w:hint="eastAsia" w:ascii="宋体" w:hAnsi="宋体" w:eastAsia="宋体" w:cs="宋体"/>
                <w:color w:val="auto"/>
                <w:sz w:val="24"/>
                <w:szCs w:val="24"/>
                <w:lang w:val="en-US" w:eastAsia="zh-CN"/>
              </w:rPr>
            </w:pPr>
          </w:p>
        </w:tc>
      </w:tr>
      <w:tr w14:paraId="7771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74D112DC">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（六）异型脚手架工程。</w:t>
            </w:r>
          </w:p>
        </w:tc>
        <w:tc>
          <w:tcPr>
            <w:tcW w:w="1200" w:type="dxa"/>
            <w:shd w:val="clear" w:color="auto" w:fill="auto"/>
            <w:vAlign w:val="center"/>
          </w:tcPr>
          <w:p w14:paraId="7CD63F48">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09DC3E06">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6967D37F">
            <w:pPr>
              <w:widowControl w:val="0"/>
              <w:jc w:val="center"/>
              <w:rPr>
                <w:rFonts w:hint="eastAsia" w:ascii="宋体" w:hAnsi="宋体" w:eastAsia="宋体" w:cs="宋体"/>
                <w:color w:val="auto"/>
                <w:sz w:val="24"/>
                <w:szCs w:val="24"/>
                <w:lang w:val="en-US" w:eastAsia="zh-CN"/>
              </w:rPr>
            </w:pPr>
          </w:p>
        </w:tc>
      </w:tr>
      <w:tr w14:paraId="6802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6A60B44C">
            <w:pPr>
              <w:widowControl w:val="0"/>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五、拆除工程</w:t>
            </w:r>
          </w:p>
        </w:tc>
        <w:tc>
          <w:tcPr>
            <w:tcW w:w="1200" w:type="dxa"/>
            <w:shd w:val="clear" w:color="auto" w:fill="auto"/>
            <w:vAlign w:val="center"/>
          </w:tcPr>
          <w:p w14:paraId="6B7A66DA">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p>
        </w:tc>
        <w:tc>
          <w:tcPr>
            <w:tcW w:w="1217" w:type="dxa"/>
            <w:shd w:val="clear" w:color="auto" w:fill="auto"/>
            <w:vAlign w:val="center"/>
          </w:tcPr>
          <w:p w14:paraId="23902FB8">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69E07E7D">
            <w:pPr>
              <w:widowControl w:val="0"/>
              <w:jc w:val="center"/>
              <w:rPr>
                <w:rFonts w:hint="eastAsia" w:ascii="宋体" w:hAnsi="宋体" w:eastAsia="宋体" w:cs="宋体"/>
                <w:color w:val="auto"/>
                <w:sz w:val="24"/>
                <w:szCs w:val="24"/>
                <w:lang w:val="en-US" w:eastAsia="zh-CN"/>
              </w:rPr>
            </w:pPr>
          </w:p>
        </w:tc>
      </w:tr>
      <w:tr w14:paraId="4B0A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1072933C">
            <w:pPr>
              <w:widowControl w:val="0"/>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eastAsia="zh-CN"/>
              </w:rPr>
              <w:t>可能影响行人、交通、电力设施、通讯设施或其他建、构筑物安全的拆除工程。</w:t>
            </w:r>
          </w:p>
        </w:tc>
        <w:tc>
          <w:tcPr>
            <w:tcW w:w="1200" w:type="dxa"/>
            <w:shd w:val="clear" w:color="auto" w:fill="auto"/>
            <w:vAlign w:val="center"/>
          </w:tcPr>
          <w:p w14:paraId="251C8037">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5FA86A8D">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23E3BCB0">
            <w:pPr>
              <w:widowControl w:val="0"/>
              <w:jc w:val="center"/>
              <w:rPr>
                <w:rFonts w:hint="eastAsia" w:ascii="宋体" w:hAnsi="宋体" w:eastAsia="宋体" w:cs="宋体"/>
                <w:color w:val="auto"/>
                <w:sz w:val="24"/>
                <w:szCs w:val="24"/>
                <w:lang w:val="en-US" w:eastAsia="zh-CN"/>
              </w:rPr>
            </w:pPr>
          </w:p>
        </w:tc>
      </w:tr>
      <w:tr w14:paraId="5EA0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45DC9518">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六、暗挖工程</w:t>
            </w:r>
          </w:p>
        </w:tc>
        <w:tc>
          <w:tcPr>
            <w:tcW w:w="1200" w:type="dxa"/>
            <w:shd w:val="clear" w:color="auto" w:fill="auto"/>
            <w:vAlign w:val="center"/>
          </w:tcPr>
          <w:p w14:paraId="74541F6F">
            <w:pPr>
              <w:widowControl w:val="0"/>
              <w:jc w:val="center"/>
              <w:rPr>
                <w:rFonts w:hint="eastAsia" w:ascii="宋体" w:hAnsi="宋体" w:eastAsia="宋体" w:cs="宋体"/>
                <w:color w:val="auto"/>
                <w:sz w:val="24"/>
                <w:szCs w:val="24"/>
                <w:lang w:val="en-US" w:eastAsia="zh-CN"/>
              </w:rPr>
            </w:pPr>
          </w:p>
        </w:tc>
        <w:tc>
          <w:tcPr>
            <w:tcW w:w="1217" w:type="dxa"/>
            <w:shd w:val="clear" w:color="auto" w:fill="auto"/>
            <w:vAlign w:val="center"/>
          </w:tcPr>
          <w:p w14:paraId="7CE916B0">
            <w:pPr>
              <w:widowControl w:val="0"/>
              <w:jc w:val="center"/>
              <w:rPr>
                <w:rFonts w:hint="eastAsia" w:ascii="宋体" w:hAnsi="宋体" w:eastAsia="宋体" w:cs="宋体"/>
                <w:color w:val="auto"/>
                <w:sz w:val="24"/>
                <w:szCs w:val="24"/>
                <w:lang w:val="en-US" w:eastAsia="zh-CN"/>
              </w:rPr>
            </w:pPr>
          </w:p>
        </w:tc>
        <w:tc>
          <w:tcPr>
            <w:tcW w:w="796" w:type="dxa"/>
            <w:shd w:val="clear" w:color="auto" w:fill="auto"/>
            <w:vAlign w:val="center"/>
          </w:tcPr>
          <w:p w14:paraId="463C114A">
            <w:pPr>
              <w:widowControl w:val="0"/>
              <w:jc w:val="center"/>
              <w:rPr>
                <w:rFonts w:hint="eastAsia" w:ascii="宋体" w:hAnsi="宋体" w:eastAsia="宋体" w:cs="宋体"/>
                <w:color w:val="auto"/>
                <w:sz w:val="24"/>
                <w:szCs w:val="24"/>
                <w:lang w:val="en-US" w:eastAsia="zh-CN"/>
              </w:rPr>
            </w:pPr>
          </w:p>
        </w:tc>
      </w:tr>
      <w:tr w14:paraId="7FA9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25CF7720">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采用矿山法、盾构法、顶管法施工的隧道、洞室工程。</w:t>
            </w:r>
          </w:p>
        </w:tc>
        <w:tc>
          <w:tcPr>
            <w:tcW w:w="1200" w:type="dxa"/>
            <w:shd w:val="clear" w:color="auto" w:fill="auto"/>
            <w:vAlign w:val="center"/>
          </w:tcPr>
          <w:p w14:paraId="47FFE79D">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7F0122EA">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3D00024D">
            <w:pPr>
              <w:widowControl w:val="0"/>
              <w:jc w:val="center"/>
              <w:rPr>
                <w:rFonts w:hint="eastAsia" w:ascii="宋体" w:hAnsi="宋体" w:eastAsia="宋体" w:cs="宋体"/>
                <w:color w:val="auto"/>
                <w:sz w:val="24"/>
                <w:szCs w:val="24"/>
                <w:lang w:val="en-US" w:eastAsia="zh-CN"/>
              </w:rPr>
            </w:pPr>
          </w:p>
        </w:tc>
      </w:tr>
      <w:tr w14:paraId="11C9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5E19EC40">
            <w:pPr>
              <w:widowControl w:val="0"/>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七、</w:t>
            </w:r>
            <w:r>
              <w:rPr>
                <w:rFonts w:hint="eastAsia" w:ascii="宋体" w:hAnsi="宋体" w:eastAsia="宋体" w:cs="宋体"/>
                <w:color w:val="auto"/>
                <w:sz w:val="24"/>
                <w:szCs w:val="24"/>
                <w:lang w:eastAsia="zh-CN"/>
              </w:rPr>
              <w:t>其他</w:t>
            </w:r>
          </w:p>
        </w:tc>
        <w:tc>
          <w:tcPr>
            <w:tcW w:w="1200" w:type="dxa"/>
            <w:shd w:val="clear" w:color="auto" w:fill="auto"/>
            <w:vAlign w:val="center"/>
          </w:tcPr>
          <w:p w14:paraId="341D48D8">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1217" w:type="dxa"/>
            <w:shd w:val="clear" w:color="auto" w:fill="auto"/>
            <w:vAlign w:val="center"/>
          </w:tcPr>
          <w:p w14:paraId="51CC9918">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w:t>
            </w:r>
          </w:p>
        </w:tc>
        <w:tc>
          <w:tcPr>
            <w:tcW w:w="796" w:type="dxa"/>
            <w:shd w:val="clear" w:color="auto" w:fill="auto"/>
            <w:vAlign w:val="center"/>
          </w:tcPr>
          <w:p w14:paraId="23635970">
            <w:pPr>
              <w:widowControl w:val="0"/>
              <w:jc w:val="center"/>
              <w:rPr>
                <w:rFonts w:hint="eastAsia" w:ascii="宋体" w:hAnsi="宋体" w:eastAsia="宋体" w:cs="宋体"/>
                <w:color w:val="auto"/>
                <w:sz w:val="24"/>
                <w:szCs w:val="24"/>
                <w:lang w:val="en-US" w:eastAsia="zh-CN"/>
              </w:rPr>
            </w:pPr>
          </w:p>
        </w:tc>
      </w:tr>
      <w:tr w14:paraId="5DA8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2FB37C5B">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（一）建筑幕墙安装工程。</w:t>
            </w:r>
          </w:p>
        </w:tc>
        <w:tc>
          <w:tcPr>
            <w:tcW w:w="1200" w:type="dxa"/>
            <w:shd w:val="clear" w:color="auto" w:fill="auto"/>
            <w:vAlign w:val="center"/>
          </w:tcPr>
          <w:p w14:paraId="1D6FF932">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1217" w:type="dxa"/>
            <w:shd w:val="clear" w:color="auto" w:fill="auto"/>
            <w:vAlign w:val="center"/>
          </w:tcPr>
          <w:p w14:paraId="17D9005E">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796" w:type="dxa"/>
            <w:shd w:val="clear" w:color="auto" w:fill="auto"/>
            <w:vAlign w:val="center"/>
          </w:tcPr>
          <w:p w14:paraId="123299BA">
            <w:pPr>
              <w:widowControl w:val="0"/>
              <w:jc w:val="center"/>
              <w:rPr>
                <w:rFonts w:hint="eastAsia" w:ascii="宋体" w:hAnsi="宋体" w:eastAsia="宋体" w:cs="宋体"/>
                <w:color w:val="auto"/>
                <w:sz w:val="24"/>
                <w:szCs w:val="24"/>
                <w:lang w:val="en-US" w:eastAsia="zh-CN"/>
              </w:rPr>
            </w:pPr>
          </w:p>
        </w:tc>
      </w:tr>
      <w:tr w14:paraId="55AB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415B9702">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（二）钢结构、网架和索膜结构安装工程。</w:t>
            </w:r>
          </w:p>
        </w:tc>
        <w:tc>
          <w:tcPr>
            <w:tcW w:w="1200" w:type="dxa"/>
            <w:shd w:val="clear" w:color="auto" w:fill="auto"/>
            <w:vAlign w:val="center"/>
          </w:tcPr>
          <w:p w14:paraId="44393BBB">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1217" w:type="dxa"/>
            <w:shd w:val="clear" w:color="auto" w:fill="auto"/>
            <w:vAlign w:val="center"/>
          </w:tcPr>
          <w:p w14:paraId="419C9348">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796" w:type="dxa"/>
            <w:shd w:val="clear" w:color="auto" w:fill="auto"/>
            <w:vAlign w:val="center"/>
          </w:tcPr>
          <w:p w14:paraId="64F0B534">
            <w:pPr>
              <w:widowControl w:val="0"/>
              <w:jc w:val="center"/>
              <w:rPr>
                <w:rFonts w:hint="eastAsia" w:ascii="宋体" w:hAnsi="宋体" w:eastAsia="宋体" w:cs="宋体"/>
                <w:color w:val="auto"/>
                <w:sz w:val="24"/>
                <w:szCs w:val="24"/>
                <w:lang w:val="en-US" w:eastAsia="zh-CN"/>
              </w:rPr>
            </w:pPr>
          </w:p>
        </w:tc>
      </w:tr>
      <w:tr w14:paraId="3533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339682F2">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（三）人工挖孔桩工程。</w:t>
            </w:r>
          </w:p>
        </w:tc>
        <w:tc>
          <w:tcPr>
            <w:tcW w:w="1200" w:type="dxa"/>
            <w:shd w:val="clear" w:color="auto" w:fill="auto"/>
            <w:vAlign w:val="center"/>
          </w:tcPr>
          <w:p w14:paraId="2870B38A">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1217" w:type="dxa"/>
            <w:shd w:val="clear" w:color="auto" w:fill="auto"/>
            <w:vAlign w:val="center"/>
          </w:tcPr>
          <w:p w14:paraId="4D9050E4">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796" w:type="dxa"/>
            <w:shd w:val="clear" w:color="auto" w:fill="auto"/>
            <w:vAlign w:val="center"/>
          </w:tcPr>
          <w:p w14:paraId="00D368CA">
            <w:pPr>
              <w:widowControl w:val="0"/>
              <w:jc w:val="center"/>
              <w:rPr>
                <w:rFonts w:hint="eastAsia" w:ascii="宋体" w:hAnsi="宋体" w:eastAsia="宋体" w:cs="宋体"/>
                <w:color w:val="auto"/>
                <w:sz w:val="24"/>
                <w:szCs w:val="24"/>
                <w:lang w:val="en-US" w:eastAsia="zh-CN"/>
              </w:rPr>
            </w:pPr>
          </w:p>
        </w:tc>
      </w:tr>
      <w:tr w14:paraId="00FF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44E9831C">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（四）水下作业工程。</w:t>
            </w:r>
          </w:p>
        </w:tc>
        <w:tc>
          <w:tcPr>
            <w:tcW w:w="1200" w:type="dxa"/>
            <w:shd w:val="clear" w:color="auto" w:fill="auto"/>
            <w:vAlign w:val="center"/>
          </w:tcPr>
          <w:p w14:paraId="5BBECBBA">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1217" w:type="dxa"/>
            <w:shd w:val="clear" w:color="auto" w:fill="auto"/>
            <w:vAlign w:val="center"/>
          </w:tcPr>
          <w:p w14:paraId="65C6A42D">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796" w:type="dxa"/>
            <w:shd w:val="clear" w:color="auto" w:fill="auto"/>
            <w:vAlign w:val="center"/>
          </w:tcPr>
          <w:p w14:paraId="22F7EE08">
            <w:pPr>
              <w:widowControl w:val="0"/>
              <w:jc w:val="center"/>
              <w:rPr>
                <w:rFonts w:hint="eastAsia" w:ascii="宋体" w:hAnsi="宋体" w:eastAsia="宋体" w:cs="宋体"/>
                <w:color w:val="auto"/>
                <w:sz w:val="24"/>
                <w:szCs w:val="24"/>
                <w:lang w:val="en-US" w:eastAsia="zh-CN"/>
              </w:rPr>
            </w:pPr>
          </w:p>
        </w:tc>
      </w:tr>
      <w:tr w14:paraId="082E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2A72FAB2">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（五）装配式建筑混凝土预制构件安装工程。</w:t>
            </w:r>
          </w:p>
        </w:tc>
        <w:tc>
          <w:tcPr>
            <w:tcW w:w="1200" w:type="dxa"/>
            <w:shd w:val="clear" w:color="auto" w:fill="auto"/>
            <w:vAlign w:val="center"/>
          </w:tcPr>
          <w:p w14:paraId="5AF8ED75">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tc>
        <w:tc>
          <w:tcPr>
            <w:tcW w:w="1217" w:type="dxa"/>
            <w:shd w:val="clear" w:color="auto" w:fill="auto"/>
            <w:vAlign w:val="center"/>
          </w:tcPr>
          <w:p w14:paraId="2F0975C4">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796" w:type="dxa"/>
            <w:shd w:val="clear" w:color="auto" w:fill="auto"/>
            <w:vAlign w:val="center"/>
          </w:tcPr>
          <w:p w14:paraId="67F35E25">
            <w:pPr>
              <w:widowControl w:val="0"/>
              <w:jc w:val="center"/>
              <w:rPr>
                <w:rFonts w:hint="eastAsia" w:ascii="宋体" w:hAnsi="宋体" w:eastAsia="宋体" w:cs="宋体"/>
                <w:color w:val="auto"/>
                <w:sz w:val="24"/>
                <w:szCs w:val="24"/>
                <w:lang w:val="en-US" w:eastAsia="zh-CN"/>
              </w:rPr>
            </w:pPr>
          </w:p>
        </w:tc>
      </w:tr>
      <w:tr w14:paraId="1FE5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24BC8F68">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（六）采用新技术、新工艺、新材料、新设备可能影响工程施工安全，尚无国家、行业及地 方技术标准的分部分项工程。</w:t>
            </w:r>
          </w:p>
        </w:tc>
        <w:tc>
          <w:tcPr>
            <w:tcW w:w="1200" w:type="dxa"/>
            <w:shd w:val="clear" w:color="auto" w:fill="auto"/>
            <w:vAlign w:val="center"/>
          </w:tcPr>
          <w:p w14:paraId="2FD60EEA">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1217" w:type="dxa"/>
            <w:shd w:val="clear" w:color="auto" w:fill="auto"/>
            <w:vAlign w:val="center"/>
          </w:tcPr>
          <w:p w14:paraId="736536CC">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796" w:type="dxa"/>
            <w:shd w:val="clear" w:color="auto" w:fill="auto"/>
            <w:vAlign w:val="center"/>
          </w:tcPr>
          <w:p w14:paraId="6DB3D6CB">
            <w:pPr>
              <w:widowControl w:val="0"/>
              <w:jc w:val="center"/>
              <w:rPr>
                <w:rFonts w:hint="eastAsia" w:ascii="宋体" w:hAnsi="宋体" w:eastAsia="宋体" w:cs="宋体"/>
                <w:color w:val="auto"/>
                <w:sz w:val="24"/>
                <w:szCs w:val="24"/>
                <w:lang w:val="en-US" w:eastAsia="zh-CN"/>
              </w:rPr>
            </w:pPr>
          </w:p>
        </w:tc>
      </w:tr>
      <w:tr w14:paraId="3207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55DB1E8C">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二、超过一定规模的危险性较大的分部分项工程清单</w:t>
            </w:r>
          </w:p>
        </w:tc>
        <w:tc>
          <w:tcPr>
            <w:tcW w:w="1200" w:type="dxa"/>
            <w:shd w:val="clear" w:color="auto" w:fill="auto"/>
            <w:vAlign w:val="center"/>
          </w:tcPr>
          <w:p w14:paraId="095D3CBB">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建设单位</w:t>
            </w:r>
          </w:p>
        </w:tc>
        <w:tc>
          <w:tcPr>
            <w:tcW w:w="1217" w:type="dxa"/>
            <w:shd w:val="clear" w:color="auto" w:fill="auto"/>
            <w:vAlign w:val="center"/>
          </w:tcPr>
          <w:p w14:paraId="3CFACF0B">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投标单位</w:t>
            </w:r>
          </w:p>
        </w:tc>
        <w:tc>
          <w:tcPr>
            <w:tcW w:w="796" w:type="dxa"/>
            <w:shd w:val="clear" w:color="auto" w:fill="auto"/>
            <w:vAlign w:val="center"/>
          </w:tcPr>
          <w:p w14:paraId="28A23A1F">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备注</w:t>
            </w:r>
          </w:p>
        </w:tc>
      </w:tr>
      <w:tr w14:paraId="2809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35022029">
            <w:pPr>
              <w:widowControl w:val="0"/>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一、深基坑工程</w:t>
            </w:r>
          </w:p>
        </w:tc>
        <w:tc>
          <w:tcPr>
            <w:tcW w:w="1200" w:type="dxa"/>
            <w:shd w:val="clear" w:color="auto" w:fill="auto"/>
            <w:vAlign w:val="center"/>
          </w:tcPr>
          <w:p w14:paraId="21244666">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1217" w:type="dxa"/>
            <w:shd w:val="clear" w:color="auto" w:fill="auto"/>
            <w:vAlign w:val="center"/>
          </w:tcPr>
          <w:p w14:paraId="7BEB529D">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796" w:type="dxa"/>
            <w:shd w:val="clear" w:color="auto" w:fill="auto"/>
            <w:vAlign w:val="center"/>
          </w:tcPr>
          <w:p w14:paraId="6CEDDCBA">
            <w:pPr>
              <w:widowControl w:val="0"/>
              <w:jc w:val="center"/>
              <w:rPr>
                <w:rFonts w:hint="eastAsia" w:ascii="宋体" w:hAnsi="宋体" w:eastAsia="宋体" w:cs="宋体"/>
                <w:color w:val="auto"/>
                <w:sz w:val="24"/>
                <w:szCs w:val="24"/>
                <w:lang w:val="en-US" w:eastAsia="zh-CN"/>
              </w:rPr>
            </w:pPr>
          </w:p>
        </w:tc>
      </w:tr>
      <w:tr w14:paraId="563D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6470641E">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开挖深度超过 5m（含 5m）的基坑（槽）的土方开挖、支护、降水工程。</w:t>
            </w:r>
          </w:p>
        </w:tc>
        <w:tc>
          <w:tcPr>
            <w:tcW w:w="1200" w:type="dxa"/>
            <w:shd w:val="clear" w:color="auto" w:fill="auto"/>
            <w:vAlign w:val="center"/>
          </w:tcPr>
          <w:p w14:paraId="00BBC539">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1217" w:type="dxa"/>
            <w:shd w:val="clear" w:color="auto" w:fill="auto"/>
            <w:vAlign w:val="center"/>
          </w:tcPr>
          <w:p w14:paraId="0DF58039">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796" w:type="dxa"/>
            <w:shd w:val="clear" w:color="auto" w:fill="auto"/>
            <w:vAlign w:val="center"/>
          </w:tcPr>
          <w:p w14:paraId="5BD4EB3E">
            <w:pPr>
              <w:widowControl w:val="0"/>
              <w:jc w:val="center"/>
              <w:rPr>
                <w:rFonts w:hint="eastAsia" w:ascii="宋体" w:hAnsi="宋体" w:eastAsia="宋体" w:cs="宋体"/>
                <w:color w:val="auto"/>
                <w:sz w:val="24"/>
                <w:szCs w:val="24"/>
                <w:lang w:val="en-US" w:eastAsia="zh-CN"/>
              </w:rPr>
            </w:pPr>
          </w:p>
        </w:tc>
      </w:tr>
      <w:tr w14:paraId="04A0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3FE630D8">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二、模板工程及支撑体系</w:t>
            </w:r>
          </w:p>
        </w:tc>
        <w:tc>
          <w:tcPr>
            <w:tcW w:w="1200" w:type="dxa"/>
            <w:shd w:val="clear" w:color="auto" w:fill="auto"/>
            <w:vAlign w:val="center"/>
          </w:tcPr>
          <w:p w14:paraId="4CD35734">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1217" w:type="dxa"/>
            <w:shd w:val="clear" w:color="auto" w:fill="auto"/>
            <w:vAlign w:val="center"/>
          </w:tcPr>
          <w:p w14:paraId="2956ECCB">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796" w:type="dxa"/>
            <w:shd w:val="clear" w:color="auto" w:fill="auto"/>
            <w:vAlign w:val="center"/>
          </w:tcPr>
          <w:p w14:paraId="62EACF03">
            <w:pPr>
              <w:widowControl w:val="0"/>
              <w:jc w:val="center"/>
              <w:rPr>
                <w:rFonts w:hint="eastAsia" w:ascii="宋体" w:hAnsi="宋体" w:eastAsia="宋体" w:cs="宋体"/>
                <w:color w:val="auto"/>
                <w:sz w:val="24"/>
                <w:szCs w:val="24"/>
                <w:lang w:val="en-US" w:eastAsia="zh-CN"/>
              </w:rPr>
            </w:pPr>
          </w:p>
        </w:tc>
      </w:tr>
      <w:tr w14:paraId="08FE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4840379A">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（一）各类工具式模板工程：包括滑模、爬模、飞模、隧道模等工程。</w:t>
            </w:r>
          </w:p>
        </w:tc>
        <w:tc>
          <w:tcPr>
            <w:tcW w:w="1200" w:type="dxa"/>
            <w:shd w:val="clear" w:color="auto" w:fill="auto"/>
            <w:vAlign w:val="center"/>
          </w:tcPr>
          <w:p w14:paraId="49E32D0D">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1217" w:type="dxa"/>
            <w:shd w:val="clear" w:color="auto" w:fill="auto"/>
            <w:vAlign w:val="center"/>
          </w:tcPr>
          <w:p w14:paraId="427CBB0A">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796" w:type="dxa"/>
            <w:shd w:val="clear" w:color="auto" w:fill="auto"/>
            <w:vAlign w:val="center"/>
          </w:tcPr>
          <w:p w14:paraId="29DD9E78">
            <w:pPr>
              <w:widowControl w:val="0"/>
              <w:jc w:val="center"/>
              <w:rPr>
                <w:rFonts w:hint="eastAsia" w:ascii="宋体" w:hAnsi="宋体" w:eastAsia="宋体" w:cs="宋体"/>
                <w:color w:val="auto"/>
                <w:sz w:val="24"/>
                <w:szCs w:val="24"/>
                <w:lang w:val="en-US" w:eastAsia="zh-CN"/>
              </w:rPr>
            </w:pPr>
          </w:p>
        </w:tc>
      </w:tr>
      <w:tr w14:paraId="554C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59067F8F">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（二）混凝土模板支撑工程：搭设高度8m 及以上，或搭设跨度 18m 及以上，或施工总荷载（设 计值）15kN/m2 及以上，或集中线荷载（设计值） 20kN/m 及以上。</w:t>
            </w:r>
          </w:p>
        </w:tc>
        <w:tc>
          <w:tcPr>
            <w:tcW w:w="1200" w:type="dxa"/>
            <w:shd w:val="clear" w:color="auto" w:fill="auto"/>
            <w:vAlign w:val="center"/>
          </w:tcPr>
          <w:p w14:paraId="18557354">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tc>
        <w:tc>
          <w:tcPr>
            <w:tcW w:w="1217" w:type="dxa"/>
            <w:shd w:val="clear" w:color="auto" w:fill="auto"/>
            <w:vAlign w:val="center"/>
          </w:tcPr>
          <w:p w14:paraId="142489C7">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796" w:type="dxa"/>
            <w:shd w:val="clear" w:color="auto" w:fill="auto"/>
            <w:vAlign w:val="center"/>
          </w:tcPr>
          <w:p w14:paraId="6EE101B4">
            <w:pPr>
              <w:widowControl w:val="0"/>
              <w:jc w:val="center"/>
              <w:rPr>
                <w:rFonts w:hint="eastAsia" w:ascii="宋体" w:hAnsi="宋体" w:eastAsia="宋体" w:cs="宋体"/>
                <w:color w:val="auto"/>
                <w:sz w:val="24"/>
                <w:szCs w:val="24"/>
                <w:lang w:val="en-US" w:eastAsia="zh-CN"/>
              </w:rPr>
            </w:pPr>
          </w:p>
        </w:tc>
      </w:tr>
      <w:tr w14:paraId="7822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66326B95">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（三）承重支撑体系：用于钢结构安装等满堂支撑体系，承受单点集中荷载 7kN 及以上。</w:t>
            </w:r>
          </w:p>
        </w:tc>
        <w:tc>
          <w:tcPr>
            <w:tcW w:w="1200" w:type="dxa"/>
            <w:shd w:val="clear" w:color="auto" w:fill="auto"/>
            <w:vAlign w:val="center"/>
          </w:tcPr>
          <w:p w14:paraId="7511383C">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1217" w:type="dxa"/>
            <w:shd w:val="clear" w:color="auto" w:fill="auto"/>
            <w:vAlign w:val="center"/>
          </w:tcPr>
          <w:p w14:paraId="132CDFC5">
            <w:pPr>
              <w:widowControl w:val="0"/>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    )</w:t>
            </w:r>
          </w:p>
        </w:tc>
        <w:tc>
          <w:tcPr>
            <w:tcW w:w="796" w:type="dxa"/>
            <w:shd w:val="clear" w:color="auto" w:fill="auto"/>
            <w:vAlign w:val="center"/>
          </w:tcPr>
          <w:p w14:paraId="4D628A08">
            <w:pPr>
              <w:widowControl w:val="0"/>
              <w:jc w:val="center"/>
              <w:rPr>
                <w:rFonts w:hint="eastAsia" w:ascii="宋体" w:hAnsi="宋体" w:eastAsia="宋体" w:cs="宋体"/>
                <w:color w:val="auto"/>
                <w:sz w:val="24"/>
                <w:szCs w:val="24"/>
                <w:lang w:val="en-US" w:eastAsia="zh-CN"/>
              </w:rPr>
            </w:pPr>
          </w:p>
        </w:tc>
      </w:tr>
      <w:tr w14:paraId="07E1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5BECA8F7">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三、起重吊装及起重机械安装拆卸工程</w:t>
            </w:r>
          </w:p>
        </w:tc>
        <w:tc>
          <w:tcPr>
            <w:tcW w:w="1200" w:type="dxa"/>
            <w:vAlign w:val="center"/>
          </w:tcPr>
          <w:p w14:paraId="3A60978B">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tc>
        <w:tc>
          <w:tcPr>
            <w:tcW w:w="1217" w:type="dxa"/>
            <w:vAlign w:val="center"/>
          </w:tcPr>
          <w:p w14:paraId="189605D4">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3A3A6AC5">
            <w:pPr>
              <w:widowControl w:val="0"/>
              <w:jc w:val="center"/>
              <w:rPr>
                <w:rFonts w:hint="eastAsia" w:ascii="宋体" w:hAnsi="宋体" w:eastAsia="宋体" w:cs="宋体"/>
                <w:color w:val="auto"/>
                <w:sz w:val="24"/>
                <w:szCs w:val="24"/>
              </w:rPr>
            </w:pPr>
          </w:p>
        </w:tc>
      </w:tr>
      <w:tr w14:paraId="6BC9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7A965362">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（一）采用非常规起重设备、方法，且单件起吊重量在100kN 及以上的起重吊装工程。</w:t>
            </w:r>
          </w:p>
        </w:tc>
        <w:tc>
          <w:tcPr>
            <w:tcW w:w="1200" w:type="dxa"/>
            <w:vAlign w:val="center"/>
          </w:tcPr>
          <w:p w14:paraId="32B54FD1">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704C1220">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04871512">
            <w:pPr>
              <w:widowControl w:val="0"/>
              <w:jc w:val="center"/>
              <w:rPr>
                <w:rFonts w:hint="eastAsia" w:ascii="宋体" w:hAnsi="宋体" w:eastAsia="宋体" w:cs="宋体"/>
                <w:color w:val="auto"/>
                <w:sz w:val="24"/>
                <w:szCs w:val="24"/>
              </w:rPr>
            </w:pPr>
          </w:p>
        </w:tc>
      </w:tr>
      <w:tr w14:paraId="7C94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49F54838">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（二）起重量 300kN 及以上，或搭设总高度 200m 及以上，或搭设基础标高在 200m 及以上的起重 机械安装和拆卸工程。</w:t>
            </w:r>
          </w:p>
        </w:tc>
        <w:tc>
          <w:tcPr>
            <w:tcW w:w="1200" w:type="dxa"/>
            <w:vAlign w:val="center"/>
          </w:tcPr>
          <w:p w14:paraId="465EA1D6">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03890147">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4E0CEA23">
            <w:pPr>
              <w:widowControl w:val="0"/>
              <w:jc w:val="center"/>
              <w:rPr>
                <w:rFonts w:hint="eastAsia" w:ascii="宋体" w:hAnsi="宋体" w:eastAsia="宋体" w:cs="宋体"/>
                <w:color w:val="auto"/>
                <w:sz w:val="24"/>
                <w:szCs w:val="24"/>
              </w:rPr>
            </w:pPr>
          </w:p>
        </w:tc>
      </w:tr>
      <w:tr w14:paraId="328C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46483885">
            <w:pPr>
              <w:widowControl w:val="0"/>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四、脚手架工程</w:t>
            </w:r>
          </w:p>
        </w:tc>
        <w:tc>
          <w:tcPr>
            <w:tcW w:w="1200" w:type="dxa"/>
            <w:vAlign w:val="center"/>
          </w:tcPr>
          <w:p w14:paraId="25CDFBA3">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5876F9F4">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3931FE62">
            <w:pPr>
              <w:widowControl w:val="0"/>
              <w:jc w:val="center"/>
              <w:rPr>
                <w:rFonts w:hint="eastAsia" w:ascii="宋体" w:hAnsi="宋体" w:eastAsia="宋体" w:cs="宋体"/>
                <w:color w:val="auto"/>
                <w:sz w:val="24"/>
                <w:szCs w:val="24"/>
              </w:rPr>
            </w:pPr>
          </w:p>
        </w:tc>
      </w:tr>
      <w:tr w14:paraId="54B1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49D3C6AB">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（一）搭设高度 50m 及以上的落地式钢管脚手架工程。</w:t>
            </w:r>
          </w:p>
        </w:tc>
        <w:tc>
          <w:tcPr>
            <w:tcW w:w="1200" w:type="dxa"/>
            <w:vAlign w:val="center"/>
          </w:tcPr>
          <w:p w14:paraId="02B7AA73">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tc>
        <w:tc>
          <w:tcPr>
            <w:tcW w:w="1217" w:type="dxa"/>
            <w:vAlign w:val="center"/>
          </w:tcPr>
          <w:p w14:paraId="5FA13054">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676B9E78">
            <w:pPr>
              <w:widowControl w:val="0"/>
              <w:jc w:val="center"/>
              <w:rPr>
                <w:rFonts w:hint="eastAsia" w:ascii="宋体" w:hAnsi="宋体" w:eastAsia="宋体" w:cs="宋体"/>
                <w:color w:val="auto"/>
                <w:sz w:val="24"/>
                <w:szCs w:val="24"/>
              </w:rPr>
            </w:pPr>
          </w:p>
        </w:tc>
      </w:tr>
      <w:tr w14:paraId="1C59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60BEB17A">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（二）提升高度在 150m 及以上的附着式升降脚 手架工程或附着式升降操作平台工程。</w:t>
            </w:r>
          </w:p>
        </w:tc>
        <w:tc>
          <w:tcPr>
            <w:tcW w:w="1200" w:type="dxa"/>
            <w:vAlign w:val="center"/>
          </w:tcPr>
          <w:p w14:paraId="53615E4C">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6C7107EF">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35E00DF9">
            <w:pPr>
              <w:widowControl w:val="0"/>
              <w:jc w:val="center"/>
              <w:rPr>
                <w:rFonts w:hint="eastAsia" w:ascii="宋体" w:hAnsi="宋体" w:eastAsia="宋体" w:cs="宋体"/>
                <w:color w:val="auto"/>
                <w:sz w:val="24"/>
                <w:szCs w:val="24"/>
              </w:rPr>
            </w:pPr>
          </w:p>
        </w:tc>
      </w:tr>
      <w:tr w14:paraId="2097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16550E16">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（三）分段架体搭设高度 20m 及以上的悬挑式 脚手架工程。</w:t>
            </w:r>
          </w:p>
        </w:tc>
        <w:tc>
          <w:tcPr>
            <w:tcW w:w="1200" w:type="dxa"/>
            <w:vAlign w:val="center"/>
          </w:tcPr>
          <w:p w14:paraId="585FF53A">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64B4E8EB">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3ACBBF28">
            <w:pPr>
              <w:widowControl w:val="0"/>
              <w:jc w:val="center"/>
              <w:rPr>
                <w:rFonts w:hint="eastAsia" w:ascii="宋体" w:hAnsi="宋体" w:eastAsia="宋体" w:cs="宋体"/>
                <w:color w:val="auto"/>
                <w:sz w:val="24"/>
                <w:szCs w:val="24"/>
              </w:rPr>
            </w:pPr>
          </w:p>
        </w:tc>
      </w:tr>
      <w:tr w14:paraId="5C74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164A8256">
            <w:pPr>
              <w:widowControl w:val="0"/>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五、拆除工程</w:t>
            </w:r>
          </w:p>
        </w:tc>
        <w:tc>
          <w:tcPr>
            <w:tcW w:w="1200" w:type="dxa"/>
            <w:vAlign w:val="center"/>
          </w:tcPr>
          <w:p w14:paraId="6D03AFEA">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07DC63BA">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4213F984">
            <w:pPr>
              <w:widowControl w:val="0"/>
              <w:jc w:val="center"/>
              <w:rPr>
                <w:rFonts w:hint="eastAsia" w:ascii="宋体" w:hAnsi="宋体" w:eastAsia="宋体" w:cs="宋体"/>
                <w:color w:val="auto"/>
                <w:sz w:val="24"/>
                <w:szCs w:val="24"/>
              </w:rPr>
            </w:pPr>
          </w:p>
        </w:tc>
      </w:tr>
      <w:tr w14:paraId="3DE3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2041B6B2">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（一）码头、桥梁、高架、烟囱、水塔或拆除 中容易引起有毒有害气（液）体或粉尘扩散、易燃易爆事故发生的特殊建、构筑物的拆除工程。</w:t>
            </w:r>
          </w:p>
        </w:tc>
        <w:tc>
          <w:tcPr>
            <w:tcW w:w="1200" w:type="dxa"/>
            <w:vAlign w:val="center"/>
          </w:tcPr>
          <w:p w14:paraId="7CECD294">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tc>
        <w:tc>
          <w:tcPr>
            <w:tcW w:w="1217" w:type="dxa"/>
            <w:vAlign w:val="center"/>
          </w:tcPr>
          <w:p w14:paraId="3E61AFA8">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4D9FF2EF">
            <w:pPr>
              <w:widowControl w:val="0"/>
              <w:jc w:val="center"/>
              <w:rPr>
                <w:rFonts w:hint="eastAsia" w:ascii="宋体" w:hAnsi="宋体" w:eastAsia="宋体" w:cs="宋体"/>
                <w:color w:val="auto"/>
                <w:sz w:val="24"/>
                <w:szCs w:val="24"/>
              </w:rPr>
            </w:pPr>
          </w:p>
        </w:tc>
      </w:tr>
      <w:tr w14:paraId="6166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79527038">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（二）文物保护建筑、优秀历史建筑或历史文 化风貌区影响范围内的拆除工程。</w:t>
            </w:r>
          </w:p>
        </w:tc>
        <w:tc>
          <w:tcPr>
            <w:tcW w:w="1200" w:type="dxa"/>
            <w:vAlign w:val="center"/>
          </w:tcPr>
          <w:p w14:paraId="7D81F2B4">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0CA95B4B">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51FD9920">
            <w:pPr>
              <w:widowControl w:val="0"/>
              <w:jc w:val="center"/>
              <w:rPr>
                <w:rFonts w:hint="eastAsia" w:ascii="宋体" w:hAnsi="宋体" w:eastAsia="宋体" w:cs="宋体"/>
                <w:color w:val="auto"/>
                <w:sz w:val="24"/>
                <w:szCs w:val="24"/>
              </w:rPr>
            </w:pPr>
          </w:p>
        </w:tc>
      </w:tr>
      <w:tr w14:paraId="49B9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0C5DF9FB">
            <w:pPr>
              <w:widowControl w:val="0"/>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六、暗挖工程</w:t>
            </w:r>
          </w:p>
        </w:tc>
        <w:tc>
          <w:tcPr>
            <w:tcW w:w="1200" w:type="dxa"/>
            <w:vAlign w:val="center"/>
          </w:tcPr>
          <w:p w14:paraId="2E58CDFE">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4FCDCFC9">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55EA3091">
            <w:pPr>
              <w:widowControl w:val="0"/>
              <w:jc w:val="center"/>
              <w:rPr>
                <w:rFonts w:hint="eastAsia" w:ascii="宋体" w:hAnsi="宋体" w:eastAsia="宋体" w:cs="宋体"/>
                <w:color w:val="auto"/>
                <w:sz w:val="24"/>
                <w:szCs w:val="24"/>
              </w:rPr>
            </w:pPr>
          </w:p>
        </w:tc>
      </w:tr>
      <w:tr w14:paraId="2237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43F654F6">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采用矿山法、盾构法、顶管法施工的隧道、洞室工程。</w:t>
            </w:r>
          </w:p>
        </w:tc>
        <w:tc>
          <w:tcPr>
            <w:tcW w:w="1200" w:type="dxa"/>
            <w:vAlign w:val="center"/>
          </w:tcPr>
          <w:p w14:paraId="53181FA4">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095EA49F">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1BA49F1A">
            <w:pPr>
              <w:widowControl w:val="0"/>
              <w:jc w:val="center"/>
              <w:rPr>
                <w:rFonts w:hint="eastAsia" w:ascii="宋体" w:hAnsi="宋体" w:eastAsia="宋体" w:cs="宋体"/>
                <w:color w:val="auto"/>
                <w:sz w:val="24"/>
                <w:szCs w:val="24"/>
              </w:rPr>
            </w:pPr>
          </w:p>
        </w:tc>
      </w:tr>
      <w:tr w14:paraId="321E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6B63C235">
            <w:pPr>
              <w:widowControl w:val="0"/>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七、</w:t>
            </w:r>
            <w:r>
              <w:rPr>
                <w:rFonts w:hint="eastAsia" w:ascii="宋体" w:hAnsi="宋体" w:eastAsia="宋体" w:cs="宋体"/>
                <w:color w:val="auto"/>
                <w:sz w:val="24"/>
                <w:szCs w:val="24"/>
                <w:lang w:eastAsia="zh-CN"/>
              </w:rPr>
              <w:t>其他</w:t>
            </w:r>
          </w:p>
        </w:tc>
        <w:tc>
          <w:tcPr>
            <w:tcW w:w="1200" w:type="dxa"/>
            <w:vAlign w:val="center"/>
          </w:tcPr>
          <w:p w14:paraId="221C59F4">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tc>
        <w:tc>
          <w:tcPr>
            <w:tcW w:w="1217" w:type="dxa"/>
            <w:vAlign w:val="center"/>
          </w:tcPr>
          <w:p w14:paraId="2674A6C8">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2383F20A">
            <w:pPr>
              <w:widowControl w:val="0"/>
              <w:jc w:val="center"/>
              <w:rPr>
                <w:rFonts w:hint="eastAsia" w:ascii="宋体" w:hAnsi="宋体" w:eastAsia="宋体" w:cs="宋体"/>
                <w:color w:val="auto"/>
                <w:sz w:val="24"/>
                <w:szCs w:val="24"/>
              </w:rPr>
            </w:pPr>
          </w:p>
        </w:tc>
      </w:tr>
      <w:tr w14:paraId="5737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518AC5C5">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（一）施工高度 50m 及以上的建筑幕墙安装工程。</w:t>
            </w:r>
          </w:p>
        </w:tc>
        <w:tc>
          <w:tcPr>
            <w:tcW w:w="1200" w:type="dxa"/>
            <w:vAlign w:val="center"/>
          </w:tcPr>
          <w:p w14:paraId="09DDA0BA">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52ADFE7B">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3C4B0ED8">
            <w:pPr>
              <w:widowControl w:val="0"/>
              <w:jc w:val="center"/>
              <w:rPr>
                <w:rFonts w:hint="eastAsia" w:ascii="宋体" w:hAnsi="宋体" w:eastAsia="宋体" w:cs="宋体"/>
                <w:color w:val="auto"/>
                <w:sz w:val="24"/>
                <w:szCs w:val="24"/>
              </w:rPr>
            </w:pPr>
          </w:p>
        </w:tc>
      </w:tr>
      <w:tr w14:paraId="5280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55DB37CF">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（二）跨度 36m 及以上的钢结构安装工程，或跨度60m及以上的网架和索膜结构安装工程。</w:t>
            </w:r>
          </w:p>
        </w:tc>
        <w:tc>
          <w:tcPr>
            <w:tcW w:w="1200" w:type="dxa"/>
            <w:vAlign w:val="center"/>
          </w:tcPr>
          <w:p w14:paraId="50524A35">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3CB5ED4B">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4AC5F9C4">
            <w:pPr>
              <w:widowControl w:val="0"/>
              <w:jc w:val="center"/>
              <w:rPr>
                <w:rFonts w:hint="eastAsia" w:ascii="宋体" w:hAnsi="宋体" w:eastAsia="宋体" w:cs="宋体"/>
                <w:color w:val="auto"/>
                <w:sz w:val="24"/>
                <w:szCs w:val="24"/>
              </w:rPr>
            </w:pPr>
          </w:p>
        </w:tc>
      </w:tr>
      <w:tr w14:paraId="4DDF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258F6B89">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（三）开挖深度16m及以上的人工挖孔桩工程。</w:t>
            </w:r>
          </w:p>
        </w:tc>
        <w:tc>
          <w:tcPr>
            <w:tcW w:w="1200" w:type="dxa"/>
            <w:vAlign w:val="center"/>
          </w:tcPr>
          <w:p w14:paraId="3200A5AF">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38442AC9">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372CC819">
            <w:pPr>
              <w:widowControl w:val="0"/>
              <w:jc w:val="center"/>
              <w:rPr>
                <w:rFonts w:hint="eastAsia" w:ascii="宋体" w:hAnsi="宋体" w:eastAsia="宋体" w:cs="宋体"/>
                <w:color w:val="auto"/>
                <w:sz w:val="24"/>
                <w:szCs w:val="24"/>
              </w:rPr>
            </w:pPr>
          </w:p>
        </w:tc>
      </w:tr>
      <w:tr w14:paraId="0D0E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171F275E">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（四）水下作业工程。</w:t>
            </w:r>
          </w:p>
        </w:tc>
        <w:tc>
          <w:tcPr>
            <w:tcW w:w="1200" w:type="dxa"/>
            <w:vAlign w:val="center"/>
          </w:tcPr>
          <w:p w14:paraId="407CBEC8">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tc>
        <w:tc>
          <w:tcPr>
            <w:tcW w:w="1217" w:type="dxa"/>
            <w:vAlign w:val="center"/>
          </w:tcPr>
          <w:p w14:paraId="0FA219BC">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7FD0277D">
            <w:pPr>
              <w:widowControl w:val="0"/>
              <w:jc w:val="center"/>
              <w:rPr>
                <w:rFonts w:hint="eastAsia" w:ascii="宋体" w:hAnsi="宋体" w:eastAsia="宋体" w:cs="宋体"/>
                <w:color w:val="auto"/>
                <w:sz w:val="24"/>
                <w:szCs w:val="24"/>
              </w:rPr>
            </w:pPr>
          </w:p>
        </w:tc>
      </w:tr>
      <w:tr w14:paraId="5AD0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0094C4BB">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（五）重量1000kN及以上的大型结构整体顶升、平移、转体等施工工艺。</w:t>
            </w:r>
          </w:p>
        </w:tc>
        <w:tc>
          <w:tcPr>
            <w:tcW w:w="1200" w:type="dxa"/>
            <w:vAlign w:val="center"/>
          </w:tcPr>
          <w:p w14:paraId="0393636E">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436F064D">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13DFBC7D">
            <w:pPr>
              <w:widowControl w:val="0"/>
              <w:jc w:val="center"/>
              <w:rPr>
                <w:rFonts w:hint="eastAsia" w:ascii="宋体" w:hAnsi="宋体" w:eastAsia="宋体" w:cs="宋体"/>
                <w:color w:val="auto"/>
                <w:sz w:val="24"/>
                <w:szCs w:val="24"/>
              </w:rPr>
            </w:pPr>
          </w:p>
        </w:tc>
      </w:tr>
      <w:tr w14:paraId="05E6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shd w:val="clear" w:color="auto" w:fill="auto"/>
            <w:vAlign w:val="top"/>
          </w:tcPr>
          <w:p w14:paraId="6F9BC0B8">
            <w:pPr>
              <w:widowContro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（六）采用新技术、新工艺、新材料、新设备可能影响工程施工安全，尚无国家、行业及地 方技术标准的分部分项工程。</w:t>
            </w:r>
          </w:p>
        </w:tc>
        <w:tc>
          <w:tcPr>
            <w:tcW w:w="1200" w:type="dxa"/>
            <w:vAlign w:val="center"/>
          </w:tcPr>
          <w:p w14:paraId="2AA5F586">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1217" w:type="dxa"/>
            <w:vAlign w:val="center"/>
          </w:tcPr>
          <w:p w14:paraId="5C5613FF">
            <w:pPr>
              <w:widowControl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    )</w:t>
            </w:r>
          </w:p>
        </w:tc>
        <w:tc>
          <w:tcPr>
            <w:tcW w:w="796" w:type="dxa"/>
            <w:vAlign w:val="center"/>
          </w:tcPr>
          <w:p w14:paraId="65A93FFB">
            <w:pPr>
              <w:widowControl w:val="0"/>
              <w:jc w:val="center"/>
              <w:rPr>
                <w:rFonts w:hint="eastAsia" w:ascii="宋体" w:hAnsi="宋体" w:eastAsia="宋体" w:cs="宋体"/>
                <w:color w:val="auto"/>
                <w:sz w:val="24"/>
                <w:szCs w:val="24"/>
              </w:rPr>
            </w:pPr>
          </w:p>
        </w:tc>
      </w:tr>
    </w:tbl>
    <w:p w14:paraId="48BC688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备注：1.根据《危险性较大的分部分项工程安全管理规定》，该《危险性较大的分部分项工程清单及超 过一定规模的危险性较大的分部分项工程清单》应由建设单位 组织勘察、设计等单位在招标文件中先行 “勾选（对应项打</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标识） ”危险性较大的分部分项工程。</w:t>
      </w:r>
    </w:p>
    <w:p w14:paraId="4408B52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2.该《危险性较大的分部分项工程清单及超过一定规模的危险性较大的分部分项工程清单》在办理 建设项目施工许可时必须提供，且各地建设行政主管部门可按照《广东省建设工程项目招标中标后监督 检查办法》相关规定开展检查。</w:t>
      </w:r>
    </w:p>
    <w:p w14:paraId="244B341D">
      <w:pPr>
        <w:spacing w:line="360" w:lineRule="auto"/>
        <w:ind w:firstLine="480" w:firstLineChars="200"/>
        <w:rPr>
          <w:rFonts w:hint="eastAsia" w:ascii="宋体" w:hAnsi="宋体" w:eastAsia="宋体" w:cs="宋体"/>
          <w:color w:val="auto"/>
          <w:sz w:val="24"/>
          <w:szCs w:val="24"/>
        </w:rPr>
      </w:pPr>
      <w:bookmarkStart w:id="445" w:name="_Toc7813"/>
      <w:r>
        <w:rPr>
          <w:rFonts w:hint="eastAsia" w:ascii="宋体" w:hAnsi="宋体" w:eastAsia="宋体" w:cs="宋体"/>
          <w:color w:val="auto"/>
          <w:sz w:val="24"/>
          <w:szCs w:val="24"/>
        </w:rPr>
        <w:t>3.如果需要（如需要通过计算编制专项方案，或者需要专家论证），可中标后提供详细版。</w:t>
      </w:r>
      <w:bookmarkEnd w:id="445"/>
    </w:p>
    <w:p w14:paraId="2475A346">
      <w:pPr>
        <w:rPr>
          <w:rFonts w:hint="eastAsia" w:ascii="宋体" w:hAnsi="宋体" w:eastAsia="宋体" w:cs="宋体"/>
          <w:color w:val="auto"/>
        </w:rPr>
      </w:pPr>
    </w:p>
    <w:p w14:paraId="56F9CE90">
      <w:pPr>
        <w:rPr>
          <w:rFonts w:hint="eastAsia" w:ascii="宋体" w:hAnsi="宋体" w:eastAsia="宋体" w:cs="宋体"/>
          <w:color w:val="auto"/>
        </w:rPr>
      </w:pPr>
    </w:p>
    <w:p w14:paraId="726E50B8">
      <w:pPr>
        <w:rPr>
          <w:rFonts w:hint="eastAsia" w:ascii="宋体" w:hAnsi="宋体" w:eastAsia="宋体" w:cs="宋体"/>
          <w:color w:val="auto"/>
        </w:rPr>
      </w:pPr>
    </w:p>
    <w:p w14:paraId="1A42E1E3">
      <w:pPr>
        <w:rPr>
          <w:rFonts w:hint="eastAsia" w:ascii="宋体" w:hAnsi="宋体" w:eastAsia="宋体" w:cs="宋体"/>
          <w:color w:val="auto"/>
        </w:rPr>
      </w:pPr>
    </w:p>
    <w:p w14:paraId="1383DF8B">
      <w:pPr>
        <w:rPr>
          <w:rFonts w:hint="eastAsia" w:ascii="宋体" w:hAnsi="宋体" w:eastAsia="宋体" w:cs="宋体"/>
          <w:color w:val="auto"/>
        </w:rPr>
      </w:pPr>
    </w:p>
    <w:p w14:paraId="6440F471">
      <w:pPr>
        <w:rPr>
          <w:rFonts w:hint="eastAsia" w:ascii="宋体" w:hAnsi="宋体" w:eastAsia="宋体" w:cs="宋体"/>
          <w:color w:val="auto"/>
        </w:rPr>
      </w:pPr>
    </w:p>
    <w:p w14:paraId="4E28D1CB">
      <w:pPr>
        <w:rPr>
          <w:rFonts w:hint="eastAsia" w:ascii="宋体" w:hAnsi="宋体" w:eastAsia="宋体" w:cs="宋体"/>
          <w:color w:val="auto"/>
        </w:rPr>
      </w:pPr>
      <w:bookmarkStart w:id="446" w:name="_Toc346"/>
      <w:bookmarkStart w:id="447" w:name="_Toc168059330"/>
      <w:bookmarkStart w:id="448" w:name="_Toc10203"/>
    </w:p>
    <w:p w14:paraId="2C893006">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Style w:val="55"/>
          <w:rFonts w:hint="eastAsia" w:ascii="宋体" w:hAnsi="宋体" w:eastAsia="宋体" w:cs="宋体"/>
          <w:b/>
          <w:bCs/>
          <w:color w:val="auto"/>
          <w:kern w:val="2"/>
          <w:sz w:val="21"/>
          <w:szCs w:val="21"/>
          <w:highlight w:val="none"/>
        </w:rPr>
      </w:pPr>
      <w:bookmarkStart w:id="449" w:name="_Toc15461"/>
      <w:r>
        <w:rPr>
          <w:rFonts w:hint="eastAsia" w:ascii="宋体" w:hAnsi="宋体" w:eastAsia="宋体" w:cs="宋体"/>
          <w:color w:val="auto"/>
          <w:kern w:val="2"/>
          <w:sz w:val="28"/>
          <w:szCs w:val="24"/>
          <w:lang w:val="en-US" w:eastAsia="zh-CN"/>
        </w:rPr>
        <w:t>格式十四   投标保证金信用承诺函</w:t>
      </w:r>
      <w:bookmarkEnd w:id="449"/>
    </w:p>
    <w:p w14:paraId="06972C40">
      <w:pPr>
        <w:snapToGrid w:val="0"/>
        <w:spacing w:line="440" w:lineRule="exact"/>
        <w:jc w:val="center"/>
        <w:rPr>
          <w:rFonts w:hint="eastAsia" w:ascii="宋体" w:hAnsi="宋体" w:eastAsia="宋体" w:cs="宋体"/>
          <w:color w:val="auto"/>
          <w:sz w:val="24"/>
          <w:szCs w:val="24"/>
        </w:rPr>
      </w:pPr>
      <w:r>
        <w:rPr>
          <w:rStyle w:val="26"/>
          <w:rFonts w:hint="eastAsia" w:ascii="宋体" w:hAnsi="宋体" w:eastAsia="宋体" w:cs="宋体"/>
          <w:b/>
          <w:bCs/>
          <w:color w:val="auto"/>
          <w:kern w:val="0"/>
          <w:sz w:val="24"/>
          <w:szCs w:val="24"/>
          <w:highlight w:val="none"/>
        </w:rPr>
        <w:t>投标保证金信用承诺函</w:t>
      </w:r>
    </w:p>
    <w:p w14:paraId="46E9CB1B">
      <w:pPr>
        <w:ind w:firstLine="480" w:firstLineChars="200"/>
        <w:rPr>
          <w:rFonts w:hint="eastAsia" w:ascii="宋体" w:hAnsi="宋体" w:eastAsia="宋体" w:cs="宋体"/>
          <w:color w:val="auto"/>
          <w:sz w:val="24"/>
          <w:szCs w:val="24"/>
          <w:highlight w:val="none"/>
        </w:rPr>
      </w:pPr>
      <w:bookmarkStart w:id="450" w:name="_Toc25468"/>
      <w:bookmarkStart w:id="451" w:name="_Toc30561"/>
      <w:bookmarkStart w:id="452" w:name="_Toc20291"/>
      <w:r>
        <w:rPr>
          <w:rFonts w:hint="eastAsia" w:ascii="宋体" w:hAnsi="宋体" w:eastAsia="宋体" w:cs="宋体"/>
          <w:color w:val="auto"/>
          <w:sz w:val="24"/>
          <w:szCs w:val="24"/>
          <w:highlight w:val="none"/>
        </w:rPr>
        <w:t>一、我单位参加</w:t>
      </w:r>
      <w:r>
        <w:rPr>
          <w:rFonts w:hint="eastAsia" w:ascii="宋体" w:hAnsi="宋体" w:eastAsia="宋体" w:cs="宋体"/>
          <w:color w:val="auto"/>
          <w:sz w:val="24"/>
          <w:szCs w:val="24"/>
          <w:highlight w:val="none"/>
          <w:u w:val="single"/>
        </w:rPr>
        <w:t xml:space="preserve">  （工程项目名称）   </w:t>
      </w:r>
      <w:r>
        <w:rPr>
          <w:rFonts w:hint="eastAsia" w:ascii="宋体" w:hAnsi="宋体" w:eastAsia="宋体" w:cs="宋体"/>
          <w:color w:val="auto"/>
          <w:sz w:val="24"/>
          <w:szCs w:val="24"/>
          <w:highlight w:val="none"/>
        </w:rPr>
        <w:t>的投标活动，现承 诺：将严格按照法律法规规定参与交易活动，按照招标文件要求 依法履行投标人义务；我方若出现违反《中华人民共和国招标投标法》、《中华人民共和国招标投标法实施条例》、《电子招标 投标办法》等有关法律法规的行为，将于投标有效期内全额付清 招标文件规定的投标保证金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bookmarkEnd w:id="450"/>
    <w:bookmarkEnd w:id="451"/>
    <w:bookmarkEnd w:id="452"/>
    <w:p w14:paraId="449662EF">
      <w:pPr>
        <w:ind w:firstLine="480" w:firstLineChars="200"/>
        <w:rPr>
          <w:rFonts w:hint="eastAsia" w:ascii="宋体" w:hAnsi="宋体" w:eastAsia="宋体" w:cs="宋体"/>
          <w:color w:val="auto"/>
          <w:sz w:val="24"/>
          <w:szCs w:val="24"/>
          <w:highlight w:val="none"/>
        </w:rPr>
      </w:pPr>
      <w:bookmarkStart w:id="453" w:name="_Toc27836"/>
      <w:bookmarkStart w:id="454" w:name="_Toc24529"/>
      <w:bookmarkStart w:id="455" w:name="_Toc16779"/>
      <w:r>
        <w:rPr>
          <w:rFonts w:hint="eastAsia" w:ascii="宋体" w:hAnsi="宋体" w:eastAsia="宋体" w:cs="宋体"/>
          <w:color w:val="auto"/>
          <w:sz w:val="24"/>
          <w:szCs w:val="24"/>
          <w:highlight w:val="none"/>
        </w:rPr>
        <w:t>二、至投标文件提交当天，本公司无严重不良信用记录或存 在曾作出虚假承诺的情形，且不属于韶关市建筑市场信用管理平 台公布的信用等级为 B 级、C 级、D 级的企业。</w:t>
      </w:r>
    </w:p>
    <w:bookmarkEnd w:id="453"/>
    <w:bookmarkEnd w:id="454"/>
    <w:bookmarkEnd w:id="455"/>
    <w:p w14:paraId="34E8EF26">
      <w:pPr>
        <w:rPr>
          <w:rFonts w:hint="eastAsia" w:ascii="宋体" w:hAnsi="宋体" w:eastAsia="宋体" w:cs="宋体"/>
          <w:color w:val="auto"/>
          <w:sz w:val="24"/>
          <w:szCs w:val="24"/>
          <w:highlight w:val="none"/>
        </w:rPr>
      </w:pPr>
      <w:bookmarkStart w:id="456" w:name="_Toc8094"/>
      <w:bookmarkStart w:id="457" w:name="_Toc18526"/>
      <w:bookmarkStart w:id="458" w:name="_Toc30737"/>
      <w:r>
        <w:rPr>
          <w:rFonts w:hint="eastAsia" w:ascii="宋体" w:hAnsi="宋体" w:eastAsia="宋体" w:cs="宋体"/>
          <w:color w:val="auto"/>
          <w:sz w:val="24"/>
          <w:szCs w:val="24"/>
          <w:highlight w:val="none"/>
        </w:rPr>
        <w:t>本企业对以上承诺和声明负责。如有虚假，愿接受行政主管 部门作出的处罚，并承担以下后果：</w:t>
      </w:r>
    </w:p>
    <w:bookmarkEnd w:id="456"/>
    <w:bookmarkEnd w:id="457"/>
    <w:bookmarkEnd w:id="458"/>
    <w:p w14:paraId="1F4D339F">
      <w:pPr>
        <w:ind w:firstLine="480" w:firstLineChars="200"/>
        <w:rPr>
          <w:rFonts w:hint="eastAsia" w:ascii="宋体" w:hAnsi="宋体" w:eastAsia="宋体" w:cs="宋体"/>
          <w:color w:val="auto"/>
          <w:sz w:val="24"/>
          <w:szCs w:val="24"/>
          <w:highlight w:val="none"/>
        </w:rPr>
      </w:pPr>
      <w:bookmarkStart w:id="459" w:name="_Toc21842"/>
      <w:bookmarkStart w:id="460" w:name="_Toc22558"/>
      <w:bookmarkStart w:id="461" w:name="_Toc12420"/>
      <w:r>
        <w:rPr>
          <w:rFonts w:hint="eastAsia" w:ascii="宋体" w:hAnsi="宋体" w:eastAsia="宋体" w:cs="宋体"/>
          <w:color w:val="auto"/>
          <w:sz w:val="24"/>
          <w:szCs w:val="24"/>
          <w:highlight w:val="none"/>
        </w:rPr>
        <w:t>（一）取消本单位在本项目中的投标资格或中标资格；</w:t>
      </w:r>
    </w:p>
    <w:bookmarkEnd w:id="459"/>
    <w:bookmarkEnd w:id="460"/>
    <w:bookmarkEnd w:id="461"/>
    <w:p w14:paraId="61AFDB59">
      <w:pPr>
        <w:ind w:firstLine="480" w:firstLineChars="200"/>
        <w:rPr>
          <w:rFonts w:hint="eastAsia" w:ascii="宋体" w:hAnsi="宋体" w:eastAsia="宋体" w:cs="宋体"/>
          <w:color w:val="auto"/>
          <w:sz w:val="24"/>
          <w:szCs w:val="24"/>
          <w:highlight w:val="none"/>
        </w:rPr>
      </w:pPr>
      <w:bookmarkStart w:id="462" w:name="_Toc1455"/>
      <w:bookmarkStart w:id="463" w:name="_Toc23264"/>
      <w:bookmarkStart w:id="464" w:name="_Toc222"/>
      <w:r>
        <w:rPr>
          <w:rFonts w:hint="eastAsia" w:ascii="宋体" w:hAnsi="宋体" w:eastAsia="宋体" w:cs="宋体"/>
          <w:color w:val="auto"/>
          <w:sz w:val="24"/>
          <w:szCs w:val="24"/>
          <w:highlight w:val="none"/>
        </w:rPr>
        <w:t>（二）将本单位不良行为纳入信用信息管理系统；</w:t>
      </w:r>
    </w:p>
    <w:bookmarkEnd w:id="462"/>
    <w:bookmarkEnd w:id="463"/>
    <w:bookmarkEnd w:id="464"/>
    <w:p w14:paraId="41F80FFC">
      <w:pPr>
        <w:ind w:firstLine="480" w:firstLineChars="200"/>
        <w:rPr>
          <w:rFonts w:hint="eastAsia" w:ascii="宋体" w:hAnsi="宋体" w:eastAsia="宋体" w:cs="宋体"/>
          <w:color w:val="auto"/>
          <w:sz w:val="24"/>
          <w:szCs w:val="24"/>
          <w:highlight w:val="none"/>
        </w:rPr>
      </w:pPr>
      <w:bookmarkStart w:id="465" w:name="_Toc32324"/>
      <w:bookmarkStart w:id="466" w:name="_Toc21222"/>
      <w:bookmarkStart w:id="467" w:name="_Toc27359"/>
      <w:r>
        <w:rPr>
          <w:rFonts w:hint="eastAsia" w:ascii="宋体" w:hAnsi="宋体" w:eastAsia="宋体" w:cs="宋体"/>
          <w:color w:val="auto"/>
          <w:sz w:val="24"/>
          <w:szCs w:val="24"/>
          <w:highlight w:val="none"/>
        </w:rPr>
        <w:t>（三）主动在产生不良行为所在的各县（市、区）行政区域 内不参加房建市政工程项目的投标活动一年；</w:t>
      </w:r>
    </w:p>
    <w:bookmarkEnd w:id="465"/>
    <w:bookmarkEnd w:id="466"/>
    <w:bookmarkEnd w:id="467"/>
    <w:p w14:paraId="285D125D">
      <w:pPr>
        <w:ind w:firstLine="480" w:firstLineChars="200"/>
        <w:rPr>
          <w:rFonts w:hint="eastAsia" w:ascii="宋体" w:hAnsi="宋体" w:eastAsia="宋体" w:cs="宋体"/>
          <w:color w:val="auto"/>
          <w:sz w:val="24"/>
          <w:szCs w:val="24"/>
          <w:highlight w:val="none"/>
        </w:rPr>
      </w:pPr>
      <w:bookmarkStart w:id="468" w:name="_Toc12066"/>
      <w:bookmarkStart w:id="469" w:name="_Toc26357"/>
      <w:bookmarkStart w:id="470" w:name="_Toc4443"/>
      <w:r>
        <w:rPr>
          <w:rFonts w:hint="eastAsia" w:ascii="宋体" w:hAnsi="宋体" w:eastAsia="宋体" w:cs="宋体"/>
          <w:color w:val="auto"/>
          <w:sz w:val="24"/>
          <w:szCs w:val="24"/>
          <w:highlight w:val="none"/>
        </w:rPr>
        <w:t>（四）</w:t>
      </w:r>
      <w:r>
        <w:rPr>
          <w:rFonts w:hint="eastAsia" w:ascii="宋体" w:hAnsi="宋体" w:eastAsia="宋体" w:cs="宋体"/>
          <w:color w:val="auto"/>
          <w:sz w:val="24"/>
          <w:szCs w:val="24"/>
          <w:highlight w:val="none"/>
          <w:lang w:eastAsia="zh-CN"/>
        </w:rPr>
        <w:t>应负</w:t>
      </w:r>
      <w:r>
        <w:rPr>
          <w:rFonts w:hint="eastAsia" w:ascii="宋体" w:hAnsi="宋体" w:eastAsia="宋体" w:cs="宋体"/>
          <w:color w:val="auto"/>
          <w:sz w:val="24"/>
          <w:szCs w:val="24"/>
          <w:highlight w:val="none"/>
        </w:rPr>
        <w:t>的赔偿责任和相应法律责任。</w:t>
      </w:r>
    </w:p>
    <w:bookmarkEnd w:id="468"/>
    <w:bookmarkEnd w:id="469"/>
    <w:bookmarkEnd w:id="470"/>
    <w:p w14:paraId="1DAAEF55">
      <w:pPr>
        <w:rPr>
          <w:rFonts w:hint="eastAsia" w:ascii="宋体" w:hAnsi="宋体" w:eastAsia="宋体" w:cs="宋体"/>
          <w:color w:val="auto"/>
        </w:rPr>
      </w:pPr>
    </w:p>
    <w:p w14:paraId="70041714">
      <w:pPr>
        <w:ind w:firstLine="3120" w:firstLineChars="1300"/>
        <w:rPr>
          <w:rFonts w:hint="eastAsia" w:ascii="宋体" w:hAnsi="宋体" w:eastAsia="宋体" w:cs="宋体"/>
          <w:color w:val="auto"/>
          <w:sz w:val="24"/>
          <w:szCs w:val="24"/>
          <w:highlight w:val="none"/>
        </w:rPr>
      </w:pPr>
      <w:bookmarkStart w:id="471" w:name="_Toc13271"/>
      <w:bookmarkStart w:id="472" w:name="_Toc24886"/>
      <w:bookmarkStart w:id="473" w:name="_Toc8067"/>
      <w:r>
        <w:rPr>
          <w:rFonts w:hint="eastAsia" w:ascii="宋体" w:hAnsi="宋体" w:eastAsia="宋体" w:cs="宋体"/>
          <w:color w:val="auto"/>
          <w:sz w:val="24"/>
          <w:szCs w:val="24"/>
          <w:highlight w:val="none"/>
        </w:rPr>
        <w:t>单位名称（公章）：</w:t>
      </w:r>
    </w:p>
    <w:bookmarkEnd w:id="471"/>
    <w:bookmarkEnd w:id="472"/>
    <w:bookmarkEnd w:id="473"/>
    <w:p w14:paraId="3BFF20D4">
      <w:pPr>
        <w:rPr>
          <w:rFonts w:hint="eastAsia" w:ascii="宋体" w:hAnsi="宋体" w:eastAsia="宋体" w:cs="宋体"/>
          <w:color w:val="auto"/>
        </w:rPr>
      </w:pPr>
    </w:p>
    <w:p w14:paraId="165423EC">
      <w:pPr>
        <w:ind w:firstLine="3120" w:firstLineChars="1300"/>
        <w:rPr>
          <w:rFonts w:hint="eastAsia" w:ascii="宋体" w:hAnsi="宋体" w:eastAsia="宋体" w:cs="宋体"/>
          <w:color w:val="auto"/>
          <w:sz w:val="24"/>
          <w:szCs w:val="24"/>
          <w:highlight w:val="none"/>
        </w:rPr>
      </w:pPr>
      <w:bookmarkStart w:id="474" w:name="_Toc9462"/>
      <w:bookmarkStart w:id="475" w:name="_Toc31158"/>
      <w:bookmarkStart w:id="476" w:name="_Toc32078"/>
      <w:r>
        <w:rPr>
          <w:rFonts w:hint="eastAsia" w:ascii="宋体" w:hAnsi="宋体" w:eastAsia="宋体" w:cs="宋体"/>
          <w:color w:val="auto"/>
          <w:sz w:val="24"/>
          <w:szCs w:val="24"/>
          <w:highlight w:val="none"/>
        </w:rPr>
        <w:t>统一社会信用代码：</w:t>
      </w:r>
    </w:p>
    <w:bookmarkEnd w:id="474"/>
    <w:bookmarkEnd w:id="475"/>
    <w:bookmarkEnd w:id="476"/>
    <w:p w14:paraId="67D570B5">
      <w:pPr>
        <w:rPr>
          <w:rFonts w:hint="eastAsia" w:ascii="宋体" w:hAnsi="宋体" w:eastAsia="宋体" w:cs="宋体"/>
          <w:color w:val="auto"/>
          <w:sz w:val="24"/>
          <w:szCs w:val="24"/>
          <w:highlight w:val="none"/>
        </w:rPr>
      </w:pPr>
    </w:p>
    <w:p w14:paraId="18E8F168">
      <w:pPr>
        <w:ind w:firstLine="3120" w:firstLineChars="1300"/>
        <w:rPr>
          <w:rFonts w:hint="eastAsia" w:ascii="宋体" w:hAnsi="宋体" w:eastAsia="宋体" w:cs="宋体"/>
          <w:color w:val="auto"/>
          <w:sz w:val="24"/>
          <w:szCs w:val="24"/>
          <w:highlight w:val="none"/>
        </w:rPr>
      </w:pPr>
      <w:bookmarkStart w:id="477" w:name="_Toc2935"/>
      <w:bookmarkStart w:id="478" w:name="_Toc17724"/>
      <w:bookmarkStart w:id="479" w:name="_Toc12871"/>
      <w:r>
        <w:rPr>
          <w:rFonts w:hint="eastAsia" w:ascii="宋体" w:hAnsi="宋体" w:eastAsia="宋体" w:cs="宋体"/>
          <w:color w:val="auto"/>
          <w:sz w:val="24"/>
          <w:szCs w:val="24"/>
          <w:highlight w:val="none"/>
        </w:rPr>
        <w:t xml:space="preserve">法定代表人（签字）： </w:t>
      </w:r>
    </w:p>
    <w:bookmarkEnd w:id="477"/>
    <w:bookmarkEnd w:id="478"/>
    <w:bookmarkEnd w:id="479"/>
    <w:p w14:paraId="681F80D1">
      <w:pPr>
        <w:rPr>
          <w:rFonts w:hint="eastAsia" w:ascii="宋体" w:hAnsi="宋体" w:eastAsia="宋体" w:cs="宋体"/>
          <w:color w:val="auto"/>
          <w:sz w:val="24"/>
          <w:szCs w:val="24"/>
          <w:highlight w:val="none"/>
        </w:rPr>
      </w:pPr>
      <w:bookmarkStart w:id="480" w:name="_Toc16191"/>
      <w:bookmarkStart w:id="481" w:name="_Toc26886"/>
      <w:bookmarkStart w:id="482" w:name="_Toc12612"/>
    </w:p>
    <w:p w14:paraId="573E18F0">
      <w:pPr>
        <w:ind w:firstLine="3840" w:firstLineChars="1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年   月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日</w:t>
      </w:r>
    </w:p>
    <w:bookmarkEnd w:id="480"/>
    <w:bookmarkEnd w:id="481"/>
    <w:bookmarkEnd w:id="482"/>
    <w:p w14:paraId="708E4D45">
      <w:pPr>
        <w:rPr>
          <w:rFonts w:hint="eastAsia" w:ascii="宋体" w:hAnsi="宋体" w:eastAsia="宋体" w:cs="宋体"/>
          <w:color w:val="auto"/>
        </w:rPr>
      </w:pPr>
    </w:p>
    <w:p w14:paraId="6AD1C083">
      <w:pPr>
        <w:rPr>
          <w:rFonts w:hint="eastAsia" w:ascii="宋体" w:hAnsi="宋体" w:eastAsia="宋体" w:cs="宋体"/>
          <w:color w:val="auto"/>
        </w:rPr>
      </w:pPr>
      <w:bookmarkStart w:id="483" w:name="_Toc31994"/>
    </w:p>
    <w:p w14:paraId="4E012628">
      <w:pPr>
        <w:rPr>
          <w:rFonts w:hint="eastAsia" w:ascii="宋体" w:hAnsi="宋体" w:eastAsia="宋体" w:cs="宋体"/>
          <w:color w:val="auto"/>
          <w:lang w:val="en-US" w:eastAsia="zh-CN"/>
        </w:rPr>
      </w:pPr>
    </w:p>
    <w:p w14:paraId="21D00584">
      <w:pPr>
        <w:rPr>
          <w:rFonts w:hint="eastAsia" w:ascii="宋体" w:hAnsi="宋体" w:eastAsia="宋体" w:cs="宋体"/>
          <w:color w:val="auto"/>
          <w:lang w:val="en-US" w:eastAsia="zh-CN"/>
        </w:rPr>
      </w:pPr>
    </w:p>
    <w:p w14:paraId="4A0A6D96">
      <w:pPr>
        <w:rPr>
          <w:rFonts w:hint="eastAsia" w:ascii="宋体" w:hAnsi="宋体" w:eastAsia="宋体" w:cs="宋体"/>
          <w:color w:val="auto"/>
          <w:lang w:val="en-US" w:eastAsia="zh-CN"/>
        </w:rPr>
      </w:pPr>
    </w:p>
    <w:p w14:paraId="1A44E5DA">
      <w:pPr>
        <w:rPr>
          <w:rFonts w:hint="eastAsia" w:ascii="宋体" w:hAnsi="宋体" w:eastAsia="宋体" w:cs="宋体"/>
          <w:color w:val="auto"/>
          <w:lang w:val="en-US" w:eastAsia="zh-CN"/>
        </w:rPr>
      </w:pPr>
    </w:p>
    <w:p w14:paraId="470A341C">
      <w:pPr>
        <w:rPr>
          <w:rFonts w:hint="eastAsia" w:ascii="宋体" w:hAnsi="宋体" w:eastAsia="宋体" w:cs="宋体"/>
          <w:color w:val="auto"/>
          <w:lang w:val="en-US" w:eastAsia="zh-CN"/>
        </w:rPr>
      </w:pPr>
    </w:p>
    <w:bookmarkEnd w:id="483"/>
    <w:p w14:paraId="3D32A90A">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Style w:val="26"/>
          <w:rFonts w:hint="eastAsia" w:ascii="宋体" w:hAnsi="宋体" w:eastAsia="宋体" w:cs="宋体"/>
          <w:b/>
          <w:bCs/>
          <w:color w:val="auto"/>
          <w:sz w:val="21"/>
          <w:szCs w:val="21"/>
          <w:highlight w:val="none"/>
          <w:lang w:val="en-US" w:eastAsia="zh-CN"/>
        </w:rPr>
      </w:pPr>
      <w:bookmarkStart w:id="484" w:name="_Toc29366"/>
      <w:bookmarkStart w:id="485" w:name="_Toc30092"/>
      <w:r>
        <w:rPr>
          <w:rFonts w:hint="eastAsia" w:ascii="宋体" w:hAnsi="宋体" w:eastAsia="宋体" w:cs="宋体"/>
          <w:color w:val="auto"/>
          <w:kern w:val="2"/>
          <w:sz w:val="28"/>
          <w:szCs w:val="24"/>
          <w:lang w:val="en-US" w:eastAsia="zh-CN"/>
        </w:rPr>
        <w:t>格式十五   共管账户承诺书</w:t>
      </w:r>
      <w:bookmarkEnd w:id="484"/>
    </w:p>
    <w:p w14:paraId="787AF5D8">
      <w:pPr>
        <w:keepNext w:val="0"/>
        <w:keepLines w:val="0"/>
        <w:widowControl/>
        <w:suppressLineNumbers w:val="0"/>
        <w:pBdr>
          <w:bottom w:val="none" w:color="auto" w:sz="0" w:space="0"/>
        </w:pBdr>
        <w:spacing w:before="0" w:beforeAutospacing="0" w:after="54" w:afterAutospacing="0"/>
        <w:ind w:left="0" w:right="0"/>
        <w:jc w:val="center"/>
        <w:outlineLvl w:val="9"/>
        <w:rPr>
          <w:rFonts w:hint="eastAsia" w:ascii="宋体" w:hAnsi="宋体" w:eastAsia="宋体" w:cs="宋体"/>
          <w:b/>
          <w:bCs/>
          <w:color w:val="auto"/>
          <w:sz w:val="24"/>
          <w:szCs w:val="24"/>
          <w:highlight w:val="none"/>
        </w:rPr>
      </w:pPr>
      <w:bookmarkStart w:id="486" w:name="_Toc13128"/>
      <w:r>
        <w:rPr>
          <w:rFonts w:hint="eastAsia" w:ascii="宋体" w:hAnsi="宋体" w:eastAsia="宋体" w:cs="宋体"/>
          <w:b/>
          <w:bCs/>
          <w:color w:val="auto"/>
          <w:sz w:val="24"/>
          <w:szCs w:val="24"/>
          <w:highlight w:val="none"/>
        </w:rPr>
        <w:t>共管账户承诺书</w:t>
      </w:r>
      <w:bookmarkEnd w:id="486"/>
    </w:p>
    <w:p w14:paraId="1D756FEB">
      <w:pPr>
        <w:keepNext w:val="0"/>
        <w:keepLines w:val="0"/>
        <w:widowControl/>
        <w:suppressLineNumbers w:val="0"/>
        <w:bidi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lang w:eastAsia="zh-CN" w:bidi="ar"/>
        </w:rPr>
        <w:t>韶关工业园投资建设有限公司</w:t>
      </w:r>
    </w:p>
    <w:p w14:paraId="6C72CF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我方</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，参与贵方</w:t>
      </w:r>
      <w:r>
        <w:rPr>
          <w:rFonts w:hint="eastAsia" w:ascii="宋体" w:hAnsi="宋体" w:eastAsia="宋体" w:cs="宋体"/>
          <w:color w:val="auto"/>
          <w:kern w:val="0"/>
          <w:sz w:val="24"/>
          <w:szCs w:val="24"/>
          <w:highlight w:val="none"/>
          <w:u w:val="single"/>
          <w:lang w:eastAsia="zh-CN" w:bidi="ar"/>
        </w:rPr>
        <w:t>广东省韶关市韶关高新技术产业开发区园区配套基础设施建设项目莞韶产业园甘棠片区GT0402A-02-02地块三通一平及地块西侧道路建设工程（B地块）施工</w:t>
      </w:r>
      <w:r>
        <w:rPr>
          <w:rFonts w:hint="eastAsia" w:ascii="宋体" w:hAnsi="宋体" w:eastAsia="宋体" w:cs="宋体"/>
          <w:color w:val="auto"/>
          <w:kern w:val="0"/>
          <w:sz w:val="24"/>
          <w:szCs w:val="24"/>
          <w:highlight w:val="none"/>
          <w:lang w:val="en-US" w:eastAsia="zh-CN" w:bidi="ar"/>
        </w:rPr>
        <w:t>的投标活动，为确保项目资金的规范管理和安全使用，现郑重承诺如下：</w:t>
      </w:r>
    </w:p>
    <w:p w14:paraId="2202F73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若我方中标，将在中标通知书发出后的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个工作日内，与贵方共同在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开设共管账户，用于本项目资金的收付。</w:t>
      </w:r>
    </w:p>
    <w:p w14:paraId="05FEDB92">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109" w:beforeAutospacing="0" w:after="0" w:afterAutospacing="0"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保证共管账户仅用于</w:t>
      </w:r>
      <w:r>
        <w:rPr>
          <w:rFonts w:hint="eastAsia" w:ascii="宋体" w:hAnsi="宋体" w:eastAsia="宋体" w:cs="宋体"/>
          <w:color w:val="auto"/>
          <w:kern w:val="0"/>
          <w:sz w:val="24"/>
          <w:szCs w:val="24"/>
          <w:highlight w:val="none"/>
          <w:u w:val="single"/>
          <w:lang w:eastAsia="zh-CN" w:bidi="ar"/>
        </w:rPr>
        <w:t>广东省韶关市韶关高新技术产业开发区园区配套基础设施建设项目莞韶产业园甘棠片区GT0402A-02-02地块三通一平及地块西侧道路建设工程（B地块）施工</w:t>
      </w:r>
      <w:r>
        <w:rPr>
          <w:rFonts w:hint="eastAsia" w:ascii="宋体" w:hAnsi="宋体" w:eastAsia="宋体" w:cs="宋体"/>
          <w:color w:val="auto"/>
          <w:sz w:val="24"/>
          <w:szCs w:val="24"/>
          <w:highlight w:val="none"/>
        </w:rPr>
        <w:t>相关的资金往来，专款专用，不挪作他用。</w:t>
      </w:r>
    </w:p>
    <w:p w14:paraId="4C023C8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109" w:beforeAutospacing="0" w:after="0" w:afterAutospacing="0"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严格遵守与贵方共同制定的共管账户管理规定，每笔资金的支出均需经过双方书面确认或按约定的电子审批流程操作。</w:t>
      </w:r>
    </w:p>
    <w:p w14:paraId="28C738B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109" w:beforeAutospacing="0" w:after="0" w:afterAutospacing="0"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定期向贵方提供共管账户的资金流水及余额信息，配合贵方对账户资金进行核查。</w:t>
      </w:r>
    </w:p>
    <w:p w14:paraId="2F7BEEB0">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109" w:beforeAutospacing="0" w:after="0" w:afterAutospacing="0"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若我方违反上述承诺，愿意承担由此给贵方及本项目带来的一切损失和法律责任。</w:t>
      </w:r>
    </w:p>
    <w:p w14:paraId="044C9B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本承诺书自签署之日起生效，有效期至本项目结束且共管账户完成清算销户之日。</w:t>
      </w:r>
    </w:p>
    <w:p w14:paraId="024463EC">
      <w:pPr>
        <w:rPr>
          <w:rFonts w:hint="eastAsia" w:ascii="宋体" w:hAnsi="宋体" w:eastAsia="宋体" w:cs="宋体"/>
          <w:color w:val="auto"/>
        </w:rPr>
      </w:pPr>
    </w:p>
    <w:p w14:paraId="48ED51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u w:val="none"/>
          <w:lang w:val="en-US" w:eastAsia="zh-CN" w:bidi="ar"/>
        </w:rPr>
        <w:t>投标人：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（盖单位章）</w:t>
      </w:r>
    </w:p>
    <w:p w14:paraId="41481378">
      <w:pPr>
        <w:rPr>
          <w:rFonts w:hint="eastAsia" w:ascii="宋体" w:hAnsi="宋体" w:eastAsia="宋体" w:cs="宋体"/>
          <w:color w:val="auto"/>
        </w:rPr>
      </w:pPr>
    </w:p>
    <w:p w14:paraId="15D7E81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法定代表人或其委托代理人：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签字或盖章）</w:t>
      </w:r>
    </w:p>
    <w:p w14:paraId="1290B326">
      <w:pPr>
        <w:rPr>
          <w:rFonts w:hint="eastAsia" w:ascii="宋体" w:hAnsi="宋体" w:eastAsia="宋体" w:cs="宋体"/>
          <w:color w:val="auto"/>
          <w:lang w:val="en-US" w:eastAsia="zh-CN"/>
        </w:rPr>
      </w:pPr>
    </w:p>
    <w:p w14:paraId="7AA40F1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right"/>
        <w:textAlignment w:val="auto"/>
        <w:rPr>
          <w:rFonts w:hint="eastAsia" w:ascii="宋体" w:hAnsi="宋体" w:eastAsia="宋体" w:cs="宋体"/>
          <w:color w:val="auto"/>
          <w:kern w:val="0"/>
          <w:sz w:val="24"/>
          <w:szCs w:val="24"/>
          <w:highlight w:val="none"/>
          <w:u w:val="none"/>
          <w:lang w:val="en-US" w:eastAsia="zh-CN" w:bidi="ar"/>
        </w:rPr>
      </w:pPr>
      <w:r>
        <w:rPr>
          <w:rFonts w:hint="eastAsia" w:ascii="宋体" w:hAnsi="宋体" w:eastAsia="宋体" w:cs="宋体"/>
          <w:color w:val="auto"/>
          <w:kern w:val="0"/>
          <w:sz w:val="24"/>
          <w:szCs w:val="24"/>
          <w:highlight w:val="none"/>
          <w:lang w:val="en-US" w:eastAsia="zh-CN" w:bidi="ar"/>
        </w:rPr>
        <w:t>日期：</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none"/>
          <w:lang w:val="en-US" w:eastAsia="zh-CN" w:bidi="ar"/>
        </w:rPr>
        <w:t>年</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none"/>
          <w:lang w:val="en-US" w:eastAsia="zh-CN" w:bidi="ar"/>
        </w:rPr>
        <w:t>月</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none"/>
          <w:lang w:val="en-US" w:eastAsia="zh-CN" w:bidi="ar"/>
        </w:rPr>
        <w:t>日</w:t>
      </w:r>
    </w:p>
    <w:p w14:paraId="67BCFA3A">
      <w:pPr>
        <w:rPr>
          <w:rFonts w:hint="eastAsia" w:ascii="宋体" w:hAnsi="宋体" w:eastAsia="宋体" w:cs="宋体"/>
          <w:color w:val="auto"/>
          <w:lang w:val="en-US" w:eastAsia="zh-CN"/>
        </w:rPr>
      </w:pPr>
    </w:p>
    <w:p w14:paraId="1E649F98">
      <w:pPr>
        <w:rPr>
          <w:rFonts w:hint="eastAsia" w:ascii="宋体" w:hAnsi="宋体" w:eastAsia="宋体" w:cs="宋体"/>
          <w:color w:val="auto"/>
          <w:lang w:val="en-US" w:eastAsia="zh-CN"/>
        </w:rPr>
      </w:pPr>
    </w:p>
    <w:p w14:paraId="3A1ED99F">
      <w:pPr>
        <w:rPr>
          <w:rFonts w:hint="eastAsia" w:ascii="宋体" w:hAnsi="宋体" w:eastAsia="宋体" w:cs="宋体"/>
          <w:color w:val="auto"/>
          <w:lang w:val="en-US" w:eastAsia="zh-CN"/>
        </w:rPr>
      </w:pPr>
    </w:p>
    <w:p w14:paraId="248056BF">
      <w:pPr>
        <w:rPr>
          <w:rFonts w:hint="eastAsia" w:ascii="宋体" w:hAnsi="宋体" w:eastAsia="宋体" w:cs="宋体"/>
          <w:color w:val="auto"/>
          <w:lang w:val="en-US" w:eastAsia="zh-CN"/>
        </w:rPr>
      </w:pPr>
    </w:p>
    <w:p w14:paraId="0267FD5B">
      <w:pPr>
        <w:rPr>
          <w:rFonts w:hint="eastAsia" w:ascii="宋体" w:hAnsi="宋体" w:eastAsia="宋体" w:cs="宋体"/>
          <w:color w:val="auto"/>
          <w:lang w:val="en-US" w:eastAsia="zh-CN"/>
        </w:rPr>
      </w:pPr>
    </w:p>
    <w:p w14:paraId="248FA081">
      <w:pPr>
        <w:rPr>
          <w:rFonts w:hint="eastAsia" w:ascii="宋体" w:hAnsi="宋体" w:eastAsia="宋体" w:cs="宋体"/>
          <w:color w:val="auto"/>
          <w:lang w:val="en-US" w:eastAsia="zh-CN"/>
        </w:rPr>
      </w:pPr>
    </w:p>
    <w:p w14:paraId="0B2119F2">
      <w:pPr>
        <w:rPr>
          <w:rFonts w:hint="eastAsia" w:ascii="宋体" w:hAnsi="宋体" w:eastAsia="宋体" w:cs="宋体"/>
          <w:color w:val="auto"/>
          <w:lang w:val="en-US" w:eastAsia="zh-CN"/>
        </w:rPr>
      </w:pPr>
    </w:p>
    <w:p w14:paraId="71CBFD59">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lang w:eastAsia="zh-CN"/>
        </w:rPr>
      </w:pPr>
      <w:bookmarkStart w:id="487" w:name="_Toc31628"/>
      <w:r>
        <w:rPr>
          <w:rFonts w:hint="eastAsia" w:ascii="宋体" w:hAnsi="宋体" w:eastAsia="宋体" w:cs="宋体"/>
          <w:color w:val="auto"/>
          <w:kern w:val="2"/>
          <w:sz w:val="28"/>
          <w:szCs w:val="24"/>
          <w:lang w:val="en-US" w:eastAsia="zh-CN"/>
        </w:rPr>
        <w:t>格式十六   定标因素评审资料</w:t>
      </w:r>
      <w:bookmarkEnd w:id="485"/>
      <w:bookmarkEnd w:id="487"/>
    </w:p>
    <w:p w14:paraId="1FCDE4E4">
      <w:pPr>
        <w:spacing w:line="5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定标因素评审资料</w:t>
      </w:r>
    </w:p>
    <w:p w14:paraId="7B57195C">
      <w:pPr>
        <w:pStyle w:val="40"/>
        <w:ind w:left="0" w:leftChars="0" w:firstLine="0" w:firstLineChars="0"/>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投标人根据“</w:t>
      </w:r>
      <w:r>
        <w:rPr>
          <w:rFonts w:hint="eastAsia" w:ascii="宋体" w:hAnsi="宋体" w:eastAsia="宋体" w:cs="宋体"/>
          <w:b w:val="0"/>
          <w:bCs w:val="0"/>
          <w:color w:val="auto"/>
          <w:sz w:val="24"/>
          <w:szCs w:val="24"/>
          <w:highlight w:val="none"/>
        </w:rPr>
        <w:t>第</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章 第</w:t>
      </w:r>
      <w:r>
        <w:rPr>
          <w:rFonts w:hint="eastAsia" w:ascii="宋体" w:hAnsi="宋体" w:eastAsia="宋体" w:cs="宋体"/>
          <w:b w:val="0"/>
          <w:bCs w:val="0"/>
          <w:color w:val="auto"/>
          <w:sz w:val="24"/>
          <w:szCs w:val="24"/>
          <w:highlight w:val="none"/>
          <w:lang w:val="en-US" w:eastAsia="zh-CN"/>
        </w:rPr>
        <w:t>五</w:t>
      </w:r>
      <w:r>
        <w:rPr>
          <w:rFonts w:hint="eastAsia" w:ascii="宋体" w:hAnsi="宋体" w:eastAsia="宋体" w:cs="宋体"/>
          <w:b w:val="0"/>
          <w:bCs w:val="0"/>
          <w:color w:val="auto"/>
          <w:sz w:val="24"/>
          <w:szCs w:val="24"/>
          <w:highlight w:val="none"/>
        </w:rPr>
        <w:t>节 定标</w:t>
      </w:r>
      <w:r>
        <w:rPr>
          <w:rFonts w:hint="eastAsia" w:ascii="宋体" w:hAnsi="宋体" w:eastAsia="宋体" w:cs="宋体"/>
          <w:b w:val="0"/>
          <w:bCs w:val="0"/>
          <w:color w:val="auto"/>
          <w:sz w:val="24"/>
          <w:szCs w:val="24"/>
          <w:highlight w:val="none"/>
          <w:lang w:eastAsia="zh-CN"/>
        </w:rPr>
        <w:t>规定</w:t>
      </w:r>
      <w:r>
        <w:rPr>
          <w:rFonts w:hint="eastAsia" w:ascii="宋体" w:hAnsi="宋体" w:eastAsia="宋体" w:cs="宋体"/>
          <w:b w:val="0"/>
          <w:bCs w:val="0"/>
          <w:color w:val="auto"/>
          <w:sz w:val="24"/>
          <w:szCs w:val="24"/>
          <w:highlight w:val="none"/>
          <w:lang w:val="en-US" w:eastAsia="zh-CN"/>
        </w:rPr>
        <w:t>及细则”载明的</w:t>
      </w:r>
      <w:r>
        <w:rPr>
          <w:rFonts w:hint="eastAsia" w:ascii="宋体" w:hAnsi="宋体" w:eastAsia="宋体" w:cs="宋体"/>
          <w:b w:val="0"/>
          <w:bCs w:val="0"/>
          <w:color w:val="auto"/>
          <w:sz w:val="24"/>
          <w:szCs w:val="24"/>
          <w:highlight w:val="none"/>
          <w:lang w:eastAsia="zh-CN"/>
        </w:rPr>
        <w:t>定标因素，</w:t>
      </w:r>
      <w:r>
        <w:rPr>
          <w:rFonts w:hint="eastAsia" w:ascii="宋体" w:hAnsi="宋体" w:eastAsia="宋体" w:cs="宋体"/>
          <w:b w:val="0"/>
          <w:bCs w:val="0"/>
          <w:color w:val="auto"/>
          <w:sz w:val="24"/>
          <w:szCs w:val="24"/>
          <w:highlight w:val="none"/>
          <w:lang w:val="en-US" w:eastAsia="zh-CN"/>
        </w:rPr>
        <w:t>提交</w:t>
      </w:r>
      <w:r>
        <w:rPr>
          <w:rFonts w:hint="eastAsia" w:ascii="宋体" w:hAnsi="宋体" w:eastAsia="宋体" w:cs="宋体"/>
          <w:b w:val="0"/>
          <w:bCs w:val="0"/>
          <w:color w:val="auto"/>
          <w:sz w:val="24"/>
          <w:szCs w:val="24"/>
          <w:highlight w:val="none"/>
          <w:lang w:eastAsia="zh-CN"/>
        </w:rPr>
        <w:t>评审资料。</w:t>
      </w:r>
    </w:p>
    <w:p w14:paraId="4B79A8AE">
      <w:pPr>
        <w:pStyle w:val="40"/>
        <w:ind w:left="0" w:leftChars="0" w:firstLine="0" w:firstLineChars="0"/>
        <w:jc w:val="center"/>
        <w:rPr>
          <w:rStyle w:val="55"/>
          <w:rFonts w:hint="eastAsia" w:ascii="宋体" w:hAnsi="宋体" w:eastAsia="宋体" w:cs="宋体"/>
          <w:bCs/>
          <w:color w:val="auto"/>
          <w:kern w:val="2"/>
          <w:sz w:val="24"/>
          <w:szCs w:val="24"/>
          <w:highlight w:val="none"/>
          <w:lang w:val="en-US"/>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评标报告除外）</w:t>
      </w:r>
    </w:p>
    <w:p w14:paraId="31B1E1DE">
      <w:pPr>
        <w:rPr>
          <w:rFonts w:hint="eastAsia" w:ascii="宋体" w:hAnsi="宋体" w:eastAsia="宋体" w:cs="宋体"/>
          <w:color w:val="auto"/>
        </w:rPr>
      </w:pPr>
    </w:p>
    <w:p w14:paraId="417F103A">
      <w:pPr>
        <w:rPr>
          <w:rFonts w:hint="eastAsia" w:ascii="宋体" w:hAnsi="宋体" w:eastAsia="宋体" w:cs="宋体"/>
          <w:color w:val="auto"/>
        </w:rPr>
      </w:pPr>
    </w:p>
    <w:p w14:paraId="229CE180">
      <w:pPr>
        <w:rPr>
          <w:rFonts w:hint="eastAsia" w:ascii="宋体" w:hAnsi="宋体" w:eastAsia="宋体" w:cs="宋体"/>
          <w:color w:val="auto"/>
        </w:rPr>
      </w:pPr>
    </w:p>
    <w:p w14:paraId="12852607">
      <w:pPr>
        <w:rPr>
          <w:rFonts w:hint="eastAsia" w:ascii="宋体" w:hAnsi="宋体" w:eastAsia="宋体" w:cs="宋体"/>
          <w:color w:val="auto"/>
        </w:rPr>
      </w:pPr>
    </w:p>
    <w:p w14:paraId="1B6F0B5D">
      <w:pPr>
        <w:rPr>
          <w:rFonts w:hint="eastAsia" w:ascii="宋体" w:hAnsi="宋体" w:eastAsia="宋体" w:cs="宋体"/>
          <w:color w:val="auto"/>
        </w:rPr>
      </w:pPr>
    </w:p>
    <w:p w14:paraId="2CB1B1E6">
      <w:pPr>
        <w:rPr>
          <w:rFonts w:hint="eastAsia" w:ascii="宋体" w:hAnsi="宋体" w:eastAsia="宋体" w:cs="宋体"/>
          <w:color w:val="auto"/>
        </w:rPr>
      </w:pPr>
    </w:p>
    <w:p w14:paraId="56CFDDB4">
      <w:pPr>
        <w:rPr>
          <w:rFonts w:hint="eastAsia" w:ascii="宋体" w:hAnsi="宋体" w:eastAsia="宋体" w:cs="宋体"/>
          <w:color w:val="auto"/>
        </w:rPr>
      </w:pPr>
    </w:p>
    <w:p w14:paraId="5D8805C4">
      <w:pPr>
        <w:rPr>
          <w:rFonts w:hint="eastAsia" w:ascii="宋体" w:hAnsi="宋体" w:eastAsia="宋体" w:cs="宋体"/>
          <w:color w:val="auto"/>
        </w:rPr>
      </w:pPr>
    </w:p>
    <w:p w14:paraId="3D9CBB37">
      <w:pPr>
        <w:rPr>
          <w:rFonts w:hint="eastAsia" w:ascii="宋体" w:hAnsi="宋体" w:eastAsia="宋体" w:cs="宋体"/>
          <w:color w:val="auto"/>
        </w:rPr>
      </w:pPr>
    </w:p>
    <w:p w14:paraId="59C82937">
      <w:pPr>
        <w:rPr>
          <w:rFonts w:hint="eastAsia" w:ascii="宋体" w:hAnsi="宋体" w:eastAsia="宋体" w:cs="宋体"/>
          <w:color w:val="auto"/>
        </w:rPr>
      </w:pPr>
    </w:p>
    <w:p w14:paraId="559DC5AE">
      <w:pPr>
        <w:rPr>
          <w:rFonts w:hint="eastAsia" w:ascii="宋体" w:hAnsi="宋体" w:eastAsia="宋体" w:cs="宋体"/>
          <w:color w:val="auto"/>
        </w:rPr>
      </w:pPr>
    </w:p>
    <w:p w14:paraId="7E9B8D39">
      <w:pPr>
        <w:rPr>
          <w:rFonts w:hint="eastAsia" w:ascii="宋体" w:hAnsi="宋体" w:eastAsia="宋体" w:cs="宋体"/>
          <w:color w:val="auto"/>
        </w:rPr>
      </w:pPr>
    </w:p>
    <w:p w14:paraId="0DF5E7FC">
      <w:pPr>
        <w:rPr>
          <w:rFonts w:hint="eastAsia" w:ascii="宋体" w:hAnsi="宋体" w:eastAsia="宋体" w:cs="宋体"/>
          <w:color w:val="auto"/>
        </w:rPr>
      </w:pPr>
    </w:p>
    <w:p w14:paraId="14D6206D">
      <w:pPr>
        <w:rPr>
          <w:rFonts w:hint="eastAsia" w:ascii="宋体" w:hAnsi="宋体" w:eastAsia="宋体" w:cs="宋体"/>
          <w:color w:val="auto"/>
        </w:rPr>
      </w:pPr>
    </w:p>
    <w:p w14:paraId="64E3F869">
      <w:pPr>
        <w:rPr>
          <w:rFonts w:hint="eastAsia" w:ascii="宋体" w:hAnsi="宋体" w:eastAsia="宋体" w:cs="宋体"/>
          <w:color w:val="auto"/>
        </w:rPr>
      </w:pPr>
    </w:p>
    <w:p w14:paraId="62CD8C80">
      <w:pPr>
        <w:rPr>
          <w:rFonts w:hint="eastAsia" w:ascii="宋体" w:hAnsi="宋体" w:eastAsia="宋体" w:cs="宋体"/>
          <w:color w:val="auto"/>
        </w:rPr>
      </w:pPr>
    </w:p>
    <w:p w14:paraId="37E757FE">
      <w:pPr>
        <w:rPr>
          <w:rFonts w:hint="eastAsia" w:ascii="宋体" w:hAnsi="宋体" w:eastAsia="宋体" w:cs="宋体"/>
          <w:color w:val="auto"/>
        </w:rPr>
      </w:pPr>
    </w:p>
    <w:p w14:paraId="581FEDF6">
      <w:pPr>
        <w:rPr>
          <w:rFonts w:hint="eastAsia" w:ascii="宋体" w:hAnsi="宋体" w:eastAsia="宋体" w:cs="宋体"/>
          <w:color w:val="auto"/>
        </w:rPr>
      </w:pPr>
    </w:p>
    <w:p w14:paraId="185CC0D8">
      <w:pPr>
        <w:rPr>
          <w:rFonts w:hint="eastAsia" w:ascii="宋体" w:hAnsi="宋体" w:eastAsia="宋体" w:cs="宋体"/>
          <w:color w:val="auto"/>
        </w:rPr>
      </w:pPr>
    </w:p>
    <w:p w14:paraId="382DFA40">
      <w:pPr>
        <w:rPr>
          <w:rFonts w:hint="eastAsia" w:ascii="宋体" w:hAnsi="宋体" w:eastAsia="宋体" w:cs="宋体"/>
          <w:color w:val="auto"/>
        </w:rPr>
      </w:pPr>
    </w:p>
    <w:p w14:paraId="1F0743EC">
      <w:pPr>
        <w:rPr>
          <w:rFonts w:hint="eastAsia" w:ascii="宋体" w:hAnsi="宋体" w:eastAsia="宋体" w:cs="宋体"/>
          <w:color w:val="auto"/>
        </w:rPr>
      </w:pPr>
    </w:p>
    <w:p w14:paraId="429841E6">
      <w:pPr>
        <w:rPr>
          <w:rFonts w:hint="eastAsia" w:ascii="宋体" w:hAnsi="宋体" w:eastAsia="宋体" w:cs="宋体"/>
          <w:color w:val="auto"/>
        </w:rPr>
      </w:pPr>
    </w:p>
    <w:p w14:paraId="47E252D7">
      <w:pPr>
        <w:rPr>
          <w:rFonts w:hint="eastAsia" w:ascii="宋体" w:hAnsi="宋体" w:eastAsia="宋体" w:cs="宋体"/>
          <w:color w:val="auto"/>
        </w:rPr>
      </w:pPr>
    </w:p>
    <w:p w14:paraId="55A0095C">
      <w:pPr>
        <w:rPr>
          <w:rFonts w:hint="eastAsia" w:ascii="宋体" w:hAnsi="宋体" w:eastAsia="宋体" w:cs="宋体"/>
          <w:color w:val="auto"/>
        </w:rPr>
      </w:pPr>
    </w:p>
    <w:p w14:paraId="0CF492FB">
      <w:pPr>
        <w:rPr>
          <w:rFonts w:hint="eastAsia" w:ascii="宋体" w:hAnsi="宋体" w:eastAsia="宋体" w:cs="宋体"/>
          <w:color w:val="auto"/>
        </w:rPr>
      </w:pPr>
    </w:p>
    <w:p w14:paraId="5C516D90">
      <w:pPr>
        <w:rPr>
          <w:rFonts w:hint="eastAsia" w:ascii="宋体" w:hAnsi="宋体" w:eastAsia="宋体" w:cs="宋体"/>
          <w:color w:val="auto"/>
        </w:rPr>
      </w:pPr>
    </w:p>
    <w:p w14:paraId="00B15DFB">
      <w:pPr>
        <w:pStyle w:val="4"/>
        <w:keepLines w:val="0"/>
        <w:widowControl w:val="0"/>
        <w:tabs>
          <w:tab w:val="left" w:pos="1995"/>
        </w:tabs>
        <w:bidi w:val="0"/>
        <w:spacing w:before="0" w:beforeLines="-2147483648" w:beforeAutospacing="0" w:after="0" w:afterLines="-2147483648" w:afterAutospacing="0" w:line="480" w:lineRule="exact"/>
        <w:ind w:left="0" w:leftChars="0" w:firstLine="0" w:firstLineChars="0"/>
        <w:jc w:val="left"/>
        <w:textAlignment w:val="auto"/>
        <w:rPr>
          <w:rFonts w:hint="eastAsia" w:ascii="宋体" w:hAnsi="宋体" w:eastAsia="宋体" w:cs="宋体"/>
          <w:color w:val="auto"/>
          <w:kern w:val="2"/>
          <w:sz w:val="28"/>
          <w:szCs w:val="24"/>
          <w:lang w:val="en-US" w:eastAsia="zh-CN"/>
        </w:rPr>
      </w:pPr>
      <w:bookmarkStart w:id="488" w:name="_Toc22173"/>
      <w:r>
        <w:rPr>
          <w:rFonts w:hint="eastAsia" w:ascii="宋体" w:hAnsi="宋体" w:eastAsia="宋体" w:cs="宋体"/>
          <w:color w:val="auto"/>
          <w:kern w:val="2"/>
          <w:sz w:val="28"/>
          <w:szCs w:val="24"/>
          <w:lang w:val="en-US" w:eastAsia="zh-CN"/>
        </w:rPr>
        <w:t>格式十七   原件一览表</w:t>
      </w:r>
      <w:bookmarkEnd w:id="446"/>
      <w:bookmarkEnd w:id="447"/>
      <w:r>
        <w:rPr>
          <w:rFonts w:hint="eastAsia" w:ascii="宋体" w:hAnsi="宋体" w:eastAsia="宋体" w:cs="宋体"/>
          <w:color w:val="auto"/>
          <w:kern w:val="2"/>
          <w:sz w:val="28"/>
          <w:szCs w:val="24"/>
          <w:lang w:val="en-US" w:eastAsia="zh-CN"/>
        </w:rPr>
        <w:t>（如有）</w:t>
      </w:r>
      <w:bookmarkEnd w:id="488"/>
    </w:p>
    <w:tbl>
      <w:tblPr>
        <w:tblStyle w:val="21"/>
        <w:tblpPr w:leftFromText="180" w:rightFromText="180" w:vertAnchor="text" w:horzAnchor="page" w:tblpX="1038"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31B0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9108" w:type="dxa"/>
            <w:gridSpan w:val="8"/>
            <w:noWrap w:val="0"/>
            <w:tcMar>
              <w:left w:w="108" w:type="dxa"/>
              <w:right w:w="108" w:type="dxa"/>
            </w:tcMar>
            <w:vAlign w:val="center"/>
          </w:tcPr>
          <w:p w14:paraId="0B6D6B15">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bookmarkStart w:id="489" w:name="_Toc14444"/>
            <w:bookmarkStart w:id="490" w:name="_Toc31416"/>
            <w:bookmarkStart w:id="491" w:name="_Toc10942"/>
            <w:bookmarkStart w:id="492" w:name="_Toc30888"/>
            <w:bookmarkStart w:id="493" w:name="_Toc31153"/>
            <w:bookmarkStart w:id="494" w:name="_Toc27446"/>
            <w:bookmarkStart w:id="495" w:name="_Toc16478"/>
            <w:bookmarkStart w:id="496" w:name="_Toc9142"/>
            <w:bookmarkStart w:id="497" w:name="_Toc23839"/>
            <w:bookmarkStart w:id="498" w:name="_Toc2641"/>
            <w:r>
              <w:rPr>
                <w:rFonts w:hint="eastAsia" w:ascii="宋体" w:hAnsi="宋体" w:eastAsia="宋体" w:cs="宋体"/>
                <w:b/>
                <w:color w:val="auto"/>
                <w:sz w:val="21"/>
                <w:szCs w:val="21"/>
                <w:highlight w:val="none"/>
              </w:rPr>
              <w:t>原件一览表</w:t>
            </w:r>
          </w:p>
        </w:tc>
      </w:tr>
      <w:tr w14:paraId="76C6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2299" w:type="dxa"/>
            <w:gridSpan w:val="3"/>
            <w:noWrap w:val="0"/>
            <w:tcMar>
              <w:left w:w="108" w:type="dxa"/>
              <w:right w:w="108" w:type="dxa"/>
            </w:tcMar>
            <w:vAlign w:val="center"/>
          </w:tcPr>
          <w:p w14:paraId="32BFCA4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工程名称</w:t>
            </w:r>
          </w:p>
        </w:tc>
        <w:tc>
          <w:tcPr>
            <w:tcW w:w="6809" w:type="dxa"/>
            <w:gridSpan w:val="5"/>
            <w:noWrap w:val="0"/>
            <w:tcMar>
              <w:left w:w="108" w:type="dxa"/>
              <w:right w:w="108" w:type="dxa"/>
            </w:tcMar>
            <w:vAlign w:val="center"/>
          </w:tcPr>
          <w:p w14:paraId="3DA28BC5">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tc>
      </w:tr>
      <w:tr w14:paraId="7C45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2299" w:type="dxa"/>
            <w:gridSpan w:val="3"/>
            <w:noWrap w:val="0"/>
            <w:tcMar>
              <w:left w:w="108" w:type="dxa"/>
              <w:right w:w="108" w:type="dxa"/>
            </w:tcMar>
            <w:vAlign w:val="center"/>
          </w:tcPr>
          <w:p w14:paraId="3EED23C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投标人名称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请务必填写单位全称</w:t>
            </w:r>
            <w:r>
              <w:rPr>
                <w:rFonts w:hint="eastAsia" w:ascii="宋体" w:hAnsi="宋体" w:eastAsia="宋体" w:cs="宋体"/>
                <w:color w:val="auto"/>
                <w:sz w:val="21"/>
                <w:szCs w:val="21"/>
                <w:highlight w:val="none"/>
                <w:lang w:eastAsia="zh-CN"/>
              </w:rPr>
              <w:t>）</w:t>
            </w:r>
          </w:p>
        </w:tc>
        <w:tc>
          <w:tcPr>
            <w:tcW w:w="6809" w:type="dxa"/>
            <w:gridSpan w:val="5"/>
            <w:noWrap w:val="0"/>
            <w:tcMar>
              <w:left w:w="108" w:type="dxa"/>
              <w:right w:w="108" w:type="dxa"/>
            </w:tcMar>
            <w:vAlign w:val="center"/>
          </w:tcPr>
          <w:p w14:paraId="1054B94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44EF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2299" w:type="dxa"/>
            <w:gridSpan w:val="3"/>
            <w:noWrap w:val="0"/>
            <w:tcMar>
              <w:left w:w="108" w:type="dxa"/>
              <w:right w:w="108" w:type="dxa"/>
            </w:tcMar>
            <w:vAlign w:val="center"/>
          </w:tcPr>
          <w:p w14:paraId="1F31A4A5">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投标人法定代表人或其</w:t>
            </w:r>
          </w:p>
          <w:p w14:paraId="2206970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委托代理人签名</w:t>
            </w:r>
          </w:p>
        </w:tc>
        <w:tc>
          <w:tcPr>
            <w:tcW w:w="3527" w:type="dxa"/>
            <w:gridSpan w:val="2"/>
            <w:noWrap w:val="0"/>
            <w:tcMar>
              <w:left w:w="108" w:type="dxa"/>
              <w:right w:w="108" w:type="dxa"/>
            </w:tcMar>
            <w:vAlign w:val="center"/>
          </w:tcPr>
          <w:p w14:paraId="1B02F4B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754" w:type="dxa"/>
            <w:noWrap w:val="0"/>
            <w:tcMar>
              <w:left w:w="108" w:type="dxa"/>
              <w:right w:w="108" w:type="dxa"/>
            </w:tcMar>
            <w:vAlign w:val="center"/>
          </w:tcPr>
          <w:p w14:paraId="2D63F21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手机号码</w:t>
            </w:r>
          </w:p>
        </w:tc>
        <w:tc>
          <w:tcPr>
            <w:tcW w:w="2528" w:type="dxa"/>
            <w:gridSpan w:val="2"/>
            <w:noWrap w:val="0"/>
            <w:tcMar>
              <w:left w:w="108" w:type="dxa"/>
              <w:right w:w="108" w:type="dxa"/>
            </w:tcMar>
            <w:vAlign w:val="center"/>
          </w:tcPr>
          <w:p w14:paraId="3B6F326E">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6CB9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9108" w:type="dxa"/>
            <w:gridSpan w:val="8"/>
            <w:noWrap w:val="0"/>
            <w:tcMar>
              <w:left w:w="108" w:type="dxa"/>
              <w:right w:w="108" w:type="dxa"/>
            </w:tcMar>
            <w:vAlign w:val="center"/>
          </w:tcPr>
          <w:p w14:paraId="6B6C03CD">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递交的证明材料原件如下：</w:t>
            </w:r>
          </w:p>
        </w:tc>
      </w:tr>
      <w:tr w14:paraId="66E6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01" w:type="dxa"/>
            <w:noWrap w:val="0"/>
            <w:tcMar>
              <w:left w:w="108" w:type="dxa"/>
              <w:right w:w="108" w:type="dxa"/>
            </w:tcMar>
            <w:vAlign w:val="center"/>
          </w:tcPr>
          <w:p w14:paraId="1B369BB6">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125" w:type="dxa"/>
            <w:gridSpan w:val="4"/>
            <w:noWrap w:val="0"/>
            <w:tcMar>
              <w:left w:w="108" w:type="dxa"/>
              <w:right w:w="108" w:type="dxa"/>
            </w:tcMar>
            <w:vAlign w:val="center"/>
          </w:tcPr>
          <w:p w14:paraId="687EFE6E">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证明材料原件名称</w:t>
            </w:r>
          </w:p>
        </w:tc>
        <w:tc>
          <w:tcPr>
            <w:tcW w:w="1712" w:type="dxa"/>
            <w:gridSpan w:val="2"/>
            <w:noWrap w:val="0"/>
            <w:tcMar>
              <w:left w:w="108" w:type="dxa"/>
              <w:right w:w="108" w:type="dxa"/>
            </w:tcMar>
            <w:vAlign w:val="center"/>
          </w:tcPr>
          <w:p w14:paraId="68712D1D">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1570" w:type="dxa"/>
            <w:noWrap w:val="0"/>
            <w:tcMar>
              <w:left w:w="108" w:type="dxa"/>
              <w:right w:w="108" w:type="dxa"/>
            </w:tcMar>
            <w:vAlign w:val="center"/>
          </w:tcPr>
          <w:p w14:paraId="1D32EC39">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r>
      <w:tr w14:paraId="614A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01" w:type="dxa"/>
            <w:noWrap w:val="0"/>
            <w:tcMar>
              <w:left w:w="108" w:type="dxa"/>
              <w:right w:w="108" w:type="dxa"/>
            </w:tcMar>
            <w:vAlign w:val="center"/>
          </w:tcPr>
          <w:p w14:paraId="640E33B0">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125" w:type="dxa"/>
            <w:gridSpan w:val="4"/>
            <w:noWrap w:val="0"/>
            <w:tcMar>
              <w:left w:w="108" w:type="dxa"/>
              <w:right w:w="108" w:type="dxa"/>
            </w:tcMar>
            <w:vAlign w:val="center"/>
          </w:tcPr>
          <w:p w14:paraId="4F6FAD7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1712" w:type="dxa"/>
            <w:gridSpan w:val="2"/>
            <w:noWrap w:val="0"/>
            <w:tcMar>
              <w:left w:w="108" w:type="dxa"/>
              <w:right w:w="108" w:type="dxa"/>
            </w:tcMar>
            <w:vAlign w:val="center"/>
          </w:tcPr>
          <w:p w14:paraId="19D78C5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1570" w:type="dxa"/>
            <w:noWrap w:val="0"/>
            <w:tcMar>
              <w:left w:w="108" w:type="dxa"/>
              <w:right w:w="108" w:type="dxa"/>
            </w:tcMar>
            <w:vAlign w:val="center"/>
          </w:tcPr>
          <w:p w14:paraId="6D548D2F">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03FF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01" w:type="dxa"/>
            <w:noWrap w:val="0"/>
            <w:tcMar>
              <w:left w:w="108" w:type="dxa"/>
              <w:right w:w="108" w:type="dxa"/>
            </w:tcMar>
            <w:vAlign w:val="center"/>
          </w:tcPr>
          <w:p w14:paraId="72FD7F4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125" w:type="dxa"/>
            <w:gridSpan w:val="4"/>
            <w:noWrap w:val="0"/>
            <w:tcMar>
              <w:left w:w="108" w:type="dxa"/>
              <w:right w:w="108" w:type="dxa"/>
            </w:tcMar>
            <w:vAlign w:val="center"/>
          </w:tcPr>
          <w:p w14:paraId="0316E8C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1712" w:type="dxa"/>
            <w:gridSpan w:val="2"/>
            <w:noWrap w:val="0"/>
            <w:tcMar>
              <w:left w:w="108" w:type="dxa"/>
              <w:right w:w="108" w:type="dxa"/>
            </w:tcMar>
            <w:vAlign w:val="center"/>
          </w:tcPr>
          <w:p w14:paraId="739DB88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1570" w:type="dxa"/>
            <w:noWrap w:val="0"/>
            <w:tcMar>
              <w:left w:w="108" w:type="dxa"/>
              <w:right w:w="108" w:type="dxa"/>
            </w:tcMar>
            <w:vAlign w:val="center"/>
          </w:tcPr>
          <w:p w14:paraId="5A92F54D">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r>
      <w:tr w14:paraId="230D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01" w:type="dxa"/>
            <w:noWrap w:val="0"/>
            <w:tcMar>
              <w:left w:w="108" w:type="dxa"/>
              <w:right w:w="108" w:type="dxa"/>
            </w:tcMar>
            <w:vAlign w:val="center"/>
          </w:tcPr>
          <w:p w14:paraId="2B830693">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125" w:type="dxa"/>
            <w:gridSpan w:val="4"/>
            <w:noWrap w:val="0"/>
            <w:tcMar>
              <w:left w:w="108" w:type="dxa"/>
              <w:right w:w="108" w:type="dxa"/>
            </w:tcMar>
            <w:vAlign w:val="center"/>
          </w:tcPr>
          <w:p w14:paraId="156EB4C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1712" w:type="dxa"/>
            <w:gridSpan w:val="2"/>
            <w:noWrap w:val="0"/>
            <w:tcMar>
              <w:left w:w="108" w:type="dxa"/>
              <w:right w:w="108" w:type="dxa"/>
            </w:tcMar>
            <w:vAlign w:val="center"/>
          </w:tcPr>
          <w:p w14:paraId="7F98B78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1570" w:type="dxa"/>
            <w:noWrap w:val="0"/>
            <w:tcMar>
              <w:left w:w="108" w:type="dxa"/>
              <w:right w:w="108" w:type="dxa"/>
            </w:tcMar>
            <w:vAlign w:val="center"/>
          </w:tcPr>
          <w:p w14:paraId="2F418816">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r>
      <w:tr w14:paraId="60EB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01" w:type="dxa"/>
            <w:noWrap w:val="0"/>
            <w:tcMar>
              <w:left w:w="108" w:type="dxa"/>
              <w:right w:w="108" w:type="dxa"/>
            </w:tcMar>
            <w:vAlign w:val="center"/>
          </w:tcPr>
          <w:p w14:paraId="07D8717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125" w:type="dxa"/>
            <w:gridSpan w:val="4"/>
            <w:noWrap w:val="0"/>
            <w:tcMar>
              <w:left w:w="108" w:type="dxa"/>
              <w:right w:w="108" w:type="dxa"/>
            </w:tcMar>
            <w:vAlign w:val="center"/>
          </w:tcPr>
          <w:p w14:paraId="24BE2C92">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1712" w:type="dxa"/>
            <w:gridSpan w:val="2"/>
            <w:noWrap w:val="0"/>
            <w:tcMar>
              <w:left w:w="108" w:type="dxa"/>
              <w:right w:w="108" w:type="dxa"/>
            </w:tcMar>
            <w:vAlign w:val="center"/>
          </w:tcPr>
          <w:p w14:paraId="17F81B39">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1570" w:type="dxa"/>
            <w:noWrap w:val="0"/>
            <w:tcMar>
              <w:left w:w="108" w:type="dxa"/>
              <w:right w:w="108" w:type="dxa"/>
            </w:tcMar>
            <w:vAlign w:val="center"/>
          </w:tcPr>
          <w:p w14:paraId="5341595E">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5200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701" w:type="dxa"/>
            <w:noWrap w:val="0"/>
            <w:tcMar>
              <w:left w:w="108" w:type="dxa"/>
              <w:right w:w="108" w:type="dxa"/>
            </w:tcMar>
            <w:vAlign w:val="center"/>
          </w:tcPr>
          <w:p w14:paraId="358C40F3">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8" w:right="0" w:hanging="9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注意：</w:t>
            </w:r>
          </w:p>
        </w:tc>
        <w:tc>
          <w:tcPr>
            <w:tcW w:w="8407" w:type="dxa"/>
            <w:gridSpan w:val="7"/>
            <w:noWrap w:val="0"/>
            <w:tcMar>
              <w:left w:w="108" w:type="dxa"/>
              <w:right w:w="108" w:type="dxa"/>
            </w:tcMar>
            <w:vAlign w:val="center"/>
          </w:tcPr>
          <w:p w14:paraId="278BDAD5">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745E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2207" w:type="dxa"/>
            <w:gridSpan w:val="2"/>
            <w:noWrap w:val="0"/>
            <w:tcMar>
              <w:left w:w="108" w:type="dxa"/>
              <w:right w:w="108" w:type="dxa"/>
            </w:tcMar>
            <w:vAlign w:val="center"/>
          </w:tcPr>
          <w:p w14:paraId="1465BB9E">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接收原件经办人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招标代理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tc>
        <w:tc>
          <w:tcPr>
            <w:tcW w:w="1994" w:type="dxa"/>
            <w:gridSpan w:val="2"/>
            <w:noWrap w:val="0"/>
            <w:tcMar>
              <w:left w:w="108" w:type="dxa"/>
              <w:right w:w="108" w:type="dxa"/>
            </w:tcMar>
            <w:vAlign w:val="center"/>
          </w:tcPr>
          <w:p w14:paraId="056E39F0">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1625" w:type="dxa"/>
            <w:noWrap w:val="0"/>
            <w:tcMar>
              <w:left w:w="108" w:type="dxa"/>
              <w:right w:w="108" w:type="dxa"/>
            </w:tcMar>
            <w:vAlign w:val="center"/>
          </w:tcPr>
          <w:p w14:paraId="26BC76CD">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接收时间：</w:t>
            </w:r>
          </w:p>
        </w:tc>
        <w:tc>
          <w:tcPr>
            <w:tcW w:w="3282" w:type="dxa"/>
            <w:gridSpan w:val="3"/>
            <w:noWrap w:val="0"/>
            <w:tcMar>
              <w:left w:w="108" w:type="dxa"/>
              <w:right w:w="108" w:type="dxa"/>
            </w:tcMar>
            <w:vAlign w:val="center"/>
          </w:tcPr>
          <w:p w14:paraId="574D534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时  分</w:t>
            </w:r>
          </w:p>
        </w:tc>
      </w:tr>
      <w:tr w14:paraId="3DFF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atLeast"/>
        </w:trPr>
        <w:tc>
          <w:tcPr>
            <w:tcW w:w="2207" w:type="dxa"/>
            <w:gridSpan w:val="2"/>
            <w:noWrap w:val="0"/>
            <w:tcMar>
              <w:left w:w="108" w:type="dxa"/>
              <w:right w:w="108" w:type="dxa"/>
            </w:tcMar>
            <w:vAlign w:val="center"/>
          </w:tcPr>
          <w:p w14:paraId="65DE4CE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退还原件接收人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tc>
        <w:tc>
          <w:tcPr>
            <w:tcW w:w="1994" w:type="dxa"/>
            <w:gridSpan w:val="2"/>
            <w:noWrap w:val="0"/>
            <w:tcMar>
              <w:left w:w="108" w:type="dxa"/>
              <w:right w:w="108" w:type="dxa"/>
            </w:tcMar>
            <w:vAlign w:val="center"/>
          </w:tcPr>
          <w:p w14:paraId="23A467C0">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1625" w:type="dxa"/>
            <w:noWrap w:val="0"/>
            <w:tcMar>
              <w:left w:w="108" w:type="dxa"/>
              <w:right w:w="108" w:type="dxa"/>
            </w:tcMar>
            <w:vAlign w:val="center"/>
          </w:tcPr>
          <w:p w14:paraId="4387B0E6">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退还时间：</w:t>
            </w:r>
          </w:p>
        </w:tc>
        <w:tc>
          <w:tcPr>
            <w:tcW w:w="3282" w:type="dxa"/>
            <w:gridSpan w:val="3"/>
            <w:noWrap w:val="0"/>
            <w:tcMar>
              <w:left w:w="108" w:type="dxa"/>
              <w:right w:w="108" w:type="dxa"/>
            </w:tcMar>
            <w:vAlign w:val="center"/>
          </w:tcPr>
          <w:p w14:paraId="49451423">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400" w:lineRule="exact"/>
              <w:ind w:left="0" w:right="0"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时   分</w:t>
            </w:r>
          </w:p>
        </w:tc>
      </w:tr>
    </w:tbl>
    <w:p w14:paraId="42D1E5EA">
      <w:pPr>
        <w:rPr>
          <w:rFonts w:hint="eastAsia" w:ascii="宋体" w:hAnsi="宋体" w:eastAsia="宋体" w:cs="宋体"/>
          <w:color w:val="auto"/>
        </w:rPr>
      </w:pPr>
    </w:p>
    <w:p w14:paraId="47FF9B56">
      <w:pPr>
        <w:rPr>
          <w:rFonts w:hint="eastAsia" w:ascii="宋体" w:hAnsi="宋体" w:eastAsia="宋体" w:cs="宋体"/>
          <w:color w:val="auto"/>
        </w:rPr>
      </w:pPr>
    </w:p>
    <w:p w14:paraId="655C19B6">
      <w:pPr>
        <w:rPr>
          <w:rFonts w:hint="eastAsia" w:ascii="宋体" w:hAnsi="宋体" w:eastAsia="宋体" w:cs="宋体"/>
          <w:color w:val="auto"/>
        </w:rPr>
      </w:pPr>
    </w:p>
    <w:p w14:paraId="4F027711">
      <w:pPr>
        <w:rPr>
          <w:rFonts w:hint="eastAsia" w:ascii="宋体" w:hAnsi="宋体" w:eastAsia="宋体" w:cs="宋体"/>
          <w:color w:val="auto"/>
        </w:rPr>
      </w:pPr>
    </w:p>
    <w:p w14:paraId="6B422F07">
      <w:pPr>
        <w:rPr>
          <w:rFonts w:hint="eastAsia" w:ascii="宋体" w:hAnsi="宋体" w:eastAsia="宋体" w:cs="宋体"/>
          <w:color w:val="auto"/>
        </w:rPr>
      </w:pPr>
    </w:p>
    <w:p w14:paraId="3D4ABA31">
      <w:pPr>
        <w:rPr>
          <w:rFonts w:hint="eastAsia" w:ascii="宋体" w:hAnsi="宋体" w:eastAsia="宋体" w:cs="宋体"/>
          <w:color w:val="auto"/>
        </w:rPr>
      </w:pPr>
    </w:p>
    <w:p w14:paraId="6F5C2190">
      <w:pPr>
        <w:rPr>
          <w:rFonts w:hint="eastAsia" w:ascii="宋体" w:hAnsi="宋体" w:eastAsia="宋体" w:cs="宋体"/>
          <w:color w:val="auto"/>
        </w:rPr>
      </w:pPr>
    </w:p>
    <w:p w14:paraId="5CCC7E1A">
      <w:pPr>
        <w:rPr>
          <w:rFonts w:hint="eastAsia" w:ascii="宋体" w:hAnsi="宋体" w:eastAsia="宋体" w:cs="宋体"/>
          <w:color w:val="auto"/>
        </w:rPr>
      </w:pPr>
    </w:p>
    <w:p w14:paraId="61E82C92">
      <w:pPr>
        <w:rPr>
          <w:rFonts w:hint="eastAsia" w:ascii="宋体" w:hAnsi="宋体" w:eastAsia="宋体" w:cs="宋体"/>
          <w:color w:val="auto"/>
        </w:rPr>
      </w:pPr>
    </w:p>
    <w:p w14:paraId="66FCF320">
      <w:pPr>
        <w:rPr>
          <w:rFonts w:hint="eastAsia" w:ascii="宋体" w:hAnsi="宋体" w:eastAsia="宋体" w:cs="宋体"/>
          <w:color w:val="auto"/>
        </w:rPr>
      </w:pPr>
    </w:p>
    <w:p w14:paraId="0E021FC4">
      <w:pPr>
        <w:rPr>
          <w:rFonts w:hint="eastAsia" w:ascii="宋体" w:hAnsi="宋体" w:eastAsia="宋体" w:cs="宋体"/>
          <w:color w:val="auto"/>
        </w:rPr>
      </w:pPr>
    </w:p>
    <w:p w14:paraId="4C347F1A">
      <w:pPr>
        <w:rPr>
          <w:rFonts w:hint="eastAsia" w:ascii="宋体" w:hAnsi="宋体" w:eastAsia="宋体" w:cs="宋体"/>
          <w:color w:val="auto"/>
        </w:rPr>
      </w:pPr>
    </w:p>
    <w:p w14:paraId="53FB1FCA">
      <w:pPr>
        <w:rPr>
          <w:rFonts w:hint="eastAsia" w:ascii="宋体" w:hAnsi="宋体" w:eastAsia="宋体" w:cs="宋体"/>
          <w:color w:val="auto"/>
        </w:rPr>
      </w:pPr>
    </w:p>
    <w:p w14:paraId="35BE2372">
      <w:pPr>
        <w:rPr>
          <w:rFonts w:hint="eastAsia" w:ascii="宋体" w:hAnsi="宋体" w:eastAsia="宋体" w:cs="宋体"/>
          <w:color w:val="auto"/>
        </w:rPr>
      </w:pPr>
    </w:p>
    <w:p w14:paraId="2A7BFD3A">
      <w:pPr>
        <w:rPr>
          <w:rFonts w:hint="eastAsia" w:ascii="宋体" w:hAnsi="宋体" w:eastAsia="宋体" w:cs="宋体"/>
          <w:color w:val="auto"/>
        </w:rPr>
      </w:pPr>
    </w:p>
    <w:p w14:paraId="280B0D63">
      <w:pPr>
        <w:rPr>
          <w:rFonts w:hint="eastAsia" w:ascii="宋体" w:hAnsi="宋体" w:eastAsia="宋体" w:cs="宋体"/>
          <w:color w:val="auto"/>
        </w:rPr>
      </w:pPr>
    </w:p>
    <w:p w14:paraId="5EB7FBDB">
      <w:pPr>
        <w:rPr>
          <w:rFonts w:hint="eastAsia" w:ascii="宋体" w:hAnsi="宋体" w:eastAsia="宋体" w:cs="宋体"/>
          <w:color w:val="auto"/>
        </w:rPr>
      </w:pPr>
    </w:p>
    <w:p w14:paraId="3C4A69D6">
      <w:pPr>
        <w:rPr>
          <w:rFonts w:hint="eastAsia" w:ascii="宋体" w:hAnsi="宋体" w:eastAsia="宋体" w:cs="宋体"/>
          <w:color w:val="auto"/>
        </w:rPr>
      </w:pPr>
    </w:p>
    <w:p w14:paraId="3578CD37">
      <w:pPr>
        <w:rPr>
          <w:rFonts w:hint="eastAsia" w:ascii="宋体" w:hAnsi="宋体" w:eastAsia="宋体" w:cs="宋体"/>
          <w:color w:val="auto"/>
        </w:rPr>
      </w:pPr>
    </w:p>
    <w:p w14:paraId="0C9A81B6">
      <w:pPr>
        <w:rPr>
          <w:rFonts w:hint="eastAsia" w:ascii="宋体" w:hAnsi="宋体" w:eastAsia="宋体" w:cs="宋体"/>
          <w:color w:val="auto"/>
        </w:rPr>
      </w:pPr>
    </w:p>
    <w:p w14:paraId="77576061">
      <w:pPr>
        <w:rPr>
          <w:rFonts w:hint="eastAsia" w:ascii="宋体" w:hAnsi="宋体" w:eastAsia="宋体" w:cs="宋体"/>
          <w:color w:val="auto"/>
        </w:rPr>
      </w:pPr>
    </w:p>
    <w:p w14:paraId="553790F8">
      <w:pPr>
        <w:rPr>
          <w:rFonts w:hint="eastAsia" w:ascii="宋体" w:hAnsi="宋体" w:eastAsia="宋体" w:cs="宋体"/>
          <w:color w:val="auto"/>
        </w:rPr>
      </w:pPr>
    </w:p>
    <w:p w14:paraId="35B9F52A">
      <w:pPr>
        <w:rPr>
          <w:rFonts w:hint="eastAsia" w:ascii="宋体" w:hAnsi="宋体" w:eastAsia="宋体" w:cs="宋体"/>
          <w:color w:val="auto"/>
        </w:rPr>
      </w:pPr>
    </w:p>
    <w:p w14:paraId="38213D74">
      <w:pPr>
        <w:rPr>
          <w:rFonts w:hint="eastAsia" w:ascii="宋体" w:hAnsi="宋体" w:eastAsia="宋体" w:cs="宋体"/>
          <w:color w:val="auto"/>
        </w:rPr>
      </w:pPr>
    </w:p>
    <w:p w14:paraId="03182AED">
      <w:pPr>
        <w:rPr>
          <w:rFonts w:hint="eastAsia" w:ascii="宋体" w:hAnsi="宋体" w:eastAsia="宋体" w:cs="宋体"/>
          <w:color w:val="auto"/>
        </w:rPr>
      </w:pPr>
    </w:p>
    <w:p w14:paraId="52C440F8">
      <w:pPr>
        <w:rPr>
          <w:rFonts w:hint="eastAsia" w:ascii="宋体" w:hAnsi="宋体" w:eastAsia="宋体" w:cs="宋体"/>
          <w:color w:val="auto"/>
        </w:rPr>
      </w:pPr>
    </w:p>
    <w:p w14:paraId="65CDBE90">
      <w:pPr>
        <w:rPr>
          <w:rFonts w:hint="eastAsia" w:ascii="宋体" w:hAnsi="宋体" w:eastAsia="宋体" w:cs="宋体"/>
          <w:color w:val="auto"/>
        </w:rPr>
      </w:pPr>
    </w:p>
    <w:p w14:paraId="69BC173D">
      <w:pPr>
        <w:rPr>
          <w:rFonts w:hint="eastAsia" w:ascii="宋体" w:hAnsi="宋体" w:eastAsia="宋体" w:cs="宋体"/>
          <w:color w:val="auto"/>
        </w:rPr>
      </w:pPr>
    </w:p>
    <w:p w14:paraId="1734FC84">
      <w:pPr>
        <w:rPr>
          <w:rFonts w:hint="eastAsia" w:ascii="宋体" w:hAnsi="宋体" w:eastAsia="宋体" w:cs="宋体"/>
          <w:color w:val="auto"/>
        </w:rPr>
      </w:pPr>
    </w:p>
    <w:p w14:paraId="62B598E3">
      <w:pPr>
        <w:pStyle w:val="3"/>
        <w:keepLines w:val="0"/>
        <w:pageBreakBefore w:val="0"/>
        <w:widowControl w:val="0"/>
        <w:shd w:val="clear" w:color="auto" w:fill="auto"/>
        <w:tabs>
          <w:tab w:val="left" w:pos="1830"/>
        </w:tabs>
        <w:kinsoku/>
        <w:wordWrap/>
        <w:overflowPunct/>
        <w:topLinePunct w:val="0"/>
        <w:autoSpaceDE/>
        <w:autoSpaceDN/>
        <w:bidi w:val="0"/>
        <w:adjustRightInd/>
        <w:snapToGrid/>
        <w:spacing w:line="360" w:lineRule="exact"/>
        <w:ind w:left="0" w:firstLine="0"/>
        <w:jc w:val="center"/>
        <w:textAlignment w:val="auto"/>
        <w:rPr>
          <w:rStyle w:val="26"/>
          <w:rFonts w:hint="eastAsia" w:ascii="宋体" w:hAnsi="宋体" w:eastAsia="宋体" w:cs="宋体"/>
          <w:color w:val="auto"/>
          <w:kern w:val="0"/>
          <w:highlight w:val="none"/>
        </w:rPr>
      </w:pPr>
      <w:bookmarkStart w:id="499" w:name="_Toc14816"/>
      <w:r>
        <w:rPr>
          <w:rFonts w:hint="eastAsia" w:ascii="宋体" w:hAnsi="宋体" w:eastAsia="宋体" w:cs="宋体"/>
          <w:color w:val="auto"/>
          <w:sz w:val="32"/>
          <w:szCs w:val="32"/>
          <w:highlight w:val="none"/>
        </w:rPr>
        <w:t>第七章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建设工程施工合同</w:t>
      </w:r>
      <w:bookmarkEnd w:id="448"/>
      <w:bookmarkEnd w:id="489"/>
      <w:bookmarkEnd w:id="490"/>
      <w:bookmarkEnd w:id="491"/>
      <w:bookmarkEnd w:id="492"/>
      <w:bookmarkEnd w:id="493"/>
      <w:bookmarkEnd w:id="494"/>
      <w:bookmarkEnd w:id="495"/>
      <w:bookmarkEnd w:id="496"/>
      <w:bookmarkEnd w:id="497"/>
      <w:bookmarkEnd w:id="498"/>
      <w:bookmarkEnd w:id="499"/>
    </w:p>
    <w:p w14:paraId="30D78126">
      <w:pPr>
        <w:snapToGrid w:val="0"/>
        <w:spacing w:line="440" w:lineRule="exact"/>
        <w:rPr>
          <w:rFonts w:hint="eastAsia" w:ascii="宋体" w:hAnsi="宋体" w:eastAsia="宋体" w:cs="宋体"/>
          <w:color w:val="auto"/>
        </w:rPr>
      </w:pPr>
      <w:r>
        <w:rPr>
          <w:rStyle w:val="26"/>
          <w:rFonts w:hint="eastAsia" w:ascii="宋体" w:hAnsi="宋体" w:eastAsia="宋体" w:cs="宋体"/>
          <w:color w:val="auto"/>
          <w:kern w:val="0"/>
          <w:sz w:val="21"/>
          <w:szCs w:val="21"/>
          <w:highlight w:val="none"/>
        </w:rPr>
        <w:t xml:space="preserve"> </w:t>
      </w:r>
      <w:r>
        <w:rPr>
          <w:rStyle w:val="26"/>
          <w:rFonts w:hint="eastAsia" w:ascii="宋体" w:hAnsi="宋体" w:eastAsia="宋体" w:cs="宋体"/>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（略），按《广东省建设工程标准施工合同》（2009年版）或《建设工程施工合同（示范文本）》（GF—2017—0201）执行。</w:t>
      </w:r>
    </w:p>
    <w:sectPr>
      <w:footerReference r:id="rId5" w:type="default"/>
      <w:pgSz w:w="11906" w:h="16838"/>
      <w:pgMar w:top="1134" w:right="1134" w:bottom="1134" w:left="1134" w:header="851" w:footer="850" w:gutter="0"/>
      <w:pgNumType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1890C">
    <w:pPr>
      <w:pStyle w:val="13"/>
      <w:rPr>
        <w:rStyle w:val="26"/>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1D24E9">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C1D24E9">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C6AA46"/>
    <w:multiLevelType w:val="singleLevel"/>
    <w:tmpl w:val="DCC6AA4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942223"/>
    <w:rsid w:val="05CE24B8"/>
    <w:rsid w:val="0B271EA2"/>
    <w:rsid w:val="0CB310BE"/>
    <w:rsid w:val="0D636907"/>
    <w:rsid w:val="0D8E6766"/>
    <w:rsid w:val="10333E17"/>
    <w:rsid w:val="134273A6"/>
    <w:rsid w:val="14C96230"/>
    <w:rsid w:val="16450B94"/>
    <w:rsid w:val="1A942223"/>
    <w:rsid w:val="1DCB44DB"/>
    <w:rsid w:val="24A75771"/>
    <w:rsid w:val="28226FDD"/>
    <w:rsid w:val="2A9D07CD"/>
    <w:rsid w:val="39272176"/>
    <w:rsid w:val="3A1A291C"/>
    <w:rsid w:val="3ABC5104"/>
    <w:rsid w:val="3E8A585A"/>
    <w:rsid w:val="4DAF4ACE"/>
    <w:rsid w:val="4E9E3852"/>
    <w:rsid w:val="54B1778B"/>
    <w:rsid w:val="565452E5"/>
    <w:rsid w:val="56953D02"/>
    <w:rsid w:val="69720954"/>
    <w:rsid w:val="6C6E13BF"/>
    <w:rsid w:val="6FBA6DDC"/>
    <w:rsid w:val="70A82E24"/>
    <w:rsid w:val="74CA56EF"/>
    <w:rsid w:val="75C41985"/>
    <w:rsid w:val="780235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textAlignment w:val="baseline"/>
    </w:pPr>
    <w:rPr>
      <w:rFonts w:ascii="宋体" w:hAnsi="宋体" w:eastAsia="宋体" w:cs="宋体"/>
      <w:kern w:val="2"/>
      <w:sz w:val="24"/>
      <w:szCs w:val="24"/>
      <w:lang w:val="en-US" w:eastAsia="zh-CN" w:bidi="ar-SA"/>
    </w:rPr>
  </w:style>
  <w:style w:type="paragraph" w:styleId="3">
    <w:name w:val="heading 1"/>
    <w:basedOn w:val="1"/>
    <w:next w:val="1"/>
    <w:qFormat/>
    <w:uiPriority w:val="0"/>
    <w:pPr>
      <w:keepNext/>
      <w:spacing w:line="480" w:lineRule="exact"/>
      <w:ind w:left="1830" w:hanging="480"/>
      <w:jc w:val="left"/>
      <w:outlineLvl w:val="0"/>
    </w:pPr>
    <w:rPr>
      <w:rFonts w:ascii="宋体" w:hAnsi="宋体"/>
      <w:b/>
      <w:sz w:val="28"/>
    </w:rPr>
  </w:style>
  <w:style w:type="paragraph" w:styleId="4">
    <w:name w:val="heading 2"/>
    <w:basedOn w:val="1"/>
    <w:next w:val="1"/>
    <w:link w:val="55"/>
    <w:qFormat/>
    <w:uiPriority w:val="0"/>
    <w:pPr>
      <w:keepNext/>
      <w:keepLines/>
      <w:spacing w:before="260" w:beforeLines="0" w:beforeAutospacing="0" w:after="260" w:afterLines="0" w:afterAutospacing="0" w:line="413" w:lineRule="auto"/>
      <w:outlineLvl w:val="1"/>
    </w:pPr>
    <w:rPr>
      <w:rFonts w:ascii="Arial" w:hAnsi="Arial" w:eastAsia="黑体" w:cs="Times New Roman"/>
      <w:b/>
      <w:kern w:val="0"/>
      <w:sz w:val="32"/>
      <w:szCs w:val="20"/>
    </w:rPr>
  </w:style>
  <w:style w:type="paragraph" w:styleId="5">
    <w:name w:val="heading 3"/>
    <w:basedOn w:val="6"/>
    <w:next w:val="6"/>
    <w:qFormat/>
    <w:uiPriority w:val="0"/>
    <w:pPr>
      <w:keepNext/>
      <w:keepLines/>
      <w:spacing w:before="260" w:beforeLines="0" w:beforeAutospacing="0" w:after="260" w:afterLines="0" w:afterAutospacing="0" w:line="413" w:lineRule="auto"/>
      <w:outlineLvl w:val="2"/>
    </w:pPr>
    <w:rPr>
      <w:rFonts w:ascii="Times New Roman" w:cs="Times New Roman"/>
      <w:b/>
      <w:kern w:val="0"/>
      <w:sz w:val="32"/>
      <w:szCs w:val="20"/>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annotation text"/>
    <w:basedOn w:val="1"/>
    <w:qFormat/>
    <w:uiPriority w:val="99"/>
    <w:pPr>
      <w:adjustRightInd w:val="0"/>
      <w:spacing w:line="360" w:lineRule="atLeast"/>
      <w:jc w:val="left"/>
    </w:pPr>
    <w:rPr>
      <w:rFonts w:cs="Times New Roman"/>
      <w:kern w:val="0"/>
    </w:rPr>
  </w:style>
  <w:style w:type="paragraph" w:styleId="8">
    <w:name w:val="Body Text"/>
    <w:basedOn w:val="1"/>
    <w:qFormat/>
    <w:uiPriority w:val="99"/>
    <w:rPr>
      <w:rFonts w:cs="Times New Roman"/>
      <w:kern w:val="0"/>
    </w:rPr>
  </w:style>
  <w:style w:type="paragraph" w:styleId="9">
    <w:name w:val="Body Text Indent"/>
    <w:basedOn w:val="1"/>
    <w:next w:val="10"/>
    <w:qFormat/>
    <w:uiPriority w:val="0"/>
    <w:pPr>
      <w:ind w:firstLine="560" w:firstLineChars="200"/>
    </w:pPr>
  </w:style>
  <w:style w:type="paragraph" w:styleId="10">
    <w:name w:val="envelope return"/>
    <w:basedOn w:val="1"/>
    <w:qFormat/>
    <w:uiPriority w:val="0"/>
    <w:pPr>
      <w:snapToGrid w:val="0"/>
    </w:pPr>
    <w:rPr>
      <w:rFonts w:ascii="Arial" w:hAnsi="Arial"/>
    </w:rPr>
  </w:style>
  <w:style w:type="paragraph" w:styleId="11">
    <w:name w:val="Plain Text"/>
    <w:basedOn w:val="1"/>
    <w:qFormat/>
    <w:uiPriority w:val="0"/>
    <w:pPr>
      <w:ind w:firstLine="200" w:firstLineChars="200"/>
    </w:pPr>
    <w:rPr>
      <w:rFonts w:ascii="宋体" w:hAnsi="Courier New"/>
      <w:szCs w:val="21"/>
    </w:rPr>
  </w:style>
  <w:style w:type="paragraph" w:styleId="12">
    <w:name w:val="Body Text Indent 2"/>
    <w:basedOn w:val="1"/>
    <w:qFormat/>
    <w:uiPriority w:val="0"/>
    <w:pPr>
      <w:spacing w:line="480" w:lineRule="auto"/>
      <w:ind w:firstLine="561"/>
    </w:pPr>
    <w:rPr>
      <w:rFonts w:ascii="宋体"/>
    </w:rPr>
  </w:style>
  <w:style w:type="paragraph" w:styleId="13">
    <w:name w:val="footer"/>
    <w:basedOn w:val="1"/>
    <w:qFormat/>
    <w:uiPriority w:val="99"/>
    <w:pPr>
      <w:tabs>
        <w:tab w:val="center" w:pos="4153"/>
        <w:tab w:val="right" w:pos="8306"/>
      </w:tabs>
      <w:snapToGrid w:val="0"/>
      <w:jc w:val="left"/>
    </w:pPr>
    <w:rPr>
      <w:rFonts w:cs="Times New Roman"/>
      <w:kern w:val="0"/>
      <w:sz w:val="18"/>
      <w:szCs w:val="18"/>
    </w:rPr>
  </w:style>
  <w:style w:type="paragraph" w:styleId="14">
    <w:name w:val="header"/>
    <w:basedOn w:val="1"/>
    <w:next w:val="13"/>
    <w:qFormat/>
    <w:uiPriority w:val="0"/>
    <w:pPr>
      <w:widowControl/>
      <w:pBdr>
        <w:bottom w:val="single" w:color="auto" w:sz="6" w:space="1"/>
      </w:pBdr>
      <w:tabs>
        <w:tab w:val="center" w:pos="4153"/>
        <w:tab w:val="right" w:pos="8306"/>
      </w:tabs>
      <w:snapToGrid w:val="0"/>
      <w:jc w:val="center"/>
    </w:pPr>
    <w:rPr>
      <w:kern w:val="0"/>
      <w:sz w:val="18"/>
    </w:rPr>
  </w:style>
  <w:style w:type="paragraph" w:styleId="15">
    <w:name w:val="toc 1"/>
    <w:basedOn w:val="1"/>
    <w:next w:val="1"/>
    <w:qFormat/>
    <w:uiPriority w:val="99"/>
  </w:style>
  <w:style w:type="paragraph" w:styleId="16">
    <w:name w:val="toc 2"/>
    <w:basedOn w:val="1"/>
    <w:next w:val="1"/>
    <w:qFormat/>
    <w:uiPriority w:val="99"/>
    <w:pPr>
      <w:ind w:left="420" w:leftChars="200"/>
    </w:pPr>
  </w:style>
  <w:style w:type="paragraph" w:styleId="17">
    <w:name w:val="Body Text 2"/>
    <w:basedOn w:val="1"/>
    <w:next w:val="8"/>
    <w:qFormat/>
    <w:uiPriority w:val="0"/>
    <w:pPr>
      <w:spacing w:line="500" w:lineRule="exact"/>
    </w:pPr>
    <w:rPr>
      <w:rFonts w:eastAsia="Times New Roman"/>
    </w:rPr>
  </w:style>
  <w:style w:type="paragraph" w:styleId="18">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9">
    <w:name w:val="Body Text First Indent 2"/>
    <w:basedOn w:val="9"/>
    <w:next w:val="20"/>
    <w:qFormat/>
    <w:uiPriority w:val="0"/>
    <w:pPr>
      <w:spacing w:after="120"/>
      <w:ind w:left="420" w:leftChars="200" w:firstLine="420" w:firstLineChars="200"/>
    </w:pPr>
    <w:rPr>
      <w:sz w:val="21"/>
      <w:szCs w:val="24"/>
    </w:rPr>
  </w:style>
  <w:style w:type="paragraph" w:customStyle="1" w:styleId="20">
    <w:name w:val="章标题"/>
    <w:next w:val="1"/>
    <w:qFormat/>
    <w:uiPriority w:val="0"/>
    <w:pPr>
      <w:spacing w:before="50" w:after="50"/>
      <w:jc w:val="both"/>
      <w:outlineLvl w:val="1"/>
    </w:pPr>
    <w:rPr>
      <w:rFonts w:ascii="黑体" w:hAnsi="Calibri" w:eastAsia="黑体" w:cs="Times New Roman"/>
      <w:sz w:val="21"/>
      <w:lang w:val="en-US" w:eastAsia="zh-CN" w:bidi="ar-SA"/>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Emphasis"/>
    <w:basedOn w:val="23"/>
    <w:qFormat/>
    <w:uiPriority w:val="0"/>
    <w:rPr>
      <w:i/>
    </w:rPr>
  </w:style>
  <w:style w:type="paragraph" w:customStyle="1" w:styleId="25">
    <w:name w:val="UserStyle_95"/>
    <w:qFormat/>
    <w:uiPriority w:val="99"/>
    <w:pPr>
      <w:jc w:val="both"/>
      <w:textAlignment w:val="baseline"/>
    </w:pPr>
    <w:rPr>
      <w:rFonts w:ascii="Times New Roman" w:hAnsi="Times New Roman" w:eastAsia="楷体_GB2312" w:cs="Times New Roman"/>
      <w:kern w:val="2"/>
      <w:sz w:val="21"/>
      <w:szCs w:val="21"/>
      <w:lang w:val="en-US" w:eastAsia="zh-CN" w:bidi="ar-SA"/>
    </w:rPr>
  </w:style>
  <w:style w:type="character" w:customStyle="1" w:styleId="26">
    <w:name w:val="NormalCharacter"/>
    <w:qFormat/>
    <w:uiPriority w:val="99"/>
  </w:style>
  <w:style w:type="paragraph" w:customStyle="1" w:styleId="27">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28">
    <w:name w:val="Heading1"/>
    <w:basedOn w:val="1"/>
    <w:next w:val="1"/>
    <w:qFormat/>
    <w:uiPriority w:val="99"/>
    <w:pPr>
      <w:jc w:val="left"/>
    </w:pPr>
    <w:rPr>
      <w:kern w:val="0"/>
      <w:sz w:val="30"/>
      <w:szCs w:val="30"/>
    </w:rPr>
  </w:style>
  <w:style w:type="paragraph" w:customStyle="1" w:styleId="29">
    <w:name w:val="Heading2"/>
    <w:basedOn w:val="1"/>
    <w:next w:val="1"/>
    <w:qFormat/>
    <w:uiPriority w:val="99"/>
    <w:pPr>
      <w:jc w:val="left"/>
    </w:pPr>
    <w:rPr>
      <w:kern w:val="0"/>
    </w:rPr>
  </w:style>
  <w:style w:type="paragraph" w:customStyle="1" w:styleId="30">
    <w:name w:val="正文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1">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2">
    <w:name w:val="UserStyle_62"/>
    <w:basedOn w:val="1"/>
    <w:next w:val="1"/>
    <w:qFormat/>
    <w:uiPriority w:val="99"/>
    <w:pPr>
      <w:jc w:val="center"/>
    </w:pPr>
    <w:rPr>
      <w:rFonts w:ascii="Times New Roman" w:cs="Times New Roman"/>
      <w:b/>
      <w:bCs/>
    </w:rPr>
  </w:style>
  <w:style w:type="paragraph" w:customStyle="1" w:styleId="33">
    <w:name w:val="BodyTextIndent"/>
    <w:basedOn w:val="1"/>
    <w:qFormat/>
    <w:uiPriority w:val="99"/>
    <w:pPr>
      <w:ind w:firstLine="560" w:firstLineChars="200"/>
    </w:pPr>
    <w:rPr>
      <w:rFonts w:cs="Times New Roman"/>
    </w:rPr>
  </w:style>
  <w:style w:type="paragraph" w:customStyle="1" w:styleId="34">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7">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8">
    <w:name w:val="AnnotationText"/>
    <w:basedOn w:val="1"/>
    <w:qFormat/>
    <w:uiPriority w:val="99"/>
    <w:pPr>
      <w:spacing w:line="360" w:lineRule="atLeast"/>
      <w:jc w:val="left"/>
    </w:pPr>
    <w:rPr>
      <w:kern w:val="0"/>
    </w:rPr>
  </w:style>
  <w:style w:type="paragraph" w:customStyle="1" w:styleId="39">
    <w:name w:val="标题 3 New New"/>
    <w:basedOn w:val="40"/>
    <w:next w:val="40"/>
    <w:qFormat/>
    <w:uiPriority w:val="0"/>
    <w:pPr>
      <w:keepNext/>
      <w:keepLines/>
      <w:spacing w:before="120" w:beforeLines="0" w:beforeAutospacing="0" w:after="120" w:afterLines="0" w:afterAutospacing="0"/>
      <w:jc w:val="center"/>
      <w:outlineLvl w:val="2"/>
    </w:pPr>
    <w:rPr>
      <w:rFonts w:ascii="Times New Roman" w:hAnsi="Times New Roman" w:eastAsia="宋体" w:cs="Times New Roman"/>
      <w:sz w:val="24"/>
    </w:rPr>
  </w:style>
  <w:style w:type="paragraph" w:customStyle="1" w:styleId="40">
    <w:name w:val="正文缩进 New"/>
    <w:basedOn w:val="41"/>
    <w:qFormat/>
    <w:uiPriority w:val="0"/>
    <w:pPr>
      <w:widowControl/>
      <w:ind w:firstLine="420"/>
      <w:jc w:val="left"/>
    </w:pPr>
    <w:rPr>
      <w:rFonts w:ascii="Times New Roman" w:hAnsi="Times New Roman" w:eastAsia="宋体" w:cs="Times New Roman"/>
      <w:kern w:val="0"/>
      <w:sz w:val="20"/>
    </w:rPr>
  </w:style>
  <w:style w:type="paragraph" w:customStyle="1" w:styleId="41">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43">
    <w:name w:val="UserStyle_44"/>
    <w:basedOn w:val="44"/>
    <w:qFormat/>
    <w:uiPriority w:val="99"/>
    <w:rPr>
      <w:sz w:val="24"/>
      <w:szCs w:val="24"/>
    </w:rPr>
  </w:style>
  <w:style w:type="paragraph" w:customStyle="1" w:styleId="44">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45">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46">
    <w:name w:val="正文缩进1"/>
    <w:basedOn w:val="1"/>
    <w:qFormat/>
    <w:uiPriority w:val="0"/>
    <w:pPr>
      <w:widowControl/>
      <w:spacing w:line="360" w:lineRule="auto"/>
      <w:ind w:firstLine="420"/>
      <w:jc w:val="left"/>
    </w:pPr>
    <w:rPr>
      <w:rFonts w:ascii="宋体" w:hAnsi="Times New Roman" w:cs="Times New Roman"/>
      <w:kern w:val="0"/>
      <w:sz w:val="20"/>
      <w:szCs w:val="20"/>
    </w:rPr>
  </w:style>
  <w:style w:type="paragraph" w:customStyle="1" w:styleId="47">
    <w:name w:val="UserStyle_90"/>
    <w:basedOn w:val="1"/>
    <w:qFormat/>
    <w:uiPriority w:val="99"/>
    <w:pPr>
      <w:topLinePunct/>
      <w:ind w:firstLine="420" w:firstLineChars="200"/>
    </w:pPr>
    <w:rPr>
      <w:rFonts w:hAnsi="宋体"/>
    </w:rPr>
  </w:style>
  <w:style w:type="paragraph" w:customStyle="1" w:styleId="48">
    <w:name w:val="Heading3"/>
    <w:basedOn w:val="49"/>
    <w:next w:val="49"/>
    <w:qFormat/>
    <w:uiPriority w:val="99"/>
    <w:pPr>
      <w:keepNext/>
      <w:keepLines/>
      <w:spacing w:before="120" w:after="120"/>
      <w:jc w:val="center"/>
    </w:pPr>
    <w:rPr>
      <w:sz w:val="24"/>
      <w:szCs w:val="24"/>
    </w:rPr>
  </w:style>
  <w:style w:type="paragraph" w:customStyle="1" w:styleId="49">
    <w:name w:val="NormalIndent"/>
    <w:basedOn w:val="1"/>
    <w:qFormat/>
    <w:uiPriority w:val="99"/>
    <w:pPr>
      <w:ind w:firstLine="420"/>
      <w:jc w:val="left"/>
    </w:pPr>
    <w:rPr>
      <w:kern w:val="0"/>
      <w:sz w:val="20"/>
      <w:szCs w:val="20"/>
    </w:rPr>
  </w:style>
  <w:style w:type="paragraph" w:customStyle="1" w:styleId="50">
    <w:name w:val="UserStyle_76"/>
    <w:basedOn w:val="51"/>
    <w:qFormat/>
    <w:uiPriority w:val="99"/>
    <w:pPr>
      <w:ind w:firstLine="420"/>
      <w:jc w:val="left"/>
    </w:pPr>
    <w:rPr>
      <w:kern w:val="0"/>
      <w:sz w:val="20"/>
      <w:szCs w:val="20"/>
    </w:rPr>
  </w:style>
  <w:style w:type="paragraph" w:customStyle="1" w:styleId="51">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52">
    <w:name w:val="正文文本缩进 New"/>
    <w:basedOn w:val="41"/>
    <w:qFormat/>
    <w:uiPriority w:val="0"/>
    <w:pPr>
      <w:ind w:firstLine="560" w:firstLineChars="200"/>
    </w:pPr>
    <w:rPr>
      <w:rFonts w:ascii="宋体"/>
      <w:kern w:val="2"/>
      <w:sz w:val="24"/>
    </w:rPr>
  </w:style>
  <w:style w:type="paragraph" w:customStyle="1" w:styleId="53">
    <w:name w:val="BodyText"/>
    <w:basedOn w:val="1"/>
    <w:qFormat/>
    <w:uiPriority w:val="99"/>
    <w:pPr>
      <w:spacing w:after="120"/>
    </w:pPr>
  </w:style>
  <w:style w:type="paragraph" w:customStyle="1" w:styleId="54">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5">
    <w:name w:val="标题 2 字符"/>
    <w:link w:val="4"/>
    <w:qFormat/>
    <w:uiPriority w:val="0"/>
    <w:rPr>
      <w:rFonts w:ascii="Arial" w:hAnsi="Arial" w:eastAsia="黑体" w:cs="Times New Roman"/>
      <w:b/>
      <w:kern w:val="0"/>
      <w:sz w:val="32"/>
      <w:szCs w:val="20"/>
    </w:rPr>
  </w:style>
  <w:style w:type="paragraph" w:customStyle="1" w:styleId="56">
    <w:name w:val="Table Text"/>
    <w:basedOn w:val="1"/>
    <w:semiHidden/>
    <w:qFormat/>
    <w:uiPriority w:val="0"/>
    <w:rPr>
      <w:rFonts w:ascii="宋体" w:hAnsi="宋体" w:eastAsia="宋体" w:cs="宋体"/>
      <w:sz w:val="19"/>
      <w:szCs w:val="19"/>
      <w:lang w:val="en-US" w:eastAsia="en-US" w:bidi="ar-SA"/>
    </w:rPr>
  </w:style>
  <w:style w:type="table" w:customStyle="1" w:styleId="57">
    <w:name w:val="Table Normal"/>
    <w:unhideWhenUsed/>
    <w:qFormat/>
    <w:uiPriority w:val="0"/>
    <w:tblPr>
      <w:tblCellMar>
        <w:top w:w="0" w:type="dxa"/>
        <w:left w:w="0" w:type="dxa"/>
        <w:bottom w:w="0" w:type="dxa"/>
        <w:right w:w="0" w:type="dxa"/>
      </w:tblCellMar>
    </w:tblPr>
  </w:style>
  <w:style w:type="paragraph" w:customStyle="1" w:styleId="58">
    <w:name w:val="普通(网站)1"/>
    <w:basedOn w:val="1"/>
    <w:qFormat/>
    <w:uiPriority w:val="0"/>
    <w:pPr>
      <w:spacing w:before="100" w:beforeAutospacing="1" w:after="100" w:afterAutospacing="1"/>
      <w:jc w:val="left"/>
    </w:pPr>
    <w:rPr>
      <w:rFonts w:ascii="宋体" w:hAnsi="宋体" w:eastAsia="宋体"/>
      <w:kern w:val="0"/>
      <w:sz w:val="24"/>
    </w:rPr>
  </w:style>
  <w:style w:type="paragraph" w:customStyle="1" w:styleId="59">
    <w:name w:val="正文 New"/>
    <w:qFormat/>
    <w:uiPriority w:val="0"/>
    <w:pPr>
      <w:widowControl w:val="0"/>
      <w:spacing w:line="360" w:lineRule="auto"/>
      <w:jc w:val="both"/>
    </w:pPr>
    <w:rPr>
      <w:rFonts w:ascii="宋体" w:hAnsi="Times New Roman" w:eastAsia="宋体" w:cs="Times New Roman"/>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jpeg"/><Relationship Id="rId31" Type="http://schemas.openxmlformats.org/officeDocument/2006/relationships/image" Target="media/image13.wmf"/><Relationship Id="rId30" Type="http://schemas.openxmlformats.org/officeDocument/2006/relationships/oleObject" Target="embeddings/oleObject12.bin"/><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11.bin"/><Relationship Id="rId27" Type="http://schemas.openxmlformats.org/officeDocument/2006/relationships/image" Target="media/image11.wmf"/><Relationship Id="rId26" Type="http://schemas.openxmlformats.org/officeDocument/2006/relationships/oleObject" Target="embeddings/oleObject10.bin"/><Relationship Id="rId25" Type="http://schemas.openxmlformats.org/officeDocument/2006/relationships/image" Target="media/image10.wmf"/><Relationship Id="rId24" Type="http://schemas.openxmlformats.org/officeDocument/2006/relationships/oleObject" Target="embeddings/oleObject9.bin"/><Relationship Id="rId23" Type="http://schemas.openxmlformats.org/officeDocument/2006/relationships/image" Target="media/image9.wmf"/><Relationship Id="rId22" Type="http://schemas.openxmlformats.org/officeDocument/2006/relationships/oleObject" Target="embeddings/oleObject8.bin"/><Relationship Id="rId21" Type="http://schemas.openxmlformats.org/officeDocument/2006/relationships/image" Target="media/image8.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6d3945bb-3283-4d97-bd1a-62fbe8ac3ca4</errorID>
      <errorWord>保证缴</errorWord>
      <group>L1_Word</group>
      <groupName>字词问题</groupName>
      <ability>L2_Typo</ability>
      <abilityName>字词错误</abilityName>
      <candidateList>
        <item>保证金</item>
      </candidateList>
      <explain/>
      <paraID>6EA8A05A</paraID>
      <start>2</start>
      <end>5</end>
      <status>ignored</status>
      <modifiedWord/>
      <trackRevisions>false</trackRevisions>
    </reviewItem>
    <reviewItem>
      <errorID>20590e2f-fd81-4d87-bf59-389e6c79e6f2</errorID>
      <errorWord>纳</errorWord>
      <group>L1_Word</group>
      <groupName>字词问题</groupName>
      <ability>L2_Typo</ability>
      <abilityName>字词错误</abilityName>
      <candidateList>
        <item>的</item>
      </candidateList>
      <explain>“的”常用于连接修饰语与名词性中心语，表示属性、所属或描述。</explain>
      <paraID>4A3C97C7</paraID>
      <start>0</start>
      <end>1</end>
      <status>ignored</status>
      <modifiedWord/>
      <trackRevisions>false</trackRevisions>
    </reviewItem>
    <reviewItem>
      <errorID>f3404031-a7ad-4258-ab84-9fdfc1ab8c38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4DC7A7F5</paraID>
      <start>0</start>
      <end>2</end>
      <status>ignored</status>
      <modifiedWord/>
      <trackRevisions>false</trackRevisions>
    </reviewItem>
    <reviewItem>
      <errorID>148a68b3-f978-4e97-82ab-b70f9fe0824e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11A47E6A</paraID>
      <start>0</start>
      <end>2</end>
      <status>ignored</status>
      <modifiedWord/>
      <trackRevisions>false</trackRevisions>
    </reviewItem>
    <reviewItem>
      <errorID>3c121afc-da5a-4bae-9758-6ffc14ff2473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685EAF9E</paraID>
      <start>0</start>
      <end>2</end>
      <status>ignored</status>
      <modifiedWord/>
      <trackRevisions>false</trackRevisions>
    </reviewItem>
    <reviewItem>
      <errorID>982fff81-2dda-4afe-ada3-7a763a1e6c68</errorID>
      <errorWord>国家工业和信息化部</errorWord>
      <group>L1_Political</group>
      <groupName>政治性问题</groupName>
      <ability>L2_Unpolitical</ability>
      <abilityName>政治敏感错误</abilityName>
      <candidateList>
        <item>工业和信息化部</item>
      </candidateList>
      <explain/>
      <paraID>10E21D52</paraID>
      <start>9</start>
      <end>18</end>
      <status>ignored</status>
      <modifiedWord/>
      <trackRevisions>false</trackRevisions>
    </reviewItem>
    <reviewItem>
      <errorID>cf8422ee-cc53-4d6e-8b20-b3010b888a43</errorID>
      <errorWord>证</errorWord>
      <group>L1_Word</group>
      <groupName>字词问题</groupName>
      <ability>L2_Typo</ability>
      <abilityName>字词错误</abilityName>
      <candidateList>
        <item>证金</item>
      </candidateList>
      <explain/>
      <paraID> E6F12E7</paraID>
      <start>26</start>
      <end>27</end>
      <status>ignored</status>
      <modifiedWord/>
      <trackRevisions>false</trackRevisions>
    </reviewItem>
    <reviewItem>
      <errorID>670ddd60-e414-4a11-b4a4-5f76e606eebb</errorID>
      <errorWord>证</errorWord>
      <group>L1_Word</group>
      <groupName>字词问题</groupName>
      <ability>L2_Typo</ability>
      <abilityName>字词错误</abilityName>
      <candidateList>
        <item>证金</item>
      </candidateList>
      <explain/>
      <paraID>70FC8DF0</paraID>
      <start>34</start>
      <end>35</end>
      <status>ignored</status>
      <modifiedWord/>
      <trackRevisions>false</trackRevisions>
    </reviewItem>
    <reviewItem>
      <errorID>b1b24c90-a6ce-43eb-8f36-445f376fb122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77829B04</paraID>
      <start>0</start>
      <end>2</end>
      <status>ignored</status>
      <modifiedWord/>
      <trackRevisions>false</trackRevisions>
    </reviewItem>
    <reviewItem>
      <errorID>2fe656f3-4132-4043-a70f-ec2510d447cb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3174E50D</paraID>
      <start>0</start>
      <end>2</end>
      <status>ignored</status>
      <modifiedWord/>
      <trackRevisions>false</trackRevisions>
    </reviewItem>
    <reviewItem>
      <errorID>21e2edc1-4220-4a4c-a733-4f50524b02ed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5F8A85BA</paraID>
      <start>0</start>
      <end>2</end>
      <status>ignored</status>
      <modifiedWord/>
      <trackRevisions>false</trackRevisions>
    </reviewItem>
    <reviewItem>
      <errorID>fc912ecb-97f1-4e8c-8b19-612b10911ca8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16DEDF0B</paraID>
      <start>0</start>
      <end>2</end>
      <status>ignored</status>
      <modifiedWord/>
      <trackRevisions>false</trackRevisions>
    </reviewItem>
    <reviewItem>
      <errorID>c6e9ec96-9edf-4fae-8f33-4a71276fa5b0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6D30286F</paraID>
      <start>0</start>
      <end>2</end>
      <status>ignored</status>
      <modifiedWord/>
      <trackRevisions>false</trackRevisions>
    </reviewItem>
    <reviewItem>
      <errorID>d1816a6f-c327-4c07-9222-10857b2d85e0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593040F2</paraID>
      <start>0</start>
      <end>2</end>
      <status>ignored</status>
      <modifiedWord/>
      <trackRevisions>false</trackRevisions>
    </reviewItem>
    <reviewItem>
      <errorID>d1643eb5-3a6a-4048-bddc-e412eb26acf3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6CCFA02B</paraID>
      <start>0</start>
      <end>3</end>
      <status>ignored</status>
      <modifiedWord/>
      <trackRevisions>false</trackRevisions>
    </reviewItem>
    <reviewItem>
      <errorID>b0149e18-8aea-4a22-981e-e492f310f0d3</errorID>
      <errorWord>证</errorWord>
      <group>L1_Word</group>
      <groupName>字词问题</groupName>
      <ability>L2_Typo</ability>
      <abilityName>字词错误</abilityName>
      <candidateList>
        <item>证金</item>
      </candidateList>
      <explain/>
      <paraID>6748D4F1</paraID>
      <start>6</start>
      <end>7</end>
      <status>ignored</status>
      <modifiedWord/>
      <trackRevisions>false</trackRevisions>
    </reviewItem>
    <reviewItem>
      <errorID>dc42c503-b9b1-47a5-b16a-25482b7c3ab0</errorID>
      <errorWord>法律、法规</errorWord>
      <group>L1_Word</group>
      <groupName>字词问题</groupName>
      <ability>L2_Typo</ability>
      <abilityName>字词错误</abilityName>
      <candidateList>
        <item>法律法规</item>
      </candidateList>
      <explain/>
      <paraID>324D6B01</paraID>
      <start>5</start>
      <end>10</end>
      <status>ignored</status>
      <modifiedWord/>
      <trackRevisions>false</trackRevisions>
    </reviewItem>
    <reviewItem>
      <errorID>2a132b8b-677b-421e-ae15-078f957dfa20</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3DE715C8</paraID>
      <start>0</start>
      <end>3</end>
      <status>ignored</status>
      <modifiedWord/>
      <trackRevisions>false</trackRevisions>
    </reviewItem>
    <reviewItem>
      <errorID>76a54f98-6443-4e94-a9e0-ec30514c0ff9</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F4C7474</paraID>
      <start>0</start>
      <end>3</end>
      <status>ignored</status>
      <modifiedWord/>
      <trackRevisions>false</trackRevisions>
    </reviewItem>
    <reviewItem>
      <errorID>37218e03-7eeb-4e53-b9f5-104726d7863b</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9E0DE9E</paraID>
      <start>0</start>
      <end>3</end>
      <status>ignored</status>
      <modifiedWord/>
      <trackRevisions>false</trackRevisions>
    </reviewItem>
    <reviewItem>
      <errorID>1f2f20e7-9c97-437a-8bb0-cf2701435f9c</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761406D3</paraID>
      <start>0</start>
      <end>3</end>
      <status>ignored</status>
      <modifiedWord/>
      <trackRevisions>false</trackRevisions>
    </reviewItem>
    <reviewItem>
      <errorID>8120e27b-74e9-4c89-9f29-d0ca3f2ef48e</errorID>
      <errorWord>证</errorWord>
      <group>L1_Word</group>
      <groupName>字词问题</groupName>
      <ability>L2_Typo</ability>
      <abilityName>字词错误</abilityName>
      <candidateList>
        <item>证金</item>
      </candidateList>
      <explain/>
      <paraID>5A6DCC5A</paraID>
      <start>31</start>
      <end>32</end>
      <status>ignored</status>
      <modifiedWord/>
      <trackRevisions>false</trackRevisions>
    </reviewItem>
    <reviewItem>
      <errorID>25d410ea-6dd5-4c26-a831-e3872eb433d8</errorID>
      <errorWord>证</errorWord>
      <group>L1_Word</group>
      <groupName>字词问题</groupName>
      <ability>L2_Typo</ability>
      <abilityName>字词错误</abilityName>
      <candidateList>
        <item>证金</item>
      </candidateList>
      <explain/>
      <paraID> 76731F4</paraID>
      <start>31</start>
      <end>32</end>
      <status>ignored</status>
      <modifiedWord/>
      <trackRevisions>false</trackRevisions>
    </reviewItem>
    <reviewItem>
      <errorID>9190eef2-679a-4297-8240-44fc9aa1e0ba</errorID>
      <errorWord>证</errorWord>
      <group>L1_Word</group>
      <groupName>字词问题</groupName>
      <ability>L2_Typo</ability>
      <abilityName>字词错误</abilityName>
      <candidateList>
        <item>证金</item>
      </candidateList>
      <explain/>
      <paraID> 76731F4</paraID>
      <start>96</start>
      <end>97</end>
      <status>ignored</status>
      <modifiedWord/>
      <trackRevisions>false</trackRevisions>
    </reviewItem>
    <reviewItem>
      <errorID>665b7f05-3ee6-4f4b-8b3a-bbd2f3d11efe</errorID>
      <errorWord>证</errorWord>
      <group>L1_Word</group>
      <groupName>字词问题</groupName>
      <ability>L2_Typo</ability>
      <abilityName>字词错误</abilityName>
      <candidateList>
        <item>证金</item>
      </candidateList>
      <explain/>
      <paraID>2B6733E9</paraID>
      <start>51</start>
      <end>52</end>
      <status>ignored</status>
      <modifiedWord/>
      <trackRevisions>false</trackRevisions>
    </reviewItem>
    <reviewItem>
      <errorID>9170427f-a536-4baa-bd24-2bbc344d515f</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64FB72FF</paraID>
      <start>0</start>
      <end>3</end>
      <status>ignored</status>
      <modifiedWord/>
      <trackRevisions>false</trackRevisions>
    </reviewItem>
    <reviewItem>
      <errorID>f10a67c5-b4c7-4979-8b45-e821be2afb6c</errorID>
      <errorWord>法律、法规</errorWord>
      <group>L1_Word</group>
      <groupName>字词问题</groupName>
      <ability>L2_Typo</ability>
      <abilityName>字词错误</abilityName>
      <candidateList>
        <item>法律法规</item>
      </candidateList>
      <explain/>
      <paraID>2D9372B6</paraID>
      <start>4</start>
      <end>9</end>
      <status>ignored</status>
      <modifiedWord/>
      <trackRevisions>false</trackRevisions>
    </reviewItem>
    <reviewItem>
      <errorID>2acc4b10-f9a7-4ec1-81e0-86ba9aeb2de9</errorID>
      <errorWord>－（</errorWord>
      <group>L1_Format</group>
      <groupName>格式问题</groupName>
      <ability>L2_HalfPunc_CN</ability>
      <abilityName>全半角问题</abilityName>
      <candidateList>
        <item>-(</item>
      </candidateList>
      <explain>文本全半角错误。</explain>
      <paraID>454E4329</paraID>
      <start>5</start>
      <end>7</end>
      <status>ignored</status>
      <modifiedWord/>
      <trackRevisions>false</trackRevisions>
    </reviewItem>
    <reviewItem>
      <errorID>bc4abd9d-2011-4efc-93d4-253520df9151</errorID>
      <errorWord>－</errorWord>
      <group>L1_Format</group>
      <groupName>格式问题</groupName>
      <ability>L2_HalfPunc_CN</ability>
      <abilityName>全半角问题</abilityName>
      <candidateList>
        <item>-</item>
      </candidateList>
      <explain>文本全半角错误。</explain>
      <paraID>454E4329</paraID>
      <start>11</start>
      <end>12</end>
      <status>ignored</status>
      <modifiedWord/>
      <trackRevisions>false</trackRevisions>
    </reviewItem>
    <reviewItem>
      <errorID>ffceb2ab-0ad6-430a-8047-b55e91c0d939</errorID>
      <errorWord>）</errorWord>
      <group>L1_Format</group>
      <groupName>格式问题</groupName>
      <ability>L2_HalfPunc_CN</ability>
      <abilityName>全半角问题</abilityName>
      <candidateList>
        <item>)</item>
      </candidateList>
      <explain>文本全半角错误。</explain>
      <paraID>454E4329</paraID>
      <start>18</start>
      <end>19</end>
      <status>ignored</status>
      <modifiedWord/>
      <trackRevisions>false</trackRevisions>
    </reviewItem>
    <reviewItem>
      <errorID>ad9efa1a-1c90-42a3-ae69-44c859a2e118</errorID>
      <errorWord>年度</errorWord>
      <group>L1_Word</group>
      <groupName>字词问题</groupName>
      <ability>L2_Typo</ability>
      <abilityName>字词错误</abilityName>
      <candidateList>
        <item>年</item>
      </candidateList>
      <explain/>
      <paraID> 90ED6DD</paraID>
      <start>6</start>
      <end>8</end>
      <status>ignored</status>
      <modifiedWord/>
      <trackRevisions>false</trackRevisions>
    </reviewItem>
    <reviewItem>
      <errorID>1ec39baa-3872-487e-be31-29a9c1d666e5</errorID>
      <errorWord>好</errorWord>
      <group>L1_Word</group>
      <groupName>字词问题</groupName>
      <ability>L2_Typo</ability>
      <abilityName>字词错误</abilityName>
      <candidateList>
        <item>好地</item>
      </candidateList>
      <explain/>
      <paraID>13D81022</paraID>
      <start>66</start>
      <end>67</end>
      <status>ignored</status>
      <modifiedWord/>
      <trackRevisions>false</trackRevisions>
    </reviewItem>
    <reviewItem>
      <errorID>7327be12-e796-4190-9ea5-e49e9e447341</errorID>
      <errorWord>－（</errorWord>
      <group>L1_Format</group>
      <groupName>格式问题</groupName>
      <ability>L2_HalfPunc_CN</ability>
      <abilityName>全半角问题</abilityName>
      <candidateList>
        <item>-(</item>
      </candidateList>
      <explain>文本全半角错误。</explain>
      <paraID>59E7C35F</paraID>
      <start>5</start>
      <end>7</end>
      <status>ignored</status>
      <modifiedWord/>
      <trackRevisions>false</trackRevisions>
    </reviewItem>
    <reviewItem>
      <errorID>604b03e9-7984-44a1-8a5f-a861ebae5666</errorID>
      <errorWord>－</errorWord>
      <group>L1_Format</group>
      <groupName>格式问题</groupName>
      <ability>L2_HalfPunc_CN</ability>
      <abilityName>全半角问题</abilityName>
      <candidateList>
        <item>-</item>
      </candidateList>
      <explain>文本全半角错误。</explain>
      <paraID>59E7C35F</paraID>
      <start>10</start>
      <end>11</end>
      <status>ignored</status>
      <modifiedWord/>
      <trackRevisions>false</trackRevisions>
    </reviewItem>
    <reviewItem>
      <errorID>85100abf-cce8-4a3b-a7ec-e2869dd6e13c</errorID>
      <errorWord>）</errorWord>
      <group>L1_Format</group>
      <groupName>格式问题</groupName>
      <ability>L2_HalfPunc_CN</ability>
      <abilityName>全半角问题</abilityName>
      <candidateList>
        <item>)</item>
      </candidateList>
      <explain>文本全半角错误。</explain>
      <paraID>59E7C35F</paraID>
      <start>15</start>
      <end>16</end>
      <status>ignored</status>
      <modifiedWord/>
      <trackRevisions>false</trackRevisions>
    </reviewItem>
    <reviewItem>
      <errorID>bb79e7c7-f20e-4922-9a8d-4d6f98e9ebd9</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4F8EB135</paraID>
      <start>0</start>
      <end>3</end>
      <status>ignored</status>
      <modifiedWord/>
      <trackRevisions>false</trackRevisions>
    </reviewItem>
    <reviewItem>
      <errorID>e374e531-0336-464e-9374-613e920508a3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506D35C1</paraID>
      <start>0</start>
      <end>2</end>
      <status>ignored</status>
      <modifiedWord/>
      <trackRevisions>false</trackRevisions>
    </reviewItem>
    <reviewItem>
      <errorID>6b2e612c-43b8-4b6e-819c-9b6354d7b0d1</errorID>
      <errorWord>省级住建厅</errorWord>
      <group>L1_Knowledge</group>
      <groupName>知识性问题</groupName>
      <ability>L2_Organization</ability>
      <abilityName>机构检查</abilityName>
      <candidateList>
        <item>省住建厅</item>
      </candidateList>
      <explain>机关单位全简称表述错误</explain>
      <paraID>7911155A</paraID>
      <start>95</start>
      <end>100</end>
      <status>ignored</status>
      <modifiedWord/>
      <trackRevisions>false</trackRevisions>
    </reviewItem>
    <reviewItem>
      <errorID>e43337b1-19fa-480a-b887-9e8a5a4d00ca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4CE3BA0</paraID>
      <start>0</start>
      <end>2</end>
      <status>ignored</status>
      <modifiedWord/>
      <trackRevisions>false</trackRevisions>
    </reviewItem>
    <reviewItem>
      <errorID>cf7b0d68-3625-4691-b52f-5f9960195049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64C255A7</paraID>
      <start>0</start>
      <end>2</end>
      <status>ignored</status>
      <modifiedWord/>
      <trackRevisions>false</trackRevisions>
    </reviewItem>
    <reviewItem>
      <errorID>af3086d5-2242-4d6e-b5fd-d249423b0df7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55362E19</paraID>
      <start>0</start>
      <end>2</end>
      <status>ignored</status>
      <modifiedWord/>
      <trackRevisions>false</trackRevisions>
    </reviewItem>
    <reviewItem>
      <errorID>b3fa5d12-2303-4dc0-9713-30df92358164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60EAB90E</paraID>
      <start>0</start>
      <end>2</end>
      <status>ignored</status>
      <modifiedWord/>
      <trackRevisions>false</trackRevisions>
    </reviewItem>
    <reviewItem>
      <errorID>058642e9-574c-4b73-a636-644f8c14aca0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6EE0EE39</paraID>
      <start>0</start>
      <end>2</end>
      <status>ignored</status>
      <modifiedWord/>
      <trackRevisions>false</trackRevisions>
    </reviewItem>
    <reviewItem>
      <errorID>5e4497e6-d719-424a-b917-65090f95d21a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7386A654</paraID>
      <start>0</start>
      <end>2</end>
      <status>ignored</status>
      <modifiedWord/>
      <trackRevisions>false</trackRevisions>
    </reviewItem>
    <reviewItem>
      <errorID>1dcfa3f8-e2b1-4f59-8cef-8a776aa7bdb5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7DA2F1E4</paraID>
      <start>0</start>
      <end>2</end>
      <status>ignored</status>
      <modifiedWord/>
      <trackRevisions>false</trackRevisions>
    </reviewItem>
    <reviewItem>
      <errorID>f9d66165-6877-4a82-b3f5-5524ec54fc6b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33FBDD38</paraID>
      <start>0</start>
      <end>2</end>
      <status>ignored</status>
      <modifiedWord/>
      <trackRevisions>false</trackRevisions>
    </reviewItem>
    <reviewItem>
      <errorID>3ad064b5-4c87-4779-a49a-6340f27c61a3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4ECE7DAD</paraID>
      <start>0</start>
      <end>2</end>
      <status>ignored</status>
      <modifiedWord/>
      <trackRevisions>false</trackRevisions>
    </reviewItem>
    <reviewItem>
      <errorID>eff7191e-e3a2-4a57-877a-5c0760cd4807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31BC500E</paraID>
      <start>0</start>
      <end>2</end>
      <status>ignored</status>
      <modifiedWord/>
      <trackRevisions>false</trackRevisions>
    </reviewItem>
    <reviewItem>
      <errorID>f2f173cf-6b7d-48b6-b4bf-b029ab4009ae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A4D81AC</paraID>
      <start>0</start>
      <end>2</end>
      <status>ignored</status>
      <modifiedWord/>
      <trackRevisions>false</trackRevisions>
    </reviewItem>
    <reviewItem>
      <errorID>b5c5653a-84c8-4e86-ba8d-0a81b6aa67fb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2AE3C4DF</paraID>
      <start>0</start>
      <end>2</end>
      <status>ignored</status>
      <modifiedWord/>
      <trackRevisions>false</trackRevisions>
    </reviewItem>
    <reviewItem>
      <errorID>8b7a5710-4ee0-4d7a-bed2-9d16f6e1a06b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5E309EA5</paraID>
      <start>0</start>
      <end>2</end>
      <status>ignored</status>
      <modifiedWord/>
      <trackRevisions>false</trackRevisions>
    </reviewItem>
    <reviewItem>
      <errorID>6f68a02f-8578-4844-b830-24a8034f1ef1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1755DEE0</paraID>
      <start>0</start>
      <end>2</end>
      <status>ignored</status>
      <modifiedWord/>
      <trackRevisions>false</trackRevisions>
    </reviewItem>
    <reviewItem>
      <errorID>7b0a5461-371f-426c-824d-bef9cc063c40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35641769</paraID>
      <start>0</start>
      <end>2</end>
      <status>ignored</status>
      <modifiedWord/>
      <trackRevisions>false</trackRevisions>
    </reviewItem>
    <reviewItem>
      <errorID>cd5109e1-8111-41d7-85b2-fb360a4abc86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5794EE67</paraID>
      <start>0</start>
      <end>2</end>
      <status>ignored</status>
      <modifiedWord/>
      <trackRevisions>false</trackRevisions>
    </reviewItem>
    <reviewItem>
      <errorID>11b935ad-f7ac-442c-b0cc-7c3d5b3eb083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4208D8C2</paraID>
      <start>0</start>
      <end>2</end>
      <status>ignored</status>
      <modifiedWord/>
      <trackRevisions>false</trackRevisions>
    </reviewItem>
    <reviewItem>
      <errorID>321482e6-c57a-41ab-b738-7b65599733ba</errorID>
      <errorWord>证</errorWord>
      <group>L1_Word</group>
      <groupName>字词问题</groupName>
      <ability>L2_Typo</ability>
      <abilityName>字词错误</abilityName>
      <candidateList>
        <item>证金</item>
      </candidateList>
      <explain/>
      <paraID>2888F002</paraID>
      <start>30</start>
      <end>31</end>
      <status>ignored</status>
      <modifiedWord/>
      <trackRevisions>false</trackRevisions>
    </reviewItem>
    <reviewItem>
      <errorID>000c28ce-e522-4587-80e8-3f9ccae4d8c5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45EA2F82</paraID>
      <start>0</start>
      <end>2</end>
      <status>ignored</status>
      <modifiedWord/>
      <trackRevisions>false</trackRevisions>
    </reviewItem>
    <reviewItem>
      <errorID>a4276689-70b0-46ce-9fea-6e72f8ae0907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1B8BD486</paraID>
      <start>0</start>
      <end>2</end>
      <status>ignored</status>
      <modifiedWord/>
      <trackRevisions>false</trackRevisions>
    </reviewItem>
    <reviewItem>
      <errorID>136d3bff-2c2a-4c10-a5cd-922a4e403a33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3E28C89D</paraID>
      <start>0</start>
      <end>2</end>
      <status>ignored</status>
      <modifiedWord/>
      <trackRevisions>false</trackRevisions>
    </reviewItem>
    <reviewItem>
      <errorID>ebd96d23-a9b1-4838-863a-852ba5fde908</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59CBE86D</paraID>
      <start>138</start>
      <end>140</end>
      <status>ignored</status>
      <modifiedWord/>
      <trackRevisions>false</trackRevisions>
    </reviewItem>
    <reviewItem>
      <errorID>50f06c2d-8b94-49f0-b213-7b1f39ab6a8e</errorID>
      <errorWord>法律、法规</errorWord>
      <group>L1_Word</group>
      <groupName>字词问题</groupName>
      <ability>L2_Typo</ability>
      <abilityName>字词错误</abilityName>
      <candidateList>
        <item>法律法规</item>
      </candidateList>
      <explain/>
      <paraID>213B3F73</paraID>
      <start>17</start>
      <end>22</end>
      <status>ignored</status>
      <modifiedWord/>
      <trackRevisions>false</trackRevisions>
    </reviewItem>
    <reviewItem>
      <errorID>37ecbe36-e1b6-41f4-bc0c-40f48f7d4b74</errorID>
      <errorWord>-</errorWord>
      <group>L1_Format</group>
      <groupName>格式问题</groupName>
      <ability>L2_HalfPunc_CN</ability>
      <abilityName>全半角问题</abilityName>
      <candidateList>
        <item>－</item>
      </candidateList>
      <explain>文本全半角错误。</explain>
      <paraID>6596B34A</paraID>
      <start>42</start>
      <end>43</end>
      <status>ignored</status>
      <modifiedWord/>
      <trackRevisions>false</trackRevisions>
    </reviewItem>
    <reviewItem>
      <errorID>9d2d838f-e6a5-4e6b-b645-c65766c9e9b6</errorID>
      <errorWord>-</errorWord>
      <group>L1_Format</group>
      <groupName>格式问题</groupName>
      <ability>L2_HalfPunc_CN</ability>
      <abilityName>全半角问题</abilityName>
      <candidateList>
        <item>－</item>
      </candidateList>
      <explain>文本全半角错误。</explain>
      <paraID>30A8C16E</paraID>
      <start>67</start>
      <end>68</end>
      <status>ignored</status>
      <modifiedWord/>
      <trackRevisions>false</trackRevisions>
    </reviewItem>
    <reviewItem>
      <errorID>bf168385-eafc-45ab-94c6-74e1ae36ba49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7510C0E2</paraID>
      <start>0</start>
      <end>2</end>
      <status>ignored</status>
      <modifiedWord/>
      <trackRevisions>false</trackRevisions>
    </reviewItem>
    <reviewItem>
      <errorID>ef03bbbf-2b9c-4bac-8b29-acbc056b0849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3A84A8DC</paraID>
      <start>0</start>
      <end>2</end>
      <status>ignored</status>
      <modifiedWord/>
      <trackRevisions>false</trackRevisions>
    </reviewItem>
    <reviewItem>
      <errorID>c4d7e6e2-7172-4046-a3b7-2c3483276964</errorID>
      <errorWord>由</errorWord>
      <group>L1_Word</group>
      <groupName>字词问题</groupName>
      <ability>L2_Typo</ability>
      <abilityName>字词错误</abilityName>
      <candidateList>
        <item>由于</item>
      </candidateList>
      <explain>❶〈介〉表示原因或理由：～老师傅的耐心教导，他很快就掌握了这门技术。❷〈连〉表示原因，多与“所以”、“因此”等配合：～他工作成绩显著，因此受到了领导的表扬。</explain>
      <paraID>1647FFCC</paraID>
      <start>137</start>
      <end>139</end>
      <status>modified</status>
      <modifiedWord>由于</modifiedWord>
      <trackRevisions>false</trackRevisions>
    </reviewItem>
    <reviewItem>
      <errorID>cb01f1d3-bb7c-44de-8c6d-d7be68ed70ae</errorID>
      <errorWord>：/</errorWord>
      <group>L1_Punc</group>
      <groupName>标点问题</groupName>
      <ability>L2_Punc_CN</ability>
      <abilityName>标点符号问题</abilityName>
      <candidateList>
        <item>：</item>
      </candidateList>
      <explain/>
      <paraID>13C0D173</paraID>
      <start>5</start>
      <end>7</end>
      <status>ignored</status>
      <modifiedWord/>
      <trackRevisions>false</trackRevisions>
    </reviewItem>
    <reviewItem>
      <errorID>90c981ff-a4df-4963-bb89-cc8526f00813</errorID>
      <errorWord>法律、法规</errorWord>
      <group>L1_Word</group>
      <groupName>字词问题</groupName>
      <ability>L2_Typo</ability>
      <abilityName>字词错误</abilityName>
      <candidateList>
        <item>法律法规</item>
      </candidateList>
      <explain/>
      <paraID> C4495E8</paraID>
      <start>7</start>
      <end>12</end>
      <status>ignored</status>
      <modifiedWord/>
      <trackRevisions>false</trackRevisions>
    </reviewItem>
    <reviewItem>
      <errorID>c1ad691d-5996-42d9-8f05-ca580e42ad8e</errorID>
      <errorWord>法律、法规</errorWord>
      <group>L1_Word</group>
      <groupName>字词问题</groupName>
      <ability>L2_Typo</ability>
      <abilityName>字词错误</abilityName>
      <candidateList>
        <item>法律法规</item>
      </candidateList>
      <explain/>
      <paraID>3994E860</paraID>
      <start>164</start>
      <end>169</end>
      <status>ignored</status>
      <modifiedWord/>
      <trackRevisions>false</trackRevisions>
    </reviewItem>
    <reviewItem>
      <errorID>abbf3baf-286d-4205-9baa-3ee0a796380e</errorID>
      <errorWord>住房城乡建设部令第</errorWord>
      <group>L1_Word</group>
      <groupName>字词问题</groupName>
      <ability>L2_Typo</ability>
      <abilityName>字词错误</abilityName>
      <candidateList>
        <item>住房和城乡建设部令第</item>
      </candidateList>
      <explain/>
      <paraID> 7D0970B</paraID>
      <start>27</start>
      <end>36</end>
      <status>ignored</status>
      <modifiedWord/>
      <trackRevisions>false</trackRevisions>
    </reviewItem>
    <reviewItem>
      <errorID>80aee3ca-5221-48b7-b8b2-22764786b339</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 7D0970B</paraID>
      <start>187</start>
      <end>188</end>
      <status>ignored</status>
      <modifiedWord/>
      <trackRevisions>false</trackRevisions>
    </reviewItem>
    <reviewItem>
      <errorID>46a00cc0-3edc-4e51-8f87-d9b5c4c875ef</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1DCDD16C</paraID>
      <start>253</start>
      <end>254</end>
      <status>ignored</status>
      <modifiedWord/>
      <trackRevisions>false</trackRevisions>
    </reviewItem>
    <reviewItem>
      <errorID>4e6705ea-b054-42d7-b2a6-ebd776d74571</errorID>
      <errorWord>按《中华人民共和国</errorWord>
      <group>L1_Political</group>
      <groupName>政治性问题</groupName>
      <ability>L2_Unpolitical</ability>
      <abilityName>政治敏感错误</abilityName>
      <candidateList>
        <item>按照《中华人民共和国</item>
      </candidateList>
      <explain/>
      <paraID>3DB9E688</paraID>
      <start>12</start>
      <end>21</end>
      <status>ignored</status>
      <modifiedWord/>
      <trackRevisions>false</trackRevisions>
    </reviewItem>
    <reviewItem>
      <errorID>c72aa7a2-bfad-4c7e-9c56-f49f4c94e37a</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3DB9E688</paraID>
      <start>24</start>
      <end>27</end>
      <status>ignored</status>
      <modifiedWord/>
      <trackRevisions>false</trackRevisions>
    </reviewItem>
    <reviewItem>
      <errorID>882c555f-4685-4cfb-964a-ed19bb76a654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DB6B6D3</paraID>
      <start>0</start>
      <end>2</end>
      <status>ignored</status>
      <modifiedWord/>
      <trackRevisions>false</trackRevisions>
    </reviewItem>
    <reviewItem>
      <errorID>e360dd00-8c4b-49ab-90ab-243a0d3b5039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20E6CA74</paraID>
      <start>0</start>
      <end>2</end>
      <status>ignored</status>
      <modifiedWord/>
      <trackRevisions>false</trackRevisions>
    </reviewItem>
    <reviewItem>
      <errorID>358e3d01-f0d2-407c-b36e-f4f8563a0598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7C6DEB14</paraID>
      <start>0</start>
      <end>2</end>
      <status>ignored</status>
      <modifiedWord/>
      <trackRevisions>false</trackRevisions>
    </reviewItem>
    <reviewItem>
      <errorID>0fd8d216-519e-4de1-ba37-77b0faca5465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3F322190</paraID>
      <start>0</start>
      <end>2</end>
      <status>ignored</status>
      <modifiedWord/>
      <trackRevisions>false</trackRevisions>
    </reviewItem>
    <reviewItem>
      <errorID>a32b2b7f-8e3b-4be3-82e7-c7dc61cae931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658D0D87</paraID>
      <start>0</start>
      <end>2</end>
      <status>ignored</status>
      <modifiedWord/>
      <trackRevisions>false</trackRevisions>
    </reviewItem>
    <reviewItem>
      <errorID>931ff0bb-4999-4161-914d-94b5465839e2</errorID>
      <errorWord>（</errorWord>
      <group>L1_Punc</group>
      <groupName>标点问题</groupName>
      <ability>L2_Punc_CN</ability>
      <abilityName>标点符号问题</abilityName>
      <candidateList/>
      <explain>同一形式括号套用。</explain>
      <paraID>6ACCE8D9</paraID>
      <start>25</start>
      <end>26</end>
      <status>ignored</status>
      <modifiedWord/>
      <trackRevisions>false</trackRevisions>
    </reviewItem>
    <reviewItem>
      <errorID>71243dba-4c84-4a32-9c30-463d58d5bbcc</errorID>
      <errorWord>）</errorWord>
      <group>L1_Punc</group>
      <groupName>标点问题</groupName>
      <ability>L2_Punc_CN</ability>
      <abilityName>标点符号问题</abilityName>
      <candidateList/>
      <explain>同一形式括号套用。</explain>
      <paraID>6ACCE8D9</paraID>
      <start>28</start>
      <end>29</end>
      <status>ignored</status>
      <modifiedWord/>
      <trackRevisions>false</trackRevisions>
    </reviewItem>
    <reviewItem>
      <errorID>399d5d98-eb1e-4b20-a246-7d8601321e0d</errorID>
      <errorWord>经过检查和复核以后</errorWord>
      <group>L1_Grammar</group>
      <groupName>语法问题</groupName>
      <ability>L2_Grammar</ability>
      <abilityName>语法错误</abilityName>
      <candidateList>
        <item>经过检查和复核</item>
      </candidateList>
      <explain>该表达中的“经过检查和复核以后”存在语义重复。</explain>
      <paraID>19ED9F03</paraID>
      <start>147</start>
      <end>156</end>
      <status>ignored</status>
      <modifiedWord/>
      <trackRevisions>false</trackRevisions>
    </reviewItem>
    <reviewItem>
      <errorID>2785c1f2-34ad-4c04-9d23-c392d4c3cfed</errorID>
      <errorWord>收</errorWord>
      <group>L1_Word</group>
      <groupName>字词问题</groupName>
      <ability>L2_Typo</ability>
      <abilityName>字词错误</abilityName>
      <candidateList>
        <item>收到</item>
      </candidateList>
      <explain/>
      <paraID>10F82FC6</paraID>
      <start>10</start>
      <end>11</end>
      <status>ignored</status>
      <modifiedWord/>
      <trackRevisions>false</trackRevisions>
    </reviewItem>
    <reviewItem>
      <errorID>98339664-6974-4047-8723-bf22f844371c</errorID>
      <errorWord>接受</errorWord>
      <group>L1_Word</group>
      <groupName>字词问题</groupName>
      <ability>L2_Typo</ability>
      <abilityName>字词错误</abilityName>
      <candidateList>
        <item>接收</item>
      </candidateList>
      <explain>存在发音相同字词的误用。</explain>
      <paraID>10F82FC6</paraID>
      <start>55</start>
      <end>57</end>
      <status>ignored</status>
      <modifiedWord/>
      <trackRevisions>false</trackRevisions>
    </reviewItem>
    <reviewItem>
      <errorID>ead437d6-534d-4d92-a228-345d059f5569</errorID>
      <errorWord>单位的</errorWord>
      <group>L1_Word</group>
      <groupName>字词问题</groupName>
      <ability>L2_Typo</ability>
      <abilityName>字词错误</abilityName>
      <candidateList>
        <item>单位</item>
      </candidateList>
      <explain>〈名〉❶计量事物的标准量的名称。如米为计量长度的单位，千克为计量质量的单位，升为计量容积的单位等。❷指机关、团体或属于一个机关、团体等的各个部门：直属～｜下属～｜事业～｜参加竞赛的有很多～。</explain>
      <paraID>22E10E42</paraID>
      <start>71</start>
      <end>74</end>
      <status>ignored</status>
      <modifiedWord/>
      <trackRevisions>false</trackRevisions>
    </reviewItem>
    <reviewItem>
      <errorID>07dc8a6e-eed2-4a89-a67f-3521a2a38fbb</errorID>
      <errorWord>与</errorWord>
      <group>L1_Word</group>
      <groupName>字词问题</groupName>
      <ability>L2_Typo</ability>
      <abilityName>字词错误</abilityName>
      <candidateList>
        <item>于</item>
      </candidateList>
      <explain>存在发音相同字词的误用。</explain>
      <paraID>2575DD01</paraID>
      <start>37</start>
      <end>38</end>
      <status>ignored</status>
      <modifiedWord/>
      <trackRevisions>false</trackRevisions>
    </reviewItem>
    <reviewItem>
      <errorID>544665cd-a89e-4cfd-9ce0-1fcccb8f1296</errorID>
      <errorWord>与</errorWord>
      <group>L1_Word</group>
      <groupName>字词问题</groupName>
      <ability>L2_Typo</ability>
      <abilityName>字词错误</abilityName>
      <candidateList>
        <item>于</item>
      </candidateList>
      <explain>存在发音相同字词的误用。</explain>
      <paraID>2112AD95</paraID>
      <start>35</start>
      <end>36</end>
      <status>ignored</status>
      <modifiedWord/>
      <trackRevisions>false</trackRevisions>
    </reviewItem>
    <reviewItem>
      <errorID>fc1298cb-e733-4719-80e0-180f160e16c4</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46E9CB1B</paraID>
      <start>88</start>
      <end>91</end>
      <status>ignored</status>
      <modifiedWord/>
      <trackRevisions>false</trackRevisions>
    </reviewItem>
    <reviewItem>
      <errorID>66c434a0-16d6-45b7-9cb4-0988d74f3b43</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46E9CB1B</paraID>
      <start>107</start>
      <end>110</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59b54a-39e6-42c9-9a2b-3435b700288c}">
  <ds:schemaRefs/>
</ds:datastoreItem>
</file>

<file path=docProps/app.xml><?xml version="1.0" encoding="utf-8"?>
<Properties xmlns="http://schemas.openxmlformats.org/officeDocument/2006/extended-properties" xmlns:vt="http://schemas.openxmlformats.org/officeDocument/2006/docPropsVTypes">
  <Template>Normal.dotm</Template>
  <Pages>95</Pages>
  <Words>23082</Words>
  <Characters>25139</Characters>
  <Lines>0</Lines>
  <Paragraphs>0</Paragraphs>
  <TotalTime>11</TotalTime>
  <ScaleCrop>false</ScaleCrop>
  <LinksUpToDate>false</LinksUpToDate>
  <CharactersWithSpaces>25588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2026-06-11T00:48:00Z</dcterms:created>
  <dc:creator>明正</dc:creator>
  <cp:lastModifiedBy>A</cp:lastModifiedBy>
  <dcterms:modified xsi:type="dcterms:W3CDTF">2026-06-25T08:03:35Z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CED3CBA6A7D64F1193E09FCCE9C1C7C9_13</vt:lpwstr>
  </property>
  <property fmtid="{D5CDD505-2E9C-101B-9397-08002B2CF9AE}" pid="4" name="KSOTemplateDocerSaveRecord">
    <vt:lpwstr>eyJoZGlkIjoiNWI0ZTY2YWNjYTlkY2Y2NWI1NWViNmFkMzY3ZGVjZjAiLCJ1c2VySWQiOiIzMjI4NDYzOTkifQ==</vt:lpwstr>
  </property>
</Properties>
</file>