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BCB68C">
      <w:pPr>
        <w:keepNext w:val="0"/>
        <w:keepLines w:val="0"/>
        <w:pageBreakBefore w:val="0"/>
        <w:widowControl w:val="0"/>
        <w:tabs>
          <w:tab w:val="left" w:pos="900"/>
          <w:tab w:val="left" w:pos="1080"/>
        </w:tabs>
        <w:kinsoku/>
        <w:wordWrap/>
        <w:overflowPunct/>
        <w:topLinePunct w:val="0"/>
        <w:bidi w:val="0"/>
        <w:spacing w:line="520" w:lineRule="exact"/>
        <w:jc w:val="center"/>
        <w:rPr>
          <w:rFonts w:hint="eastAsia" w:ascii="黑体" w:hAnsi="Times New Roman" w:eastAsia="黑体" w:cs="Times New Roman"/>
          <w:color w:val="auto"/>
          <w:sz w:val="44"/>
          <w:szCs w:val="44"/>
        </w:rPr>
      </w:pPr>
      <w:bookmarkStart w:id="0" w:name="_GoBack"/>
      <w:r>
        <w:rPr>
          <w:rFonts w:hint="eastAsia" w:ascii="黑体" w:hAnsi="Times New Roman" w:eastAsia="黑体" w:cs="Times New Roman"/>
          <w:color w:val="auto"/>
          <w:sz w:val="44"/>
          <w:szCs w:val="44"/>
          <w:lang w:eastAsia="zh-CN"/>
        </w:rPr>
        <w:t>编</w:t>
      </w:r>
      <w:r>
        <w:rPr>
          <w:rFonts w:hint="eastAsia" w:ascii="黑体" w:hAnsi="Times New Roman" w:eastAsia="黑体" w:cs="Times New Roman"/>
          <w:color w:val="auto"/>
          <w:sz w:val="44"/>
          <w:szCs w:val="44"/>
          <w:lang w:val="en-US" w:eastAsia="zh-CN"/>
        </w:rPr>
        <w:t xml:space="preserve"> </w:t>
      </w:r>
      <w:r>
        <w:rPr>
          <w:rFonts w:hint="eastAsia" w:ascii="黑体" w:hAnsi="Times New Roman" w:eastAsia="黑体" w:cs="Times New Roman"/>
          <w:color w:val="auto"/>
          <w:sz w:val="44"/>
          <w:szCs w:val="44"/>
          <w:lang w:eastAsia="zh-CN"/>
        </w:rPr>
        <w:t>制</w:t>
      </w:r>
      <w:r>
        <w:rPr>
          <w:rFonts w:hint="eastAsia" w:ascii="黑体" w:hAnsi="Times New Roman" w:eastAsia="黑体" w:cs="Times New Roman"/>
          <w:color w:val="auto"/>
          <w:sz w:val="44"/>
          <w:szCs w:val="44"/>
        </w:rPr>
        <w:t xml:space="preserve"> 说 明</w:t>
      </w:r>
    </w:p>
    <w:p w14:paraId="3960C4EF">
      <w:pPr>
        <w:pStyle w:val="4"/>
        <w:keepNext w:val="0"/>
        <w:keepLines w:val="0"/>
        <w:pageBreakBefore w:val="0"/>
        <w:widowControl w:val="0"/>
        <w:kinsoku/>
        <w:wordWrap/>
        <w:overflowPunct/>
        <w:topLinePunct w:val="0"/>
        <w:bidi w:val="0"/>
        <w:spacing w:line="520" w:lineRule="exact"/>
        <w:rPr>
          <w:color w:val="auto"/>
        </w:rPr>
      </w:pPr>
    </w:p>
    <w:p w14:paraId="03CB97BC">
      <w:pPr>
        <w:keepNext w:val="0"/>
        <w:keepLines w:val="0"/>
        <w:pageBreakBefore w:val="0"/>
        <w:widowControl w:val="0"/>
        <w:tabs>
          <w:tab w:val="left" w:pos="900"/>
          <w:tab w:val="left" w:pos="1080"/>
        </w:tabs>
        <w:kinsoku/>
        <w:wordWrap/>
        <w:overflowPunct/>
        <w:topLinePunct w:val="0"/>
        <w:autoSpaceDE/>
        <w:autoSpaceDN/>
        <w:bidi w:val="0"/>
        <w:snapToGrid/>
        <w:spacing w:line="520" w:lineRule="exact"/>
        <w:ind w:firstLine="643" w:firstLineChars="200"/>
        <w:rPr>
          <w:rFonts w:hint="eastAsia" w:ascii="仿宋_GB2312" w:hAnsi="Times New Roman" w:eastAsia="仿宋_GB2312"/>
          <w:b/>
          <w:bCs/>
          <w:snapToGrid w:val="0"/>
          <w:color w:val="auto"/>
          <w:kern w:val="0"/>
          <w:sz w:val="32"/>
          <w:szCs w:val="24"/>
        </w:rPr>
      </w:pPr>
      <w:r>
        <w:rPr>
          <w:rFonts w:hint="eastAsia" w:ascii="仿宋_GB2312" w:hAnsi="Times New Roman" w:eastAsia="仿宋_GB2312"/>
          <w:b/>
          <w:bCs/>
          <w:snapToGrid w:val="0"/>
          <w:color w:val="auto"/>
          <w:kern w:val="0"/>
          <w:sz w:val="32"/>
          <w:szCs w:val="24"/>
        </w:rPr>
        <w:t>一、项目概况</w:t>
      </w:r>
    </w:p>
    <w:p w14:paraId="0F75F342">
      <w:pPr>
        <w:keepNext w:val="0"/>
        <w:keepLines w:val="0"/>
        <w:pageBreakBefore w:val="0"/>
        <w:widowControl w:val="0"/>
        <w:tabs>
          <w:tab w:val="left" w:pos="900"/>
          <w:tab w:val="left" w:pos="1080"/>
        </w:tabs>
        <w:kinsoku/>
        <w:wordWrap/>
        <w:overflowPunct/>
        <w:topLinePunct w:val="0"/>
        <w:autoSpaceDE/>
        <w:autoSpaceDN/>
        <w:bidi w:val="0"/>
        <w:snapToGrid/>
        <w:spacing w:line="520" w:lineRule="exact"/>
        <w:ind w:firstLine="640" w:firstLineChars="200"/>
        <w:rPr>
          <w:rFonts w:ascii="仿宋_GB2312" w:hAnsi="Times New Roman" w:eastAsia="仿宋_GB2312"/>
          <w:snapToGrid w:val="0"/>
          <w:color w:val="auto"/>
          <w:kern w:val="0"/>
          <w:sz w:val="32"/>
          <w:szCs w:val="24"/>
        </w:rPr>
      </w:pPr>
      <w:r>
        <w:rPr>
          <w:rFonts w:hint="eastAsia" w:ascii="仿宋_GB2312" w:hAnsi="Times New Roman" w:eastAsia="仿宋_GB2312"/>
          <w:snapToGrid w:val="0"/>
          <w:color w:val="auto"/>
          <w:kern w:val="0"/>
          <w:sz w:val="32"/>
          <w:szCs w:val="24"/>
        </w:rPr>
        <w:t>（一）项目内容</w:t>
      </w:r>
    </w:p>
    <w:p w14:paraId="3137497C">
      <w:pPr>
        <w:keepNext w:val="0"/>
        <w:keepLines w:val="0"/>
        <w:pageBreakBefore w:val="0"/>
        <w:widowControl w:val="0"/>
        <w:tabs>
          <w:tab w:val="left" w:pos="900"/>
          <w:tab w:val="left" w:pos="1080"/>
        </w:tabs>
        <w:kinsoku/>
        <w:wordWrap/>
        <w:overflowPunct/>
        <w:topLinePunct w:val="0"/>
        <w:bidi w:val="0"/>
        <w:spacing w:line="520" w:lineRule="exact"/>
        <w:ind w:firstLine="640" w:firstLineChars="200"/>
        <w:rPr>
          <w:rFonts w:hint="eastAsia" w:ascii="仿宋_GB2312" w:hAnsi="Times New Roman" w:eastAsia="仿宋_GB2312"/>
          <w:snapToGrid w:val="0"/>
          <w:color w:val="auto"/>
          <w:kern w:val="0"/>
          <w:sz w:val="32"/>
          <w:szCs w:val="24"/>
          <w:highlight w:val="none"/>
          <w:lang w:val="en-US" w:eastAsia="zh-CN"/>
        </w:rPr>
      </w:pPr>
      <w:r>
        <w:rPr>
          <w:rFonts w:hint="eastAsia" w:ascii="仿宋_GB2312" w:hAnsi="Times New Roman" w:eastAsia="仿宋_GB2312"/>
          <w:snapToGrid w:val="0"/>
          <w:color w:val="auto"/>
          <w:kern w:val="0"/>
          <w:sz w:val="32"/>
          <w:szCs w:val="24"/>
          <w:highlight w:val="none"/>
        </w:rPr>
        <w:t>主要建设内容为：</w:t>
      </w:r>
      <w:r>
        <w:rPr>
          <w:rFonts w:hint="eastAsia" w:ascii="仿宋_GB2312" w:hAnsi="Times New Roman" w:eastAsia="仿宋_GB2312"/>
          <w:snapToGrid w:val="0"/>
          <w:color w:val="auto"/>
          <w:kern w:val="0"/>
          <w:sz w:val="32"/>
          <w:szCs w:val="24"/>
          <w:highlight w:val="none"/>
          <w:lang w:val="en-US" w:eastAsia="zh-CN"/>
        </w:rPr>
        <w:t>工程由高坪电站尾水渠修复加固和新建高坪引水洞组成。其中高坪电站尾水渠修复加固93m;新建高坪引水洞全长约 7.72km，其中隧洞长7.50km，渡槽长191m，引渠长 24.66m。</w:t>
      </w:r>
    </w:p>
    <w:p w14:paraId="3BD20893">
      <w:pPr>
        <w:keepNext w:val="0"/>
        <w:keepLines w:val="0"/>
        <w:pageBreakBefore w:val="0"/>
        <w:widowControl w:val="0"/>
        <w:tabs>
          <w:tab w:val="left" w:pos="900"/>
          <w:tab w:val="left" w:pos="1080"/>
        </w:tabs>
        <w:kinsoku/>
        <w:wordWrap/>
        <w:overflowPunct/>
        <w:topLinePunct w:val="0"/>
        <w:autoSpaceDE/>
        <w:autoSpaceDN/>
        <w:bidi w:val="0"/>
        <w:snapToGrid/>
        <w:spacing w:line="520" w:lineRule="exact"/>
        <w:ind w:firstLine="640" w:firstLineChars="200"/>
        <w:rPr>
          <w:rFonts w:hint="eastAsia" w:ascii="仿宋_GB2312" w:hAnsi="宋体" w:eastAsia="仿宋_GB2312"/>
          <w:color w:val="auto"/>
          <w:sz w:val="32"/>
          <w:szCs w:val="32"/>
        </w:rPr>
      </w:pPr>
      <w:r>
        <w:rPr>
          <w:rFonts w:hint="eastAsia" w:ascii="仿宋_GB2312" w:hAnsi="宋体" w:eastAsia="仿宋_GB2312"/>
          <w:color w:val="auto"/>
          <w:sz w:val="32"/>
          <w:szCs w:val="32"/>
        </w:rPr>
        <w:t>（二）实施地点：</w:t>
      </w:r>
      <w:r>
        <w:rPr>
          <w:rFonts w:hint="eastAsia" w:ascii="仿宋_GB2312" w:hAnsi="宋体" w:eastAsia="仿宋_GB2312"/>
          <w:color w:val="auto"/>
          <w:sz w:val="32"/>
          <w:szCs w:val="32"/>
          <w:highlight w:val="none"/>
          <w:lang w:eastAsia="zh-CN"/>
        </w:rPr>
        <w:t>仁化县</w:t>
      </w:r>
      <w:r>
        <w:rPr>
          <w:rFonts w:hint="eastAsia" w:ascii="仿宋_GB2312" w:hAnsi="宋体" w:eastAsia="仿宋_GB2312"/>
          <w:color w:val="auto"/>
          <w:sz w:val="32"/>
          <w:szCs w:val="32"/>
        </w:rPr>
        <w:t>。</w:t>
      </w:r>
    </w:p>
    <w:p w14:paraId="0DF12597">
      <w:pPr>
        <w:keepNext w:val="0"/>
        <w:keepLines w:val="0"/>
        <w:pageBreakBefore w:val="0"/>
        <w:widowControl w:val="0"/>
        <w:tabs>
          <w:tab w:val="left" w:pos="900"/>
          <w:tab w:val="left" w:pos="1080"/>
        </w:tabs>
        <w:kinsoku/>
        <w:wordWrap/>
        <w:overflowPunct/>
        <w:topLinePunct w:val="0"/>
        <w:autoSpaceDE/>
        <w:autoSpaceDN/>
        <w:bidi w:val="0"/>
        <w:snapToGrid/>
        <w:spacing w:line="520" w:lineRule="exact"/>
        <w:ind w:firstLine="640" w:firstLineChars="200"/>
        <w:rPr>
          <w:rFonts w:hint="eastAsia" w:ascii="仿宋_GB2312" w:hAnsi="宋体" w:eastAsia="仿宋_GB2312"/>
          <w:color w:val="auto"/>
          <w:sz w:val="32"/>
          <w:szCs w:val="32"/>
        </w:rPr>
      </w:pPr>
      <w:r>
        <w:rPr>
          <w:rFonts w:hint="eastAsia" w:ascii="仿宋_GB2312" w:hAnsi="宋体" w:eastAsia="仿宋_GB2312"/>
          <w:color w:val="auto"/>
          <w:sz w:val="32"/>
          <w:szCs w:val="32"/>
        </w:rPr>
        <w:t>（三）实施单位</w:t>
      </w:r>
    </w:p>
    <w:p w14:paraId="0F3D96A5">
      <w:pPr>
        <w:keepNext w:val="0"/>
        <w:keepLines w:val="0"/>
        <w:pageBreakBefore w:val="0"/>
        <w:widowControl w:val="0"/>
        <w:tabs>
          <w:tab w:val="left" w:pos="1080"/>
        </w:tabs>
        <w:kinsoku/>
        <w:wordWrap/>
        <w:overflowPunct/>
        <w:topLinePunct w:val="0"/>
        <w:autoSpaceDE/>
        <w:autoSpaceDN/>
        <w:bidi w:val="0"/>
        <w:snapToGrid/>
        <w:spacing w:before="156" w:beforeLines="50" w:line="520" w:lineRule="exact"/>
        <w:ind w:firstLine="640" w:firstLineChars="200"/>
        <w:outlineLvl w:val="0"/>
        <w:rPr>
          <w:rFonts w:hint="eastAsia" w:ascii="仿宋_GB2312" w:hAnsi="宋体" w:eastAsia="仿宋_GB2312"/>
          <w:color w:val="auto"/>
          <w:sz w:val="32"/>
          <w:szCs w:val="32"/>
        </w:rPr>
      </w:pPr>
      <w:r>
        <w:rPr>
          <w:rFonts w:hint="eastAsia" w:ascii="仿宋_GB2312" w:hAnsi="宋体" w:eastAsia="仿宋_GB2312"/>
          <w:color w:val="auto"/>
          <w:sz w:val="32"/>
          <w:szCs w:val="32"/>
          <w:lang w:val="en-US" w:eastAsia="zh-CN"/>
        </w:rPr>
        <w:t>1</w:t>
      </w:r>
      <w:r>
        <w:rPr>
          <w:rFonts w:hint="eastAsia" w:ascii="仿宋_GB2312" w:hAnsi="宋体" w:eastAsia="仿宋_GB2312"/>
          <w:color w:val="auto"/>
          <w:sz w:val="32"/>
          <w:szCs w:val="32"/>
        </w:rPr>
        <w:t>、建设单位：</w:t>
      </w:r>
      <w:r>
        <w:rPr>
          <w:rFonts w:hint="eastAsia" w:ascii="仿宋_GB2312" w:hAnsi="宋体" w:eastAsia="仿宋_GB2312"/>
          <w:color w:val="auto"/>
          <w:sz w:val="32"/>
          <w:szCs w:val="32"/>
          <w:highlight w:val="none"/>
          <w:lang w:eastAsia="zh-CN"/>
        </w:rPr>
        <w:t>仁化县水利工程建设管理中心</w:t>
      </w:r>
      <w:r>
        <w:rPr>
          <w:rFonts w:hint="eastAsia" w:ascii="仿宋_GB2312" w:hAnsi="宋体" w:eastAsia="仿宋_GB2312"/>
          <w:color w:val="auto"/>
          <w:sz w:val="32"/>
          <w:szCs w:val="32"/>
        </w:rPr>
        <w:t>；</w:t>
      </w:r>
    </w:p>
    <w:p w14:paraId="218CCBD1">
      <w:pPr>
        <w:keepNext w:val="0"/>
        <w:keepLines w:val="0"/>
        <w:pageBreakBefore w:val="0"/>
        <w:widowControl w:val="0"/>
        <w:tabs>
          <w:tab w:val="left" w:pos="900"/>
          <w:tab w:val="left" w:pos="1080"/>
        </w:tabs>
        <w:kinsoku/>
        <w:wordWrap/>
        <w:overflowPunct/>
        <w:topLinePunct w:val="0"/>
        <w:bidi w:val="0"/>
        <w:spacing w:line="520" w:lineRule="exact"/>
        <w:ind w:firstLine="636" w:firstLineChars="199"/>
        <w:rPr>
          <w:rFonts w:hint="eastAsia" w:ascii="Times New Roman" w:hAnsi="Times New Roman" w:eastAsia="仿宋_GB2312" w:cs="Times New Roman"/>
          <w:snapToGrid w:val="0"/>
          <w:color w:val="auto"/>
          <w:kern w:val="0"/>
          <w:sz w:val="32"/>
          <w:highlight w:val="none"/>
          <w:lang w:val="en-US" w:eastAsia="zh-CN"/>
        </w:rPr>
      </w:pPr>
      <w:r>
        <w:rPr>
          <w:rFonts w:hint="eastAsia" w:ascii="仿宋_GB2312" w:hAnsi="宋体" w:eastAsia="仿宋_GB2312"/>
          <w:color w:val="auto"/>
          <w:sz w:val="32"/>
          <w:szCs w:val="32"/>
          <w:lang w:val="en-US" w:eastAsia="zh-CN"/>
        </w:rPr>
        <w:t>2</w:t>
      </w:r>
      <w:r>
        <w:rPr>
          <w:rFonts w:hint="eastAsia" w:ascii="仿宋_GB2312" w:hAnsi="宋体" w:eastAsia="仿宋_GB2312"/>
          <w:color w:val="auto"/>
          <w:sz w:val="32"/>
          <w:szCs w:val="32"/>
        </w:rPr>
        <w:t>、设计单位：</w:t>
      </w:r>
      <w:r>
        <w:rPr>
          <w:rFonts w:hint="eastAsia" w:ascii="Times New Roman" w:hAnsi="Times New Roman" w:eastAsia="仿宋_GB2312" w:cs="Times New Roman"/>
          <w:snapToGrid w:val="0"/>
          <w:color w:val="auto"/>
          <w:kern w:val="0"/>
          <w:sz w:val="32"/>
          <w:highlight w:val="none"/>
          <w:lang w:val="en-US" w:eastAsia="zh-CN"/>
        </w:rPr>
        <w:t>中国水利水电第十四工程局有限公司、</w:t>
      </w:r>
    </w:p>
    <w:p w14:paraId="5708A28B">
      <w:pPr>
        <w:keepNext w:val="0"/>
        <w:keepLines w:val="0"/>
        <w:pageBreakBefore w:val="0"/>
        <w:widowControl w:val="0"/>
        <w:tabs>
          <w:tab w:val="left" w:pos="900"/>
          <w:tab w:val="left" w:pos="1080"/>
        </w:tabs>
        <w:kinsoku/>
        <w:wordWrap/>
        <w:overflowPunct/>
        <w:topLinePunct w:val="0"/>
        <w:bidi w:val="0"/>
        <w:spacing w:line="520" w:lineRule="exact"/>
        <w:ind w:firstLine="636" w:firstLineChars="199"/>
        <w:rPr>
          <w:rFonts w:hint="eastAsia" w:ascii="Times New Roman" w:hAnsi="Times New Roman" w:eastAsia="仿宋_GB2312" w:cs="Times New Roman"/>
          <w:snapToGrid w:val="0"/>
          <w:color w:val="auto"/>
          <w:kern w:val="0"/>
          <w:sz w:val="32"/>
          <w:highlight w:val="none"/>
          <w:lang w:eastAsia="zh-CN"/>
        </w:rPr>
      </w:pPr>
      <w:r>
        <w:rPr>
          <w:rFonts w:hint="eastAsia" w:ascii="Times New Roman" w:hAnsi="Times New Roman" w:eastAsia="仿宋_GB2312" w:cs="Times New Roman"/>
          <w:snapToGrid w:val="0"/>
          <w:color w:val="auto"/>
          <w:kern w:val="0"/>
          <w:sz w:val="32"/>
          <w:highlight w:val="none"/>
          <w:lang w:val="en-US" w:eastAsia="zh-CN"/>
        </w:rPr>
        <w:t>广东省水科勘测设计院有限公司</w:t>
      </w:r>
      <w:r>
        <w:rPr>
          <w:rFonts w:hint="eastAsia" w:ascii="Times New Roman" w:hAnsi="Times New Roman" w:eastAsia="仿宋_GB2312" w:cs="Times New Roman"/>
          <w:snapToGrid w:val="0"/>
          <w:color w:val="auto"/>
          <w:kern w:val="0"/>
          <w:sz w:val="32"/>
          <w:highlight w:val="none"/>
          <w:lang w:eastAsia="zh-CN"/>
        </w:rPr>
        <w:t>。</w:t>
      </w:r>
    </w:p>
    <w:p w14:paraId="5354AC75">
      <w:pPr>
        <w:keepNext w:val="0"/>
        <w:keepLines w:val="0"/>
        <w:pageBreakBefore w:val="0"/>
        <w:widowControl w:val="0"/>
        <w:tabs>
          <w:tab w:val="left" w:pos="900"/>
          <w:tab w:val="left" w:pos="1080"/>
        </w:tabs>
        <w:kinsoku/>
        <w:wordWrap/>
        <w:overflowPunct/>
        <w:topLinePunct w:val="0"/>
        <w:bidi w:val="0"/>
        <w:spacing w:line="520" w:lineRule="exact"/>
        <w:ind w:firstLine="639" w:firstLineChars="199"/>
        <w:rPr>
          <w:rFonts w:hint="eastAsia" w:ascii="Times New Roman" w:hAnsi="Times New Roman" w:eastAsia="仿宋_GB2312" w:cs="Times New Roman"/>
          <w:b/>
          <w:bCs/>
          <w:snapToGrid w:val="0"/>
          <w:color w:val="auto"/>
          <w:kern w:val="0"/>
          <w:sz w:val="32"/>
          <w:highlight w:val="none"/>
          <w:lang w:val="en-US" w:eastAsia="zh-CN"/>
        </w:rPr>
      </w:pPr>
      <w:r>
        <w:rPr>
          <w:rFonts w:hint="eastAsia" w:ascii="Times New Roman" w:hAnsi="Times New Roman" w:eastAsia="仿宋_GB2312" w:cs="Times New Roman"/>
          <w:b/>
          <w:bCs/>
          <w:snapToGrid w:val="0"/>
          <w:color w:val="auto"/>
          <w:kern w:val="0"/>
          <w:sz w:val="32"/>
          <w:highlight w:val="none"/>
          <w:lang w:val="en-US" w:eastAsia="zh-CN"/>
        </w:rPr>
        <w:t>二、编制依据</w:t>
      </w:r>
    </w:p>
    <w:p w14:paraId="70CE3EE6">
      <w:pPr>
        <w:keepNext w:val="0"/>
        <w:keepLines w:val="0"/>
        <w:pageBreakBefore w:val="0"/>
        <w:widowControl w:val="0"/>
        <w:tabs>
          <w:tab w:val="left" w:pos="900"/>
          <w:tab w:val="left" w:pos="1080"/>
        </w:tabs>
        <w:kinsoku/>
        <w:wordWrap/>
        <w:overflowPunct/>
        <w:topLinePunct w:val="0"/>
        <w:bidi w:val="0"/>
        <w:spacing w:line="520" w:lineRule="exact"/>
        <w:ind w:firstLine="636" w:firstLineChars="199"/>
        <w:rPr>
          <w:rFonts w:hint="eastAsia" w:ascii="Times New Roman" w:hAnsi="Times New Roman" w:eastAsia="仿宋_GB2312" w:cs="Times New Roman"/>
          <w:snapToGrid w:val="0"/>
          <w:color w:val="auto"/>
          <w:kern w:val="0"/>
          <w:sz w:val="32"/>
          <w:highlight w:val="none"/>
          <w:lang w:val="en-US" w:eastAsia="zh-CN"/>
        </w:rPr>
      </w:pPr>
      <w:r>
        <w:rPr>
          <w:rFonts w:hint="eastAsia" w:ascii="Times New Roman" w:hAnsi="Times New Roman" w:eastAsia="仿宋_GB2312" w:cs="Times New Roman"/>
          <w:snapToGrid w:val="0"/>
          <w:color w:val="auto"/>
          <w:kern w:val="0"/>
          <w:sz w:val="32"/>
          <w:highlight w:val="none"/>
          <w:lang w:val="en-US" w:eastAsia="zh-CN"/>
        </w:rPr>
        <w:t>（一）送审资料</w:t>
      </w:r>
    </w:p>
    <w:p w14:paraId="7903697D">
      <w:pPr>
        <w:keepNext w:val="0"/>
        <w:keepLines w:val="0"/>
        <w:pageBreakBefore w:val="0"/>
        <w:widowControl w:val="0"/>
        <w:tabs>
          <w:tab w:val="left" w:pos="900"/>
          <w:tab w:val="left" w:pos="1080"/>
        </w:tabs>
        <w:kinsoku/>
        <w:wordWrap/>
        <w:overflowPunct/>
        <w:topLinePunct w:val="0"/>
        <w:bidi w:val="0"/>
        <w:spacing w:line="520" w:lineRule="exact"/>
        <w:ind w:firstLine="640" w:firstLineChars="200"/>
        <w:rPr>
          <w:rFonts w:hint="eastAsia" w:ascii="仿宋_GB2312" w:hAnsi="宋体" w:eastAsia="仿宋_GB2312" w:cs="Times New Roman"/>
          <w:color w:val="auto"/>
          <w:sz w:val="32"/>
          <w:szCs w:val="32"/>
          <w:highlight w:val="none"/>
          <w:lang w:val="en-US" w:eastAsia="zh-CN"/>
        </w:rPr>
      </w:pPr>
      <w:r>
        <w:rPr>
          <w:rFonts w:hint="eastAsia" w:ascii="仿宋_GB2312" w:hAnsi="宋体" w:eastAsia="仿宋_GB2312" w:cs="Times New Roman"/>
          <w:color w:val="auto"/>
          <w:sz w:val="32"/>
          <w:szCs w:val="32"/>
          <w:highlight w:val="none"/>
          <w:lang w:val="en-US" w:eastAsia="zh-CN"/>
        </w:rPr>
        <w:t>1、仁发改和政数投审【2024】49号</w:t>
      </w:r>
    </w:p>
    <w:p w14:paraId="496CC107">
      <w:pPr>
        <w:keepNext w:val="0"/>
        <w:keepLines w:val="0"/>
        <w:pageBreakBefore w:val="0"/>
        <w:widowControl w:val="0"/>
        <w:tabs>
          <w:tab w:val="left" w:pos="900"/>
          <w:tab w:val="left" w:pos="1080"/>
        </w:tabs>
        <w:kinsoku/>
        <w:wordWrap/>
        <w:overflowPunct/>
        <w:topLinePunct w:val="0"/>
        <w:bidi w:val="0"/>
        <w:spacing w:line="520" w:lineRule="exact"/>
        <w:ind w:firstLine="640" w:firstLineChars="200"/>
        <w:rPr>
          <w:rFonts w:hint="eastAsia" w:ascii="仿宋_GB2312" w:hAnsi="宋体" w:eastAsia="仿宋_GB2312" w:cs="Times New Roman"/>
          <w:color w:val="auto"/>
          <w:sz w:val="32"/>
          <w:szCs w:val="32"/>
          <w:highlight w:val="none"/>
          <w:lang w:val="en-US" w:eastAsia="zh-CN"/>
        </w:rPr>
      </w:pPr>
      <w:r>
        <w:rPr>
          <w:rFonts w:hint="eastAsia" w:ascii="仿宋_GB2312" w:hAnsi="宋体" w:eastAsia="仿宋_GB2312" w:cs="Times New Roman"/>
          <w:color w:val="auto"/>
          <w:sz w:val="32"/>
          <w:szCs w:val="32"/>
          <w:highlight w:val="none"/>
          <w:lang w:val="en-US" w:eastAsia="zh-CN"/>
        </w:rPr>
        <w:t>2、仁发改和政数投审【2025】32号</w:t>
      </w:r>
    </w:p>
    <w:p w14:paraId="27577F1D">
      <w:pPr>
        <w:keepNext w:val="0"/>
        <w:keepLines w:val="0"/>
        <w:pageBreakBefore w:val="0"/>
        <w:widowControl w:val="0"/>
        <w:tabs>
          <w:tab w:val="left" w:pos="900"/>
          <w:tab w:val="left" w:pos="1080"/>
        </w:tabs>
        <w:kinsoku/>
        <w:wordWrap/>
        <w:overflowPunct/>
        <w:topLinePunct w:val="0"/>
        <w:bidi w:val="0"/>
        <w:spacing w:line="520" w:lineRule="exact"/>
        <w:ind w:firstLine="640" w:firstLineChars="200"/>
        <w:rPr>
          <w:rFonts w:hint="default" w:ascii="仿宋_GB2312" w:hAnsi="宋体" w:eastAsia="仿宋_GB2312" w:cs="Times New Roman"/>
          <w:color w:val="auto"/>
          <w:sz w:val="32"/>
          <w:szCs w:val="32"/>
          <w:highlight w:val="none"/>
          <w:lang w:val="en-US" w:eastAsia="zh-CN"/>
        </w:rPr>
      </w:pPr>
      <w:r>
        <w:rPr>
          <w:rFonts w:hint="eastAsia" w:ascii="仿宋_GB2312" w:hAnsi="宋体" w:eastAsia="仿宋_GB2312" w:cs="Times New Roman"/>
          <w:color w:val="auto"/>
          <w:sz w:val="32"/>
          <w:szCs w:val="32"/>
          <w:highlight w:val="none"/>
          <w:lang w:val="en-US" w:eastAsia="zh-CN"/>
        </w:rPr>
        <w:t>3、仁水批【2025】37号</w:t>
      </w:r>
    </w:p>
    <w:p w14:paraId="66CEDDF3">
      <w:pPr>
        <w:keepNext w:val="0"/>
        <w:keepLines w:val="0"/>
        <w:pageBreakBefore w:val="0"/>
        <w:widowControl w:val="0"/>
        <w:tabs>
          <w:tab w:val="left" w:pos="900"/>
          <w:tab w:val="left" w:pos="1080"/>
        </w:tabs>
        <w:kinsoku/>
        <w:wordWrap/>
        <w:overflowPunct/>
        <w:topLinePunct w:val="0"/>
        <w:bidi w:val="0"/>
        <w:spacing w:line="520" w:lineRule="exact"/>
        <w:ind w:firstLine="640" w:firstLineChars="200"/>
        <w:rPr>
          <w:rFonts w:hint="eastAsia" w:ascii="仿宋_GB2312" w:hAnsi="宋体" w:eastAsia="仿宋_GB2312" w:cs="Times New Roman"/>
          <w:color w:val="auto"/>
          <w:sz w:val="32"/>
          <w:szCs w:val="32"/>
          <w:highlight w:val="none"/>
          <w:lang w:val="en-US" w:eastAsia="zh-CN"/>
        </w:rPr>
      </w:pPr>
      <w:r>
        <w:rPr>
          <w:rFonts w:hint="eastAsia" w:ascii="仿宋_GB2312" w:hAnsi="宋体" w:eastAsia="仿宋_GB2312" w:cs="Times New Roman"/>
          <w:color w:val="auto"/>
          <w:sz w:val="32"/>
          <w:szCs w:val="32"/>
          <w:highlight w:val="none"/>
          <w:lang w:val="en-US" w:eastAsia="zh-CN"/>
        </w:rPr>
        <w:t>4、招标设计图册。</w:t>
      </w:r>
    </w:p>
    <w:p w14:paraId="32423231">
      <w:pPr>
        <w:keepNext w:val="0"/>
        <w:keepLines w:val="0"/>
        <w:pageBreakBefore w:val="0"/>
        <w:widowControl w:val="0"/>
        <w:tabs>
          <w:tab w:val="left" w:pos="900"/>
          <w:tab w:val="left" w:pos="1080"/>
        </w:tabs>
        <w:kinsoku/>
        <w:wordWrap/>
        <w:overflowPunct/>
        <w:topLinePunct w:val="0"/>
        <w:bidi w:val="0"/>
        <w:spacing w:line="520" w:lineRule="exact"/>
        <w:ind w:firstLine="640" w:firstLineChars="200"/>
        <w:rPr>
          <w:rFonts w:hint="eastAsia" w:ascii="仿宋_GB2312" w:hAnsi="宋体" w:eastAsia="仿宋_GB2312" w:cs="Times New Roman"/>
          <w:color w:val="auto"/>
          <w:sz w:val="32"/>
          <w:szCs w:val="32"/>
          <w:highlight w:val="none"/>
          <w:lang w:val="en-US" w:eastAsia="zh-CN"/>
        </w:rPr>
      </w:pPr>
      <w:r>
        <w:rPr>
          <w:rFonts w:hint="eastAsia" w:ascii="仿宋_GB2312" w:hAnsi="宋体" w:eastAsia="仿宋_GB2312" w:cs="Times New Roman"/>
          <w:color w:val="auto"/>
          <w:sz w:val="32"/>
          <w:szCs w:val="32"/>
          <w:highlight w:val="none"/>
          <w:lang w:val="en-US" w:eastAsia="zh-CN"/>
        </w:rPr>
        <w:t>5、</w:t>
      </w:r>
      <w:r>
        <w:rPr>
          <w:rFonts w:hint="eastAsia" w:ascii="Times New Roman" w:hAnsi="Times New Roman" w:eastAsia="仿宋_GB2312" w:cs="Times New Roman"/>
          <w:snapToGrid w:val="0"/>
          <w:color w:val="auto"/>
          <w:kern w:val="0"/>
          <w:sz w:val="32"/>
          <w:highlight w:val="none"/>
          <w:lang w:val="en-US" w:eastAsia="zh-CN"/>
        </w:rPr>
        <w:t>中国水利水电第十四工程局有限公司</w:t>
      </w:r>
      <w:r>
        <w:rPr>
          <w:rFonts w:hint="eastAsia" w:ascii="仿宋_GB2312" w:hAnsi="宋体" w:eastAsia="仿宋_GB2312" w:cs="Times New Roman"/>
          <w:color w:val="auto"/>
          <w:sz w:val="32"/>
          <w:szCs w:val="32"/>
          <w:highlight w:val="none"/>
          <w:lang w:val="en-US" w:eastAsia="zh-CN"/>
        </w:rPr>
        <w:t>编制的招标控制价及工程量计算书。</w:t>
      </w:r>
    </w:p>
    <w:p w14:paraId="7BFF49ED">
      <w:pPr>
        <w:keepNext w:val="0"/>
        <w:keepLines w:val="0"/>
        <w:pageBreakBefore w:val="0"/>
        <w:widowControl w:val="0"/>
        <w:tabs>
          <w:tab w:val="left" w:pos="900"/>
          <w:tab w:val="left" w:pos="1080"/>
        </w:tabs>
        <w:kinsoku/>
        <w:wordWrap/>
        <w:overflowPunct/>
        <w:topLinePunct w:val="0"/>
        <w:bidi w:val="0"/>
        <w:spacing w:line="520" w:lineRule="exact"/>
        <w:ind w:firstLine="640" w:firstLineChars="200"/>
        <w:rPr>
          <w:rFonts w:hint="eastAsia" w:ascii="仿宋_GB2312" w:hAnsi="宋体" w:eastAsia="仿宋_GB2312" w:cs="Times New Roman"/>
          <w:color w:val="auto"/>
          <w:sz w:val="32"/>
          <w:szCs w:val="32"/>
          <w:highlight w:val="none"/>
          <w:lang w:val="en-US" w:eastAsia="zh-CN"/>
        </w:rPr>
      </w:pPr>
      <w:r>
        <w:rPr>
          <w:rFonts w:hint="eastAsia" w:ascii="仿宋_GB2312" w:hAnsi="宋体" w:eastAsia="仿宋_GB2312" w:cs="Times New Roman"/>
          <w:color w:val="auto"/>
          <w:sz w:val="32"/>
          <w:szCs w:val="32"/>
          <w:highlight w:val="none"/>
          <w:lang w:val="en-US" w:eastAsia="zh-CN"/>
        </w:rPr>
        <w:t>4、建设单位出具的《关于对广东省仁化县县域自来水引调水工程招标控制价的说明》（2025年11月21日）。</w:t>
      </w:r>
    </w:p>
    <w:p w14:paraId="526BA08A">
      <w:pPr>
        <w:keepNext w:val="0"/>
        <w:keepLines w:val="0"/>
        <w:pageBreakBefore w:val="0"/>
        <w:widowControl w:val="0"/>
        <w:tabs>
          <w:tab w:val="left" w:pos="900"/>
          <w:tab w:val="left" w:pos="1080"/>
        </w:tabs>
        <w:kinsoku/>
        <w:wordWrap/>
        <w:overflowPunct/>
        <w:topLinePunct w:val="0"/>
        <w:bidi w:val="0"/>
        <w:spacing w:line="520" w:lineRule="exact"/>
        <w:ind w:firstLine="640" w:firstLineChars="200"/>
        <w:rPr>
          <w:rFonts w:hint="eastAsia" w:ascii="仿宋_GB2312" w:hAnsi="宋体" w:eastAsia="仿宋_GB2312" w:cs="Times New Roman"/>
          <w:color w:val="auto"/>
          <w:sz w:val="32"/>
          <w:szCs w:val="32"/>
          <w:highlight w:val="none"/>
          <w:lang w:val="en-US" w:eastAsia="zh-CN"/>
        </w:rPr>
      </w:pPr>
      <w:r>
        <w:rPr>
          <w:rFonts w:hint="eastAsia" w:ascii="仿宋_GB2312" w:hAnsi="宋体" w:eastAsia="仿宋_GB2312" w:cs="Times New Roman"/>
          <w:color w:val="auto"/>
          <w:sz w:val="32"/>
          <w:szCs w:val="32"/>
          <w:highlight w:val="none"/>
          <w:lang w:val="en-US" w:eastAsia="zh-CN"/>
        </w:rPr>
        <w:t>5、</w:t>
      </w:r>
      <w:r>
        <w:rPr>
          <w:rFonts w:hint="eastAsia" w:ascii="仿宋_GB2312" w:hAnsi="宋体" w:eastAsia="仿宋_GB2312" w:cs="Times New Roman"/>
          <w:color w:val="auto"/>
          <w:sz w:val="32"/>
          <w:szCs w:val="32"/>
          <w:highlight w:val="none"/>
          <w:lang w:val="en-US" w:eastAsia="zh-CN"/>
        </w:rPr>
        <w:t>建设单位出具的《关于对广东省仁化县县域自来水引调水工程招标控制价的说明（二）》（2026年1月4日）</w:t>
      </w:r>
    </w:p>
    <w:p w14:paraId="4B49E167">
      <w:pPr>
        <w:keepNext w:val="0"/>
        <w:keepLines w:val="0"/>
        <w:pageBreakBefore w:val="0"/>
        <w:widowControl w:val="0"/>
        <w:tabs>
          <w:tab w:val="left" w:pos="900"/>
          <w:tab w:val="left" w:pos="1080"/>
        </w:tabs>
        <w:kinsoku/>
        <w:wordWrap/>
        <w:overflowPunct/>
        <w:topLinePunct w:val="0"/>
        <w:bidi w:val="0"/>
        <w:spacing w:line="520" w:lineRule="exact"/>
        <w:ind w:firstLine="640" w:firstLineChars="200"/>
        <w:rPr>
          <w:rFonts w:hint="eastAsia" w:ascii="仿宋_GB2312" w:hAnsi="宋体" w:eastAsia="仿宋_GB2312" w:cs="Times New Roman"/>
          <w:color w:val="auto"/>
          <w:sz w:val="32"/>
          <w:szCs w:val="32"/>
          <w:highlight w:val="none"/>
          <w:lang w:val="en-US" w:eastAsia="zh-CN"/>
        </w:rPr>
      </w:pPr>
      <w:r>
        <w:rPr>
          <w:rFonts w:hint="eastAsia" w:ascii="仿宋_GB2312" w:hAnsi="宋体" w:eastAsia="仿宋_GB2312" w:cs="Times New Roman"/>
          <w:color w:val="auto"/>
          <w:sz w:val="32"/>
          <w:szCs w:val="32"/>
          <w:highlight w:val="none"/>
          <w:lang w:val="en-US" w:eastAsia="zh-CN"/>
        </w:rPr>
        <w:t>（二）执行规范及定额</w:t>
      </w:r>
    </w:p>
    <w:p w14:paraId="27D648F9">
      <w:pPr>
        <w:keepNext w:val="0"/>
        <w:keepLines w:val="0"/>
        <w:pageBreakBefore w:val="0"/>
        <w:widowControl w:val="0"/>
        <w:tabs>
          <w:tab w:val="left" w:pos="900"/>
          <w:tab w:val="left" w:pos="1080"/>
        </w:tabs>
        <w:kinsoku/>
        <w:wordWrap/>
        <w:overflowPunct/>
        <w:topLinePunct w:val="0"/>
        <w:bidi w:val="0"/>
        <w:spacing w:line="520" w:lineRule="exact"/>
        <w:ind w:firstLine="640" w:firstLineChars="200"/>
        <w:rPr>
          <w:rFonts w:hint="eastAsia" w:ascii="仿宋_GB2312" w:hAnsi="??" w:eastAsia="仿宋_GB2312"/>
          <w:color w:val="auto"/>
          <w:sz w:val="32"/>
          <w:szCs w:val="32"/>
          <w:highlight w:val="none"/>
          <w:lang w:eastAsia="zh-CN"/>
        </w:rPr>
      </w:pPr>
      <w:r>
        <w:rPr>
          <w:rFonts w:hint="eastAsia" w:ascii="仿宋_GB2312" w:hAnsi="宋体" w:eastAsia="仿宋_GB2312" w:cs="Times New Roman"/>
          <w:color w:val="auto"/>
          <w:sz w:val="32"/>
          <w:szCs w:val="32"/>
          <w:highlight w:val="none"/>
          <w:lang w:val="en-US" w:eastAsia="zh-CN"/>
        </w:rPr>
        <w:t>1、《水利工程工程量清单计价规范》（GB50501-2007）</w:t>
      </w:r>
      <w:r>
        <w:rPr>
          <w:rFonts w:hint="eastAsia" w:ascii="仿宋_GB2312" w:hAnsi="??" w:eastAsia="仿宋_GB2312"/>
          <w:color w:val="auto"/>
          <w:sz w:val="32"/>
          <w:szCs w:val="32"/>
          <w:highlight w:val="none"/>
          <w:lang w:eastAsia="zh-CN"/>
        </w:rPr>
        <w:t>。</w:t>
      </w:r>
    </w:p>
    <w:p w14:paraId="1C4BE257">
      <w:pPr>
        <w:keepNext w:val="0"/>
        <w:keepLines w:val="0"/>
        <w:pageBreakBefore w:val="0"/>
        <w:widowControl w:val="0"/>
        <w:tabs>
          <w:tab w:val="left" w:pos="900"/>
          <w:tab w:val="left" w:pos="1080"/>
        </w:tabs>
        <w:kinsoku/>
        <w:wordWrap/>
        <w:overflowPunct/>
        <w:topLinePunct w:val="0"/>
        <w:bidi w:val="0"/>
        <w:spacing w:line="520" w:lineRule="exact"/>
        <w:ind w:firstLine="640" w:firstLineChars="200"/>
        <w:rPr>
          <w:rFonts w:hint="eastAsia" w:ascii="仿宋_GB2312" w:hAnsi="宋体" w:eastAsia="仿宋_GB2312" w:cs="Times New Roman"/>
          <w:color w:val="auto"/>
          <w:sz w:val="32"/>
          <w:szCs w:val="32"/>
          <w:highlight w:val="none"/>
          <w:lang w:val="en-US" w:eastAsia="zh-CN"/>
        </w:rPr>
      </w:pPr>
      <w:r>
        <w:rPr>
          <w:rFonts w:hint="eastAsia" w:ascii="仿宋_GB2312" w:hAnsi="宋体" w:eastAsia="仿宋_GB2312" w:cs="Times New Roman"/>
          <w:color w:val="auto"/>
          <w:sz w:val="32"/>
          <w:szCs w:val="32"/>
          <w:highlight w:val="none"/>
          <w:lang w:val="en-US" w:eastAsia="zh-CN"/>
        </w:rPr>
        <w:t>2、广东省水利厅粤水建管〔2017〕37号文发布的《广东省水利水电工程设计概（估）算编制规定》。</w:t>
      </w:r>
    </w:p>
    <w:p w14:paraId="2BD26E6F">
      <w:pPr>
        <w:keepNext w:val="0"/>
        <w:keepLines w:val="0"/>
        <w:pageBreakBefore w:val="0"/>
        <w:widowControl w:val="0"/>
        <w:tabs>
          <w:tab w:val="left" w:pos="900"/>
          <w:tab w:val="left" w:pos="1080"/>
        </w:tabs>
        <w:kinsoku/>
        <w:wordWrap/>
        <w:overflowPunct/>
        <w:topLinePunct w:val="0"/>
        <w:bidi w:val="0"/>
        <w:spacing w:line="520" w:lineRule="exact"/>
        <w:ind w:firstLine="640" w:firstLineChars="200"/>
        <w:rPr>
          <w:rFonts w:hint="eastAsia" w:ascii="仿宋_GB2312" w:hAnsi="宋体" w:eastAsia="仿宋_GB2312" w:cs="Times New Roman"/>
          <w:color w:val="auto"/>
          <w:sz w:val="32"/>
          <w:szCs w:val="32"/>
          <w:highlight w:val="none"/>
          <w:lang w:val="en-US" w:eastAsia="zh-CN"/>
        </w:rPr>
      </w:pPr>
      <w:r>
        <w:rPr>
          <w:rFonts w:hint="eastAsia" w:ascii="仿宋_GB2312" w:hAnsi="宋体" w:eastAsia="仿宋_GB2312" w:cs="Times New Roman"/>
          <w:color w:val="auto"/>
          <w:sz w:val="32"/>
          <w:szCs w:val="32"/>
          <w:highlight w:val="none"/>
          <w:lang w:val="en-US" w:eastAsia="zh-CN"/>
        </w:rPr>
        <w:t>3、建筑工程：采用广东省水利厅粤水建管〔2017〕37号文发布的《广东省水利水电建筑工程预算定额》。</w:t>
      </w:r>
    </w:p>
    <w:p w14:paraId="0B052541">
      <w:pPr>
        <w:keepNext w:val="0"/>
        <w:keepLines w:val="0"/>
        <w:pageBreakBefore w:val="0"/>
        <w:widowControl w:val="0"/>
        <w:tabs>
          <w:tab w:val="left" w:pos="900"/>
          <w:tab w:val="left" w:pos="1080"/>
        </w:tabs>
        <w:kinsoku/>
        <w:wordWrap/>
        <w:overflowPunct/>
        <w:topLinePunct w:val="0"/>
        <w:bidi w:val="0"/>
        <w:spacing w:line="520" w:lineRule="exact"/>
        <w:ind w:firstLine="640" w:firstLineChars="200"/>
        <w:rPr>
          <w:rFonts w:hint="eastAsia" w:ascii="仿宋_GB2312" w:hAnsi="宋体" w:eastAsia="仿宋_GB2312" w:cs="Times New Roman"/>
          <w:color w:val="auto"/>
          <w:sz w:val="32"/>
          <w:szCs w:val="32"/>
          <w:highlight w:val="none"/>
          <w:lang w:val="en-US" w:eastAsia="zh-CN"/>
        </w:rPr>
      </w:pPr>
      <w:r>
        <w:rPr>
          <w:rFonts w:hint="eastAsia" w:ascii="仿宋_GB2312" w:hAnsi="宋体" w:eastAsia="仿宋_GB2312" w:cs="Times New Roman"/>
          <w:color w:val="auto"/>
          <w:sz w:val="32"/>
          <w:szCs w:val="32"/>
          <w:highlight w:val="none"/>
          <w:lang w:val="en-US" w:eastAsia="zh-CN"/>
        </w:rPr>
        <w:t>4、设备安装工程：采用广东省水利厅粤水建管〔2017〕37号文发布的《广东省水利水电设备安装工程预算定额》。</w:t>
      </w:r>
    </w:p>
    <w:p w14:paraId="79A07C37">
      <w:pPr>
        <w:keepNext w:val="0"/>
        <w:keepLines w:val="0"/>
        <w:pageBreakBefore w:val="0"/>
        <w:widowControl w:val="0"/>
        <w:tabs>
          <w:tab w:val="left" w:pos="900"/>
          <w:tab w:val="left" w:pos="1080"/>
        </w:tabs>
        <w:kinsoku/>
        <w:wordWrap/>
        <w:overflowPunct/>
        <w:topLinePunct w:val="0"/>
        <w:bidi w:val="0"/>
        <w:spacing w:line="520" w:lineRule="exact"/>
        <w:ind w:firstLine="640" w:firstLineChars="200"/>
        <w:rPr>
          <w:rFonts w:hint="eastAsia" w:ascii="仿宋_GB2312" w:hAnsi="宋体" w:eastAsia="仿宋_GB2312" w:cs="Times New Roman"/>
          <w:color w:val="auto"/>
          <w:sz w:val="32"/>
          <w:szCs w:val="32"/>
          <w:highlight w:val="none"/>
          <w:lang w:val="en-US" w:eastAsia="zh-CN"/>
        </w:rPr>
      </w:pPr>
      <w:r>
        <w:rPr>
          <w:rFonts w:hint="eastAsia" w:ascii="仿宋_GB2312" w:hAnsi="宋体" w:eastAsia="仿宋_GB2312" w:cs="Times New Roman"/>
          <w:color w:val="auto"/>
          <w:sz w:val="32"/>
          <w:szCs w:val="32"/>
          <w:highlight w:val="none"/>
          <w:lang w:val="en-US" w:eastAsia="zh-CN"/>
        </w:rPr>
        <w:t>5、施工机械台班费定额：采用广东省水利厅粤水建管〔2017〕37号文发布的《广东省水利水电建筑工程施工机械台班费定额》。</w:t>
      </w:r>
    </w:p>
    <w:p w14:paraId="514698E5">
      <w:pPr>
        <w:keepNext w:val="0"/>
        <w:keepLines w:val="0"/>
        <w:pageBreakBefore w:val="0"/>
        <w:widowControl w:val="0"/>
        <w:tabs>
          <w:tab w:val="left" w:pos="900"/>
          <w:tab w:val="left" w:pos="1080"/>
        </w:tabs>
        <w:kinsoku/>
        <w:wordWrap/>
        <w:overflowPunct/>
        <w:topLinePunct w:val="0"/>
        <w:bidi w:val="0"/>
        <w:spacing w:line="520" w:lineRule="exact"/>
        <w:ind w:firstLine="640" w:firstLineChars="200"/>
        <w:rPr>
          <w:rFonts w:hint="eastAsia" w:ascii="仿宋_GB2312" w:hAnsi="宋体" w:eastAsia="仿宋_GB2312" w:cs="Times New Roman"/>
          <w:color w:val="auto"/>
          <w:sz w:val="32"/>
          <w:szCs w:val="32"/>
          <w:highlight w:val="none"/>
          <w:lang w:val="en-US" w:eastAsia="zh-CN"/>
        </w:rPr>
      </w:pPr>
      <w:r>
        <w:rPr>
          <w:rFonts w:hint="eastAsia" w:ascii="仿宋_GB2312" w:hAnsi="宋体" w:eastAsia="仿宋_GB2312" w:cs="Times New Roman"/>
          <w:color w:val="auto"/>
          <w:sz w:val="32"/>
          <w:szCs w:val="32"/>
          <w:highlight w:val="none"/>
          <w:lang w:val="en-US" w:eastAsia="zh-CN"/>
        </w:rPr>
        <w:t>6、《水利水电工程设计工程量计算规定》（SL328-2005）。</w:t>
      </w:r>
      <w:r>
        <w:rPr>
          <w:rFonts w:hint="eastAsia" w:ascii="仿宋_GB2312" w:hAnsi="宋体" w:eastAsia="仿宋_GB2312"/>
          <w:color w:val="auto"/>
          <w:sz w:val="32"/>
          <w:szCs w:val="32"/>
          <w:highlight w:val="none"/>
          <w:lang w:val="en-US" w:eastAsia="zh-CN"/>
        </w:rPr>
        <w:t xml:space="preserve"> </w:t>
      </w:r>
      <w:r>
        <w:rPr>
          <w:rFonts w:hint="eastAsia" w:ascii="仿宋_GB2312" w:hAnsi="宋体" w:eastAsia="仿宋_GB2312" w:cs="Times New Roman"/>
          <w:color w:val="auto"/>
          <w:sz w:val="32"/>
          <w:szCs w:val="32"/>
          <w:highlight w:val="none"/>
          <w:lang w:val="en-US" w:eastAsia="zh-CN"/>
        </w:rPr>
        <w:t>（三）材料单价依据：</w:t>
      </w:r>
    </w:p>
    <w:p w14:paraId="6E652259">
      <w:pPr>
        <w:keepNext w:val="0"/>
        <w:keepLines w:val="0"/>
        <w:pageBreakBefore w:val="0"/>
        <w:widowControl w:val="0"/>
        <w:tabs>
          <w:tab w:val="left" w:pos="900"/>
          <w:tab w:val="left" w:pos="1080"/>
        </w:tabs>
        <w:kinsoku/>
        <w:wordWrap/>
        <w:overflowPunct/>
        <w:topLinePunct w:val="0"/>
        <w:bidi w:val="0"/>
        <w:spacing w:line="520" w:lineRule="exact"/>
        <w:ind w:firstLine="640" w:firstLineChars="200"/>
        <w:rPr>
          <w:rFonts w:hint="eastAsia" w:ascii="仿宋_GB2312" w:hAnsi="宋体" w:eastAsia="仿宋_GB2312" w:cs="Times New Roman"/>
          <w:color w:val="auto"/>
          <w:sz w:val="32"/>
          <w:szCs w:val="32"/>
          <w:highlight w:val="none"/>
          <w:lang w:val="en-US" w:eastAsia="zh-CN"/>
        </w:rPr>
      </w:pPr>
      <w:r>
        <w:rPr>
          <w:rFonts w:hint="eastAsia" w:ascii="仿宋_GB2312" w:hAnsi="宋体" w:eastAsia="仿宋_GB2312" w:cs="Times New Roman"/>
          <w:color w:val="auto"/>
          <w:sz w:val="32"/>
          <w:szCs w:val="32"/>
          <w:highlight w:val="none"/>
          <w:lang w:val="en-US" w:eastAsia="zh-CN"/>
        </w:rPr>
        <w:t>材料价格审核：电、水、风单价按《编制规定》计算，电0.72元/度，风0.13元/m³，水0.6元/m³；主要材料水泥、钢筋、砂石料单价等参考仁化县住房和城乡建设管理局发布的仁化县仁住建字[2025]5号主要建筑材料参考价格；次要材料价格按照广东省水利厅2025年公布的次要材料价格及韶关市2025年10月份信息价调整，以上信息价没有的材料单价参考周边城市最新信息价及厂商价。</w:t>
      </w:r>
    </w:p>
    <w:p w14:paraId="0BE18128">
      <w:pPr>
        <w:keepNext w:val="0"/>
        <w:keepLines w:val="0"/>
        <w:pageBreakBefore w:val="0"/>
        <w:widowControl w:val="0"/>
        <w:tabs>
          <w:tab w:val="left" w:pos="900"/>
          <w:tab w:val="left" w:pos="1080"/>
        </w:tabs>
        <w:kinsoku/>
        <w:wordWrap/>
        <w:overflowPunct/>
        <w:topLinePunct w:val="0"/>
        <w:bidi w:val="0"/>
        <w:spacing w:line="520" w:lineRule="exact"/>
        <w:ind w:firstLine="643" w:firstLineChars="200"/>
        <w:rPr>
          <w:rFonts w:hint="eastAsia" w:ascii="仿宋_GB2312" w:hAnsi="宋体" w:eastAsia="仿宋_GB2312" w:cs="Times New Roman"/>
          <w:b/>
          <w:bCs/>
          <w:color w:val="auto"/>
          <w:sz w:val="32"/>
          <w:szCs w:val="32"/>
          <w:highlight w:val="none"/>
          <w:lang w:val="en-US" w:eastAsia="zh-CN"/>
        </w:rPr>
      </w:pPr>
      <w:r>
        <w:rPr>
          <w:rFonts w:hint="eastAsia" w:ascii="仿宋_GB2312" w:hAnsi="宋体" w:eastAsia="仿宋_GB2312" w:cs="Times New Roman"/>
          <w:b/>
          <w:bCs/>
          <w:color w:val="auto"/>
          <w:sz w:val="32"/>
          <w:szCs w:val="32"/>
          <w:highlight w:val="none"/>
          <w:lang w:val="en-US" w:eastAsia="zh-CN"/>
        </w:rPr>
        <w:t>三、其他说明</w:t>
      </w:r>
    </w:p>
    <w:p w14:paraId="2FEE509A">
      <w:pPr>
        <w:keepNext w:val="0"/>
        <w:keepLines w:val="0"/>
        <w:pageBreakBefore w:val="0"/>
        <w:widowControl w:val="0"/>
        <w:kinsoku/>
        <w:wordWrap/>
        <w:overflowPunct/>
        <w:topLinePunct w:val="0"/>
        <w:autoSpaceDE w:val="0"/>
        <w:autoSpaceDN w:val="0"/>
        <w:bidi w:val="0"/>
        <w:adjustRightInd w:val="0"/>
        <w:snapToGrid w:val="0"/>
        <w:spacing w:line="520" w:lineRule="exact"/>
        <w:ind w:firstLine="640" w:firstLineChars="200"/>
        <w:rPr>
          <w:rFonts w:hint="eastAsia" w:ascii="仿宋_GB2312" w:hAnsi="宋体" w:eastAsia="仿宋_GB2312" w:cs="Times New Roman"/>
          <w:color w:val="auto"/>
          <w:sz w:val="32"/>
          <w:szCs w:val="32"/>
          <w:highlight w:val="none"/>
          <w:lang w:val="en-US" w:eastAsia="zh-CN"/>
        </w:rPr>
      </w:pPr>
      <w:r>
        <w:rPr>
          <w:rFonts w:hint="eastAsia" w:ascii="Times New Roman" w:hAnsi="Times New Roman" w:eastAsia="仿宋_GB2312" w:cs="Times New Roman"/>
          <w:b w:val="0"/>
          <w:bCs w:val="0"/>
          <w:snapToGrid w:val="0"/>
          <w:color w:val="auto"/>
          <w:kern w:val="0"/>
          <w:sz w:val="32"/>
          <w:szCs w:val="24"/>
          <w:highlight w:val="none"/>
          <w:lang w:val="en-US" w:eastAsia="zh-CN"/>
        </w:rPr>
        <w:t>1、根据</w:t>
      </w:r>
      <w:r>
        <w:rPr>
          <w:rFonts w:hint="eastAsia" w:ascii="仿宋_GB2312" w:hAnsi="宋体" w:eastAsia="仿宋_GB2312" w:cs="Times New Roman"/>
          <w:color w:val="auto"/>
          <w:sz w:val="32"/>
          <w:szCs w:val="32"/>
          <w:highlight w:val="none"/>
          <w:lang w:val="en-US" w:eastAsia="zh-CN"/>
        </w:rPr>
        <w:t>建设单位出具的《关于对广东省仁化县县域自来水引调水工程招标控制价的说明》（2025年11月21日），部分工程内容暂按如下计算：</w:t>
      </w:r>
    </w:p>
    <w:p w14:paraId="64595A46">
      <w:pPr>
        <w:keepNext w:val="0"/>
        <w:keepLines w:val="0"/>
        <w:pageBreakBefore w:val="0"/>
        <w:widowControl w:val="0"/>
        <w:kinsoku/>
        <w:wordWrap/>
        <w:overflowPunct/>
        <w:topLinePunct w:val="0"/>
        <w:autoSpaceDE w:val="0"/>
        <w:autoSpaceDN w:val="0"/>
        <w:bidi w:val="0"/>
        <w:adjustRightInd w:val="0"/>
        <w:snapToGrid w:val="0"/>
        <w:spacing w:line="520" w:lineRule="exact"/>
        <w:ind w:firstLine="640" w:firstLineChars="200"/>
        <w:rPr>
          <w:rFonts w:hint="eastAsia" w:ascii="仿宋_GB2312" w:hAnsi="宋体" w:eastAsia="仿宋_GB2312" w:cs="Times New Roman"/>
          <w:color w:val="auto"/>
          <w:sz w:val="32"/>
          <w:szCs w:val="32"/>
          <w:highlight w:val="none"/>
          <w:lang w:val="en-US" w:eastAsia="zh-CN"/>
        </w:rPr>
      </w:pPr>
      <w:r>
        <w:rPr>
          <w:rFonts w:hint="eastAsia" w:ascii="仿宋_GB2312" w:hAnsi="宋体" w:eastAsia="仿宋_GB2312" w:cs="Times New Roman"/>
          <w:color w:val="auto"/>
          <w:sz w:val="32"/>
          <w:szCs w:val="32"/>
          <w:highlight w:val="none"/>
          <w:lang w:val="en-US" w:eastAsia="zh-CN"/>
        </w:rPr>
        <w:t>1.1、隧洞前段0+000~ 2+692段位于保护区内，根据生态影响评价要求，该段不能使用钻爆法施工，Ⅳ和Ⅴ类围岩采用悬臂式掘进机开挖，长度2092m；Ⅲ类围岩及硬度60MPa以上的围岩暂按水磨石钻机开挖，长度600m。实施前，将进一步勘察分析围岩类别并通过比选论证确定合理的施工工艺,结算时按实际发生结算。</w:t>
      </w:r>
    </w:p>
    <w:p w14:paraId="01640F8D">
      <w:pPr>
        <w:keepNext w:val="0"/>
        <w:keepLines w:val="0"/>
        <w:pageBreakBefore w:val="0"/>
        <w:widowControl w:val="0"/>
        <w:kinsoku/>
        <w:wordWrap/>
        <w:overflowPunct/>
        <w:topLinePunct w:val="0"/>
        <w:autoSpaceDE w:val="0"/>
        <w:autoSpaceDN w:val="0"/>
        <w:bidi w:val="0"/>
        <w:adjustRightInd w:val="0"/>
        <w:snapToGrid w:val="0"/>
        <w:spacing w:line="520" w:lineRule="exact"/>
        <w:ind w:firstLine="640" w:firstLineChars="200"/>
        <w:rPr>
          <w:rFonts w:hint="eastAsia" w:ascii="仿宋_GB2312" w:hAnsi="宋体" w:eastAsia="仿宋_GB2312" w:cs="Times New Roman"/>
          <w:color w:val="auto"/>
          <w:sz w:val="32"/>
          <w:szCs w:val="32"/>
          <w:highlight w:val="none"/>
          <w:lang w:val="en-US" w:eastAsia="zh-CN"/>
        </w:rPr>
      </w:pPr>
      <w:r>
        <w:rPr>
          <w:rFonts w:hint="eastAsia" w:ascii="仿宋_GB2312" w:hAnsi="宋体" w:eastAsia="仿宋_GB2312" w:cs="Times New Roman"/>
          <w:color w:val="auto"/>
          <w:sz w:val="32"/>
          <w:szCs w:val="32"/>
          <w:highlight w:val="none"/>
          <w:lang w:val="en-US" w:eastAsia="zh-CN"/>
        </w:rPr>
        <w:t>1.2、由于水土保持、环境保护专项设计图纸待完善，监测、噪声防治、固体废料处理、降尘措施、施工人群卫生检疫等费用暂不计算，其他工程量及做法暂按送审计算,结算时按实际发生结算。</w:t>
      </w:r>
    </w:p>
    <w:p w14:paraId="70A06AC4">
      <w:pPr>
        <w:keepNext w:val="0"/>
        <w:keepLines w:val="0"/>
        <w:pageBreakBefore w:val="0"/>
        <w:widowControl w:val="0"/>
        <w:kinsoku/>
        <w:wordWrap/>
        <w:overflowPunct/>
        <w:topLinePunct w:val="0"/>
        <w:autoSpaceDE w:val="0"/>
        <w:autoSpaceDN w:val="0"/>
        <w:bidi w:val="0"/>
        <w:adjustRightInd w:val="0"/>
        <w:snapToGrid w:val="0"/>
        <w:spacing w:line="520" w:lineRule="exact"/>
        <w:ind w:firstLine="640" w:firstLineChars="200"/>
        <w:rPr>
          <w:rFonts w:hint="eastAsia" w:ascii="仿宋_GB2312" w:hAnsi="宋体" w:eastAsia="仿宋_GB2312" w:cs="Times New Roman"/>
          <w:color w:val="auto"/>
          <w:sz w:val="32"/>
          <w:szCs w:val="32"/>
          <w:highlight w:val="none"/>
          <w:lang w:val="en-US" w:eastAsia="zh-CN"/>
        </w:rPr>
      </w:pPr>
      <w:r>
        <w:rPr>
          <w:rFonts w:hint="eastAsia" w:ascii="仿宋_GB2312" w:hAnsi="宋体" w:eastAsia="仿宋_GB2312" w:cs="Times New Roman"/>
          <w:color w:val="auto"/>
          <w:sz w:val="32"/>
          <w:szCs w:val="32"/>
          <w:highlight w:val="none"/>
          <w:lang w:val="en-US" w:eastAsia="zh-CN"/>
        </w:rPr>
        <w:t>1.3、因项目工期较短，施工条件复杂，现场用地限制，不宜采用搅拌场，本项目采用商品混凝土。施工仓库工程量暂按500m2、施工板房工程量暂按3380m2计算；</w:t>
      </w:r>
    </w:p>
    <w:p w14:paraId="629C17F6">
      <w:pPr>
        <w:keepNext w:val="0"/>
        <w:keepLines w:val="0"/>
        <w:pageBreakBefore w:val="0"/>
        <w:widowControl w:val="0"/>
        <w:kinsoku/>
        <w:wordWrap/>
        <w:overflowPunct/>
        <w:topLinePunct w:val="0"/>
        <w:autoSpaceDE w:val="0"/>
        <w:autoSpaceDN w:val="0"/>
        <w:bidi w:val="0"/>
        <w:adjustRightInd w:val="0"/>
        <w:snapToGrid w:val="0"/>
        <w:spacing w:line="520" w:lineRule="exact"/>
        <w:ind w:firstLine="640" w:firstLineChars="200"/>
        <w:rPr>
          <w:rFonts w:hint="eastAsia" w:ascii="仿宋_GB2312" w:hAnsi="宋体" w:eastAsia="仿宋_GB2312" w:cs="Times New Roman"/>
          <w:color w:val="auto"/>
          <w:sz w:val="32"/>
          <w:szCs w:val="32"/>
          <w:highlight w:val="none"/>
          <w:lang w:val="en-US" w:eastAsia="zh-CN"/>
        </w:rPr>
      </w:pPr>
      <w:r>
        <w:rPr>
          <w:rFonts w:hint="eastAsia" w:ascii="仿宋_GB2312" w:hAnsi="宋体" w:eastAsia="仿宋_GB2312" w:cs="Times New Roman"/>
          <w:color w:val="auto"/>
          <w:sz w:val="32"/>
          <w:szCs w:val="32"/>
          <w:highlight w:val="none"/>
          <w:lang w:val="en-US" w:eastAsia="zh-CN"/>
        </w:rPr>
        <w:t>1.4、施工营地（板房）暂按3380m2计算，施工仓库暂按500m2计算，结算时按实际量计算；</w:t>
      </w:r>
    </w:p>
    <w:p w14:paraId="0990526D">
      <w:pPr>
        <w:keepNext w:val="0"/>
        <w:keepLines w:val="0"/>
        <w:pageBreakBefore w:val="0"/>
        <w:widowControl w:val="0"/>
        <w:kinsoku/>
        <w:wordWrap/>
        <w:overflowPunct/>
        <w:topLinePunct w:val="0"/>
        <w:autoSpaceDE w:val="0"/>
        <w:autoSpaceDN w:val="0"/>
        <w:bidi w:val="0"/>
        <w:adjustRightInd w:val="0"/>
        <w:snapToGrid w:val="0"/>
        <w:spacing w:line="520" w:lineRule="exact"/>
        <w:ind w:firstLine="640" w:firstLineChars="200"/>
        <w:rPr>
          <w:rFonts w:hint="eastAsia" w:ascii="仿宋_GB2312" w:hAnsi="宋体" w:eastAsia="仿宋_GB2312" w:cs="Times New Roman"/>
          <w:color w:val="auto"/>
          <w:sz w:val="32"/>
          <w:szCs w:val="32"/>
          <w:highlight w:val="none"/>
          <w:lang w:val="en-US" w:eastAsia="zh-CN"/>
        </w:rPr>
      </w:pPr>
      <w:r>
        <w:rPr>
          <w:rFonts w:hint="eastAsia" w:ascii="仿宋_GB2312" w:hAnsi="宋体" w:eastAsia="仿宋_GB2312" w:cs="Times New Roman"/>
          <w:color w:val="auto"/>
          <w:sz w:val="32"/>
          <w:szCs w:val="32"/>
          <w:highlight w:val="none"/>
          <w:lang w:val="en-US" w:eastAsia="zh-CN"/>
        </w:rPr>
        <w:t>1.5、土石方、拆除废料弃运运距：高坪电站尾水渠修复工程暂按8.4km计算；渡槽工程暂按5.8km计算；其他工程全部暂按6.5km计算，结算时按实际发生结算。</w:t>
      </w:r>
    </w:p>
    <w:p w14:paraId="395322E0">
      <w:pPr>
        <w:keepNext w:val="0"/>
        <w:keepLines w:val="0"/>
        <w:pageBreakBefore w:val="0"/>
        <w:widowControl w:val="0"/>
        <w:kinsoku/>
        <w:wordWrap/>
        <w:overflowPunct/>
        <w:topLinePunct w:val="0"/>
        <w:autoSpaceDE w:val="0"/>
        <w:autoSpaceDN w:val="0"/>
        <w:bidi w:val="0"/>
        <w:adjustRightInd w:val="0"/>
        <w:snapToGrid w:val="0"/>
        <w:spacing w:line="520" w:lineRule="exact"/>
        <w:ind w:firstLine="640" w:firstLineChars="200"/>
        <w:textAlignment w:val="auto"/>
        <w:rPr>
          <w:rFonts w:hint="eastAsia" w:ascii="仿宋_GB2312" w:hAnsi="宋体" w:eastAsia="仿宋_GB2312" w:cs="Times New Roman"/>
          <w:color w:val="auto"/>
          <w:sz w:val="32"/>
          <w:szCs w:val="32"/>
          <w:highlight w:val="none"/>
          <w:lang w:val="en-US" w:eastAsia="zh-CN"/>
        </w:rPr>
      </w:pPr>
      <w:r>
        <w:rPr>
          <w:rFonts w:hint="eastAsia" w:ascii="仿宋_GB2312" w:hAnsi="宋体" w:eastAsia="仿宋_GB2312" w:cs="Times New Roman"/>
          <w:color w:val="auto"/>
          <w:sz w:val="32"/>
          <w:szCs w:val="32"/>
          <w:highlight w:val="none"/>
          <w:lang w:val="en-US" w:eastAsia="zh-CN"/>
        </w:rPr>
        <w:t>2、</w:t>
      </w:r>
      <w:r>
        <w:rPr>
          <w:rFonts w:hint="eastAsia" w:ascii="Times New Roman" w:hAnsi="Times New Roman" w:eastAsia="仿宋_GB2312" w:cs="Times New Roman"/>
          <w:b w:val="0"/>
          <w:bCs w:val="0"/>
          <w:snapToGrid w:val="0"/>
          <w:color w:val="auto"/>
          <w:kern w:val="0"/>
          <w:sz w:val="32"/>
          <w:szCs w:val="24"/>
          <w:highlight w:val="none"/>
          <w:lang w:val="en-US" w:eastAsia="zh-CN"/>
        </w:rPr>
        <w:t>根据建设单位出具的《关于对广东省仁化县县域自来水引调水工程招标控制价的说明（二）》</w:t>
      </w:r>
      <w:r>
        <w:rPr>
          <w:rFonts w:hint="eastAsia" w:ascii="仿宋_GB2312" w:hAnsi="宋体" w:eastAsia="仿宋_GB2312" w:cs="Times New Roman"/>
          <w:color w:val="auto"/>
          <w:sz w:val="32"/>
          <w:szCs w:val="32"/>
          <w:highlight w:val="none"/>
          <w:lang w:val="en-US" w:eastAsia="zh-CN"/>
        </w:rPr>
        <w:t>（2026年1月4日），部分工程内容暂按如下计算：</w:t>
      </w:r>
    </w:p>
    <w:p w14:paraId="3AA85DC6">
      <w:pPr>
        <w:keepNext w:val="0"/>
        <w:keepLines w:val="0"/>
        <w:pageBreakBefore w:val="0"/>
        <w:widowControl w:val="0"/>
        <w:kinsoku/>
        <w:wordWrap/>
        <w:overflowPunct/>
        <w:topLinePunct w:val="0"/>
        <w:autoSpaceDE w:val="0"/>
        <w:autoSpaceDN w:val="0"/>
        <w:bidi w:val="0"/>
        <w:adjustRightInd w:val="0"/>
        <w:snapToGrid w:val="0"/>
        <w:spacing w:line="520" w:lineRule="exact"/>
        <w:ind w:firstLine="640" w:firstLineChars="200"/>
        <w:textAlignment w:val="auto"/>
        <w:rPr>
          <w:rFonts w:hint="eastAsia" w:ascii="仿宋_GB2312" w:hAnsi="宋体" w:eastAsia="仿宋_GB2312" w:cs="Times New Roman"/>
          <w:color w:val="auto"/>
          <w:sz w:val="32"/>
          <w:szCs w:val="32"/>
          <w:highlight w:val="none"/>
          <w:lang w:val="en-US" w:eastAsia="zh-CN"/>
        </w:rPr>
      </w:pPr>
      <w:r>
        <w:rPr>
          <w:rFonts w:hint="eastAsia" w:ascii="仿宋_GB2312" w:hAnsi="宋体" w:eastAsia="仿宋_GB2312" w:cs="Times New Roman"/>
          <w:color w:val="auto"/>
          <w:sz w:val="32"/>
          <w:szCs w:val="32"/>
          <w:highlight w:val="none"/>
          <w:lang w:val="en-US" w:eastAsia="zh-CN"/>
        </w:rPr>
        <w:t>2.1、本项目临时道路施工浆砌石挡墙时，隧洞尚未进行开挖，无开挖石料可利用，按外购块石计算。</w:t>
      </w:r>
    </w:p>
    <w:p w14:paraId="503D44CF">
      <w:pPr>
        <w:keepNext w:val="0"/>
        <w:keepLines w:val="0"/>
        <w:pageBreakBefore w:val="0"/>
        <w:widowControl w:val="0"/>
        <w:kinsoku/>
        <w:wordWrap/>
        <w:overflowPunct/>
        <w:topLinePunct w:val="0"/>
        <w:autoSpaceDE w:val="0"/>
        <w:autoSpaceDN w:val="0"/>
        <w:bidi w:val="0"/>
        <w:adjustRightInd w:val="0"/>
        <w:snapToGrid w:val="0"/>
        <w:spacing w:line="520" w:lineRule="exact"/>
        <w:ind w:firstLine="640" w:firstLineChars="200"/>
        <w:textAlignment w:val="auto"/>
        <w:rPr>
          <w:rFonts w:hint="default" w:ascii="仿宋_GB2312" w:hAnsi="宋体" w:eastAsia="仿宋_GB2312" w:cs="Times New Roman"/>
          <w:color w:val="auto"/>
          <w:sz w:val="32"/>
          <w:szCs w:val="32"/>
          <w:highlight w:val="none"/>
          <w:lang w:val="en-US" w:eastAsia="zh-CN"/>
        </w:rPr>
      </w:pPr>
      <w:r>
        <w:rPr>
          <w:rFonts w:hint="eastAsia" w:ascii="仿宋_GB2312" w:hAnsi="宋体" w:eastAsia="仿宋_GB2312" w:cs="Times New Roman"/>
          <w:color w:val="auto"/>
          <w:sz w:val="32"/>
          <w:szCs w:val="32"/>
          <w:highlight w:val="none"/>
          <w:lang w:val="en-US" w:eastAsia="zh-CN"/>
        </w:rPr>
        <w:t>2.2、场外施工临时道路部分原状道路实际情况不能满足通车要求，长度约3.98km，需要重新修整才能保证施工车辆安全通行，考虑场外施工临时道路局部修整暂估价155万元，结算时按实际发生结算。</w:t>
      </w:r>
    </w:p>
    <w:p w14:paraId="63F41016">
      <w:pPr>
        <w:keepNext w:val="0"/>
        <w:keepLines w:val="0"/>
        <w:pageBreakBefore w:val="0"/>
        <w:widowControl w:val="0"/>
        <w:kinsoku/>
        <w:wordWrap/>
        <w:overflowPunct/>
        <w:topLinePunct w:val="0"/>
        <w:autoSpaceDE w:val="0"/>
        <w:autoSpaceDN w:val="0"/>
        <w:bidi w:val="0"/>
        <w:adjustRightInd w:val="0"/>
        <w:snapToGrid w:val="0"/>
        <w:spacing w:line="520" w:lineRule="exact"/>
        <w:ind w:firstLine="640" w:firstLineChars="200"/>
        <w:textAlignment w:val="auto"/>
        <w:rPr>
          <w:rFonts w:hint="eastAsia" w:ascii="仿宋_GB2312" w:hAnsi="宋体" w:eastAsia="仿宋_GB2312" w:cs="Times New Roman"/>
          <w:color w:val="auto"/>
          <w:sz w:val="32"/>
          <w:szCs w:val="32"/>
          <w:highlight w:val="none"/>
          <w:lang w:val="en-US" w:eastAsia="zh-CN"/>
        </w:rPr>
      </w:pPr>
      <w:r>
        <w:rPr>
          <w:rFonts w:hint="eastAsia" w:ascii="仿宋_GB2312" w:hAnsi="宋体" w:eastAsia="仿宋_GB2312" w:cs="Times New Roman"/>
          <w:color w:val="auto"/>
          <w:sz w:val="32"/>
          <w:szCs w:val="32"/>
          <w:highlight w:val="none"/>
          <w:lang w:val="en-US" w:eastAsia="zh-CN"/>
        </w:rPr>
        <w:t>2.3、设备部分设置暂估价</w:t>
      </w:r>
    </w:p>
    <w:p w14:paraId="671AB7EA">
      <w:pPr>
        <w:keepNext w:val="0"/>
        <w:keepLines w:val="0"/>
        <w:pageBreakBefore w:val="0"/>
        <w:widowControl w:val="0"/>
        <w:kinsoku/>
        <w:wordWrap/>
        <w:overflowPunct/>
        <w:topLinePunct w:val="0"/>
        <w:autoSpaceDE w:val="0"/>
        <w:autoSpaceDN w:val="0"/>
        <w:bidi w:val="0"/>
        <w:adjustRightInd w:val="0"/>
        <w:snapToGrid w:val="0"/>
        <w:spacing w:line="520" w:lineRule="exact"/>
        <w:ind w:firstLine="640" w:firstLineChars="200"/>
        <w:textAlignment w:val="auto"/>
        <w:rPr>
          <w:rFonts w:hint="eastAsia" w:ascii="仿宋_GB2312" w:hAnsi="宋体" w:eastAsia="仿宋_GB2312" w:cs="Times New Roman"/>
          <w:color w:val="auto"/>
          <w:sz w:val="32"/>
          <w:szCs w:val="32"/>
          <w:highlight w:val="none"/>
          <w:lang w:val="en-US" w:eastAsia="zh-CN"/>
        </w:rPr>
      </w:pPr>
      <w:r>
        <w:rPr>
          <w:rFonts w:hint="eastAsia" w:ascii="仿宋_GB2312" w:hAnsi="宋体" w:eastAsia="仿宋_GB2312" w:cs="Times New Roman"/>
          <w:color w:val="auto"/>
          <w:sz w:val="32"/>
          <w:szCs w:val="32"/>
          <w:highlight w:val="none"/>
          <w:lang w:val="en-US" w:eastAsia="zh-CN"/>
        </w:rPr>
        <w:t>综合考量项目实际状况,临时工程中电力设备：变压器、配电箱、柴油发电机组与空压机等费用暂按询价截图设备原值计取，结算时按相关规定折旧计算。</w:t>
      </w:r>
    </w:p>
    <w:p w14:paraId="7EAC5365">
      <w:pPr>
        <w:keepNext w:val="0"/>
        <w:keepLines w:val="0"/>
        <w:pageBreakBefore w:val="0"/>
        <w:widowControl w:val="0"/>
        <w:kinsoku/>
        <w:wordWrap/>
        <w:overflowPunct/>
        <w:topLinePunct w:val="0"/>
        <w:autoSpaceDE w:val="0"/>
        <w:autoSpaceDN w:val="0"/>
        <w:bidi w:val="0"/>
        <w:adjustRightInd w:val="0"/>
        <w:snapToGrid w:val="0"/>
        <w:spacing w:line="520" w:lineRule="exact"/>
        <w:ind w:firstLine="640" w:firstLineChars="200"/>
        <w:textAlignment w:val="auto"/>
        <w:rPr>
          <w:rFonts w:hint="eastAsia" w:ascii="仿宋_GB2312" w:hAnsi="宋体" w:eastAsia="仿宋_GB2312" w:cs="Times New Roman"/>
          <w:color w:val="auto"/>
          <w:sz w:val="32"/>
          <w:szCs w:val="32"/>
          <w:highlight w:val="none"/>
          <w:lang w:val="en-US" w:eastAsia="zh-CN"/>
        </w:rPr>
      </w:pPr>
      <w:r>
        <w:rPr>
          <w:rFonts w:hint="eastAsia" w:ascii="仿宋_GB2312" w:hAnsi="宋体" w:eastAsia="仿宋_GB2312" w:cs="Times New Roman"/>
          <w:color w:val="auto"/>
          <w:sz w:val="32"/>
          <w:szCs w:val="32"/>
          <w:highlight w:val="none"/>
          <w:lang w:val="en-US" w:eastAsia="zh-CN"/>
        </w:rPr>
        <w:t>2.4、</w:t>
      </w:r>
      <w:r>
        <w:rPr>
          <w:rFonts w:hint="eastAsia" w:ascii="仿宋" w:hAnsi="仿宋" w:eastAsia="仿宋" w:cs="仿宋"/>
          <w:b w:val="0"/>
          <w:bCs w:val="0"/>
          <w:color w:val="auto"/>
          <w:kern w:val="2"/>
          <w:sz w:val="32"/>
          <w:szCs w:val="32"/>
          <w:lang w:val="en-US" w:eastAsia="zh-CN" w:bidi="ar-SA"/>
        </w:rPr>
        <w:t>钢筋工程综合单价应根据《广东省水利水电建筑工程预算定额》：如设计资料不明确时，定额钢筋含量1.02改为1.06。</w:t>
      </w:r>
    </w:p>
    <w:p w14:paraId="08B63591">
      <w:pPr>
        <w:keepNext w:val="0"/>
        <w:keepLines w:val="0"/>
        <w:pageBreakBefore w:val="0"/>
        <w:widowControl w:val="0"/>
        <w:kinsoku/>
        <w:wordWrap/>
        <w:overflowPunct/>
        <w:topLinePunct w:val="0"/>
        <w:autoSpaceDE w:val="0"/>
        <w:autoSpaceDN w:val="0"/>
        <w:bidi w:val="0"/>
        <w:adjustRightInd w:val="0"/>
        <w:snapToGrid w:val="0"/>
        <w:spacing w:line="520" w:lineRule="exact"/>
        <w:ind w:firstLine="640" w:firstLineChars="200"/>
        <w:textAlignment w:val="auto"/>
        <w:rPr>
          <w:rFonts w:hint="eastAsia" w:ascii="仿宋_GB2312" w:hAnsi="宋体" w:eastAsia="仿宋_GB2312" w:cs="Times New Roman"/>
          <w:color w:val="auto"/>
          <w:sz w:val="32"/>
          <w:szCs w:val="32"/>
          <w:highlight w:val="none"/>
          <w:lang w:val="en-US" w:eastAsia="zh-CN"/>
        </w:rPr>
      </w:pPr>
      <w:r>
        <w:rPr>
          <w:rFonts w:hint="eastAsia" w:ascii="仿宋_GB2312" w:hAnsi="宋体" w:eastAsia="仿宋_GB2312" w:cs="Times New Roman"/>
          <w:color w:val="auto"/>
          <w:sz w:val="32"/>
          <w:szCs w:val="32"/>
          <w:highlight w:val="none"/>
          <w:lang w:val="en-US" w:eastAsia="zh-CN"/>
        </w:rPr>
        <w:t>2.5、开挖石方按补充设计图纸标注岩石级别进行调整计算。</w:t>
      </w:r>
    </w:p>
    <w:p w14:paraId="33CF839B">
      <w:pPr>
        <w:keepNext w:val="0"/>
        <w:keepLines w:val="0"/>
        <w:pageBreakBefore w:val="0"/>
        <w:widowControl w:val="0"/>
        <w:kinsoku/>
        <w:wordWrap/>
        <w:overflowPunct/>
        <w:topLinePunct w:val="0"/>
        <w:autoSpaceDE w:val="0"/>
        <w:autoSpaceDN w:val="0"/>
        <w:bidi w:val="0"/>
        <w:adjustRightInd w:val="0"/>
        <w:snapToGrid w:val="0"/>
        <w:spacing w:line="520" w:lineRule="exact"/>
        <w:ind w:firstLine="640" w:firstLineChars="200"/>
        <w:textAlignment w:val="auto"/>
        <w:rPr>
          <w:rFonts w:hint="eastAsia" w:ascii="仿宋_GB2312" w:hAnsi="宋体" w:eastAsia="仿宋_GB2312" w:cs="Times New Roman"/>
          <w:color w:val="auto"/>
          <w:sz w:val="32"/>
          <w:szCs w:val="32"/>
          <w:highlight w:val="none"/>
          <w:lang w:val="en-US" w:eastAsia="zh-CN"/>
        </w:rPr>
      </w:pPr>
      <w:r>
        <w:rPr>
          <w:rFonts w:hint="eastAsia" w:ascii="仿宋_GB2312" w:hAnsi="宋体" w:eastAsia="仿宋_GB2312" w:cs="Times New Roman"/>
          <w:color w:val="auto"/>
          <w:sz w:val="32"/>
          <w:szCs w:val="32"/>
          <w:highlight w:val="none"/>
          <w:lang w:val="en-US" w:eastAsia="zh-CN"/>
        </w:rPr>
        <w:t>2.6、超挖超填工程量及做法暂按补充设计图纸进行计算。</w:t>
      </w:r>
    </w:p>
    <w:p w14:paraId="1967CD27">
      <w:pPr>
        <w:keepNext w:val="0"/>
        <w:keepLines w:val="0"/>
        <w:pageBreakBefore w:val="0"/>
        <w:widowControl w:val="0"/>
        <w:kinsoku/>
        <w:wordWrap/>
        <w:overflowPunct/>
        <w:topLinePunct w:val="0"/>
        <w:autoSpaceDE w:val="0"/>
        <w:autoSpaceDN w:val="0"/>
        <w:bidi w:val="0"/>
        <w:adjustRightInd w:val="0"/>
        <w:snapToGrid w:val="0"/>
        <w:spacing w:line="520" w:lineRule="exact"/>
        <w:ind w:firstLine="640" w:firstLineChars="200"/>
        <w:textAlignment w:val="auto"/>
        <w:rPr>
          <w:rFonts w:hint="eastAsia" w:ascii="仿宋_GB2312" w:hAnsi="宋体" w:eastAsia="仿宋_GB2312" w:cs="Times New Roman"/>
          <w:color w:val="auto"/>
          <w:sz w:val="32"/>
          <w:szCs w:val="32"/>
          <w:highlight w:val="none"/>
          <w:lang w:val="en-US" w:eastAsia="zh-CN"/>
        </w:rPr>
      </w:pPr>
      <w:r>
        <w:rPr>
          <w:rFonts w:hint="eastAsia" w:ascii="仿宋_GB2312" w:hAnsi="宋体" w:eastAsia="仿宋_GB2312" w:cs="Times New Roman"/>
          <w:color w:val="auto"/>
          <w:sz w:val="32"/>
          <w:szCs w:val="32"/>
          <w:highlight w:val="none"/>
          <w:lang w:val="en-US" w:eastAsia="zh-CN"/>
        </w:rPr>
        <w:t>2.7、本项目考虑预留金按（分部分项工程费+措施项目费+设备费）*5%计算，预留金投标时按给定金额统一报价，但并不属于承包人所有，也不必然发生，只能按照发包人(建设单位)的指示使用，其最终结算费用应以实际发生为准，其余额仍归发包人(建设单位)所有。该费用用于施工中可能发生的费用、工程变更、合同约定调整因素出现时的工程价款调整以及发生的索赔、现场签证、政策性调整，结算时按实际施工工作量，按招标文件、合同约定进行结算。</w:t>
      </w:r>
    </w:p>
    <w:p w14:paraId="11A8EE07">
      <w:pPr>
        <w:keepNext w:val="0"/>
        <w:keepLines w:val="0"/>
        <w:pageBreakBefore w:val="0"/>
        <w:widowControl w:val="0"/>
        <w:kinsoku/>
        <w:wordWrap/>
        <w:overflowPunct/>
        <w:topLinePunct w:val="0"/>
        <w:autoSpaceDE w:val="0"/>
        <w:autoSpaceDN w:val="0"/>
        <w:bidi w:val="0"/>
        <w:adjustRightInd w:val="0"/>
        <w:snapToGrid w:val="0"/>
        <w:spacing w:line="520" w:lineRule="exact"/>
        <w:ind w:firstLine="640" w:firstLineChars="200"/>
        <w:rPr>
          <w:rFonts w:hint="eastAsia" w:ascii="仿宋_GB2312" w:hAnsi="宋体" w:eastAsia="仿宋_GB2312" w:cs="Times New Roman"/>
          <w:color w:val="auto"/>
          <w:sz w:val="32"/>
          <w:szCs w:val="32"/>
          <w:highlight w:val="none"/>
          <w:lang w:val="zh-CN" w:eastAsia="zh-CN"/>
        </w:rPr>
      </w:pPr>
      <w:r>
        <w:rPr>
          <w:rFonts w:hint="eastAsia" w:ascii="仿宋_GB2312" w:hAnsi="宋体" w:eastAsia="仿宋_GB2312" w:cs="Times New Roman"/>
          <w:color w:val="auto"/>
          <w:sz w:val="32"/>
          <w:szCs w:val="32"/>
          <w:highlight w:val="none"/>
          <w:lang w:val="en-US" w:eastAsia="zh-CN"/>
        </w:rPr>
        <w:t>3、</w:t>
      </w:r>
      <w:r>
        <w:rPr>
          <w:rFonts w:hint="eastAsia" w:ascii="仿宋_GB2312" w:hAnsi="宋体" w:eastAsia="仿宋_GB2312" w:cs="Times New Roman"/>
          <w:color w:val="auto"/>
          <w:sz w:val="32"/>
          <w:szCs w:val="32"/>
          <w:highlight w:val="none"/>
          <w:lang w:val="zh-CN" w:eastAsia="zh-CN"/>
        </w:rPr>
        <w:t>本工程工程量根据设计图暂定计算；</w:t>
      </w:r>
    </w:p>
    <w:p w14:paraId="6DEB5321">
      <w:pPr>
        <w:keepNext w:val="0"/>
        <w:keepLines w:val="0"/>
        <w:pageBreakBefore w:val="0"/>
        <w:widowControl w:val="0"/>
        <w:kinsoku/>
        <w:wordWrap/>
        <w:overflowPunct/>
        <w:topLinePunct w:val="0"/>
        <w:autoSpaceDE w:val="0"/>
        <w:autoSpaceDN w:val="0"/>
        <w:bidi w:val="0"/>
        <w:adjustRightInd w:val="0"/>
        <w:snapToGrid w:val="0"/>
        <w:spacing w:line="520" w:lineRule="exact"/>
        <w:ind w:firstLine="640" w:firstLineChars="200"/>
        <w:rPr>
          <w:rFonts w:hint="eastAsia" w:ascii="仿宋_GB2312" w:hAnsi="宋体" w:eastAsia="仿宋_GB2312" w:cs="Times New Roman"/>
          <w:color w:val="auto"/>
          <w:sz w:val="32"/>
          <w:szCs w:val="32"/>
          <w:highlight w:val="none"/>
          <w:lang w:val="zh-CN" w:eastAsia="zh-CN"/>
        </w:rPr>
      </w:pPr>
      <w:r>
        <w:rPr>
          <w:rFonts w:hint="eastAsia" w:ascii="仿宋_GB2312" w:hAnsi="宋体" w:eastAsia="仿宋_GB2312" w:cs="Times New Roman"/>
          <w:color w:val="auto"/>
          <w:sz w:val="32"/>
          <w:szCs w:val="32"/>
          <w:highlight w:val="none"/>
          <w:lang w:val="en-US" w:eastAsia="zh-CN"/>
        </w:rPr>
        <w:t>4、以上暂按暂定的计算项目，结算时按实际发生工程量及招标文件、施工合同，相关文件约定进行结算；</w:t>
      </w:r>
    </w:p>
    <w:p w14:paraId="4FD92255">
      <w:pPr>
        <w:keepNext w:val="0"/>
        <w:keepLines w:val="0"/>
        <w:pageBreakBefore w:val="0"/>
        <w:widowControl w:val="0"/>
        <w:kinsoku/>
        <w:wordWrap/>
        <w:overflowPunct/>
        <w:topLinePunct w:val="0"/>
        <w:autoSpaceDE w:val="0"/>
        <w:autoSpaceDN w:val="0"/>
        <w:bidi w:val="0"/>
        <w:adjustRightInd w:val="0"/>
        <w:snapToGrid w:val="0"/>
        <w:spacing w:line="520" w:lineRule="exact"/>
        <w:ind w:firstLine="640" w:firstLineChars="200"/>
        <w:rPr>
          <w:rFonts w:hint="eastAsia" w:ascii="仿宋_GB2312" w:hAnsi="宋体" w:eastAsia="仿宋_GB2312" w:cs="Times New Roman"/>
          <w:color w:val="auto"/>
          <w:sz w:val="32"/>
          <w:szCs w:val="32"/>
          <w:highlight w:val="none"/>
          <w:lang w:val="en-US" w:eastAsia="zh-CN"/>
        </w:rPr>
      </w:pPr>
      <w:r>
        <w:rPr>
          <w:rFonts w:hint="eastAsia" w:ascii="仿宋_GB2312" w:hAnsi="宋体" w:eastAsia="仿宋_GB2312" w:cs="Times New Roman"/>
          <w:color w:val="auto"/>
          <w:sz w:val="32"/>
          <w:szCs w:val="32"/>
          <w:highlight w:val="none"/>
          <w:lang w:val="en-US" w:eastAsia="zh-CN"/>
        </w:rPr>
        <w:t>5、</w:t>
      </w:r>
      <w:r>
        <w:rPr>
          <w:rFonts w:hint="eastAsia" w:ascii="仿宋_GB2312" w:hAnsi="宋体" w:eastAsia="仿宋_GB2312" w:cs="Times New Roman"/>
          <w:color w:val="auto"/>
          <w:sz w:val="32"/>
          <w:szCs w:val="32"/>
          <w:highlight w:val="none"/>
          <w:lang w:val="zh-CN" w:eastAsia="zh-CN"/>
        </w:rPr>
        <w:t>未详细说明项目按设计图册及图纸有关说明。</w:t>
      </w:r>
    </w:p>
    <w:p w14:paraId="1AAE6D1E">
      <w:pPr>
        <w:keepNext w:val="0"/>
        <w:keepLines w:val="0"/>
        <w:pageBreakBefore w:val="0"/>
        <w:widowControl w:val="0"/>
        <w:kinsoku/>
        <w:wordWrap/>
        <w:overflowPunct/>
        <w:topLinePunct w:val="0"/>
        <w:autoSpaceDE w:val="0"/>
        <w:autoSpaceDN w:val="0"/>
        <w:bidi w:val="0"/>
        <w:adjustRightInd w:val="0"/>
        <w:snapToGrid w:val="0"/>
        <w:spacing w:line="520" w:lineRule="exact"/>
        <w:ind w:firstLine="640" w:firstLineChars="200"/>
        <w:rPr>
          <w:rFonts w:hint="default" w:ascii="仿宋_GB2312" w:hAnsi="宋体" w:eastAsia="仿宋_GB2312" w:cs="Times New Roman"/>
          <w:color w:val="auto"/>
          <w:sz w:val="32"/>
          <w:szCs w:val="32"/>
          <w:highlight w:val="none"/>
          <w:lang w:val="en-US" w:eastAsia="zh-CN"/>
        </w:rPr>
      </w:pPr>
      <w:r>
        <w:rPr>
          <w:rFonts w:hint="eastAsia" w:ascii="仿宋_GB2312" w:hAnsi="宋体" w:eastAsia="仿宋_GB2312" w:cs="Times New Roman"/>
          <w:color w:val="auto"/>
          <w:sz w:val="32"/>
          <w:szCs w:val="32"/>
          <w:highlight w:val="none"/>
          <w:lang w:val="en-US" w:eastAsia="zh-CN"/>
        </w:rPr>
        <w:t>6、</w:t>
      </w:r>
      <w:r>
        <w:rPr>
          <w:rFonts w:hint="default" w:ascii="仿宋_GB2312" w:hAnsi="宋体" w:eastAsia="仿宋_GB2312" w:cs="Times New Roman"/>
          <w:color w:val="auto"/>
          <w:sz w:val="32"/>
          <w:szCs w:val="32"/>
          <w:highlight w:val="none"/>
          <w:lang w:val="en-US" w:eastAsia="zh-CN"/>
        </w:rPr>
        <w:t>本工程办理结算审核时，需提供项目施工前、施工中、施工后的图像资料（由建设单位、监理单位、施工单位等项目参与单位共同签名盖章确认，含隐蔽工程验收记录）。</w:t>
      </w:r>
    </w:p>
    <w:p w14:paraId="6D7CC01B">
      <w:pPr>
        <w:keepNext w:val="0"/>
        <w:keepLines w:val="0"/>
        <w:pageBreakBefore w:val="0"/>
        <w:widowControl w:val="0"/>
        <w:numPr>
          <w:ilvl w:val="0"/>
          <w:numId w:val="0"/>
        </w:numPr>
        <w:suppressAutoHyphens/>
        <w:kinsoku/>
        <w:wordWrap/>
        <w:overflowPunct/>
        <w:topLinePunct w:val="0"/>
        <w:autoSpaceDE/>
        <w:autoSpaceDN/>
        <w:bidi w:val="0"/>
        <w:adjustRightInd w:val="0"/>
        <w:snapToGrid/>
        <w:spacing w:line="520" w:lineRule="exact"/>
        <w:jc w:val="left"/>
        <w:rPr>
          <w:rFonts w:hint="default" w:ascii="仿宋" w:hAnsi="仿宋" w:eastAsia="仿宋" w:cs="仿宋"/>
          <w:snapToGrid w:val="0"/>
          <w:color w:val="auto"/>
          <w:w w:val="100"/>
          <w:kern w:val="0"/>
          <w:sz w:val="32"/>
          <w:szCs w:val="32"/>
          <w:highlight w:val="none"/>
          <w:lang w:val="en-US" w:eastAsia="zh-CN"/>
        </w:rPr>
      </w:pPr>
    </w:p>
    <w:bookmarkEnd w:id="0"/>
    <w:sectPr>
      <w:pgSz w:w="11906" w:h="16838"/>
      <w:pgMar w:top="850" w:right="1417" w:bottom="45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yYThiOGEwMzMyNzdhMzdhNTkyNmYzYmFhZWZlZmEifQ=="/>
  </w:docVars>
  <w:rsids>
    <w:rsidRoot w:val="713E16E8"/>
    <w:rsid w:val="001F303E"/>
    <w:rsid w:val="00625E51"/>
    <w:rsid w:val="00727D14"/>
    <w:rsid w:val="007C05EF"/>
    <w:rsid w:val="00B948B3"/>
    <w:rsid w:val="024711DF"/>
    <w:rsid w:val="02EA137D"/>
    <w:rsid w:val="03824055"/>
    <w:rsid w:val="03C3286F"/>
    <w:rsid w:val="064619F9"/>
    <w:rsid w:val="09482291"/>
    <w:rsid w:val="09B518C3"/>
    <w:rsid w:val="0BEC343E"/>
    <w:rsid w:val="0CB82A52"/>
    <w:rsid w:val="0D080F7F"/>
    <w:rsid w:val="0D556B2E"/>
    <w:rsid w:val="0DA8159E"/>
    <w:rsid w:val="0DAE56FB"/>
    <w:rsid w:val="10074FA7"/>
    <w:rsid w:val="10216B64"/>
    <w:rsid w:val="117009AE"/>
    <w:rsid w:val="13F21F56"/>
    <w:rsid w:val="14876E6C"/>
    <w:rsid w:val="15120EDC"/>
    <w:rsid w:val="151B1C30"/>
    <w:rsid w:val="1529426A"/>
    <w:rsid w:val="15E95B7F"/>
    <w:rsid w:val="17F43F68"/>
    <w:rsid w:val="18805A8F"/>
    <w:rsid w:val="19D60334"/>
    <w:rsid w:val="19FB43A5"/>
    <w:rsid w:val="1A0C2973"/>
    <w:rsid w:val="1B5D6177"/>
    <w:rsid w:val="1B9A461E"/>
    <w:rsid w:val="21C60A5C"/>
    <w:rsid w:val="220209AB"/>
    <w:rsid w:val="221C5F55"/>
    <w:rsid w:val="228E552D"/>
    <w:rsid w:val="23844E57"/>
    <w:rsid w:val="25E0500F"/>
    <w:rsid w:val="262F4618"/>
    <w:rsid w:val="27617BEF"/>
    <w:rsid w:val="29446030"/>
    <w:rsid w:val="2A2715DD"/>
    <w:rsid w:val="2CA2633B"/>
    <w:rsid w:val="2CC36E16"/>
    <w:rsid w:val="2CC36E42"/>
    <w:rsid w:val="2D480837"/>
    <w:rsid w:val="2D8D6895"/>
    <w:rsid w:val="2DA37DF5"/>
    <w:rsid w:val="2E1054B0"/>
    <w:rsid w:val="2ECF76CF"/>
    <w:rsid w:val="2FB52BC1"/>
    <w:rsid w:val="3030697B"/>
    <w:rsid w:val="307D0CDB"/>
    <w:rsid w:val="319E09A5"/>
    <w:rsid w:val="330870A4"/>
    <w:rsid w:val="348F2DD7"/>
    <w:rsid w:val="35491EDE"/>
    <w:rsid w:val="354A0F31"/>
    <w:rsid w:val="358C6356"/>
    <w:rsid w:val="35F00533"/>
    <w:rsid w:val="35F41BFC"/>
    <w:rsid w:val="36444FCA"/>
    <w:rsid w:val="37CF76C8"/>
    <w:rsid w:val="398D0612"/>
    <w:rsid w:val="3AFA683F"/>
    <w:rsid w:val="3BA92C34"/>
    <w:rsid w:val="3C9E39FD"/>
    <w:rsid w:val="3D933A31"/>
    <w:rsid w:val="3D9D2CCD"/>
    <w:rsid w:val="3DA03F39"/>
    <w:rsid w:val="3E2F4E72"/>
    <w:rsid w:val="3F7A63C2"/>
    <w:rsid w:val="402E1D3F"/>
    <w:rsid w:val="41BD737C"/>
    <w:rsid w:val="42696DA2"/>
    <w:rsid w:val="42B272E8"/>
    <w:rsid w:val="43B94141"/>
    <w:rsid w:val="442F268D"/>
    <w:rsid w:val="47414799"/>
    <w:rsid w:val="48CB5453"/>
    <w:rsid w:val="48DF7117"/>
    <w:rsid w:val="4AA406F0"/>
    <w:rsid w:val="4B122A41"/>
    <w:rsid w:val="4B1B5FB8"/>
    <w:rsid w:val="4BA34B8C"/>
    <w:rsid w:val="4CDF47AB"/>
    <w:rsid w:val="4CF47616"/>
    <w:rsid w:val="4D0B3AFD"/>
    <w:rsid w:val="4F77691C"/>
    <w:rsid w:val="515733E7"/>
    <w:rsid w:val="553E6087"/>
    <w:rsid w:val="55D2123A"/>
    <w:rsid w:val="581043D4"/>
    <w:rsid w:val="58AF5D1C"/>
    <w:rsid w:val="58EF1411"/>
    <w:rsid w:val="595C57B0"/>
    <w:rsid w:val="5DAA666C"/>
    <w:rsid w:val="5E4C66DB"/>
    <w:rsid w:val="5E5B12F6"/>
    <w:rsid w:val="5EEB5943"/>
    <w:rsid w:val="5FAE14AC"/>
    <w:rsid w:val="61640A02"/>
    <w:rsid w:val="62001E71"/>
    <w:rsid w:val="633D3BE3"/>
    <w:rsid w:val="636B027A"/>
    <w:rsid w:val="639500A7"/>
    <w:rsid w:val="640C1262"/>
    <w:rsid w:val="6448234D"/>
    <w:rsid w:val="64FB3E4B"/>
    <w:rsid w:val="65746D3E"/>
    <w:rsid w:val="671963D7"/>
    <w:rsid w:val="6783229F"/>
    <w:rsid w:val="68B536B2"/>
    <w:rsid w:val="68C618BF"/>
    <w:rsid w:val="68C867C5"/>
    <w:rsid w:val="69285A6D"/>
    <w:rsid w:val="6A6275A1"/>
    <w:rsid w:val="6ACE1DAE"/>
    <w:rsid w:val="6B656390"/>
    <w:rsid w:val="6CB23E94"/>
    <w:rsid w:val="6D461FF8"/>
    <w:rsid w:val="6DCF4F15"/>
    <w:rsid w:val="6E01324F"/>
    <w:rsid w:val="6E565636"/>
    <w:rsid w:val="6E5713B9"/>
    <w:rsid w:val="6F6614F5"/>
    <w:rsid w:val="6FE4229B"/>
    <w:rsid w:val="701C5676"/>
    <w:rsid w:val="70466C0B"/>
    <w:rsid w:val="709920C2"/>
    <w:rsid w:val="70E00799"/>
    <w:rsid w:val="713E16E8"/>
    <w:rsid w:val="71CB7143"/>
    <w:rsid w:val="72C5513F"/>
    <w:rsid w:val="75606BF7"/>
    <w:rsid w:val="7567426F"/>
    <w:rsid w:val="77682AC6"/>
    <w:rsid w:val="77F87F89"/>
    <w:rsid w:val="78415EC5"/>
    <w:rsid w:val="78935C36"/>
    <w:rsid w:val="79CA2E50"/>
    <w:rsid w:val="7A4169D3"/>
    <w:rsid w:val="7A58338F"/>
    <w:rsid w:val="7AE53606"/>
    <w:rsid w:val="7CF131F1"/>
    <w:rsid w:val="7D53138D"/>
    <w:rsid w:val="7DAB6B5B"/>
    <w:rsid w:val="7E2761AA"/>
    <w:rsid w:val="7FF51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Body Text Indent"/>
    <w:basedOn w:val="1"/>
    <w:qFormat/>
    <w:uiPriority w:val="0"/>
    <w:pPr>
      <w:ind w:firstLine="560" w:firstLineChars="200"/>
    </w:pPr>
    <w:rPr>
      <w:rFonts w:eastAsia="宋体"/>
      <w:sz w:val="28"/>
    </w:rPr>
  </w:style>
  <w:style w:type="paragraph" w:styleId="4">
    <w:name w:val="annotation text"/>
    <w:basedOn w:val="1"/>
    <w:qFormat/>
    <w:uiPriority w:val="0"/>
    <w:pPr>
      <w:adjustRightInd w:val="0"/>
      <w:spacing w:line="360" w:lineRule="atLeast"/>
      <w:jc w:val="left"/>
      <w:textAlignment w:val="baseline"/>
    </w:pPr>
    <w:rPr>
      <w:rFonts w:ascii="宋体"/>
      <w:kern w:val="0"/>
      <w:sz w:val="24"/>
    </w:r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6"/>
    <w:qFormat/>
    <w:uiPriority w:val="0"/>
    <w:rPr>
      <w:rFonts w:asciiTheme="minorHAnsi" w:hAnsiTheme="minorHAnsi" w:eastAsiaTheme="minorEastAsia" w:cstheme="minorBidi"/>
      <w:kern w:val="2"/>
      <w:sz w:val="18"/>
      <w:szCs w:val="18"/>
    </w:rPr>
  </w:style>
  <w:style w:type="character" w:customStyle="1" w:styleId="11">
    <w:name w:val="页脚 Char"/>
    <w:basedOn w:val="9"/>
    <w:link w:val="5"/>
    <w:qFormat/>
    <w:uiPriority w:val="0"/>
    <w:rPr>
      <w:rFonts w:asciiTheme="minorHAnsi" w:hAnsiTheme="minorHAnsi" w:eastAsiaTheme="minorEastAsia" w:cstheme="minorBidi"/>
      <w:kern w:val="2"/>
      <w:sz w:val="18"/>
      <w:szCs w:val="18"/>
    </w:rPr>
  </w:style>
  <w:style w:type="paragraph" w:customStyle="1" w:styleId="12">
    <w:name w:val="表图内容"/>
    <w:next w:val="1"/>
    <w:qFormat/>
    <w:uiPriority w:val="0"/>
    <w:pPr>
      <w:jc w:val="center"/>
    </w:pPr>
    <w:rPr>
      <w:rFonts w:ascii="Times New Roman"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1556</Words>
  <Characters>1714</Characters>
  <Lines>8</Lines>
  <Paragraphs>2</Paragraphs>
  <TotalTime>1</TotalTime>
  <ScaleCrop>false</ScaleCrop>
  <LinksUpToDate>false</LinksUpToDate>
  <CharactersWithSpaces>1721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2020-03-21T03:06:00Z</dcterms:created>
  <dc:creator>七苇。</dc:creator>
  <cp:lastModifiedBy>芳</cp:lastModifiedBy>
  <cp:lastPrinted>2024-05-28T08:20:00Z</cp:lastPrinted>
  <dcterms:modified xsi:type="dcterms:W3CDTF">2026-01-06T04:18:12Z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862C0E470A974CEDA063F5F1F32DD759_13</vt:lpwstr>
  </property>
  <property fmtid="{D5CDD505-2E9C-101B-9397-08002B2CF9AE}" pid="4" name="KSOTemplateDocerSaveRecord">
    <vt:lpwstr>eyJoZGlkIjoiOWYwY2Q3MGY4ZDMyZGY4MTU0MzQxNGZhNDViMzY4OTQiLCJ1c2VySWQiOiI1MjAzMzA5NjEifQ==</vt:lpwstr>
  </property>
</Properties>
</file>